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lang w:val="en-US" w:eastAsia="zh-CN"/>
        </w:rPr>
      </w:pPr>
      <w:r>
        <w:rPr>
          <w:rFonts w:hint="eastAsia" w:ascii="方正小标宋_GBK" w:eastAsia="方正小标宋_GBK"/>
          <w:sz w:val="56"/>
          <w:szCs w:val="56"/>
          <w:lang w:eastAsia="zh-CN"/>
        </w:rPr>
        <w:t>20</w:t>
      </w:r>
      <w:r>
        <w:rPr>
          <w:rFonts w:hint="eastAsia" w:ascii="方正小标宋_GBK" w:eastAsia="方正小标宋_GBK"/>
          <w:sz w:val="56"/>
          <w:szCs w:val="56"/>
          <w:lang w:val="en-US" w:eastAsia="zh-CN"/>
        </w:rPr>
        <w:t>20</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门</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体</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支</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自</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评</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hint="eastAsia" w:ascii="方正小标宋_GBK" w:eastAsia="方正小标宋_GBK"/>
          <w:sz w:val="56"/>
          <w:szCs w:val="56"/>
        </w:rPr>
      </w:pPr>
      <w:r>
        <w:rPr>
          <w:rFonts w:hint="eastAsia" w:ascii="方正小标宋_GBK" w:eastAsia="方正小标宋_GBK"/>
          <w:sz w:val="56"/>
          <w:szCs w:val="56"/>
        </w:rPr>
        <w:t>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left="0"/>
        <w:jc w:val="center"/>
        <w:textAlignment w:val="auto"/>
        <w:rPr>
          <w:rFonts w:ascii="方正小标宋_GBK" w:eastAsia="方正小标宋_GBK"/>
          <w:sz w:val="56"/>
          <w:szCs w:val="56"/>
        </w:rPr>
      </w:pPr>
      <w:r>
        <w:rPr>
          <w:rFonts w:hint="eastAsia" w:ascii="方正小标宋_GBK" w:eastAsia="方正小标宋_GBK"/>
          <w:sz w:val="56"/>
          <w:szCs w:val="56"/>
        </w:rPr>
        <w:t>告</w:t>
      </w:r>
    </w:p>
    <w:p>
      <w:pPr>
        <w:keepNext w:val="0"/>
        <w:keepLines w:val="0"/>
        <w:pageBreakBefore w:val="0"/>
        <w:kinsoku/>
        <w:wordWrap/>
        <w:overflowPunct/>
        <w:topLinePunct w:val="0"/>
        <w:autoSpaceDE/>
        <w:autoSpaceDN/>
        <w:bidi w:val="0"/>
        <w:adjustRightInd/>
        <w:snapToGrid/>
        <w:spacing w:line="550" w:lineRule="exact"/>
        <w:ind w:left="0"/>
        <w:textAlignment w:val="auto"/>
        <w:rPr>
          <w:rFonts w:ascii="黑体" w:eastAsia="黑体"/>
          <w:sz w:val="32"/>
          <w:szCs w:val="32"/>
        </w:rPr>
      </w:pPr>
      <w:r>
        <w:rPr>
          <w:rFonts w:ascii="黑体" w:eastAsia="黑体"/>
          <w:sz w:val="32"/>
          <w:szCs w:val="32"/>
        </w:rPr>
        <w:br w:type="page"/>
      </w:r>
    </w:p>
    <w:p>
      <w:pPr>
        <w:keepNext w:val="0"/>
        <w:keepLines w:val="0"/>
        <w:pageBreakBefore w:val="0"/>
        <w:kinsoku/>
        <w:wordWrap/>
        <w:overflowPunct/>
        <w:topLinePunct w:val="0"/>
        <w:autoSpaceDE/>
        <w:autoSpaceDN/>
        <w:bidi w:val="0"/>
        <w:adjustRightInd/>
        <w:snapToGrid/>
        <w:spacing w:line="550" w:lineRule="exact"/>
        <w:ind w:left="0"/>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方正小标宋_GBK" w:eastAsia="方正小标宋_GBK"/>
          <w:sz w:val="48"/>
          <w:szCs w:val="48"/>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方正小标宋_GBK" w:eastAsia="方正小标宋_GBK"/>
          <w:sz w:val="48"/>
          <w:szCs w:val="48"/>
        </w:rPr>
      </w:pPr>
      <w:r>
        <w:rPr>
          <w:rFonts w:hint="eastAsia" w:ascii="方正小标宋_GBK" w:eastAsia="方正小标宋_GBK"/>
          <w:sz w:val="48"/>
          <w:szCs w:val="48"/>
          <w:lang w:eastAsia="zh-CN"/>
        </w:rPr>
        <w:t>20</w:t>
      </w:r>
      <w:r>
        <w:rPr>
          <w:rFonts w:hint="eastAsia" w:ascii="方正小标宋_GBK" w:eastAsia="方正小标宋_GBK"/>
          <w:sz w:val="48"/>
          <w:szCs w:val="48"/>
          <w:lang w:val="en-US" w:eastAsia="zh-CN"/>
        </w:rPr>
        <w:t>20</w:t>
      </w:r>
      <w:r>
        <w:rPr>
          <w:rFonts w:hint="eastAsia" w:ascii="方正小标宋_GBK" w:eastAsia="方正小标宋_GBK"/>
          <w:sz w:val="48"/>
          <w:szCs w:val="48"/>
        </w:rPr>
        <w:t>年度部门整体支出绩效自评报告</w:t>
      </w: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楷体_GB2312" w:eastAsia="楷体_GB2312"/>
          <w:b/>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hint="eastAsia" w:ascii="黑体" w:eastAsia="黑体"/>
          <w:sz w:val="32"/>
          <w:szCs w:val="32"/>
          <w:lang w:eastAsia="zh-CN"/>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hint="eastAsia" w:ascii="黑体" w:eastAsia="黑体"/>
          <w:sz w:val="32"/>
          <w:szCs w:val="32"/>
          <w:lang w:eastAsia="zh-CN"/>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hint="eastAsia" w:ascii="黑体" w:eastAsia="黑体"/>
          <w:sz w:val="44"/>
          <w:szCs w:val="44"/>
          <w:lang w:val="en-US" w:eastAsia="zh-CN"/>
        </w:rPr>
      </w:pPr>
      <w:r>
        <w:rPr>
          <w:rFonts w:hint="eastAsia" w:ascii="黑体" w:eastAsia="黑体"/>
          <w:sz w:val="44"/>
          <w:szCs w:val="44"/>
        </w:rPr>
        <w:t>单位名称（盖章）</w:t>
      </w:r>
      <w:r>
        <w:rPr>
          <w:rFonts w:hint="eastAsia" w:ascii="黑体" w:eastAsia="黑体"/>
          <w:sz w:val="44"/>
          <w:szCs w:val="44"/>
          <w:lang w:eastAsia="zh-CN"/>
        </w:rPr>
        <w:t>衡山县发展和改革局</w:t>
      </w: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ascii="黑体" w:eastAsia="黑体"/>
          <w:sz w:val="32"/>
          <w:szCs w:val="32"/>
        </w:rPr>
      </w:pPr>
    </w:p>
    <w:p>
      <w:pPr>
        <w:keepNext w:val="0"/>
        <w:keepLines w:val="0"/>
        <w:pageBreakBefore w:val="0"/>
        <w:kinsoku/>
        <w:wordWrap/>
        <w:overflowPunct/>
        <w:topLinePunct w:val="0"/>
        <w:autoSpaceDE/>
        <w:autoSpaceDN/>
        <w:bidi w:val="0"/>
        <w:adjustRightInd/>
        <w:snapToGrid/>
        <w:spacing w:line="550" w:lineRule="exact"/>
        <w:ind w:left="0"/>
        <w:textAlignment w:val="auto"/>
        <w:rPr>
          <w:rFonts w:ascii="黑体" w:eastAsia="黑体"/>
          <w:sz w:val="32"/>
          <w:szCs w:val="32"/>
        </w:rPr>
      </w:pPr>
    </w:p>
    <w:p>
      <w:pPr>
        <w:pStyle w:val="8"/>
        <w:keepNext w:val="0"/>
        <w:keepLines w:val="0"/>
        <w:pageBreakBefore w:val="0"/>
        <w:widowControl/>
        <w:kinsoku/>
        <w:wordWrap/>
        <w:overflowPunct/>
        <w:topLinePunct w:val="0"/>
        <w:autoSpaceDE/>
        <w:autoSpaceDN/>
        <w:bidi w:val="0"/>
        <w:adjustRightInd/>
        <w:snapToGrid/>
        <w:spacing w:line="550" w:lineRule="exact"/>
        <w:ind w:left="0" w:firstLine="620"/>
        <w:textAlignment w:val="auto"/>
        <w:rPr>
          <w:rFonts w:ascii="黑体" w:hAnsi="黑体" w:eastAsia="黑体"/>
          <w:sz w:val="32"/>
          <w:szCs w:val="32"/>
        </w:rPr>
      </w:pPr>
    </w:p>
    <w:p>
      <w:pPr>
        <w:pStyle w:val="8"/>
        <w:keepNext w:val="0"/>
        <w:keepLines w:val="0"/>
        <w:pageBreakBefore w:val="0"/>
        <w:widowControl/>
        <w:kinsoku/>
        <w:wordWrap/>
        <w:overflowPunct/>
        <w:topLinePunct w:val="0"/>
        <w:autoSpaceDE/>
        <w:autoSpaceDN/>
        <w:bidi w:val="0"/>
        <w:adjustRightInd/>
        <w:snapToGrid/>
        <w:spacing w:line="550" w:lineRule="exact"/>
        <w:ind w:left="0" w:firstLine="620"/>
        <w:textAlignment w:val="auto"/>
        <w:rPr>
          <w:rFonts w:ascii="黑体" w:hAnsi="黑体" w:eastAsia="黑体"/>
          <w:sz w:val="32"/>
          <w:szCs w:val="32"/>
        </w:rPr>
      </w:pPr>
    </w:p>
    <w:p>
      <w:pPr>
        <w:pStyle w:val="8"/>
        <w:keepNext w:val="0"/>
        <w:keepLines w:val="0"/>
        <w:pageBreakBefore w:val="0"/>
        <w:widowControl/>
        <w:numPr>
          <w:ilvl w:val="0"/>
          <w:numId w:val="0"/>
        </w:numPr>
        <w:kinsoku/>
        <w:wordWrap/>
        <w:overflowPunct/>
        <w:topLinePunct w:val="0"/>
        <w:autoSpaceDE/>
        <w:autoSpaceDN/>
        <w:bidi w:val="0"/>
        <w:adjustRightInd/>
        <w:snapToGrid/>
        <w:spacing w:line="550" w:lineRule="exact"/>
        <w:ind w:left="0"/>
        <w:textAlignment w:val="auto"/>
        <w:rPr>
          <w:rFonts w:hint="eastAsia" w:ascii="黑体" w:hAnsi="黑体" w:eastAsia="黑体"/>
          <w:sz w:val="32"/>
          <w:szCs w:val="32"/>
        </w:rPr>
      </w:pPr>
    </w:p>
    <w:p>
      <w:pPr>
        <w:pStyle w:val="8"/>
        <w:keepNext w:val="0"/>
        <w:keepLines w:val="0"/>
        <w:pageBreakBefore w:val="0"/>
        <w:widowControl/>
        <w:numPr>
          <w:ilvl w:val="0"/>
          <w:numId w:val="1"/>
        </w:numPr>
        <w:kinsoku/>
        <w:wordWrap/>
        <w:overflowPunct/>
        <w:topLinePunct w:val="0"/>
        <w:autoSpaceDE/>
        <w:autoSpaceDN/>
        <w:bidi w:val="0"/>
        <w:adjustRightInd/>
        <w:snapToGrid/>
        <w:spacing w:line="550" w:lineRule="exact"/>
        <w:ind w:left="0" w:firstLine="620"/>
        <w:textAlignment w:val="auto"/>
        <w:rPr>
          <w:rFonts w:hint="eastAsia" w:ascii="黑体" w:hAnsi="黑体" w:eastAsia="黑体"/>
          <w:sz w:val="32"/>
          <w:szCs w:val="32"/>
        </w:rPr>
      </w:pPr>
      <w:r>
        <w:rPr>
          <w:rFonts w:hint="eastAsia" w:ascii="黑体" w:hAnsi="黑体" w:eastAsia="黑体"/>
          <w:sz w:val="32"/>
          <w:szCs w:val="32"/>
        </w:rPr>
        <w:t>单位基本情况</w:t>
      </w:r>
    </w:p>
    <w:p>
      <w:pPr>
        <w:pStyle w:val="8"/>
        <w:keepNext w:val="0"/>
        <w:keepLines w:val="0"/>
        <w:pageBreakBefore w:val="0"/>
        <w:widowControl/>
        <w:numPr>
          <w:ilvl w:val="0"/>
          <w:numId w:val="2"/>
        </w:numPr>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cs="仿宋"/>
          <w:i w:val="0"/>
          <w:caps w:val="0"/>
          <w:color w:val="auto"/>
          <w:spacing w:val="0"/>
          <w:sz w:val="30"/>
          <w:szCs w:val="30"/>
          <w:u w:val="none"/>
          <w:shd w:val="clear" w:fill="FFFFFF"/>
          <w:lang w:eastAsia="zh-CN"/>
        </w:rPr>
      </w:pPr>
      <w:r>
        <w:rPr>
          <w:rFonts w:hint="eastAsia" w:ascii="仿宋" w:hAnsi="仿宋" w:eastAsia="仿宋" w:cs="仿宋"/>
          <w:i w:val="0"/>
          <w:caps w:val="0"/>
          <w:color w:val="auto"/>
          <w:spacing w:val="0"/>
          <w:sz w:val="30"/>
          <w:szCs w:val="30"/>
          <w:u w:val="none"/>
          <w:shd w:val="clear" w:fill="FFFFFF"/>
          <w:lang w:eastAsia="zh-CN"/>
        </w:rPr>
        <w:t>机构、人员情况</w:t>
      </w:r>
    </w:p>
    <w:p>
      <w:pPr>
        <w:pStyle w:val="8"/>
        <w:widowControl/>
        <w:numPr>
          <w:ilvl w:val="0"/>
          <w:numId w:val="0"/>
        </w:numPr>
        <w:spacing w:line="600" w:lineRule="exact"/>
        <w:ind w:firstLine="582" w:firstLineChars="200"/>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u w:val="none"/>
          <w:shd w:val="clear" w:fill="FFFFFF"/>
        </w:rPr>
        <w:fldChar w:fldCharType="begin"/>
      </w:r>
      <w:r>
        <w:rPr>
          <w:rFonts w:hint="eastAsia" w:ascii="仿宋" w:hAnsi="仿宋" w:eastAsia="仿宋" w:cs="仿宋"/>
          <w:i w:val="0"/>
          <w:caps w:val="0"/>
          <w:color w:val="auto"/>
          <w:spacing w:val="0"/>
          <w:sz w:val="30"/>
          <w:szCs w:val="30"/>
          <w:u w:val="none"/>
          <w:shd w:val="clear" w:fill="FFFFFF"/>
        </w:rPr>
        <w:instrText xml:space="preserve"> HYPERLINK "https://baike.baidu.com/item/%E8%A1%A1%E5%B1%B1%E5%8E%BF/10368892" \t "https://baike.baidu.com/item/%E8%A1%A1%E5%B1%B1%E5%8E%BF%E6%95%99%E8%82%B2%E5%B1%80/_blank" </w:instrText>
      </w:r>
      <w:r>
        <w:rPr>
          <w:rFonts w:hint="eastAsia" w:ascii="仿宋" w:hAnsi="仿宋" w:eastAsia="仿宋" w:cs="仿宋"/>
          <w:i w:val="0"/>
          <w:caps w:val="0"/>
          <w:color w:val="auto"/>
          <w:spacing w:val="0"/>
          <w:sz w:val="30"/>
          <w:szCs w:val="30"/>
          <w:u w:val="none"/>
          <w:shd w:val="clear" w:fill="FFFFFF"/>
        </w:rPr>
        <w:fldChar w:fldCharType="separate"/>
      </w:r>
      <w:r>
        <w:rPr>
          <w:rStyle w:val="7"/>
          <w:rFonts w:hint="eastAsia" w:ascii="仿宋" w:hAnsi="仿宋" w:eastAsia="仿宋" w:cs="仿宋"/>
          <w:i w:val="0"/>
          <w:caps w:val="0"/>
          <w:color w:val="auto"/>
          <w:spacing w:val="0"/>
          <w:sz w:val="30"/>
          <w:szCs w:val="30"/>
          <w:u w:val="none"/>
          <w:shd w:val="clear" w:fill="FFFFFF"/>
        </w:rPr>
        <w:t>衡山县</w:t>
      </w:r>
      <w:r>
        <w:rPr>
          <w:rFonts w:hint="eastAsia" w:ascii="仿宋" w:hAnsi="仿宋" w:eastAsia="仿宋" w:cs="仿宋"/>
          <w:i w:val="0"/>
          <w:caps w:val="0"/>
          <w:color w:val="auto"/>
          <w:spacing w:val="0"/>
          <w:sz w:val="30"/>
          <w:szCs w:val="30"/>
          <w:u w:val="none"/>
          <w:shd w:val="clear" w:fill="FFFFFF"/>
        </w:rPr>
        <w:fldChar w:fldCharType="end"/>
      </w:r>
      <w:r>
        <w:rPr>
          <w:rFonts w:hint="eastAsia" w:ascii="仿宋" w:hAnsi="仿宋" w:eastAsia="仿宋" w:cs="仿宋"/>
          <w:i w:val="0"/>
          <w:caps w:val="0"/>
          <w:color w:val="auto"/>
          <w:spacing w:val="0"/>
          <w:sz w:val="30"/>
          <w:szCs w:val="30"/>
          <w:u w:val="none"/>
          <w:shd w:val="clear" w:fill="FFFFFF"/>
        </w:rPr>
        <w:fldChar w:fldCharType="begin"/>
      </w:r>
      <w:r>
        <w:rPr>
          <w:rFonts w:hint="eastAsia" w:ascii="仿宋" w:hAnsi="仿宋" w:eastAsia="仿宋" w:cs="仿宋"/>
          <w:i w:val="0"/>
          <w:caps w:val="0"/>
          <w:color w:val="auto"/>
          <w:spacing w:val="0"/>
          <w:sz w:val="30"/>
          <w:szCs w:val="30"/>
          <w:u w:val="none"/>
          <w:shd w:val="clear" w:fill="FFFFFF"/>
        </w:rPr>
        <w:instrText xml:space="preserve"> HYPERLINK "https://baike.baidu.com/item/%E6%95%99%E8%82%B2%E5%B1%80" \t "https://baike.baidu.com/item/%E8%A1%A1%E5%B1%B1%E5%8E%BF%E6%95%99%E8%82%B2%E5%B1%80/_blank" </w:instrText>
      </w:r>
      <w:r>
        <w:rPr>
          <w:rFonts w:hint="eastAsia" w:ascii="仿宋" w:hAnsi="仿宋" w:eastAsia="仿宋" w:cs="仿宋"/>
          <w:i w:val="0"/>
          <w:caps w:val="0"/>
          <w:color w:val="auto"/>
          <w:spacing w:val="0"/>
          <w:sz w:val="30"/>
          <w:szCs w:val="30"/>
          <w:u w:val="none"/>
          <w:shd w:val="clear" w:fill="FFFFFF"/>
        </w:rPr>
        <w:fldChar w:fldCharType="separate"/>
      </w:r>
      <w:r>
        <w:rPr>
          <w:rStyle w:val="7"/>
          <w:rFonts w:hint="eastAsia" w:ascii="仿宋" w:hAnsi="仿宋" w:eastAsia="仿宋" w:cs="仿宋"/>
          <w:i w:val="0"/>
          <w:caps w:val="0"/>
          <w:color w:val="auto"/>
          <w:spacing w:val="0"/>
          <w:sz w:val="30"/>
          <w:szCs w:val="30"/>
          <w:u w:val="none"/>
          <w:shd w:val="clear" w:fill="FFFFFF"/>
          <w:lang w:eastAsia="zh-CN"/>
        </w:rPr>
        <w:t>发展和改革局</w:t>
      </w:r>
      <w:r>
        <w:rPr>
          <w:rFonts w:hint="eastAsia" w:ascii="仿宋" w:hAnsi="仿宋" w:eastAsia="仿宋" w:cs="仿宋"/>
          <w:i w:val="0"/>
          <w:caps w:val="0"/>
          <w:color w:val="auto"/>
          <w:spacing w:val="0"/>
          <w:sz w:val="30"/>
          <w:szCs w:val="30"/>
          <w:u w:val="none"/>
          <w:shd w:val="clear" w:fill="FFFFFF"/>
        </w:rPr>
        <w:fldChar w:fldCharType="end"/>
      </w:r>
      <w:r>
        <w:rPr>
          <w:rFonts w:hint="eastAsia" w:ascii="仿宋" w:hAnsi="仿宋" w:eastAsia="仿宋" w:cs="仿宋"/>
          <w:i w:val="0"/>
          <w:caps w:val="0"/>
          <w:color w:val="auto"/>
          <w:spacing w:val="0"/>
          <w:sz w:val="30"/>
          <w:szCs w:val="30"/>
          <w:shd w:val="clear" w:fill="FFFFFF"/>
        </w:rPr>
        <w:t>座落于</w:t>
      </w:r>
      <w:r>
        <w:rPr>
          <w:rFonts w:hint="eastAsia" w:ascii="仿宋" w:hAnsi="仿宋" w:eastAsia="仿宋" w:cs="仿宋"/>
          <w:i w:val="0"/>
          <w:caps w:val="0"/>
          <w:color w:val="auto"/>
          <w:spacing w:val="0"/>
          <w:sz w:val="30"/>
          <w:szCs w:val="30"/>
          <w:shd w:val="clear" w:fill="FFFFFF"/>
          <w:lang w:val="en-US" w:eastAsia="zh-CN"/>
        </w:rPr>
        <w:t>衡山大道988号</w:t>
      </w:r>
      <w:r>
        <w:rPr>
          <w:rFonts w:hint="eastAsia" w:ascii="仿宋" w:hAnsi="仿宋" w:eastAsia="仿宋" w:cs="仿宋"/>
          <w:i w:val="0"/>
          <w:caps w:val="0"/>
          <w:color w:val="auto"/>
          <w:spacing w:val="0"/>
          <w:sz w:val="30"/>
          <w:szCs w:val="30"/>
          <w:shd w:val="clear" w:fill="FFFFFF"/>
        </w:rPr>
        <w:t>，</w:t>
      </w:r>
      <w:r>
        <w:rPr>
          <w:rFonts w:hint="eastAsia" w:ascii="仿宋" w:hAnsi="仿宋" w:eastAsia="仿宋" w:cs="仿宋"/>
          <w:i w:val="0"/>
          <w:caps w:val="0"/>
          <w:color w:val="auto"/>
          <w:spacing w:val="0"/>
          <w:sz w:val="30"/>
          <w:szCs w:val="30"/>
          <w:shd w:val="clear" w:fill="FFFFFF"/>
          <w:lang w:val="en-US" w:eastAsia="zh-CN"/>
        </w:rPr>
        <w:t>是</w:t>
      </w:r>
      <w:r>
        <w:rPr>
          <w:rFonts w:hint="eastAsia" w:ascii="仿宋" w:hAnsi="仿宋" w:eastAsia="仿宋" w:cs="仿宋"/>
          <w:color w:val="000000" w:themeColor="text1"/>
          <w:sz w:val="30"/>
          <w:szCs w:val="30"/>
          <w14:textFill>
            <w14:solidFill>
              <w14:schemeClr w14:val="tx1"/>
            </w14:solidFill>
          </w14:textFill>
        </w:rPr>
        <w:t>衡山县发展和改革局是县人民政府工作部门</w:t>
      </w:r>
      <w:r>
        <w:rPr>
          <w:rFonts w:hint="eastAsia" w:ascii="仿宋" w:hAnsi="仿宋" w:eastAsia="仿宋" w:cs="仿宋"/>
          <w:i w:val="0"/>
          <w:caps w:val="0"/>
          <w:color w:val="auto"/>
          <w:spacing w:val="0"/>
          <w:sz w:val="30"/>
          <w:szCs w:val="30"/>
          <w:shd w:val="clear" w:fill="FFFFFF"/>
        </w:rPr>
        <w:t>。</w:t>
      </w:r>
      <w:r>
        <w:rPr>
          <w:rFonts w:hint="eastAsia" w:ascii="仿宋" w:hAnsi="仿宋" w:eastAsia="仿宋" w:cs="仿宋"/>
          <w:sz w:val="30"/>
          <w:szCs w:val="30"/>
          <w:lang w:eastAsia="zh-CN"/>
        </w:rPr>
        <w:t>现有</w:t>
      </w:r>
      <w:r>
        <w:rPr>
          <w:rFonts w:hint="eastAsia" w:ascii="仿宋" w:hAnsi="仿宋" w:eastAsia="仿宋" w:cs="仿宋"/>
          <w:sz w:val="30"/>
          <w:szCs w:val="30"/>
        </w:rPr>
        <w:t>股室</w:t>
      </w:r>
      <w:r>
        <w:rPr>
          <w:rFonts w:hint="eastAsia" w:ascii="仿宋" w:hAnsi="仿宋" w:eastAsia="仿宋" w:cs="仿宋"/>
          <w:sz w:val="30"/>
          <w:szCs w:val="30"/>
          <w:lang w:val="en-US" w:eastAsia="zh-CN"/>
        </w:rPr>
        <w:t>9</w:t>
      </w:r>
      <w:r>
        <w:rPr>
          <w:rFonts w:hint="eastAsia" w:ascii="仿宋" w:hAnsi="仿宋" w:eastAsia="仿宋" w:cs="仿宋"/>
          <w:sz w:val="30"/>
          <w:szCs w:val="30"/>
        </w:rPr>
        <w:t>个</w:t>
      </w:r>
      <w:r>
        <w:rPr>
          <w:rFonts w:hint="eastAsia" w:ascii="仿宋" w:hAnsi="仿宋" w:eastAsia="仿宋" w:cs="仿宋"/>
          <w:sz w:val="30"/>
          <w:szCs w:val="30"/>
          <w:lang w:eastAsia="zh-CN"/>
        </w:rPr>
        <w:t>，分别为</w:t>
      </w:r>
      <w:r>
        <w:rPr>
          <w:rFonts w:hint="eastAsia" w:ascii="仿宋" w:hAnsi="仿宋" w:eastAsia="仿宋" w:cs="仿宋"/>
          <w:sz w:val="30"/>
          <w:szCs w:val="30"/>
        </w:rPr>
        <w:t>:办公室(经济体制综合改革股、法规股)、综合计划股(衡山县国民经济动员办公室)、社会发展股(衡山县第三产业办公室)、固定资产投资股</w:t>
      </w:r>
      <w:r>
        <w:rPr>
          <w:rFonts w:hint="eastAsia" w:ascii="仿宋" w:hAnsi="仿宋" w:eastAsia="仿宋" w:cs="仿宋"/>
          <w:sz w:val="30"/>
          <w:szCs w:val="30"/>
          <w:lang w:eastAsia="zh-CN"/>
        </w:rPr>
        <w:t>（加挂</w:t>
      </w:r>
      <w:r>
        <w:rPr>
          <w:rFonts w:hint="eastAsia" w:ascii="仿宋" w:hAnsi="仿宋" w:eastAsia="仿宋" w:cs="仿宋"/>
          <w:sz w:val="30"/>
          <w:szCs w:val="30"/>
        </w:rPr>
        <w:t>招标投标协调监管办公室</w:t>
      </w:r>
      <w:r>
        <w:rPr>
          <w:rFonts w:hint="eastAsia" w:ascii="仿宋" w:hAnsi="仿宋" w:eastAsia="仿宋" w:cs="仿宋"/>
          <w:sz w:val="30"/>
          <w:szCs w:val="30"/>
          <w:lang w:eastAsia="zh-CN"/>
        </w:rPr>
        <w:t>牌子）</w:t>
      </w:r>
      <w:r>
        <w:rPr>
          <w:rFonts w:hint="eastAsia" w:ascii="仿宋" w:hAnsi="仿宋" w:eastAsia="仿宋" w:cs="仿宋"/>
          <w:sz w:val="30"/>
          <w:szCs w:val="30"/>
        </w:rPr>
        <w:t>、农村经济股、环资</w:t>
      </w:r>
      <w:r>
        <w:rPr>
          <w:rFonts w:hint="eastAsia" w:ascii="仿宋" w:hAnsi="仿宋" w:eastAsia="仿宋" w:cs="仿宋"/>
          <w:sz w:val="30"/>
          <w:szCs w:val="30"/>
          <w:lang w:eastAsia="zh-CN"/>
        </w:rPr>
        <w:t>能源</w:t>
      </w:r>
      <w:r>
        <w:rPr>
          <w:rFonts w:hint="eastAsia" w:ascii="仿宋" w:hAnsi="仿宋" w:eastAsia="仿宋" w:cs="仿宋"/>
          <w:sz w:val="30"/>
          <w:szCs w:val="30"/>
        </w:rPr>
        <w:t>股、价</w:t>
      </w:r>
      <w:r>
        <w:rPr>
          <w:rFonts w:hint="eastAsia" w:ascii="仿宋" w:hAnsi="仿宋" w:eastAsia="仿宋" w:cs="仿宋"/>
          <w:sz w:val="30"/>
          <w:szCs w:val="30"/>
          <w:lang w:eastAsia="zh-CN"/>
        </w:rPr>
        <w:t>费</w:t>
      </w:r>
      <w:r>
        <w:rPr>
          <w:rFonts w:hint="eastAsia" w:ascii="仿宋" w:hAnsi="仿宋" w:eastAsia="仿宋" w:cs="仿宋"/>
          <w:sz w:val="30"/>
          <w:szCs w:val="30"/>
        </w:rPr>
        <w:t>管理</w:t>
      </w:r>
      <w:r>
        <w:rPr>
          <w:rFonts w:hint="eastAsia" w:ascii="仿宋" w:hAnsi="仿宋" w:eastAsia="仿宋" w:cs="仿宋"/>
          <w:sz w:val="30"/>
          <w:szCs w:val="30"/>
          <w:lang w:eastAsia="zh-CN"/>
        </w:rPr>
        <w:t>股</w:t>
      </w:r>
      <w:r>
        <w:rPr>
          <w:rFonts w:hint="eastAsia" w:ascii="仿宋" w:hAnsi="仿宋" w:eastAsia="仿宋" w:cs="仿宋"/>
          <w:sz w:val="30"/>
          <w:szCs w:val="30"/>
        </w:rPr>
        <w:t>(价格调节基金征管办公室)、收费管排系监测股、行政审批服务股</w:t>
      </w:r>
      <w:r>
        <w:rPr>
          <w:rFonts w:hint="eastAsia" w:ascii="仿宋" w:hAnsi="仿宋" w:eastAsia="仿宋" w:cs="仿宋"/>
          <w:sz w:val="30"/>
          <w:szCs w:val="30"/>
          <w:lang w:eastAsia="zh-CN"/>
        </w:rPr>
        <w:t>、计划财务股</w:t>
      </w:r>
      <w:r>
        <w:rPr>
          <w:rFonts w:hint="eastAsia" w:ascii="仿宋" w:hAnsi="仿宋" w:eastAsia="仿宋" w:cs="仿宋"/>
          <w:sz w:val="30"/>
          <w:szCs w:val="30"/>
        </w:rPr>
        <w:t>。下设</w:t>
      </w:r>
      <w:r>
        <w:rPr>
          <w:rFonts w:hint="eastAsia" w:ascii="仿宋" w:hAnsi="仿宋" w:eastAsia="仿宋" w:cs="仿宋"/>
          <w:sz w:val="30"/>
          <w:szCs w:val="30"/>
          <w:lang w:eastAsia="zh-CN"/>
        </w:rPr>
        <w:t>二</w:t>
      </w:r>
      <w:r>
        <w:rPr>
          <w:rFonts w:hint="eastAsia" w:ascii="仿宋" w:hAnsi="仿宋" w:eastAsia="仿宋" w:cs="仿宋"/>
          <w:sz w:val="30"/>
          <w:szCs w:val="30"/>
        </w:rPr>
        <w:t>级机构:</w:t>
      </w:r>
      <w:r>
        <w:rPr>
          <w:rFonts w:hint="eastAsia" w:ascii="仿宋" w:hAnsi="仿宋" w:eastAsia="仿宋" w:cs="仿宋"/>
          <w:sz w:val="30"/>
          <w:szCs w:val="30"/>
          <w:lang w:eastAsia="zh-CN"/>
        </w:rPr>
        <w:t>衡山县价格服务</w:t>
      </w:r>
      <w:r>
        <w:rPr>
          <w:rFonts w:hint="eastAsia" w:ascii="仿宋" w:hAnsi="仿宋" w:eastAsia="仿宋" w:cs="仿宋"/>
          <w:sz w:val="30"/>
          <w:szCs w:val="30"/>
        </w:rPr>
        <w:t>中心、</w:t>
      </w:r>
      <w:r>
        <w:rPr>
          <w:rFonts w:hint="eastAsia" w:ascii="仿宋" w:hAnsi="仿宋" w:eastAsia="仿宋" w:cs="仿宋"/>
          <w:sz w:val="30"/>
          <w:szCs w:val="30"/>
          <w:lang w:eastAsia="zh-CN"/>
        </w:rPr>
        <w:t>衡山县</w:t>
      </w:r>
      <w:r>
        <w:rPr>
          <w:rFonts w:hint="eastAsia" w:ascii="仿宋" w:hAnsi="仿宋" w:eastAsia="仿宋" w:cs="仿宋"/>
          <w:sz w:val="30"/>
          <w:szCs w:val="30"/>
        </w:rPr>
        <w:t>西部政策研究</w:t>
      </w:r>
      <w:r>
        <w:rPr>
          <w:rFonts w:hint="eastAsia" w:ascii="仿宋" w:hAnsi="仿宋" w:eastAsia="仿宋" w:cs="仿宋"/>
          <w:sz w:val="30"/>
          <w:szCs w:val="30"/>
          <w:lang w:eastAsia="zh-CN"/>
        </w:rPr>
        <w:t>中心、衡山县价格认证中心、衡山县信用体系建设中心</w:t>
      </w:r>
      <w:r>
        <w:rPr>
          <w:rFonts w:hint="eastAsia" w:ascii="仿宋" w:hAnsi="仿宋" w:eastAsia="仿宋" w:cs="仿宋"/>
          <w:sz w:val="30"/>
          <w:szCs w:val="30"/>
        </w:rPr>
        <w:t>。</w:t>
      </w:r>
      <w:r>
        <w:rPr>
          <w:rFonts w:hint="eastAsia" w:ascii="仿宋" w:hAnsi="仿宋" w:eastAsia="仿宋" w:cs="仿宋"/>
          <w:i w:val="0"/>
          <w:caps w:val="0"/>
          <w:color w:val="auto"/>
          <w:spacing w:val="0"/>
          <w:sz w:val="30"/>
          <w:szCs w:val="30"/>
          <w:shd w:val="clear" w:color="auto" w:fill="FFFFFF"/>
          <w:lang w:eastAsia="zh-CN"/>
        </w:rPr>
        <w:t>共有全额编制</w:t>
      </w:r>
      <w:r>
        <w:rPr>
          <w:rFonts w:hint="eastAsia" w:ascii="仿宋" w:hAnsi="仿宋" w:eastAsia="仿宋" w:cs="仿宋"/>
          <w:i w:val="0"/>
          <w:caps w:val="0"/>
          <w:color w:val="auto"/>
          <w:spacing w:val="0"/>
          <w:sz w:val="30"/>
          <w:szCs w:val="30"/>
          <w:shd w:val="clear" w:color="auto" w:fill="FFFFFF"/>
          <w:lang w:val="en-US" w:eastAsia="zh-CN"/>
        </w:rPr>
        <w:t>42个，2020年年末实有在编人数34人。</w:t>
      </w:r>
    </w:p>
    <w:p>
      <w:pPr>
        <w:pStyle w:val="8"/>
        <w:keepNext w:val="0"/>
        <w:keepLines w:val="0"/>
        <w:pageBreakBefore w:val="0"/>
        <w:widowControl/>
        <w:numPr>
          <w:ilvl w:val="0"/>
          <w:numId w:val="2"/>
        </w:numPr>
        <w:kinsoku/>
        <w:wordWrap/>
        <w:overflowPunct/>
        <w:topLinePunct w:val="0"/>
        <w:autoSpaceDE/>
        <w:autoSpaceDN/>
        <w:bidi w:val="0"/>
        <w:adjustRightInd/>
        <w:snapToGrid/>
        <w:spacing w:line="550" w:lineRule="exact"/>
        <w:ind w:left="0" w:leftChars="0" w:firstLine="582" w:firstLineChars="200"/>
        <w:textAlignment w:val="auto"/>
        <w:rPr>
          <w:rFonts w:hint="eastAsia" w:ascii="仿宋" w:hAnsi="仿宋" w:eastAsia="仿宋" w:cs="仿宋"/>
          <w:i w:val="0"/>
          <w:caps w:val="0"/>
          <w:color w:val="auto"/>
          <w:spacing w:val="0"/>
          <w:sz w:val="30"/>
          <w:szCs w:val="30"/>
          <w:shd w:val="clear" w:fill="FFFFFF"/>
          <w:lang w:val="en-US" w:eastAsia="zh-CN"/>
        </w:rPr>
      </w:pPr>
      <w:r>
        <w:rPr>
          <w:rFonts w:hint="eastAsia" w:ascii="仿宋" w:hAnsi="仿宋" w:eastAsia="仿宋" w:cs="仿宋"/>
          <w:i w:val="0"/>
          <w:caps w:val="0"/>
          <w:color w:val="auto"/>
          <w:spacing w:val="0"/>
          <w:sz w:val="30"/>
          <w:szCs w:val="30"/>
          <w:shd w:val="clear" w:fill="FFFFFF"/>
          <w:lang w:val="en-US" w:eastAsia="zh-CN"/>
        </w:rPr>
        <w:t>主要工作职能</w:t>
      </w:r>
    </w:p>
    <w:p>
      <w:pPr>
        <w:keepNext w:val="0"/>
        <w:keepLines w:val="0"/>
        <w:pageBreakBefore w:val="0"/>
        <w:numPr>
          <w:ilvl w:val="0"/>
          <w:numId w:val="0"/>
        </w:numPr>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拟订并组织实施全县国民经济和社会发展战略、中长期规划和年度计划；提出全县国民经济发展和优化重大经济结构的目标和政策建议；提出运用各种经济手段和政策的建议；受县人民政府委托，向县人大作国民经济和社会发展计划的报告。</w:t>
      </w:r>
      <w:r>
        <w:rPr>
          <w:rFonts w:hint="eastAsia" w:ascii="仿宋" w:hAnsi="仿宋" w:eastAsia="仿宋"/>
          <w:sz w:val="30"/>
          <w:szCs w:val="30"/>
        </w:rPr>
        <w:br w:type="textWrapping"/>
      </w:r>
      <w:r>
        <w:rPr>
          <w:rFonts w:hint="eastAsia" w:ascii="仿宋" w:hAnsi="仿宋" w:eastAsia="仿宋"/>
          <w:sz w:val="30"/>
          <w:szCs w:val="30"/>
          <w:lang w:val="en-US" w:eastAsia="zh-CN"/>
        </w:rPr>
        <w:t xml:space="preserve">    2.</w:t>
      </w:r>
      <w:r>
        <w:rPr>
          <w:rFonts w:hint="eastAsia" w:ascii="仿宋" w:hAnsi="仿宋" w:eastAsia="仿宋"/>
          <w:sz w:val="30"/>
          <w:szCs w:val="30"/>
        </w:rPr>
        <w:t>研究分析县内外经济形势和发展情况，进行区域经济的预测、预警；研究涉及全县经济安全的重要问题，提出宏观调控政策建议，综合协调经济社会发展；会同有关部门组织解决宏观经济运行中的有关重大问题。</w:t>
      </w:r>
      <w:r>
        <w:rPr>
          <w:rFonts w:hint="eastAsia" w:ascii="仿宋" w:hAnsi="仿宋" w:eastAsia="仿宋"/>
          <w:sz w:val="30"/>
          <w:szCs w:val="30"/>
        </w:rPr>
        <w:br w:type="textWrapping"/>
      </w:r>
      <w:r>
        <w:rPr>
          <w:rFonts w:hint="eastAsia" w:ascii="仿宋" w:hAnsi="仿宋" w:eastAsia="仿宋"/>
          <w:sz w:val="30"/>
          <w:szCs w:val="30"/>
          <w:lang w:val="en-US" w:eastAsia="zh-CN"/>
        </w:rPr>
        <w:t xml:space="preserve">    3.</w:t>
      </w:r>
      <w:r>
        <w:rPr>
          <w:rFonts w:hint="eastAsia" w:ascii="仿宋" w:hAnsi="仿宋" w:eastAsia="仿宋"/>
          <w:sz w:val="30"/>
          <w:szCs w:val="30"/>
        </w:rPr>
        <w:t>研究贯彻国家财政政策、货币政策以及其它调控政策的措施，协调地方价格政策，拟定并组织实施宏观产业政策，监督检查产业政策的执行。</w:t>
      </w:r>
      <w:r>
        <w:rPr>
          <w:rFonts w:hint="eastAsia" w:ascii="仿宋" w:hAnsi="仿宋" w:eastAsia="仿宋"/>
          <w:sz w:val="30"/>
          <w:szCs w:val="30"/>
        </w:rPr>
        <w:br w:type="textWrapping"/>
      </w:r>
      <w:r>
        <w:rPr>
          <w:rFonts w:hint="eastAsia" w:ascii="仿宋" w:hAnsi="仿宋" w:eastAsia="仿宋"/>
          <w:sz w:val="30"/>
          <w:szCs w:val="30"/>
          <w:lang w:val="en-US" w:eastAsia="zh-CN"/>
        </w:rPr>
        <w:t xml:space="preserve">    4.</w:t>
      </w:r>
      <w:r>
        <w:rPr>
          <w:rFonts w:hint="eastAsia" w:ascii="仿宋" w:hAnsi="仿宋" w:eastAsia="仿宋"/>
          <w:sz w:val="30"/>
          <w:szCs w:val="30"/>
        </w:rPr>
        <w:t>研究全县经济体制改革和对外开放的重大问题，组织拟订综合性经济体制改革方案，协调有关专项经济体制改革方案，指导和推进区域经济体制改革和对外开放工作。</w:t>
      </w:r>
      <w:r>
        <w:rPr>
          <w:rFonts w:hint="eastAsia" w:ascii="仿宋" w:hAnsi="仿宋" w:eastAsia="仿宋"/>
          <w:sz w:val="30"/>
          <w:szCs w:val="30"/>
        </w:rPr>
        <w:br w:type="textWrapping"/>
      </w:r>
      <w:r>
        <w:rPr>
          <w:rFonts w:hint="eastAsia" w:ascii="仿宋" w:hAnsi="仿宋" w:eastAsia="仿宋"/>
          <w:sz w:val="30"/>
          <w:szCs w:val="30"/>
          <w:lang w:val="en-US" w:eastAsia="zh-CN"/>
        </w:rPr>
        <w:t xml:space="preserve">    5.</w:t>
      </w:r>
      <w:r>
        <w:rPr>
          <w:rFonts w:hint="eastAsia" w:ascii="仿宋" w:hAnsi="仿宋" w:eastAsia="仿宋"/>
          <w:sz w:val="30"/>
          <w:szCs w:val="30"/>
        </w:rPr>
        <w:t>提出全县全社会固定资产投资总规模，规划重大项目和生产力布局；研究制订全县固定资产投资政策、规划，承担需发改部门审批、核准的固定资产投资项目管理职能；负责做好全县投融资领域与利用外资项目的指导、协调工作；安排各级财政拨款的建设项目；研究提出中长期和年度县重点建设项目，并组织、协调实施；负责指导、协调和监督管理全县招标投标工作；组织和管理全县重大项目稽查工作。</w:t>
      </w:r>
      <w:r>
        <w:rPr>
          <w:rFonts w:hint="eastAsia" w:ascii="仿宋" w:hAnsi="仿宋" w:eastAsia="仿宋"/>
          <w:sz w:val="30"/>
          <w:szCs w:val="30"/>
        </w:rPr>
        <w:br w:type="textWrapping"/>
      </w:r>
      <w:r>
        <w:rPr>
          <w:rFonts w:hint="eastAsia" w:ascii="仿宋" w:hAnsi="仿宋" w:eastAsia="仿宋"/>
          <w:sz w:val="30"/>
          <w:szCs w:val="30"/>
          <w:lang w:val="en-US" w:eastAsia="zh-CN"/>
        </w:rPr>
        <w:t xml:space="preserve"> </w:t>
      </w:r>
      <w:r>
        <w:rPr>
          <w:rFonts w:hint="eastAsia" w:ascii="仿宋" w:hAnsi="仿宋" w:eastAsia="仿宋"/>
          <w:sz w:val="30"/>
          <w:szCs w:val="30"/>
        </w:rPr>
        <w:t>   </w:t>
      </w:r>
      <w:r>
        <w:rPr>
          <w:rFonts w:hint="eastAsia" w:ascii="仿宋" w:hAnsi="仿宋" w:eastAsia="仿宋"/>
          <w:sz w:val="30"/>
          <w:szCs w:val="30"/>
          <w:lang w:val="en-US" w:eastAsia="zh-CN"/>
        </w:rPr>
        <w:t xml:space="preserve">  6.</w:t>
      </w:r>
      <w:r>
        <w:rPr>
          <w:rFonts w:hint="eastAsia" w:ascii="仿宋" w:hAnsi="仿宋" w:eastAsia="仿宋"/>
          <w:sz w:val="30"/>
          <w:szCs w:val="30"/>
        </w:rPr>
        <w:t>推进产业结构战略性调整和升级；提出国民经济重要产业的发展战略和规划；研究并协调农业和农村经济社会发展的有关重大问题，衔接农村专项规划和政策；研究提出全县国民经济和社会信息化发展战略，协调推进工业化和信息化；拟订煤炭、电力、石油、天然气等能源发展规划；提出高技术产业发展和产业技术进步规划，指导协调全县技术创新体系的发展，推动高技术产业发展，实施产业技术进步和产业现代化的宏观指导。</w:t>
      </w:r>
      <w:r>
        <w:rPr>
          <w:rFonts w:hint="eastAsia" w:ascii="仿宋" w:hAnsi="仿宋" w:eastAsia="仿宋"/>
          <w:sz w:val="30"/>
          <w:szCs w:val="30"/>
        </w:rPr>
        <w:br w:type="textWrapping"/>
      </w:r>
      <w:r>
        <w:rPr>
          <w:rFonts w:hint="eastAsia" w:ascii="仿宋" w:hAnsi="仿宋" w:eastAsia="仿宋"/>
          <w:sz w:val="30"/>
          <w:szCs w:val="30"/>
          <w:lang w:val="en-US" w:eastAsia="zh-CN"/>
        </w:rPr>
        <w:t xml:space="preserve"> </w:t>
      </w:r>
      <w:r>
        <w:rPr>
          <w:rFonts w:hint="eastAsia" w:ascii="仿宋" w:hAnsi="仿宋" w:eastAsia="仿宋"/>
          <w:sz w:val="30"/>
          <w:szCs w:val="30"/>
        </w:rPr>
        <w:t>   </w:t>
      </w:r>
      <w:r>
        <w:rPr>
          <w:rFonts w:hint="eastAsia" w:ascii="仿宋" w:hAnsi="仿宋" w:eastAsia="仿宋"/>
          <w:sz w:val="30"/>
          <w:szCs w:val="30"/>
          <w:lang w:val="en-US" w:eastAsia="zh-CN"/>
        </w:rPr>
        <w:t xml:space="preserve">  7.</w:t>
      </w:r>
      <w:r>
        <w:rPr>
          <w:rFonts w:hint="eastAsia" w:ascii="仿宋" w:hAnsi="仿宋" w:eastAsia="仿宋"/>
          <w:sz w:val="30"/>
          <w:szCs w:val="30"/>
        </w:rPr>
        <w:t>负责国民经济动员工作。</w:t>
      </w:r>
      <w:r>
        <w:rPr>
          <w:rFonts w:hint="eastAsia" w:ascii="仿宋" w:hAnsi="仿宋" w:eastAsia="仿宋"/>
          <w:sz w:val="30"/>
          <w:szCs w:val="30"/>
        </w:rPr>
        <w:br w:type="textWrapping"/>
      </w:r>
      <w:r>
        <w:rPr>
          <w:rFonts w:hint="eastAsia" w:ascii="仿宋" w:hAnsi="仿宋" w:eastAsia="仿宋"/>
          <w:sz w:val="30"/>
          <w:szCs w:val="30"/>
        </w:rPr>
        <w:t> </w:t>
      </w:r>
      <w:r>
        <w:rPr>
          <w:rFonts w:hint="eastAsia" w:ascii="仿宋" w:hAnsi="仿宋" w:eastAsia="仿宋"/>
          <w:sz w:val="30"/>
          <w:szCs w:val="30"/>
          <w:lang w:val="en-US" w:eastAsia="zh-CN"/>
        </w:rPr>
        <w:t xml:space="preserve"> </w:t>
      </w:r>
      <w:r>
        <w:rPr>
          <w:rFonts w:hint="eastAsia" w:ascii="仿宋" w:hAnsi="仿宋" w:eastAsia="仿宋"/>
          <w:sz w:val="30"/>
          <w:szCs w:val="30"/>
        </w:rPr>
        <w:t> </w:t>
      </w:r>
      <w:r>
        <w:rPr>
          <w:rFonts w:hint="eastAsia" w:ascii="仿宋" w:hAnsi="仿宋" w:eastAsia="仿宋"/>
          <w:sz w:val="30"/>
          <w:szCs w:val="30"/>
          <w:lang w:val="en-US" w:eastAsia="zh-CN"/>
        </w:rPr>
        <w:t xml:space="preserve">  </w:t>
      </w:r>
      <w:r>
        <w:rPr>
          <w:rFonts w:hint="eastAsia" w:ascii="仿宋" w:hAnsi="仿宋" w:eastAsia="仿宋"/>
          <w:sz w:val="30"/>
          <w:szCs w:val="30"/>
        </w:rPr>
        <w:t> </w:t>
      </w:r>
      <w:r>
        <w:rPr>
          <w:rFonts w:hint="eastAsia" w:ascii="仿宋" w:hAnsi="仿宋" w:eastAsia="仿宋"/>
          <w:sz w:val="30"/>
          <w:szCs w:val="30"/>
          <w:lang w:val="en-US" w:eastAsia="zh-CN"/>
        </w:rPr>
        <w:t>8.</w:t>
      </w:r>
      <w:r>
        <w:rPr>
          <w:rFonts w:hint="eastAsia" w:ascii="仿宋" w:hAnsi="仿宋" w:eastAsia="仿宋"/>
          <w:sz w:val="30"/>
          <w:szCs w:val="30"/>
        </w:rPr>
        <w:t>研究提出全县第三产业的发展战略、总量、结构、布局和政策措施，编制并组织实施第三产业发展规划，研究县内外第三产业发展动态；监测分析第三产业发展方向，促进第三产业结构优化和第一、第二产业的协调发展。</w:t>
      </w:r>
      <w:r>
        <w:rPr>
          <w:rFonts w:hint="eastAsia" w:ascii="仿宋" w:hAnsi="仿宋" w:eastAsia="仿宋"/>
          <w:sz w:val="30"/>
          <w:szCs w:val="30"/>
        </w:rPr>
        <w:br w:type="textWrapping"/>
      </w:r>
      <w:r>
        <w:rPr>
          <w:rFonts w:hint="eastAsia" w:ascii="仿宋" w:hAnsi="仿宋" w:eastAsia="仿宋"/>
          <w:sz w:val="30"/>
          <w:szCs w:val="30"/>
        </w:rPr>
        <w:t> </w:t>
      </w:r>
      <w:r>
        <w:rPr>
          <w:rFonts w:hint="eastAsia" w:ascii="仿宋" w:hAnsi="仿宋" w:eastAsia="仿宋"/>
          <w:sz w:val="30"/>
          <w:szCs w:val="30"/>
          <w:lang w:val="en-US" w:eastAsia="zh-CN"/>
        </w:rPr>
        <w:t xml:space="preserve"> </w:t>
      </w:r>
      <w:r>
        <w:rPr>
          <w:rFonts w:hint="eastAsia" w:ascii="仿宋" w:hAnsi="仿宋" w:eastAsia="仿宋"/>
          <w:sz w:val="30"/>
          <w:szCs w:val="30"/>
        </w:rPr>
        <w:t> </w:t>
      </w:r>
      <w:r>
        <w:rPr>
          <w:rFonts w:hint="eastAsia" w:ascii="仿宋" w:hAnsi="仿宋" w:eastAsia="仿宋"/>
          <w:sz w:val="30"/>
          <w:szCs w:val="30"/>
          <w:lang w:val="en-US" w:eastAsia="zh-CN"/>
        </w:rPr>
        <w:t xml:space="preserve">  9.</w:t>
      </w:r>
      <w:r>
        <w:rPr>
          <w:rFonts w:hint="eastAsia" w:ascii="仿宋" w:hAnsi="仿宋" w:eastAsia="仿宋"/>
          <w:sz w:val="30"/>
          <w:szCs w:val="30"/>
        </w:rPr>
        <w:t>研究分析区域经济和城镇化发展情况，提出区域经济协调发展规划，统筹城乡、区域发展，提出城镇化发展战略和重大政策措施；负责组织、指导和协调区域经济合作、协作工作。</w:t>
      </w:r>
      <w:r>
        <w:rPr>
          <w:rFonts w:hint="eastAsia" w:ascii="仿宋" w:hAnsi="仿宋" w:eastAsia="仿宋"/>
          <w:sz w:val="30"/>
          <w:szCs w:val="30"/>
        </w:rPr>
        <w:br w:type="textWrapping"/>
      </w:r>
      <w:r>
        <w:rPr>
          <w:rFonts w:hint="eastAsia" w:ascii="仿宋" w:hAnsi="仿宋" w:eastAsia="仿宋"/>
          <w:sz w:val="30"/>
          <w:szCs w:val="30"/>
        </w:rPr>
        <w:t>  </w:t>
      </w:r>
      <w:r>
        <w:rPr>
          <w:rFonts w:hint="eastAsia" w:ascii="仿宋" w:hAnsi="仿宋" w:eastAsia="仿宋"/>
          <w:sz w:val="30"/>
          <w:szCs w:val="30"/>
          <w:lang w:val="en-US" w:eastAsia="zh-CN"/>
        </w:rPr>
        <w:t xml:space="preserve"> </w:t>
      </w:r>
      <w:r>
        <w:rPr>
          <w:rFonts w:hint="eastAsia" w:ascii="仿宋" w:hAnsi="仿宋" w:eastAsia="仿宋"/>
          <w:sz w:val="30"/>
          <w:szCs w:val="30"/>
        </w:rPr>
        <w:t> </w:t>
      </w:r>
      <w:r>
        <w:rPr>
          <w:rFonts w:hint="eastAsia" w:ascii="仿宋" w:hAnsi="仿宋" w:eastAsia="仿宋"/>
          <w:sz w:val="30"/>
          <w:szCs w:val="30"/>
          <w:lang w:val="en-US" w:eastAsia="zh-CN"/>
        </w:rPr>
        <w:t xml:space="preserve">  10.</w:t>
      </w:r>
      <w:r>
        <w:rPr>
          <w:rFonts w:hint="eastAsia" w:ascii="仿宋" w:hAnsi="仿宋" w:eastAsia="仿宋"/>
          <w:sz w:val="30"/>
          <w:szCs w:val="30"/>
        </w:rPr>
        <w:t>研究分析县内外市场状况，负责县内重要商品总量平衡和宏观调控；编制重要农产品、工业品和原材料进出口总量计划，监督计划执行情况，并根据经济运行情况对进出口总量计划进行调整；管理粮食、棉花、食糖、石油等重要物资和商品的县级储备，引导和调控市场；研究提出现代物流业发展的战略和规划。</w:t>
      </w:r>
      <w:r>
        <w:rPr>
          <w:rFonts w:hint="eastAsia" w:ascii="仿宋" w:hAnsi="仿宋" w:eastAsia="仿宋"/>
          <w:sz w:val="30"/>
          <w:szCs w:val="30"/>
        </w:rPr>
        <w:br w:type="textWrapping"/>
      </w:r>
      <w:r>
        <w:rPr>
          <w:rFonts w:hint="eastAsia" w:ascii="仿宋" w:hAnsi="仿宋" w:eastAsia="仿宋"/>
          <w:sz w:val="30"/>
          <w:szCs w:val="30"/>
        </w:rPr>
        <w:t> </w:t>
      </w:r>
      <w:r>
        <w:rPr>
          <w:rFonts w:hint="eastAsia" w:ascii="仿宋" w:hAnsi="仿宋" w:eastAsia="仿宋"/>
          <w:sz w:val="30"/>
          <w:szCs w:val="30"/>
          <w:lang w:val="en-US" w:eastAsia="zh-CN"/>
        </w:rPr>
        <w:t xml:space="preserve"> </w:t>
      </w:r>
      <w:r>
        <w:rPr>
          <w:rFonts w:hint="eastAsia" w:ascii="仿宋" w:hAnsi="仿宋" w:eastAsia="仿宋"/>
          <w:sz w:val="30"/>
          <w:szCs w:val="30"/>
        </w:rPr>
        <w:t>  </w:t>
      </w:r>
      <w:r>
        <w:rPr>
          <w:rFonts w:hint="eastAsia" w:ascii="仿宋" w:hAnsi="仿宋" w:eastAsia="仿宋"/>
          <w:sz w:val="30"/>
          <w:szCs w:val="30"/>
          <w:lang w:val="en-US" w:eastAsia="zh-CN"/>
        </w:rPr>
        <w:t xml:space="preserve">  11.</w:t>
      </w:r>
      <w:r>
        <w:rPr>
          <w:rFonts w:hint="eastAsia" w:ascii="仿宋" w:hAnsi="仿宋" w:eastAsia="仿宋"/>
          <w:sz w:val="30"/>
          <w:szCs w:val="30"/>
        </w:rPr>
        <w:t>做好全县人口和计划生育、科学技术、教育、文化、卫生、体育、广播影视、新闻出版等社会事业以及国防建设与国民经济发展的衔接平衡；提出经济与社会协调发展、相互促进的政策建议，协调解决社会事业发展的重大问题。</w:t>
      </w:r>
    </w:p>
    <w:p>
      <w:pPr>
        <w:keepNext w:val="0"/>
        <w:keepLines w:val="0"/>
        <w:pageBreakBefore w:val="0"/>
        <w:numPr>
          <w:ilvl w:val="0"/>
          <w:numId w:val="0"/>
        </w:numPr>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12.</w:t>
      </w:r>
      <w:r>
        <w:rPr>
          <w:rFonts w:hint="eastAsia" w:ascii="仿宋" w:hAnsi="仿宋" w:eastAsia="仿宋"/>
          <w:sz w:val="30"/>
          <w:szCs w:val="30"/>
        </w:rPr>
        <w:t>推进可持续发展战略，统筹人与社会及自然和谐发展，研究拟订资源节约综合利用规划，参与编制生态建设规划，提出资源节约和综合利用的政策建议，协调解决生态建设、资源节约和综合利用有关重大问题；组织协调环保产业工作。</w:t>
      </w:r>
      <w:r>
        <w:rPr>
          <w:rFonts w:hint="eastAsia" w:ascii="仿宋" w:hAnsi="仿宋" w:eastAsia="仿宋"/>
          <w:sz w:val="30"/>
          <w:szCs w:val="30"/>
        </w:rPr>
        <w:br w:type="textWrapping"/>
      </w:r>
      <w:r>
        <w:rPr>
          <w:rFonts w:hint="eastAsia" w:ascii="仿宋" w:hAnsi="仿宋" w:eastAsia="仿宋"/>
          <w:sz w:val="30"/>
          <w:szCs w:val="30"/>
          <w:lang w:val="en-US" w:eastAsia="zh-CN"/>
        </w:rPr>
        <w:t xml:space="preserve">    13.</w:t>
      </w:r>
      <w:r>
        <w:rPr>
          <w:rFonts w:hint="eastAsia" w:ascii="仿宋" w:hAnsi="仿宋" w:eastAsia="仿宋"/>
          <w:sz w:val="30"/>
          <w:szCs w:val="30"/>
        </w:rPr>
        <w:t>研究拟定促进就业、调整收入分配、完善社会保障与经济协调发展的政策，协调解决就业、收入分配和社会保障的重大问题。</w:t>
      </w:r>
    </w:p>
    <w:p>
      <w:pPr>
        <w:keepNext w:val="0"/>
        <w:keepLines w:val="0"/>
        <w:pageBreakBefore w:val="0"/>
        <w:numPr>
          <w:ilvl w:val="0"/>
          <w:numId w:val="0"/>
        </w:numPr>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14.</w:t>
      </w:r>
      <w:r>
        <w:rPr>
          <w:rFonts w:hint="eastAsia" w:ascii="仿宋" w:hAnsi="仿宋" w:eastAsia="仿宋"/>
          <w:sz w:val="30"/>
          <w:szCs w:val="30"/>
        </w:rPr>
        <w:t>拟订或参与国民经济和社会发展以及经济体制改革、对外开放有关地方性行政法规、规章，参与有关法规、规章的实施。</w:t>
      </w:r>
      <w:r>
        <w:rPr>
          <w:rFonts w:hint="eastAsia" w:ascii="仿宋" w:hAnsi="仿宋" w:eastAsia="仿宋"/>
          <w:sz w:val="30"/>
          <w:szCs w:val="30"/>
        </w:rPr>
        <w:br w:type="textWrapping"/>
      </w:r>
      <w:r>
        <w:rPr>
          <w:rFonts w:hint="eastAsia" w:ascii="仿宋" w:hAnsi="仿宋" w:eastAsia="仿宋"/>
          <w:sz w:val="30"/>
          <w:szCs w:val="30"/>
        </w:rPr>
        <w:t> </w:t>
      </w:r>
      <w:r>
        <w:rPr>
          <w:rFonts w:hint="eastAsia" w:ascii="仿宋" w:hAnsi="仿宋" w:eastAsia="仿宋"/>
          <w:sz w:val="30"/>
          <w:szCs w:val="30"/>
          <w:lang w:val="en-US" w:eastAsia="zh-CN"/>
        </w:rPr>
        <w:t xml:space="preserve">   15.</w:t>
      </w:r>
      <w:r>
        <w:rPr>
          <w:rFonts w:hint="eastAsia" w:ascii="仿宋" w:hAnsi="仿宋" w:eastAsia="仿宋"/>
          <w:sz w:val="30"/>
          <w:szCs w:val="30"/>
        </w:rPr>
        <w:t>全面贯彻执行国家和省价格方针、政策和法律法规，根据上级制定的价格改革规划、计划，制定本县实施细则并组织实施；</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16.</w:t>
      </w:r>
      <w:r>
        <w:rPr>
          <w:rFonts w:hint="eastAsia" w:ascii="仿宋" w:hAnsi="仿宋" w:eastAsia="仿宋"/>
          <w:sz w:val="30"/>
          <w:szCs w:val="30"/>
        </w:rPr>
        <w:t>监测预测价格总水平变动，研究提出全县价格总水平调控目标和价格调控措施，并负责组织实施和综合平衡；</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17.</w:t>
      </w:r>
      <w:r>
        <w:rPr>
          <w:rFonts w:hint="eastAsia" w:ascii="仿宋" w:hAnsi="仿宋" w:eastAsia="仿宋"/>
          <w:sz w:val="30"/>
          <w:szCs w:val="30"/>
        </w:rPr>
        <w:t>负责价格调节基金的征收、管理、使用工作；对运用价格和收费手段筹集的专项资金的使用、管理情况进行监督，确保专款专用；负责价格的宏观调控，运用价格调节基金发挥其杠杆作用，促使价格稳定，促进县域经济发展；</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18.</w:t>
      </w:r>
      <w:r>
        <w:rPr>
          <w:rFonts w:hint="eastAsia" w:ascii="仿宋" w:hAnsi="仿宋" w:eastAsia="仿宋"/>
          <w:sz w:val="30"/>
          <w:szCs w:val="30"/>
        </w:rPr>
        <w:t>根据《湖南省定价目录》授权对城市供水价格、城市污水处理收费、公办幼儿园收费、前期物业服务收费、天燃气庭院管网配套服务及供气等价格、城镇生活垃圾处理收费、县域内农村公路客运票价、客运出租车运价、经济适用住房价格和短期培训教育收费等定价内容进行管理。</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19.</w:t>
      </w:r>
      <w:r>
        <w:rPr>
          <w:rFonts w:hint="eastAsia" w:ascii="仿宋" w:hAnsi="仿宋" w:eastAsia="仿宋"/>
          <w:sz w:val="30"/>
          <w:szCs w:val="30"/>
        </w:rPr>
        <w:t>依法组织实行政府指导价、政府定价的商品、服务价格的成本监审工作；负责全县重要商品价格的成本调查工作；</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20.</w:t>
      </w:r>
      <w:r>
        <w:rPr>
          <w:rFonts w:hint="eastAsia" w:ascii="仿宋" w:hAnsi="仿宋" w:eastAsia="仿宋"/>
          <w:sz w:val="30"/>
          <w:szCs w:val="30"/>
        </w:rPr>
        <w:t>依法对县域内的商品和服务价格、行政事业性收费、商品和服务明码标价执行情况进行监督检查，根据授权监督检查在本县范围内非本地管辖的行政、企事业单位价格和收费行为；对各类价格和收费违法违规行为实施行政处罚和行政强制措施；</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21.</w:t>
      </w:r>
      <w:r>
        <w:rPr>
          <w:rFonts w:hint="eastAsia" w:ascii="仿宋" w:hAnsi="仿宋" w:eastAsia="仿宋"/>
          <w:sz w:val="30"/>
          <w:szCs w:val="30"/>
        </w:rPr>
        <w:t>根据授权管理，在制定或调整列入《湖南省价格听证目录》的商品和服务价格前、组织进行听证；</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22.</w:t>
      </w:r>
      <w:r>
        <w:rPr>
          <w:rFonts w:hint="eastAsia" w:ascii="仿宋" w:hAnsi="仿宋" w:eastAsia="仿宋"/>
          <w:sz w:val="30"/>
          <w:szCs w:val="30"/>
        </w:rPr>
        <w:t>推行明码标价制度，指导行业价格行为自律；健全对价格和收费行为的举报制度，指导价格、收费社会监督工作；在本县范围开展价费公示和价格公共服务、价格诚信、价格信息服务等工作；</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23.</w:t>
      </w:r>
      <w:r>
        <w:rPr>
          <w:rFonts w:hint="eastAsia" w:ascii="仿宋" w:hAnsi="仿宋" w:eastAsia="仿宋"/>
          <w:sz w:val="30"/>
          <w:szCs w:val="30"/>
        </w:rPr>
        <w:t>负责价格纠纷的调解仲裁工作，负责本县范围内、部门间、行业间的价格协调衔接工作；指导中介机构的价格鉴证、价格评估工作。受理本县的价格认证工作；</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24.</w:t>
      </w:r>
      <w:r>
        <w:rPr>
          <w:rFonts w:hint="eastAsia" w:ascii="仿宋" w:hAnsi="仿宋" w:eastAsia="仿宋"/>
          <w:sz w:val="30"/>
          <w:szCs w:val="30"/>
        </w:rPr>
        <w:t>依法对重大自然灾害和特殊时期实施临时价格干预措施；</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25.</w:t>
      </w:r>
      <w:r>
        <w:rPr>
          <w:rFonts w:hint="eastAsia" w:ascii="仿宋" w:hAnsi="仿宋" w:eastAsia="仿宋"/>
          <w:sz w:val="30"/>
          <w:szCs w:val="30"/>
        </w:rPr>
        <w:t>负责价格评估人员执业资格认定和价格评估机构资质认定的初审工作；负责涉案物价格鉴证认定工作；</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sz w:val="30"/>
          <w:szCs w:val="30"/>
        </w:rPr>
      </w:pPr>
      <w:r>
        <w:rPr>
          <w:rFonts w:hint="eastAsia" w:ascii="仿宋" w:hAnsi="仿宋" w:eastAsia="仿宋"/>
          <w:sz w:val="30"/>
          <w:szCs w:val="30"/>
          <w:lang w:val="en-US" w:eastAsia="zh-CN"/>
        </w:rPr>
        <w:t>26.</w:t>
      </w:r>
      <w:r>
        <w:rPr>
          <w:rFonts w:hint="eastAsia" w:ascii="仿宋" w:hAnsi="仿宋" w:eastAsia="仿宋"/>
          <w:sz w:val="30"/>
          <w:szCs w:val="30"/>
        </w:rPr>
        <w:t>承办县委、县人民政府交办的其他事项。 </w:t>
      </w:r>
    </w:p>
    <w:p>
      <w:pPr>
        <w:keepNext w:val="0"/>
        <w:keepLines w:val="0"/>
        <w:pageBreakBefore w:val="0"/>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cs="仿宋"/>
          <w:i w:val="0"/>
          <w:caps w:val="0"/>
          <w:color w:val="auto"/>
          <w:spacing w:val="0"/>
          <w:kern w:val="0"/>
          <w:sz w:val="30"/>
          <w:szCs w:val="30"/>
          <w:shd w:val="clear" w:fill="FFFFFF"/>
          <w:lang w:val="en-US" w:eastAsia="zh-CN" w:bidi="ar"/>
        </w:rPr>
      </w:pPr>
      <w:r>
        <w:rPr>
          <w:rFonts w:hint="eastAsia" w:ascii="仿宋" w:hAnsi="仿宋" w:eastAsia="仿宋" w:cs="仿宋"/>
          <w:i w:val="0"/>
          <w:caps w:val="0"/>
          <w:color w:val="auto"/>
          <w:spacing w:val="0"/>
          <w:kern w:val="0"/>
          <w:sz w:val="30"/>
          <w:szCs w:val="30"/>
          <w:shd w:val="clear" w:fill="FFFFFF"/>
          <w:lang w:val="en-US" w:eastAsia="zh-CN" w:bidi="ar"/>
        </w:rPr>
        <w:t>（三）整体支出情况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50" w:lineRule="exact"/>
        <w:ind w:left="0" w:firstLine="582" w:firstLineChars="200"/>
        <w:jc w:val="left"/>
        <w:textAlignment w:val="auto"/>
        <w:rPr>
          <w:rFonts w:hint="eastAsia" w:ascii="仿宋" w:hAnsi="仿宋" w:eastAsia="仿宋" w:cs="仿宋"/>
          <w:i w:val="0"/>
          <w:caps w:val="0"/>
          <w:color w:val="auto"/>
          <w:spacing w:val="0"/>
          <w:kern w:val="0"/>
          <w:sz w:val="30"/>
          <w:szCs w:val="30"/>
          <w:shd w:val="clear" w:fill="FFFFFF"/>
          <w:lang w:val="en-US" w:eastAsia="zh-CN" w:bidi="ar"/>
        </w:rPr>
      </w:pPr>
      <w:r>
        <w:rPr>
          <w:rFonts w:hint="eastAsia" w:ascii="仿宋" w:hAnsi="仿宋" w:eastAsia="仿宋" w:cs="仿宋"/>
          <w:i w:val="0"/>
          <w:caps w:val="0"/>
          <w:color w:val="auto"/>
          <w:spacing w:val="0"/>
          <w:kern w:val="0"/>
          <w:sz w:val="30"/>
          <w:szCs w:val="30"/>
          <w:shd w:val="clear" w:fill="FFFFFF"/>
          <w:lang w:val="en-US" w:eastAsia="zh-CN" w:bidi="ar"/>
        </w:rPr>
        <w:t>我单位2020年总支出7317498.41元，基本支出4866885.66元，项目支出2450612.75元。基本支出占总支出的66.5%。</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50" w:lineRule="exact"/>
        <w:ind w:left="0" w:firstLine="582"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四</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部门内部控制及厉行节约制度建设情况</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50" w:lineRule="exact"/>
        <w:ind w:left="0" w:firstLine="582"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加强内部控制。我单位历来重视单位内部管理制度建设及监督，加强财务管理，强化财务监督，增强法纪观念，遵守规章制度。为保证财务管理工作规范有序进行，</w:t>
      </w:r>
      <w:r>
        <w:rPr>
          <w:rFonts w:hint="eastAsia" w:ascii="仿宋" w:hAnsi="仿宋" w:eastAsia="仿宋" w:cs="仿宋"/>
          <w:sz w:val="30"/>
          <w:szCs w:val="30"/>
          <w:lang w:eastAsia="zh-CN"/>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我们修改完善了相关财务管理的制度、规定，成立了财务监督小组，加强内部控制和监督。对各项资金的管理、经费收支审批等均做了明确规定，正确组织资金的筹集、调度和使用，债权债务及时结算、结清。各项经费支出实行限额把关、一支笔审批制度。严格执行上级关于“一把手不直接分管财务”的规定，安排一名副职领导分管财务并一支笔签批财务单据。分管财务的领导经手的费用开支，由主要领导签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default" w:ascii="Arial" w:hAnsi="Arial" w:cs="Arial"/>
          <w:i w:val="0"/>
          <w:caps w:val="0"/>
          <w:color w:val="auto"/>
          <w:spacing w:val="0"/>
          <w:sz w:val="30"/>
          <w:szCs w:val="30"/>
          <w:shd w:val="clear" w:fill="FFFFFF"/>
          <w:lang w:val="en-US" w:eastAsia="zh-CN"/>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强化制度执行。切实做好厉行节约工作，全面落实各项管理制度要求，努力降低行政成本。严格公务接待费、差旅费、会议费和培训费审核审批程序，实行限额把关、一支笔审批制度、一事一审批、一事一结账，会议费和培训费严格按年初计划和制度规定的标准执行。各项费用严格履行“一单五签”程序，“三公”经费较好地控制在预算范围之内。</w:t>
      </w:r>
    </w:p>
    <w:p>
      <w:pPr>
        <w:pStyle w:val="8"/>
        <w:keepNext w:val="0"/>
        <w:keepLines w:val="0"/>
        <w:pageBreakBefore w:val="0"/>
        <w:widowControl/>
        <w:numPr>
          <w:ilvl w:val="0"/>
          <w:numId w:val="1"/>
        </w:numPr>
        <w:tabs>
          <w:tab w:val="left" w:pos="3821"/>
        </w:tabs>
        <w:kinsoku/>
        <w:wordWrap/>
        <w:overflowPunct/>
        <w:topLinePunct w:val="0"/>
        <w:autoSpaceDE/>
        <w:autoSpaceDN/>
        <w:bidi w:val="0"/>
        <w:adjustRightInd/>
        <w:snapToGrid/>
        <w:spacing w:line="550" w:lineRule="exact"/>
        <w:ind w:left="0" w:leftChars="0" w:firstLine="622" w:firstLineChars="200"/>
        <w:textAlignment w:val="auto"/>
        <w:rPr>
          <w:rFonts w:hint="eastAsia" w:ascii="黑体" w:hAnsi="黑体" w:eastAsia="黑体"/>
          <w:sz w:val="32"/>
          <w:szCs w:val="32"/>
          <w:lang w:eastAsia="zh-CN"/>
        </w:rPr>
      </w:pPr>
      <w:r>
        <w:rPr>
          <w:rFonts w:hint="eastAsia" w:ascii="黑体" w:hAnsi="黑体" w:eastAsia="黑体"/>
          <w:sz w:val="32"/>
          <w:szCs w:val="32"/>
        </w:rPr>
        <w:t>基本支出情</w:t>
      </w:r>
      <w:r>
        <w:rPr>
          <w:rFonts w:hint="eastAsia" w:ascii="黑体" w:hAnsi="黑体" w:eastAsia="黑体"/>
          <w:sz w:val="32"/>
          <w:szCs w:val="32"/>
          <w:lang w:eastAsia="zh-CN"/>
        </w:rPr>
        <w:t>况</w:t>
      </w:r>
    </w:p>
    <w:p>
      <w:pPr>
        <w:pStyle w:val="8"/>
        <w:keepNext w:val="0"/>
        <w:keepLines w:val="0"/>
        <w:pageBreakBefore w:val="0"/>
        <w:widowControl/>
        <w:numPr>
          <w:ilvl w:val="0"/>
          <w:numId w:val="0"/>
        </w:numPr>
        <w:tabs>
          <w:tab w:val="left" w:pos="3821"/>
        </w:tabs>
        <w:kinsoku/>
        <w:wordWrap/>
        <w:overflowPunct/>
        <w:topLinePunct w:val="0"/>
        <w:autoSpaceDE/>
        <w:autoSpaceDN/>
        <w:bidi w:val="0"/>
        <w:adjustRightInd/>
        <w:snapToGrid/>
        <w:spacing w:line="550" w:lineRule="exact"/>
        <w:ind w:left="0" w:firstLine="582"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2020年部门决算基本支出总计4866885.66元，工资福利支出</w:t>
      </w:r>
    </w:p>
    <w:p>
      <w:pPr>
        <w:pStyle w:val="8"/>
        <w:keepNext w:val="0"/>
        <w:keepLines w:val="0"/>
        <w:pageBreakBefore w:val="0"/>
        <w:widowControl/>
        <w:numPr>
          <w:ilvl w:val="0"/>
          <w:numId w:val="0"/>
        </w:numPr>
        <w:tabs>
          <w:tab w:val="left" w:pos="3821"/>
        </w:tabs>
        <w:kinsoku/>
        <w:wordWrap/>
        <w:overflowPunct/>
        <w:topLinePunct w:val="0"/>
        <w:autoSpaceDE/>
        <w:autoSpaceDN/>
        <w:bidi w:val="0"/>
        <w:adjustRightInd/>
        <w:snapToGrid/>
        <w:spacing w:line="550" w:lineRule="exact"/>
        <w:ind w:left="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3858641.2元，其中基本工资1345466元、津贴补贴797898元、奖金26500元、伙食补助费144848.8元、机关单位养老保险538096.76元、职工基本医疗保险216698.04元、其他社会保障费4308.6元等；商品服务支出552651.66元；对个人和家庭补助支出455592.8元；</w:t>
      </w:r>
    </w:p>
    <w:p>
      <w:pPr>
        <w:pStyle w:val="8"/>
        <w:keepNext w:val="0"/>
        <w:keepLines w:val="0"/>
        <w:pageBreakBefore w:val="0"/>
        <w:widowControl/>
        <w:kinsoku/>
        <w:wordWrap/>
        <w:overflowPunct/>
        <w:topLinePunct w:val="0"/>
        <w:autoSpaceDE/>
        <w:autoSpaceDN/>
        <w:bidi w:val="0"/>
        <w:adjustRightInd/>
        <w:snapToGrid/>
        <w:spacing w:line="550" w:lineRule="exact"/>
        <w:ind w:left="0" w:firstLine="620"/>
        <w:textAlignment w:val="auto"/>
        <w:rPr>
          <w:rFonts w:hint="eastAsia" w:ascii="黑体" w:hAnsi="黑体" w:eastAsia="黑体"/>
          <w:color w:val="0000FF"/>
          <w:sz w:val="32"/>
          <w:szCs w:val="32"/>
          <w:lang w:eastAsia="zh-CN"/>
        </w:rPr>
      </w:pPr>
      <w:r>
        <w:rPr>
          <w:rFonts w:hint="eastAsia" w:ascii="黑体" w:hAnsi="黑体" w:eastAsia="黑体"/>
          <w:color w:val="0000FF"/>
          <w:sz w:val="32"/>
          <w:szCs w:val="32"/>
        </w:rPr>
        <w:t>三、项目支出情况</w:t>
      </w:r>
    </w:p>
    <w:p>
      <w:pPr>
        <w:keepNext w:val="0"/>
        <w:keepLines w:val="0"/>
        <w:pageBreakBefore w:val="0"/>
        <w:widowControl/>
        <w:kinsoku/>
        <w:wordWrap/>
        <w:overflowPunct/>
        <w:topLinePunct w:val="0"/>
        <w:autoSpaceDE/>
        <w:autoSpaceDN/>
        <w:bidi w:val="0"/>
        <w:adjustRightInd/>
        <w:snapToGrid/>
        <w:spacing w:line="550" w:lineRule="exact"/>
        <w:ind w:left="0" w:firstLine="582" w:firstLineChars="200"/>
        <w:jc w:val="left"/>
        <w:textAlignment w:val="auto"/>
        <w:rPr>
          <w:rFonts w:hint="default" w:ascii="仿宋_GB2312" w:hAnsi="黑体" w:eastAsia="仿宋_GB2312"/>
          <w:color w:val="0000FF"/>
          <w:sz w:val="30"/>
          <w:szCs w:val="30"/>
          <w:lang w:val="en-US" w:eastAsia="zh-CN"/>
        </w:rPr>
      </w:pPr>
      <w:r>
        <w:rPr>
          <w:rFonts w:hint="eastAsia" w:ascii="仿宋_GB2312" w:hAnsi="黑体" w:eastAsia="仿宋_GB2312"/>
          <w:color w:val="0000FF"/>
          <w:sz w:val="30"/>
          <w:szCs w:val="30"/>
          <w:lang w:val="en-US" w:eastAsia="zh-CN"/>
        </w:rPr>
        <w:t>（一）2020年专项资金分配安排和使用管理情况</w:t>
      </w:r>
    </w:p>
    <w:p>
      <w:pPr>
        <w:keepNext w:val="0"/>
        <w:keepLines w:val="0"/>
        <w:pageBreakBefore w:val="0"/>
        <w:widowControl/>
        <w:kinsoku/>
        <w:wordWrap/>
        <w:overflowPunct/>
        <w:topLinePunct w:val="0"/>
        <w:autoSpaceDE/>
        <w:autoSpaceDN/>
        <w:bidi w:val="0"/>
        <w:adjustRightInd/>
        <w:snapToGrid/>
        <w:spacing w:line="550" w:lineRule="exact"/>
        <w:ind w:left="0" w:firstLine="582" w:firstLineChars="200"/>
        <w:jc w:val="left"/>
        <w:textAlignment w:val="auto"/>
        <w:rPr>
          <w:rFonts w:hint="eastAsia" w:ascii="仿宋_GB2312" w:hAnsi="黑体" w:eastAsia="仿宋_GB2312"/>
          <w:color w:val="0000FF"/>
          <w:sz w:val="30"/>
          <w:szCs w:val="30"/>
          <w:lang w:val="en-US" w:eastAsia="zh-CN"/>
        </w:rPr>
      </w:pPr>
      <w:r>
        <w:rPr>
          <w:rFonts w:hint="eastAsia" w:ascii="仿宋_GB2312" w:hAnsi="黑体" w:eastAsia="仿宋_GB2312"/>
          <w:color w:val="0000FF"/>
          <w:sz w:val="30"/>
          <w:szCs w:val="30"/>
          <w:lang w:val="en-US" w:eastAsia="zh-CN"/>
        </w:rPr>
        <w:t>1、2020年项目支出年初预算94.52万元，主要项目包括西部政策办、招投标办公室工作经费、其他物价事物支出、成本监审、重点办工作经费。账务处理与决算项目统一设置为机关运行经费项目。</w:t>
      </w:r>
    </w:p>
    <w:p>
      <w:pPr>
        <w:keepNext w:val="0"/>
        <w:keepLines w:val="0"/>
        <w:pageBreakBefore w:val="0"/>
        <w:widowControl/>
        <w:numPr>
          <w:ilvl w:val="0"/>
          <w:numId w:val="3"/>
        </w:numPr>
        <w:kinsoku/>
        <w:wordWrap/>
        <w:overflowPunct/>
        <w:topLinePunct w:val="0"/>
        <w:autoSpaceDE/>
        <w:autoSpaceDN/>
        <w:bidi w:val="0"/>
        <w:adjustRightInd/>
        <w:snapToGrid/>
        <w:spacing w:line="550" w:lineRule="exact"/>
        <w:ind w:left="0" w:firstLine="582" w:firstLineChars="200"/>
        <w:jc w:val="left"/>
        <w:textAlignment w:val="auto"/>
        <w:rPr>
          <w:rFonts w:hint="eastAsia" w:ascii="仿宋_GB2312" w:hAnsi="黑体" w:eastAsia="仿宋_GB2312"/>
          <w:color w:val="0000FF"/>
          <w:sz w:val="30"/>
          <w:szCs w:val="30"/>
          <w:lang w:val="en-US" w:eastAsia="zh-CN"/>
        </w:rPr>
      </w:pPr>
      <w:r>
        <w:rPr>
          <w:rFonts w:hint="eastAsia" w:ascii="仿宋_GB2312" w:hAnsi="黑体" w:eastAsia="仿宋_GB2312"/>
          <w:color w:val="0000FF"/>
          <w:sz w:val="30"/>
          <w:szCs w:val="30"/>
          <w:lang w:val="en-US" w:eastAsia="zh-CN"/>
        </w:rPr>
        <w:t>专项资金使用和管理情况</w:t>
      </w:r>
    </w:p>
    <w:p>
      <w:pPr>
        <w:keepNext w:val="0"/>
        <w:keepLines w:val="0"/>
        <w:pageBreakBefore w:val="0"/>
        <w:widowControl/>
        <w:numPr>
          <w:ilvl w:val="0"/>
          <w:numId w:val="0"/>
        </w:numPr>
        <w:kinsoku/>
        <w:wordWrap/>
        <w:overflowPunct/>
        <w:topLinePunct w:val="0"/>
        <w:autoSpaceDE/>
        <w:autoSpaceDN/>
        <w:bidi w:val="0"/>
        <w:adjustRightInd/>
        <w:snapToGrid/>
        <w:spacing w:line="550" w:lineRule="exact"/>
        <w:ind w:left="0" w:firstLine="582" w:firstLineChars="200"/>
        <w:jc w:val="left"/>
        <w:textAlignment w:val="auto"/>
        <w:rPr>
          <w:rFonts w:hint="eastAsia" w:ascii="仿宋_GB2312" w:hAnsi="黑体" w:eastAsia="仿宋_GB2312"/>
          <w:color w:val="0000FF"/>
          <w:sz w:val="30"/>
          <w:szCs w:val="30"/>
          <w:lang w:val="en-US" w:eastAsia="zh-CN"/>
        </w:rPr>
      </w:pPr>
      <w:r>
        <w:rPr>
          <w:rFonts w:hint="eastAsia" w:ascii="仿宋_GB2312" w:hAnsi="黑体" w:eastAsia="仿宋_GB2312"/>
          <w:color w:val="0000FF"/>
          <w:sz w:val="30"/>
          <w:szCs w:val="30"/>
          <w:lang w:val="en-US" w:eastAsia="zh-CN"/>
        </w:rPr>
        <w:t>决算项目支出2450612.75元，其中：工资福利支出521046元、商品服务支出1801065.75元、对个人和家庭补助支出8424元、资本性支出105151元。</w:t>
      </w:r>
    </w:p>
    <w:p>
      <w:pPr>
        <w:keepNext w:val="0"/>
        <w:keepLines w:val="0"/>
        <w:pageBreakBefore w:val="0"/>
        <w:widowControl/>
        <w:kinsoku/>
        <w:wordWrap/>
        <w:overflowPunct/>
        <w:topLinePunct w:val="0"/>
        <w:autoSpaceDE/>
        <w:autoSpaceDN/>
        <w:bidi w:val="0"/>
        <w:adjustRightInd/>
        <w:snapToGrid/>
        <w:spacing w:line="550" w:lineRule="exact"/>
        <w:ind w:left="0" w:firstLine="645"/>
        <w:jc w:val="left"/>
        <w:textAlignment w:val="auto"/>
        <w:rPr>
          <w:rFonts w:ascii="黑体" w:hAnsi="黑体" w:eastAsia="黑体"/>
          <w:sz w:val="32"/>
          <w:szCs w:val="32"/>
        </w:rPr>
      </w:pPr>
      <w:r>
        <w:rPr>
          <w:rFonts w:hint="eastAsia" w:ascii="黑体" w:hAnsi="黑体" w:eastAsia="黑体"/>
          <w:sz w:val="32"/>
          <w:szCs w:val="32"/>
        </w:rPr>
        <w:t>四、部门整体支出绩效情况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0" w:lineRule="exact"/>
        <w:ind w:left="0" w:right="0" w:firstLine="560"/>
        <w:jc w:val="both"/>
        <w:textAlignment w:val="auto"/>
        <w:rPr>
          <w:rFonts w:hint="eastAsia" w:ascii="仿宋" w:hAnsi="仿宋" w:eastAsia="仿宋" w:cs="仿宋"/>
          <w:sz w:val="30"/>
          <w:szCs w:val="30"/>
          <w:shd w:val="clear" w:fill="FFFFFF"/>
          <w:lang w:eastAsia="zh-CN"/>
        </w:rPr>
      </w:pPr>
      <w:r>
        <w:rPr>
          <w:rFonts w:hint="eastAsia" w:ascii="仿宋" w:hAnsi="仿宋" w:eastAsia="仿宋" w:cs="仿宋"/>
          <w:sz w:val="30"/>
          <w:szCs w:val="30"/>
          <w:shd w:val="clear" w:fill="FFFFFF"/>
          <w:lang w:val="en-US" w:eastAsia="zh-CN"/>
        </w:rPr>
        <w:t>2020</w:t>
      </w:r>
      <w:r>
        <w:rPr>
          <w:rFonts w:hint="eastAsia" w:ascii="仿宋" w:hAnsi="仿宋" w:eastAsia="仿宋" w:cs="仿宋"/>
          <w:sz w:val="30"/>
          <w:szCs w:val="30"/>
          <w:shd w:val="clear" w:fill="FFFFFF"/>
        </w:rPr>
        <w:t>年，我单位积极履职，强化管理，较好的完成了年度工作目标。通过加强预算收支管理，不断建立健全内部管理制度，梳理内部管理流程，部门整体支出管理水平得到提升。根据部门整体支出绩效评价指标体系，我单位</w:t>
      </w:r>
      <w:r>
        <w:rPr>
          <w:rFonts w:hint="eastAsia" w:ascii="仿宋" w:hAnsi="仿宋" w:eastAsia="仿宋" w:cs="仿宋"/>
          <w:sz w:val="30"/>
          <w:szCs w:val="30"/>
          <w:shd w:val="clear" w:fill="FFFFFF"/>
          <w:lang w:val="en-US" w:eastAsia="zh-CN"/>
        </w:rPr>
        <w:t>2020</w:t>
      </w:r>
      <w:r>
        <w:rPr>
          <w:rFonts w:hint="eastAsia" w:ascii="仿宋" w:hAnsi="仿宋" w:eastAsia="仿宋" w:cs="仿宋"/>
          <w:sz w:val="30"/>
          <w:szCs w:val="30"/>
          <w:shd w:val="clear" w:fill="FFFFFF"/>
        </w:rPr>
        <w:t>年度评价得分为</w:t>
      </w:r>
      <w:r>
        <w:rPr>
          <w:rFonts w:hint="eastAsia" w:ascii="仿宋" w:hAnsi="仿宋" w:eastAsia="仿宋" w:cs="仿宋"/>
          <w:sz w:val="30"/>
          <w:szCs w:val="30"/>
          <w:shd w:val="clear" w:fill="FFFFFF"/>
          <w:lang w:val="en-US" w:eastAsia="zh-CN"/>
        </w:rPr>
        <w:t xml:space="preserve"> 95 </w:t>
      </w:r>
      <w:r>
        <w:rPr>
          <w:rFonts w:hint="eastAsia" w:ascii="仿宋" w:hAnsi="仿宋" w:eastAsia="仿宋" w:cs="仿宋"/>
          <w:sz w:val="30"/>
          <w:szCs w:val="30"/>
          <w:shd w:val="clear" w:fill="FFFFFF"/>
        </w:rPr>
        <w:t>分。部门整体支出绩效情况</w:t>
      </w:r>
      <w:r>
        <w:rPr>
          <w:rFonts w:hint="eastAsia" w:ascii="仿宋" w:hAnsi="仿宋" w:eastAsia="仿宋" w:cs="仿宋"/>
          <w:sz w:val="30"/>
          <w:szCs w:val="30"/>
          <w:shd w:val="clear" w:fill="FFFFFF"/>
          <w:lang w:eastAsia="zh-CN"/>
        </w:rPr>
        <w:t>如下：</w:t>
      </w:r>
    </w:p>
    <w:tbl>
      <w:tblPr>
        <w:tblStyle w:val="4"/>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三级</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投入</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预算配置</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预算执行</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0</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预算管理</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预算管理</w:t>
            </w:r>
          </w:p>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产出及效率</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职责履行</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color w:val="auto"/>
                <w:kern w:val="0"/>
                <w:sz w:val="20"/>
                <w:szCs w:val="20"/>
              </w:rPr>
            </w:pPr>
            <w:r>
              <w:rPr>
                <w:rFonts w:eastAsia="仿宋_GB2312"/>
                <w:color w:val="auto"/>
                <w:kern w:val="0"/>
                <w:sz w:val="20"/>
                <w:szCs w:val="20"/>
              </w:rPr>
              <w:t>8</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color w:val="auto"/>
                <w:kern w:val="0"/>
                <w:sz w:val="20"/>
                <w:szCs w:val="20"/>
              </w:rPr>
            </w:pPr>
            <w:r>
              <w:rPr>
                <w:rFonts w:hint="eastAsia" w:eastAsia="仿宋_GB2312"/>
                <w:color w:val="auto"/>
                <w:kern w:val="0"/>
                <w:sz w:val="20"/>
                <w:szCs w:val="20"/>
              </w:rPr>
              <w:t>根据市绩效办</w:t>
            </w:r>
            <w:r>
              <w:rPr>
                <w:rFonts w:eastAsia="仿宋_GB2312"/>
                <w:color w:val="auto"/>
                <w:kern w:val="0"/>
                <w:sz w:val="20"/>
                <w:szCs w:val="20"/>
              </w:rPr>
              <w:t>2</w:t>
            </w:r>
            <w:r>
              <w:rPr>
                <w:rFonts w:hint="eastAsia" w:eastAsia="仿宋_GB2312"/>
                <w:color w:val="auto"/>
                <w:kern w:val="0"/>
                <w:sz w:val="20"/>
                <w:szCs w:val="20"/>
                <w:lang w:val="en-US" w:eastAsia="zh-CN"/>
              </w:rPr>
              <w:t>020</w:t>
            </w:r>
            <w:r>
              <w:rPr>
                <w:rFonts w:hint="eastAsia" w:eastAsia="仿宋_GB2312"/>
                <w:color w:val="auto"/>
                <w:kern w:val="0"/>
                <w:sz w:val="20"/>
                <w:szCs w:val="20"/>
              </w:rPr>
              <w:t>年对各部门为民办实事和部门重点工程与重点工作考核分数折算。</w:t>
            </w:r>
            <w:r>
              <w:rPr>
                <w:rFonts w:eastAsia="仿宋_GB2312"/>
                <w:color w:val="auto"/>
                <w:kern w:val="0"/>
                <w:sz w:val="20"/>
                <w:szCs w:val="20"/>
              </w:rPr>
              <w:br w:type="textWrapping"/>
            </w:r>
            <w:r>
              <w:rPr>
                <w:rFonts w:hint="eastAsia" w:eastAsia="仿宋_GB2312"/>
                <w:color w:val="auto"/>
                <w:kern w:val="0"/>
                <w:sz w:val="20"/>
                <w:szCs w:val="20"/>
              </w:rPr>
              <w:t>该项得分</w:t>
            </w:r>
            <w:r>
              <w:rPr>
                <w:rFonts w:eastAsia="仿宋_GB2312"/>
                <w:color w:val="auto"/>
                <w:kern w:val="0"/>
                <w:sz w:val="20"/>
                <w:szCs w:val="20"/>
              </w:rPr>
              <w:t>=</w:t>
            </w:r>
            <w:r>
              <w:rPr>
                <w:rFonts w:hint="eastAsia" w:eastAsia="仿宋_GB2312"/>
                <w:color w:val="auto"/>
                <w:kern w:val="0"/>
                <w:sz w:val="20"/>
                <w:szCs w:val="20"/>
              </w:rPr>
              <w:t>（绩效办对应部分考核得分</w:t>
            </w:r>
            <w:r>
              <w:rPr>
                <w:rFonts w:eastAsia="仿宋_GB2312"/>
                <w:color w:val="auto"/>
                <w:kern w:val="0"/>
                <w:sz w:val="20"/>
                <w:szCs w:val="20"/>
              </w:rPr>
              <w:t>/</w:t>
            </w:r>
            <w:r>
              <w:rPr>
                <w:rFonts w:hint="eastAsia" w:eastAsia="仿宋_GB2312"/>
                <w:color w:val="auto"/>
                <w:kern w:val="0"/>
                <w:sz w:val="20"/>
                <w:szCs w:val="20"/>
              </w:rPr>
              <w:t>该部分总分）</w:t>
            </w:r>
            <w:r>
              <w:rPr>
                <w:rFonts w:hint="eastAsia" w:ascii="仿宋_GB2312" w:eastAsia="仿宋_GB2312"/>
                <w:color w:val="auto"/>
                <w:kern w:val="0"/>
                <w:sz w:val="20"/>
                <w:szCs w:val="20"/>
              </w:rPr>
              <w:t>×</w:t>
            </w:r>
            <w:r>
              <w:rPr>
                <w:rFonts w:eastAsia="仿宋_GB2312"/>
                <w:color w:val="auto"/>
                <w:kern w:val="0"/>
                <w:sz w:val="20"/>
                <w:szCs w:val="20"/>
              </w:rPr>
              <w:t>8</w:t>
            </w:r>
            <w:r>
              <w:rPr>
                <w:rFonts w:hint="eastAsia" w:eastAsia="仿宋_GB2312"/>
                <w:color w:val="auto"/>
                <w:kern w:val="0"/>
                <w:sz w:val="20"/>
                <w:szCs w:val="20"/>
              </w:rPr>
              <w:t>。</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default" w:eastAsia="仿宋_GB2312"/>
                <w:color w:val="0000FF"/>
                <w:kern w:val="0"/>
                <w:sz w:val="20"/>
                <w:szCs w:val="20"/>
                <w:lang w:val="en-US" w:eastAsia="zh-CN"/>
              </w:rPr>
            </w:pPr>
            <w:r>
              <w:rPr>
                <w:rFonts w:hint="eastAsia" w:eastAsia="仿宋_GB2312"/>
                <w:color w:val="0000FF"/>
                <w:kern w:val="0"/>
                <w:sz w:val="20"/>
                <w:szCs w:val="20"/>
              </w:rPr>
              <w:t>　</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default" w:eastAsia="宋体"/>
                <w:kern w:val="0"/>
                <w:sz w:val="24"/>
                <w:lang w:val="en-US" w:eastAsia="zh-CN"/>
              </w:rPr>
            </w:pPr>
            <w:r>
              <w:rPr>
                <w:rFonts w:hint="eastAsia"/>
                <w:kern w:val="0"/>
                <w:sz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117"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default" w:eastAsia="宋体"/>
                <w:kern w:val="0"/>
                <w:sz w:val="24"/>
                <w:lang w:val="en-US" w:eastAsia="zh-CN"/>
              </w:rPr>
            </w:pPr>
            <w:r>
              <w:rPr>
                <w:rFonts w:hint="eastAsia"/>
                <w:kern w:val="0"/>
                <w:sz w:val="24"/>
              </w:rPr>
              <w:t>　</w:t>
            </w:r>
            <w:r>
              <w:rPr>
                <w:rFonts w:hint="eastAsia"/>
                <w:kern w:val="0"/>
                <w:sz w:val="24"/>
                <w:lang w:val="en-US" w:eastAsia="zh-CN"/>
              </w:rPr>
              <w:t>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bl>
    <w:p>
      <w:pPr>
        <w:keepNext w:val="0"/>
        <w:keepLines w:val="0"/>
        <w:pageBreakBefore w:val="0"/>
        <w:kinsoku/>
        <w:wordWrap/>
        <w:overflowPunct/>
        <w:topLinePunct w:val="0"/>
        <w:autoSpaceDE/>
        <w:autoSpaceDN/>
        <w:bidi w:val="0"/>
        <w:adjustRightInd/>
        <w:snapToGrid/>
        <w:spacing w:line="550" w:lineRule="exact"/>
        <w:ind w:left="0"/>
        <w:textAlignment w:val="auto"/>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0" w:lineRule="exact"/>
        <w:ind w:left="0" w:right="0" w:firstLine="560"/>
        <w:jc w:val="both"/>
        <w:textAlignment w:val="auto"/>
        <w:rPr>
          <w:rFonts w:hint="eastAsia" w:ascii="仿宋" w:hAnsi="仿宋" w:eastAsia="仿宋" w:cs="仿宋"/>
          <w:sz w:val="30"/>
          <w:szCs w:val="30"/>
          <w:shd w:val="clear" w:fill="FFFFFF"/>
          <w:lang w:val="en-US"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0" w:lineRule="exact"/>
        <w:ind w:left="0" w:right="0" w:firstLine="560"/>
        <w:jc w:val="both"/>
        <w:textAlignment w:val="auto"/>
        <w:rPr>
          <w:rFonts w:hint="eastAsia" w:ascii="仿宋" w:hAnsi="仿宋" w:eastAsia="仿宋" w:cs="仿宋"/>
          <w:sz w:val="30"/>
          <w:szCs w:val="30"/>
          <w:shd w:val="clear" w:fill="FFFFFF"/>
          <w:lang w:val="en-US" w:eastAsia="zh-CN"/>
        </w:rPr>
      </w:pPr>
    </w:p>
    <w:p>
      <w:pPr>
        <w:keepNext w:val="0"/>
        <w:keepLines w:val="0"/>
        <w:pageBreakBefore w:val="0"/>
        <w:widowControl/>
        <w:kinsoku/>
        <w:wordWrap/>
        <w:overflowPunct/>
        <w:topLinePunct w:val="0"/>
        <w:autoSpaceDE/>
        <w:autoSpaceDN/>
        <w:bidi w:val="0"/>
        <w:adjustRightInd/>
        <w:snapToGrid/>
        <w:spacing w:line="550" w:lineRule="exact"/>
        <w:ind w:left="0" w:firstLine="622" w:firstLineChars="200"/>
        <w:jc w:val="left"/>
        <w:textAlignment w:val="auto"/>
        <w:rPr>
          <w:rFonts w:ascii="黑体" w:hAnsi="黑体" w:eastAsia="黑体"/>
          <w:sz w:val="32"/>
          <w:szCs w:val="32"/>
        </w:rPr>
      </w:pPr>
      <w:r>
        <w:rPr>
          <w:rFonts w:hint="eastAsia" w:ascii="黑体" w:hAnsi="黑体" w:eastAsia="黑体"/>
          <w:sz w:val="32"/>
          <w:szCs w:val="32"/>
        </w:rPr>
        <w:t>五、存在的主要问题及下一步改进措施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0" w:lineRule="exact"/>
        <w:ind w:left="0" w:right="0" w:firstLine="560"/>
        <w:jc w:val="both"/>
        <w:textAlignment w:val="auto"/>
        <w:rPr>
          <w:rFonts w:hint="eastAsia" w:ascii="仿宋" w:hAnsi="仿宋" w:eastAsia="仿宋" w:cs="仿宋"/>
          <w:sz w:val="30"/>
          <w:szCs w:val="30"/>
          <w:shd w:val="clear" w:fill="FFFFFF"/>
        </w:rPr>
      </w:pPr>
      <w:r>
        <w:rPr>
          <w:rFonts w:ascii="仿宋" w:hAnsi="仿宋" w:eastAsia="仿宋" w:cs="仿宋"/>
          <w:sz w:val="30"/>
          <w:szCs w:val="30"/>
          <w:shd w:val="clear" w:fill="FFFFFF"/>
        </w:rPr>
        <w:t>1</w:t>
      </w:r>
      <w:r>
        <w:rPr>
          <w:rFonts w:hint="eastAsia" w:ascii="仿宋" w:hAnsi="仿宋" w:eastAsia="仿宋" w:cs="仿宋"/>
          <w:sz w:val="30"/>
          <w:szCs w:val="30"/>
          <w:shd w:val="clear" w:fill="FFFFFF"/>
        </w:rPr>
        <w:t>、细化预算编制工作，认真做好预算的编制。进一步加强单位内部机构各股室的预算管理意识，严格按照预算编制的相关制度和要求进行预算编制。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0" w:lineRule="exact"/>
        <w:ind w:left="0" w:right="0" w:firstLine="560"/>
        <w:jc w:val="both"/>
        <w:textAlignment w:val="auto"/>
        <w:rPr>
          <w:rFonts w:hint="default" w:ascii="Times New Roman" w:hAnsi="Times New Roman" w:cs="Times New Roman"/>
          <w:sz w:val="30"/>
          <w:szCs w:val="30"/>
        </w:rPr>
      </w:pPr>
      <w:r>
        <w:rPr>
          <w:rFonts w:hint="eastAsia" w:ascii="仿宋" w:hAnsi="仿宋" w:eastAsia="仿宋" w:cs="仿宋"/>
          <w:sz w:val="30"/>
          <w:szCs w:val="30"/>
          <w:shd w:val="clear"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0" w:lineRule="exact"/>
        <w:ind w:left="0" w:right="0" w:firstLine="560"/>
        <w:jc w:val="both"/>
        <w:textAlignment w:val="auto"/>
        <w:rPr>
          <w:rFonts w:ascii="仿宋_GB2312" w:hAnsi="黑体" w:eastAsia="仿宋_GB2312"/>
          <w:sz w:val="32"/>
          <w:szCs w:val="32"/>
        </w:rPr>
      </w:pPr>
      <w:r>
        <w:rPr>
          <w:rFonts w:hint="eastAsia" w:ascii="仿宋" w:hAnsi="仿宋" w:eastAsia="仿宋" w:cs="仿宋"/>
          <w:sz w:val="30"/>
          <w:szCs w:val="30"/>
          <w:shd w:val="clear" w:fill="FFFFFF"/>
          <w:lang w:val="en-US" w:eastAsia="zh-CN"/>
        </w:rPr>
        <w:t>3</w:t>
      </w:r>
      <w:r>
        <w:rPr>
          <w:rFonts w:hint="eastAsia" w:ascii="仿宋" w:hAnsi="仿宋" w:eastAsia="仿宋" w:cs="仿宋"/>
          <w:sz w:val="30"/>
          <w:szCs w:val="30"/>
          <w:shd w:val="clear" w:fill="FFFFFF"/>
        </w:rPr>
        <w:t>、对相关人员加强培训，特别是针对《预算法》、《行政事业单位会计制度》等学习培训，规范部门预算收支核算，切实提高部门预算收支管理水平</w:t>
      </w:r>
    </w:p>
    <w:p>
      <w:pPr>
        <w:keepNext w:val="0"/>
        <w:keepLines w:val="0"/>
        <w:pageBreakBefore w:val="0"/>
        <w:widowControl/>
        <w:numPr>
          <w:ilvl w:val="0"/>
          <w:numId w:val="4"/>
        </w:numPr>
        <w:kinsoku/>
        <w:wordWrap/>
        <w:overflowPunct/>
        <w:topLinePunct w:val="0"/>
        <w:autoSpaceDE/>
        <w:autoSpaceDN/>
        <w:bidi w:val="0"/>
        <w:adjustRightInd/>
        <w:snapToGrid/>
        <w:spacing w:line="550" w:lineRule="exact"/>
        <w:ind w:left="0" w:firstLine="645"/>
        <w:jc w:val="left"/>
        <w:textAlignment w:val="auto"/>
        <w:rPr>
          <w:rFonts w:hint="eastAsia" w:ascii="黑体" w:hAnsi="黑体" w:eastAsia="黑体"/>
          <w:sz w:val="32"/>
          <w:szCs w:val="32"/>
        </w:rPr>
      </w:pPr>
      <w:r>
        <w:rPr>
          <w:rFonts w:hint="eastAsia" w:ascii="黑体" w:hAnsi="黑体" w:eastAsia="黑体"/>
          <w:sz w:val="32"/>
          <w:szCs w:val="32"/>
        </w:rPr>
        <w:t>绩效自评结果拟应用和公开情况</w:t>
      </w:r>
    </w:p>
    <w:p>
      <w:pPr>
        <w:keepNext w:val="0"/>
        <w:keepLines w:val="0"/>
        <w:pageBreakBefore w:val="0"/>
        <w:widowControl/>
        <w:numPr>
          <w:ilvl w:val="0"/>
          <w:numId w:val="0"/>
        </w:numPr>
        <w:kinsoku/>
        <w:wordWrap/>
        <w:overflowPunct/>
        <w:topLinePunct w:val="0"/>
        <w:autoSpaceDE/>
        <w:autoSpaceDN/>
        <w:bidi w:val="0"/>
        <w:adjustRightInd/>
        <w:snapToGrid/>
        <w:spacing w:line="550" w:lineRule="exact"/>
        <w:ind w:left="0" w:firstLine="582"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eastAsia="zh-CN"/>
        </w:rPr>
        <w:t>绩效自评结果得分</w:t>
      </w:r>
      <w:r>
        <w:rPr>
          <w:rFonts w:hint="eastAsia" w:ascii="仿宋" w:hAnsi="仿宋" w:eastAsia="仿宋" w:cs="仿宋"/>
          <w:sz w:val="30"/>
          <w:szCs w:val="30"/>
          <w:lang w:val="en-US" w:eastAsia="zh-CN"/>
        </w:rPr>
        <w:t>95分，详细情况在衡山县发展和改革局门户网站公示。</w:t>
      </w:r>
    </w:p>
    <w:p>
      <w:pPr>
        <w:keepNext w:val="0"/>
        <w:keepLines w:val="0"/>
        <w:pageBreakBefore w:val="0"/>
        <w:widowControl/>
        <w:kinsoku/>
        <w:wordWrap/>
        <w:overflowPunct/>
        <w:topLinePunct w:val="0"/>
        <w:autoSpaceDE/>
        <w:autoSpaceDN/>
        <w:bidi w:val="0"/>
        <w:adjustRightInd/>
        <w:snapToGrid/>
        <w:spacing w:line="550" w:lineRule="exact"/>
        <w:ind w:left="0" w:firstLine="645"/>
        <w:jc w:val="left"/>
        <w:textAlignment w:val="auto"/>
        <w:rPr>
          <w:rFonts w:ascii="黑体" w:hAnsi="黑体" w:eastAsia="黑体"/>
          <w:sz w:val="32"/>
          <w:szCs w:val="32"/>
        </w:rPr>
      </w:pPr>
      <w:r>
        <w:rPr>
          <w:rFonts w:hint="eastAsia" w:ascii="黑体" w:hAnsi="黑体" w:eastAsia="黑体"/>
          <w:sz w:val="32"/>
          <w:szCs w:val="32"/>
        </w:rPr>
        <w:t>七、其他需要说明的情况</w:t>
      </w:r>
    </w:p>
    <w:p>
      <w:pPr>
        <w:keepNext w:val="0"/>
        <w:keepLines w:val="0"/>
        <w:pageBreakBefore w:val="0"/>
        <w:widowControl/>
        <w:kinsoku/>
        <w:wordWrap/>
        <w:overflowPunct/>
        <w:topLinePunct w:val="0"/>
        <w:autoSpaceDE/>
        <w:autoSpaceDN/>
        <w:bidi w:val="0"/>
        <w:adjustRightInd/>
        <w:snapToGrid/>
        <w:spacing w:line="550" w:lineRule="exact"/>
        <w:ind w:left="0" w:firstLine="1266" w:firstLineChars="407"/>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无</w:t>
      </w:r>
    </w:p>
    <w:p>
      <w:pPr>
        <w:keepNext w:val="0"/>
        <w:keepLines w:val="0"/>
        <w:pageBreakBefore w:val="0"/>
        <w:widowControl/>
        <w:kinsoku/>
        <w:wordWrap/>
        <w:overflowPunct/>
        <w:topLinePunct w:val="0"/>
        <w:autoSpaceDE/>
        <w:autoSpaceDN/>
        <w:bidi w:val="0"/>
        <w:adjustRightInd/>
        <w:snapToGrid/>
        <w:spacing w:line="550" w:lineRule="exact"/>
        <w:ind w:left="0" w:firstLine="645"/>
        <w:jc w:val="left"/>
        <w:textAlignment w:val="auto"/>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部门整体支出绩效评价指标评分表</w:t>
      </w:r>
    </w:p>
    <w:p>
      <w:pPr>
        <w:keepNext w:val="0"/>
        <w:keepLines w:val="0"/>
        <w:pageBreakBefore w:val="0"/>
        <w:widowControl/>
        <w:kinsoku/>
        <w:wordWrap/>
        <w:overflowPunct/>
        <w:topLinePunct w:val="0"/>
        <w:autoSpaceDE/>
        <w:autoSpaceDN/>
        <w:bidi w:val="0"/>
        <w:adjustRightInd/>
        <w:snapToGrid/>
        <w:spacing w:line="550" w:lineRule="exact"/>
        <w:ind w:left="0" w:firstLine="1580" w:firstLineChars="508"/>
        <w:jc w:val="left"/>
        <w:textAlignment w:val="auto"/>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550" w:lineRule="exact"/>
        <w:ind w:left="0" w:firstLine="1580" w:firstLineChars="508"/>
        <w:jc w:val="left"/>
        <w:textAlignment w:val="auto"/>
      </w:pPr>
      <w:r>
        <w:rPr>
          <w:rFonts w:ascii="仿宋_GB2312" w:hAnsi="黑体" w:eastAsia="仿宋_GB2312"/>
          <w:sz w:val="32"/>
          <w:szCs w:val="32"/>
        </w:rPr>
        <w:t>3.</w:t>
      </w:r>
      <w:r>
        <w:rPr>
          <w:rFonts w:hint="eastAsia" w:ascii="仿宋_GB2312" w:hAnsi="黑体" w:eastAsia="仿宋_GB2312"/>
          <w:sz w:val="32"/>
          <w:szCs w:val="32"/>
          <w:lang w:eastAsia="zh-CN"/>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年度县级专项资金绩效目标自评表</w:t>
      </w:r>
    </w:p>
    <w:p>
      <w:pPr>
        <w:keepNext w:val="0"/>
        <w:keepLines w:val="0"/>
        <w:pageBreakBefore w:val="0"/>
        <w:kinsoku/>
        <w:wordWrap/>
        <w:overflowPunct/>
        <w:topLinePunct w:val="0"/>
        <w:autoSpaceDE/>
        <w:autoSpaceDN/>
        <w:bidi w:val="0"/>
        <w:adjustRightInd/>
        <w:snapToGrid/>
        <w:spacing w:line="550" w:lineRule="exact"/>
        <w:ind w:left="0"/>
        <w:jc w:val="center"/>
        <w:textAlignment w:val="auto"/>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4"/>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三级</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投入</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预算配置</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预算执行</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0</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预算管理</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keepNext w:val="0"/>
              <w:keepLines w:val="0"/>
              <w:pageBreakBefore w:val="0"/>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预算管理</w:t>
            </w:r>
          </w:p>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产出及效率</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职责履行</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default" w:eastAsia="仿宋_GB2312"/>
                <w:kern w:val="0"/>
                <w:sz w:val="20"/>
                <w:szCs w:val="20"/>
                <w:lang w:val="en-US" w:eastAsia="zh-CN"/>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p>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default" w:eastAsia="宋体"/>
                <w:kern w:val="0"/>
                <w:sz w:val="24"/>
                <w:lang w:val="en-US" w:eastAsia="zh-CN"/>
              </w:rPr>
            </w:pPr>
            <w:r>
              <w:rPr>
                <w:rFonts w:hint="eastAsia"/>
                <w:kern w:val="0"/>
                <w:sz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117"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default" w:eastAsia="宋体"/>
                <w:kern w:val="0"/>
                <w:sz w:val="24"/>
                <w:lang w:val="en-US" w:eastAsia="zh-CN"/>
              </w:rPr>
            </w:pPr>
            <w:r>
              <w:rPr>
                <w:rFonts w:hint="eastAsia"/>
                <w:kern w:val="0"/>
                <w:sz w:val="24"/>
              </w:rPr>
              <w:t>　</w:t>
            </w:r>
            <w:r>
              <w:rPr>
                <w:rFonts w:hint="eastAsia"/>
                <w:kern w:val="0"/>
                <w:sz w:val="24"/>
                <w:lang w:val="en-US" w:eastAsia="zh-CN"/>
              </w:rPr>
              <w:t>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center"/>
              <w:textAlignment w:val="auto"/>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50" w:lineRule="exact"/>
              <w:ind w:left="0"/>
              <w:jc w:val="left"/>
              <w:textAlignment w:val="auto"/>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bl>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pPr>
    </w:p>
    <w:p>
      <w:pPr>
        <w:keepNext w:val="0"/>
        <w:keepLines w:val="0"/>
        <w:pageBreakBefore w:val="0"/>
        <w:kinsoku/>
        <w:wordWrap/>
        <w:overflowPunct/>
        <w:topLinePunct w:val="0"/>
        <w:autoSpaceDE/>
        <w:autoSpaceDN/>
        <w:bidi w:val="0"/>
        <w:adjustRightInd/>
        <w:snapToGrid/>
        <w:spacing w:line="550" w:lineRule="exact"/>
        <w:ind w:left="0"/>
        <w:textAlignment w:val="auto"/>
        <w:rPr>
          <w:rFonts w:eastAsia="仿宋_GB2312"/>
          <w:kern w:val="0"/>
          <w:sz w:val="22"/>
          <w:szCs w:val="22"/>
        </w:rPr>
      </w:pPr>
    </w:p>
    <w:p>
      <w:pPr>
        <w:jc w:val="center"/>
        <w:rPr>
          <w:rFonts w:ascii="Calibri" w:hAnsi="Calibri" w:eastAsia="方正小标宋_GBK"/>
          <w:kern w:val="0"/>
          <w:sz w:val="36"/>
          <w:szCs w:val="36"/>
        </w:rPr>
      </w:pPr>
      <w:r>
        <w:rPr>
          <w:rFonts w:hint="eastAsia" w:ascii="Calibri" w:hAnsi="Calibri"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Calibri" w:hAnsi="Calibri" w:eastAsia="仿宋_GB2312"/>
          <w:kern w:val="0"/>
          <w:sz w:val="24"/>
        </w:rPr>
      </w:pPr>
      <w:r>
        <w:rPr>
          <w:rFonts w:hint="eastAsia" w:ascii="Calibri" w:hAnsi="Calibri" w:eastAsia="仿宋_GB2312"/>
          <w:kern w:val="0"/>
          <w:sz w:val="24"/>
        </w:rPr>
        <w:t>填报单位：</w:t>
      </w:r>
      <w:r>
        <w:rPr>
          <w:rFonts w:hint="eastAsia" w:ascii="Calibri" w:hAnsi="Calibri" w:eastAsia="仿宋_GB2312"/>
          <w:kern w:val="0"/>
          <w:sz w:val="24"/>
          <w:lang w:eastAsia="zh-CN"/>
        </w:rPr>
        <w:t>衡山县发展和改革局</w:t>
      </w:r>
      <w:r>
        <w:rPr>
          <w:rFonts w:ascii="Calibri" w:hAnsi="Calibri" w:eastAsia="仿宋_GB2312"/>
          <w:kern w:val="0"/>
          <w:sz w:val="24"/>
        </w:rPr>
        <w:tab/>
      </w:r>
      <w:r>
        <w:rPr>
          <w:rFonts w:ascii="Calibri" w:hAnsi="Calibri" w:eastAsia="仿宋_GB2312"/>
          <w:kern w:val="0"/>
          <w:sz w:val="24"/>
        </w:rPr>
        <w:tab/>
      </w:r>
      <w:r>
        <w:rPr>
          <w:rFonts w:ascii="Calibri" w:hAnsi="Calibri" w:eastAsia="仿宋_GB2312"/>
          <w:kern w:val="0"/>
          <w:sz w:val="24"/>
        </w:rPr>
        <w:tab/>
      </w:r>
      <w:r>
        <w:rPr>
          <w:rFonts w:ascii="Calibri" w:hAnsi="Calibri" w:eastAsia="仿宋_GB2312"/>
          <w:kern w:val="0"/>
          <w:sz w:val="24"/>
        </w:rPr>
        <w:tab/>
      </w:r>
      <w:r>
        <w:rPr>
          <w:rFonts w:hint="eastAsia" w:ascii="Calibri" w:hAnsi="Calibri" w:eastAsia="仿宋_GB2312"/>
          <w:kern w:val="0"/>
          <w:sz w:val="24"/>
          <w:lang w:val="en-US" w:eastAsia="zh-CN"/>
        </w:rPr>
        <w:t>单位：万元</w:t>
      </w:r>
      <w:r>
        <w:rPr>
          <w:rFonts w:ascii="Calibri" w:hAnsi="Calibri" w:eastAsia="仿宋_GB2312"/>
          <w:kern w:val="0"/>
          <w:sz w:val="24"/>
        </w:rPr>
        <w:tab/>
      </w:r>
      <w:r>
        <w:rPr>
          <w:rFonts w:ascii="Calibri" w:hAnsi="Calibri" w:eastAsia="仿宋_GB2312"/>
          <w:kern w:val="0"/>
          <w:sz w:val="24"/>
        </w:rPr>
        <w:tab/>
      </w:r>
    </w:p>
    <w:tbl>
      <w:tblPr>
        <w:tblStyle w:val="4"/>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lang w:eastAsia="zh-CN"/>
              </w:rPr>
              <w:t>20</w:t>
            </w:r>
            <w:r>
              <w:rPr>
                <w:rFonts w:hint="eastAsia" w:ascii="Calibri" w:hAnsi="Calibri" w:eastAsia="仿宋_GB2312"/>
                <w:b/>
                <w:bCs/>
                <w:kern w:val="0"/>
                <w:szCs w:val="21"/>
                <w:lang w:val="en-US" w:eastAsia="zh-CN"/>
              </w:rPr>
              <w:t>20</w:t>
            </w:r>
            <w:r>
              <w:rPr>
                <w:rFonts w:hint="eastAsia" w:ascii="Calibri" w:hAnsi="Calibri"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rPr>
              <w:t>控制率</w:t>
            </w:r>
          </w:p>
        </w:tc>
      </w:tr>
      <w:tr>
        <w:tblPrEx>
          <w:tblCellMar>
            <w:top w:w="0" w:type="dxa"/>
            <w:left w:w="108" w:type="dxa"/>
            <w:bottom w:w="0" w:type="dxa"/>
            <w:right w:w="108" w:type="dxa"/>
          </w:tblCellMar>
        </w:tblPrEx>
        <w:trPr>
          <w:trHeight w:val="9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rPr>
              <w:t>　</w:t>
            </w:r>
            <w:r>
              <w:rPr>
                <w:rFonts w:hint="eastAsia" w:ascii="Calibri" w:hAnsi="Calibri" w:eastAsia="仿宋_GB2312"/>
                <w:kern w:val="0"/>
                <w:szCs w:val="21"/>
                <w:lang w:val="en-US" w:eastAsia="zh-CN"/>
              </w:rPr>
              <w:t>42</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eastAsia="仿宋_GB2312"/>
                <w:kern w:val="0"/>
                <w:szCs w:val="21"/>
                <w:lang w:val="en-US"/>
              </w:rPr>
            </w:pPr>
            <w:r>
              <w:rPr>
                <w:rFonts w:hint="eastAsia" w:ascii="Calibri" w:hAnsi="Calibri" w:eastAsia="仿宋_GB2312"/>
                <w:kern w:val="0"/>
                <w:szCs w:val="21"/>
                <w:lang w:val="en-US" w:eastAsia="zh-CN"/>
              </w:rPr>
              <w:t>34</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lang w:val="en-US" w:eastAsia="zh-CN"/>
              </w:rPr>
              <w:t>80.9%</w:t>
            </w:r>
            <w:r>
              <w:rPr>
                <w:rFonts w:hint="eastAsia" w:ascii="Calibri" w:hAnsi="Calibri" w:eastAsia="仿宋_GB2312"/>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b/>
                <w:bCs/>
                <w:kern w:val="0"/>
                <w:szCs w:val="21"/>
              </w:rPr>
            </w:pPr>
            <w:r>
              <w:rPr>
                <w:rFonts w:ascii="Calibri" w:hAnsi="Calibri" w:eastAsia="仿宋_GB2312"/>
                <w:b/>
                <w:bCs/>
                <w:kern w:val="0"/>
                <w:szCs w:val="21"/>
              </w:rPr>
              <w:t>201</w:t>
            </w:r>
            <w:r>
              <w:rPr>
                <w:rFonts w:hint="eastAsia" w:ascii="Calibri" w:hAnsi="Calibri" w:eastAsia="仿宋_GB2312"/>
                <w:b/>
                <w:bCs/>
                <w:kern w:val="0"/>
                <w:szCs w:val="21"/>
                <w:lang w:val="en-US" w:eastAsia="zh-CN"/>
              </w:rPr>
              <w:t>9</w:t>
            </w:r>
            <w:r>
              <w:rPr>
                <w:rFonts w:hint="eastAsia" w:ascii="Calibri" w:hAnsi="Calibri" w:eastAsia="仿宋_GB2312"/>
                <w:b/>
                <w:bCs/>
                <w:kern w:val="0"/>
                <w:szCs w:val="21"/>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lang w:eastAsia="zh-CN"/>
              </w:rPr>
              <w:t>20</w:t>
            </w:r>
            <w:r>
              <w:rPr>
                <w:rFonts w:hint="eastAsia" w:ascii="Calibri" w:hAnsi="Calibri" w:eastAsia="仿宋_GB2312"/>
                <w:b/>
                <w:bCs/>
                <w:kern w:val="0"/>
                <w:szCs w:val="21"/>
                <w:lang w:val="en-US" w:eastAsia="zh-CN"/>
              </w:rPr>
              <w:t>20</w:t>
            </w:r>
            <w:r>
              <w:rPr>
                <w:rFonts w:hint="eastAsia" w:ascii="Calibri" w:hAnsi="Calibri"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lang w:eastAsia="zh-CN"/>
              </w:rPr>
              <w:t>20</w:t>
            </w:r>
            <w:r>
              <w:rPr>
                <w:rFonts w:hint="eastAsia" w:ascii="Calibri" w:hAnsi="Calibri" w:eastAsia="仿宋_GB2312"/>
                <w:b/>
                <w:bCs/>
                <w:kern w:val="0"/>
                <w:szCs w:val="21"/>
                <w:lang w:val="en-US" w:eastAsia="zh-CN"/>
              </w:rPr>
              <w:t>20</w:t>
            </w:r>
            <w:r>
              <w:rPr>
                <w:rFonts w:hint="eastAsia" w:ascii="Calibri" w:hAnsi="Calibri" w:eastAsia="仿宋_GB2312"/>
                <w:b/>
                <w:bCs/>
                <w:kern w:val="0"/>
                <w:szCs w:val="21"/>
              </w:rPr>
              <w:t>年决算数</w:t>
            </w:r>
          </w:p>
        </w:tc>
      </w:tr>
      <w:tr>
        <w:tblPrEx>
          <w:tblCellMar>
            <w:top w:w="0" w:type="dxa"/>
            <w:left w:w="108" w:type="dxa"/>
            <w:bottom w:w="0" w:type="dxa"/>
            <w:right w:w="108" w:type="dxa"/>
          </w:tblCellMar>
        </w:tblPrEx>
        <w:trPr>
          <w:trHeight w:val="388"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hint="eastAsia" w:ascii="Calibri" w:hAnsi="Calibri"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lang w:val="en-US" w:eastAsia="zh-CN"/>
              </w:rPr>
              <w:t>14.89</w:t>
            </w:r>
            <w:r>
              <w:rPr>
                <w:rFonts w:hint="eastAsia" w:ascii="Calibri" w:hAnsi="Calibri"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rPr>
            </w:pPr>
            <w:r>
              <w:rPr>
                <w:rFonts w:hint="eastAsia" w:ascii="Calibri" w:hAnsi="Calibri" w:eastAsia="仿宋_GB2312"/>
                <w:kern w:val="0"/>
                <w:szCs w:val="21"/>
                <w:lang w:val="en-US" w:eastAsia="zh-CN"/>
              </w:rPr>
              <w:t>20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14.27</w:t>
            </w:r>
          </w:p>
        </w:tc>
      </w:tr>
      <w:tr>
        <w:tblPrEx>
          <w:tblCellMar>
            <w:top w:w="0" w:type="dxa"/>
            <w:left w:w="108" w:type="dxa"/>
            <w:bottom w:w="0" w:type="dxa"/>
            <w:right w:w="108" w:type="dxa"/>
          </w:tblCellMar>
        </w:tblPrEx>
        <w:trPr>
          <w:trHeight w:val="358"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ascii="Calibri" w:hAnsi="Calibri" w:eastAsia="仿宋_GB2312"/>
                <w:kern w:val="0"/>
                <w:szCs w:val="21"/>
              </w:rPr>
              <w:t xml:space="preserve">   1</w:t>
            </w:r>
            <w:r>
              <w:rPr>
                <w:rFonts w:hint="eastAsia" w:ascii="Calibri" w:hAnsi="Calibri"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lang w:val="en-US" w:eastAsia="zh-CN"/>
              </w:rPr>
              <w:t>5.24</w:t>
            </w:r>
            <w:r>
              <w:rPr>
                <w:rFonts w:hint="eastAsia" w:ascii="Calibri" w:hAnsi="Calibri"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Calibri" w:hAnsi="Calibri" w:eastAsia="仿宋_GB2312"/>
                <w:kern w:val="0"/>
                <w:szCs w:val="21"/>
                <w:lang w:val="en-US" w:eastAsia="zh-CN"/>
              </w:rPr>
            </w:pPr>
            <w:r>
              <w:rPr>
                <w:rFonts w:hint="eastAsia" w:ascii="Calibri" w:hAnsi="Calibri" w:eastAsia="仿宋_GB2312"/>
                <w:kern w:val="0"/>
                <w:szCs w:val="21"/>
                <w:lang w:val="en-US" w:eastAsia="zh-CN"/>
              </w:rPr>
              <w:t>7</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lang w:val="en-US" w:eastAsia="zh-CN"/>
              </w:rPr>
              <w:t>1.74</w:t>
            </w:r>
            <w:r>
              <w:rPr>
                <w:rFonts w:hint="eastAsia" w:ascii="Calibri" w:hAnsi="Calibri" w:eastAsia="仿宋_GB2312"/>
                <w:kern w:val="0"/>
                <w:szCs w:val="21"/>
              </w:rPr>
              <w:t>　</w:t>
            </w:r>
          </w:p>
        </w:tc>
      </w:tr>
      <w:tr>
        <w:tblPrEx>
          <w:tblCellMar>
            <w:top w:w="0" w:type="dxa"/>
            <w:left w:w="108" w:type="dxa"/>
            <w:bottom w:w="0" w:type="dxa"/>
            <w:right w:w="108" w:type="dxa"/>
          </w:tblCellMar>
        </w:tblPrEx>
        <w:trPr>
          <w:trHeight w:val="358"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ascii="Calibri" w:hAnsi="Calibri" w:eastAsia="仿宋_GB2312"/>
                <w:kern w:val="0"/>
                <w:szCs w:val="21"/>
              </w:rPr>
              <w:t xml:space="preserve">       </w:t>
            </w:r>
            <w:r>
              <w:rPr>
                <w:rFonts w:hint="eastAsia" w:ascii="Calibri" w:hAnsi="Calibri"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Calibri" w:hAnsi="Calibri" w:eastAsia="仿宋_GB2312"/>
                <w:kern w:val="0"/>
                <w:szCs w:val="21"/>
                <w:lang w:val="en-US" w:eastAsia="zh-CN"/>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p>
        </w:tc>
      </w:tr>
      <w:tr>
        <w:tblPrEx>
          <w:tblCellMar>
            <w:top w:w="0" w:type="dxa"/>
            <w:left w:w="108" w:type="dxa"/>
            <w:bottom w:w="0" w:type="dxa"/>
            <w:right w:w="108" w:type="dxa"/>
          </w:tblCellMar>
        </w:tblPrEx>
        <w:trPr>
          <w:trHeight w:val="33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ascii="Calibri" w:hAnsi="Calibri" w:eastAsia="仿宋_GB2312"/>
                <w:kern w:val="0"/>
                <w:szCs w:val="21"/>
              </w:rPr>
              <w:t xml:space="preserve">             </w:t>
            </w:r>
            <w:r>
              <w:rPr>
                <w:rFonts w:hint="eastAsia" w:ascii="Calibri" w:hAnsi="Calibri"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rPr>
            </w:pPr>
            <w:r>
              <w:rPr>
                <w:rFonts w:hint="eastAsia" w:ascii="Calibri" w:hAnsi="Calibri" w:eastAsia="仿宋_GB2312"/>
                <w:kern w:val="0"/>
                <w:szCs w:val="21"/>
                <w:lang w:val="en-US" w:eastAsia="zh-CN"/>
              </w:rPr>
              <w:t>5.24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Calibri" w:hAnsi="Calibri" w:eastAsia="仿宋_GB2312"/>
                <w:kern w:val="0"/>
                <w:szCs w:val="21"/>
                <w:lang w:val="en-US" w:eastAsia="zh-CN"/>
              </w:rPr>
            </w:pPr>
            <w:r>
              <w:rPr>
                <w:rFonts w:hint="eastAsia" w:ascii="Calibri" w:hAnsi="Calibri" w:eastAsia="仿宋_GB2312"/>
                <w:kern w:val="0"/>
                <w:szCs w:val="21"/>
                <w:lang w:val="en-US" w:eastAsia="zh-CN"/>
              </w:rPr>
              <w:t>7</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1.74</w:t>
            </w:r>
          </w:p>
        </w:tc>
      </w:tr>
      <w:tr>
        <w:tblPrEx>
          <w:tblCellMar>
            <w:top w:w="0" w:type="dxa"/>
            <w:left w:w="108" w:type="dxa"/>
            <w:bottom w:w="0" w:type="dxa"/>
            <w:right w:w="108" w:type="dxa"/>
          </w:tblCellMar>
        </w:tblPrEx>
        <w:trPr>
          <w:trHeight w:val="27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ascii="Calibri" w:hAnsi="Calibri" w:eastAsia="仿宋_GB2312"/>
                <w:kern w:val="0"/>
                <w:szCs w:val="21"/>
              </w:rPr>
              <w:t xml:space="preserve">   2</w:t>
            </w:r>
            <w:r>
              <w:rPr>
                <w:rFonts w:hint="eastAsia" w:ascii="Calibri" w:hAnsi="Calibri"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r>
      <w:tr>
        <w:tblPrEx>
          <w:tblCellMar>
            <w:top w:w="0" w:type="dxa"/>
            <w:left w:w="108" w:type="dxa"/>
            <w:bottom w:w="0" w:type="dxa"/>
            <w:right w:w="108" w:type="dxa"/>
          </w:tblCellMar>
        </w:tblPrEx>
        <w:trPr>
          <w:trHeight w:val="358"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ascii="Calibri" w:hAnsi="Calibri" w:eastAsia="仿宋_GB2312"/>
                <w:kern w:val="0"/>
                <w:szCs w:val="21"/>
              </w:rPr>
              <w:t xml:space="preserve">   3</w:t>
            </w:r>
            <w:r>
              <w:rPr>
                <w:rFonts w:hint="eastAsia" w:ascii="Calibri" w:hAnsi="Calibri"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9.65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13</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12.53</w:t>
            </w:r>
          </w:p>
        </w:tc>
      </w:tr>
      <w:tr>
        <w:tblPrEx>
          <w:tblCellMar>
            <w:top w:w="0" w:type="dxa"/>
            <w:left w:w="108" w:type="dxa"/>
            <w:bottom w:w="0" w:type="dxa"/>
            <w:right w:w="108" w:type="dxa"/>
          </w:tblCellMar>
        </w:tblPrEx>
        <w:trPr>
          <w:trHeight w:val="3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hint="eastAsia" w:ascii="Calibri" w:hAnsi="Calibri"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ascii="Calibri" w:hAnsi="Calibri" w:eastAsia="仿宋_GB2312"/>
                <w:kern w:val="0"/>
                <w:szCs w:val="21"/>
              </w:rPr>
              <w:t xml:space="preserve">  1</w:t>
            </w:r>
            <w:r>
              <w:rPr>
                <w:rFonts w:hint="eastAsia" w:ascii="Calibri" w:hAnsi="Calibri" w:eastAsia="仿宋_GB2312"/>
                <w:kern w:val="0"/>
                <w:szCs w:val="21"/>
              </w:rPr>
              <w:t>、业务工作专项</w:t>
            </w:r>
            <w:r>
              <w:rPr>
                <w:rFonts w:ascii="Calibri" w:hAnsi="Calibri" w:eastAsia="仿宋_GB2312"/>
                <w:kern w:val="0"/>
                <w:szCs w:val="21"/>
              </w:rPr>
              <w:t>(</w:t>
            </w:r>
            <w:r>
              <w:rPr>
                <w:rFonts w:hint="eastAsia" w:ascii="Calibri" w:hAnsi="Calibri" w:eastAsia="仿宋_GB2312"/>
                <w:kern w:val="0"/>
                <w:szCs w:val="21"/>
              </w:rPr>
              <w:t>一个项目一行</w:t>
            </w:r>
            <w:r>
              <w:rPr>
                <w:rFonts w:ascii="Calibri" w:hAnsi="Calibri"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eastAsia="zh-CN"/>
              </w:rPr>
            </w:pPr>
            <w:r>
              <w:rPr>
                <w:rFonts w:hint="eastAsia" w:ascii="Calibri" w:hAnsi="Calibri" w:eastAsia="仿宋_GB2312"/>
                <w:kern w:val="0"/>
                <w:szCs w:val="21"/>
              </w:rPr>
              <w:t>工作经费</w:t>
            </w:r>
            <w:r>
              <w:rPr>
                <w:rFonts w:hint="eastAsia" w:ascii="Calibri" w:hAnsi="Calibri" w:eastAsia="仿宋_GB2312"/>
                <w:kern w:val="0"/>
                <w:szCs w:val="21"/>
                <w:lang w:eastAsia="zh-CN"/>
              </w:rPr>
              <w:t>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50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20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20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ascii="Calibri" w:hAnsi="Calibri" w:eastAsia="仿宋_GB2312"/>
                <w:kern w:val="0"/>
                <w:szCs w:val="21"/>
              </w:rPr>
              <w:t xml:space="preserve">  2</w:t>
            </w:r>
            <w:r>
              <w:rPr>
                <w:rFonts w:hint="eastAsia" w:ascii="Calibri" w:hAnsi="Calibri" w:eastAsia="仿宋_GB2312"/>
                <w:kern w:val="0"/>
                <w:szCs w:val="21"/>
              </w:rPr>
              <w:t>、运行维护专项</w:t>
            </w:r>
            <w:r>
              <w:rPr>
                <w:rFonts w:ascii="Calibri" w:hAnsi="Calibri" w:eastAsia="仿宋_GB2312"/>
                <w:kern w:val="0"/>
                <w:szCs w:val="21"/>
              </w:rPr>
              <w:t>(</w:t>
            </w:r>
            <w:r>
              <w:rPr>
                <w:rFonts w:hint="eastAsia" w:ascii="Calibri" w:hAnsi="Calibri" w:eastAsia="仿宋_GB2312"/>
                <w:kern w:val="0"/>
                <w:szCs w:val="21"/>
              </w:rPr>
              <w:t>一个项目一行</w:t>
            </w:r>
            <w:r>
              <w:rPr>
                <w:rFonts w:ascii="Calibri" w:hAnsi="Calibri"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eastAsia="zh-CN"/>
              </w:rPr>
            </w:pPr>
            <w:r>
              <w:rPr>
                <w:rFonts w:hint="eastAsia" w:ascii="Calibri" w:hAnsi="Calibri" w:eastAsia="仿宋_GB2312"/>
                <w:kern w:val="0"/>
                <w:szCs w:val="21"/>
                <w:lang w:eastAsia="zh-CN"/>
              </w:rPr>
              <w:t>办公楼维修专项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Calibri" w:hAnsi="Calibri" w:eastAsia="仿宋_GB2312"/>
                <w:kern w:val="0"/>
                <w:szCs w:val="21"/>
                <w:lang w:val="en-US" w:eastAsia="zh-CN"/>
              </w:rPr>
            </w:pPr>
            <w:r>
              <w:rPr>
                <w:rFonts w:hint="eastAsia" w:ascii="Calibri" w:hAnsi="Calibri" w:eastAsia="仿宋_GB2312"/>
                <w:kern w:val="0"/>
                <w:szCs w:val="21"/>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Calibri" w:hAnsi="Calibri" w:eastAsia="仿宋_GB2312"/>
                <w:kern w:val="0"/>
                <w:szCs w:val="21"/>
                <w:lang w:val="en-US" w:eastAsia="zh-CN"/>
              </w:rPr>
            </w:pPr>
            <w:r>
              <w:rPr>
                <w:rFonts w:hint="eastAsia" w:ascii="Calibri" w:hAnsi="Calibri" w:eastAsia="仿宋_GB2312"/>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Calibri" w:hAnsi="Calibri" w:eastAsia="仿宋_GB2312"/>
                <w:kern w:val="0"/>
                <w:szCs w:val="21"/>
                <w:lang w:val="en-US" w:eastAsia="zh-CN"/>
              </w:rPr>
            </w:pPr>
            <w:r>
              <w:rPr>
                <w:rFonts w:hint="eastAsia" w:ascii="Calibri" w:hAnsi="Calibri"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eastAsia="zh-CN"/>
              </w:rPr>
            </w:pPr>
            <w:r>
              <w:rPr>
                <w:rFonts w:hint="eastAsia" w:ascii="Calibri" w:hAnsi="Calibri" w:eastAsia="仿宋_GB2312"/>
                <w:kern w:val="0"/>
                <w:szCs w:val="21"/>
                <w:lang w:eastAsia="zh-CN"/>
              </w:rPr>
              <w:t>高考考点建设专项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lang w:val="en-US" w:eastAsia="zh-CN"/>
              </w:rPr>
              <w:t>0</w:t>
            </w:r>
            <w:r>
              <w:rPr>
                <w:rFonts w:hint="eastAsia" w:ascii="Calibri" w:hAnsi="Calibri"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lang w:val="en-US" w:eastAsia="zh-CN"/>
              </w:rPr>
              <w:t>0</w:t>
            </w:r>
            <w:r>
              <w:rPr>
                <w:rFonts w:hint="eastAsia" w:ascii="Calibri" w:hAnsi="Calibri"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Calibri" w:hAnsi="Calibri" w:eastAsia="仿宋_GB2312"/>
                <w:kern w:val="0"/>
                <w:szCs w:val="21"/>
                <w:lang w:val="en-US" w:eastAsia="zh-CN"/>
              </w:rPr>
            </w:pPr>
            <w:r>
              <w:rPr>
                <w:rFonts w:hint="eastAsia" w:ascii="Calibri" w:hAnsi="Calibri"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eastAsia="仿宋_GB2312"/>
                <w:kern w:val="0"/>
                <w:szCs w:val="21"/>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hint="eastAsia" w:ascii="Calibri" w:hAnsi="Calibri"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ind w:firstLine="402" w:firstLineChars="200"/>
              <w:jc w:val="both"/>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49.93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highlight w:val="none"/>
                <w:lang w:val="en-US" w:eastAsia="zh-CN"/>
              </w:rPr>
            </w:pPr>
            <w:r>
              <w:rPr>
                <w:rFonts w:hint="eastAsia" w:ascii="Calibri" w:hAnsi="Calibri" w:eastAsia="仿宋_GB2312"/>
                <w:kern w:val="0"/>
                <w:szCs w:val="21"/>
                <w:highlight w:val="none"/>
                <w:lang w:val="en-US" w:eastAsia="zh-CN"/>
              </w:rPr>
              <w:t>93.7</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highlight w:val="none"/>
                <w:lang w:val="en-US" w:eastAsia="zh-CN"/>
              </w:rPr>
            </w:pPr>
            <w:r>
              <w:rPr>
                <w:rFonts w:hint="eastAsia" w:ascii="Calibri" w:hAnsi="Calibri" w:eastAsia="仿宋_GB2312"/>
                <w:kern w:val="0"/>
                <w:szCs w:val="21"/>
                <w:highlight w:val="none"/>
                <w:lang w:val="en-US" w:eastAsia="zh-CN"/>
              </w:rPr>
              <w:t>55.3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ascii="Calibri" w:hAnsi="Calibri" w:eastAsia="仿宋_GB2312"/>
                <w:kern w:val="0"/>
                <w:szCs w:val="21"/>
              </w:rPr>
              <w:t xml:space="preserve">    </w:t>
            </w:r>
            <w:r>
              <w:rPr>
                <w:rFonts w:hint="eastAsia" w:ascii="Calibri" w:hAnsi="Calibri"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6.42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highlight w:val="none"/>
                <w:lang w:val="en-US" w:eastAsia="zh-CN"/>
              </w:rPr>
            </w:pPr>
            <w:r>
              <w:rPr>
                <w:rFonts w:hint="eastAsia" w:ascii="Calibri" w:hAnsi="Calibri" w:eastAsia="仿宋_GB2312"/>
                <w:kern w:val="0"/>
                <w:szCs w:val="21"/>
                <w:highlight w:val="none"/>
                <w:lang w:val="en-US" w:eastAsia="zh-CN"/>
              </w:rPr>
              <w:t>7</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highlight w:val="none"/>
                <w:lang w:val="en-US" w:eastAsia="zh-CN"/>
              </w:rPr>
            </w:pPr>
            <w:r>
              <w:rPr>
                <w:rFonts w:hint="eastAsia" w:ascii="Calibri" w:hAnsi="Calibri" w:eastAsia="仿宋_GB2312"/>
                <w:kern w:val="0"/>
                <w:szCs w:val="21"/>
                <w:highlight w:val="none"/>
                <w:lang w:val="en-US" w:eastAsia="zh-CN"/>
              </w:rPr>
              <w:t>30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eastAsia="zh-CN"/>
              </w:rPr>
            </w:pPr>
            <w:r>
              <w:rPr>
                <w:rFonts w:ascii="Calibri" w:hAnsi="Calibri" w:eastAsia="仿宋_GB2312"/>
                <w:kern w:val="0"/>
                <w:szCs w:val="21"/>
              </w:rPr>
              <w:t xml:space="preserve">          </w:t>
            </w:r>
            <w:r>
              <w:rPr>
                <w:rFonts w:hint="eastAsia" w:ascii="Calibri" w:hAnsi="Calibri" w:eastAsia="仿宋_GB2312"/>
                <w:kern w:val="0"/>
                <w:szCs w:val="21"/>
                <w:lang w:eastAsia="zh-CN"/>
              </w:rPr>
              <w:t>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6.06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3</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3.47</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eastAsia="zh-CN"/>
              </w:rPr>
            </w:pPr>
            <w:r>
              <w:rPr>
                <w:rFonts w:ascii="Calibri" w:hAnsi="Calibri" w:eastAsia="仿宋_GB2312"/>
                <w:kern w:val="0"/>
                <w:szCs w:val="21"/>
              </w:rPr>
              <w:t xml:space="preserve">      </w:t>
            </w:r>
            <w:r>
              <w:rPr>
                <w:rFonts w:hint="eastAsia" w:ascii="Calibri" w:hAnsi="Calibri" w:eastAsia="仿宋_GB2312"/>
                <w:kern w:val="0"/>
                <w:szCs w:val="21"/>
                <w:lang w:eastAsia="zh-CN"/>
              </w:rPr>
              <w:t>水费、电费、差旅费、维护费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28.85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17.5</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38.8</w:t>
            </w:r>
          </w:p>
        </w:tc>
      </w:tr>
      <w:tr>
        <w:tblPrEx>
          <w:tblCellMar>
            <w:top w:w="0" w:type="dxa"/>
            <w:left w:w="108" w:type="dxa"/>
            <w:bottom w:w="0" w:type="dxa"/>
            <w:right w:w="108" w:type="dxa"/>
          </w:tblCellMar>
        </w:tblPrEx>
        <w:trPr>
          <w:trHeight w:val="523"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eastAsia="zh-CN"/>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ind w:firstLine="603" w:firstLineChars="300"/>
              <w:jc w:val="both"/>
              <w:rPr>
                <w:rFonts w:hint="eastAsia" w:ascii="Calibri" w:hAnsi="Calibri" w:eastAsia="仿宋_GB2312"/>
                <w:kern w:val="0"/>
                <w:szCs w:val="21"/>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eastAsia="zh-CN"/>
              </w:rPr>
            </w:pPr>
            <w:r>
              <w:rPr>
                <w:rFonts w:hint="eastAsia" w:ascii="Calibri" w:hAnsi="Calibri" w:eastAsia="仿宋_GB2312"/>
                <w:kern w:val="0"/>
                <w:szCs w:val="21"/>
              </w:rPr>
              <w:t>政府采购</w:t>
            </w:r>
            <w:r>
              <w:rPr>
                <w:rFonts w:hint="eastAsia" w:ascii="Calibri" w:hAnsi="Calibri" w:eastAsia="仿宋_GB2312"/>
                <w:kern w:val="0"/>
                <w:szCs w:val="21"/>
                <w:lang w:eastAsia="zh-CN"/>
              </w:rPr>
              <w:t>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ascii="Calibri" w:hAnsi="Calibri"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40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65.1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r>
              <w:rPr>
                <w:rFonts w:hint="eastAsia" w:ascii="Calibri" w:hAnsi="Calibri" w:eastAsia="仿宋_GB2312"/>
                <w:kern w:val="0"/>
                <w:szCs w:val="21"/>
              </w:rPr>
              <w:t>部门基本支出预算调整</w:t>
            </w:r>
            <w:r>
              <w:rPr>
                <w:rFonts w:ascii="Calibri" w:hAnsi="Calibri"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ascii="Calibri" w:hAnsi="Calibri"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49.4</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Calibri" w:hAnsi="Calibri" w:eastAsia="仿宋_GB2312"/>
                <w:kern w:val="0"/>
                <w:szCs w:val="21"/>
                <w:lang w:val="en-US" w:eastAsia="zh-CN"/>
              </w:rPr>
            </w:pPr>
            <w:r>
              <w:rPr>
                <w:rFonts w:hint="eastAsia" w:ascii="Calibri" w:hAnsi="Calibri" w:eastAsia="仿宋_GB2312"/>
                <w:kern w:val="0"/>
                <w:szCs w:val="21"/>
                <w:lang w:val="en-US" w:eastAsia="zh-CN"/>
              </w:rPr>
              <w:t>7.77</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楼堂馆所控制情况</w:t>
            </w:r>
            <w:r>
              <w:rPr>
                <w:rFonts w:ascii="Calibri" w:hAnsi="Calibri" w:eastAsia="仿宋_GB2312"/>
                <w:kern w:val="0"/>
                <w:szCs w:val="21"/>
              </w:rPr>
              <w:br w:type="textWrapping"/>
            </w:r>
            <w:r>
              <w:rPr>
                <w:rFonts w:hint="eastAsia" w:ascii="Calibri" w:hAnsi="Calibri" w:eastAsia="仿宋_GB2312"/>
                <w:kern w:val="0"/>
                <w:szCs w:val="21"/>
              </w:rPr>
              <w:t>（</w:t>
            </w:r>
            <w:r>
              <w:rPr>
                <w:rFonts w:hint="eastAsia" w:ascii="Calibri" w:hAnsi="Calibri" w:eastAsia="仿宋_GB2312"/>
                <w:kern w:val="0"/>
                <w:szCs w:val="21"/>
                <w:lang w:eastAsia="zh-CN"/>
              </w:rPr>
              <w:t>2019</w:t>
            </w:r>
            <w:r>
              <w:rPr>
                <w:rFonts w:hint="eastAsia" w:ascii="Calibri" w:hAnsi="Calibri" w:eastAsia="仿宋_GB2312"/>
                <w:kern w:val="0"/>
                <w:szCs w:val="21"/>
              </w:rPr>
              <w:t>年完工项目）</w:t>
            </w:r>
          </w:p>
        </w:tc>
        <w:tc>
          <w:tcPr>
            <w:tcW w:w="1189" w:type="dxa"/>
            <w:tcBorders>
              <w:top w:val="nil"/>
              <w:left w:val="nil"/>
              <w:bottom w:val="single" w:color="auto" w:sz="4" w:space="0"/>
              <w:right w:val="single" w:color="auto"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rPr>
              <w:t>批复规模</w:t>
            </w:r>
            <w:r>
              <w:rPr>
                <w:rFonts w:ascii="Calibri" w:hAnsi="Calibri" w:eastAsia="仿宋_GB2312"/>
                <w:b/>
                <w:bCs/>
                <w:kern w:val="0"/>
                <w:szCs w:val="21"/>
              </w:rPr>
              <w:br w:type="textWrapping"/>
            </w:r>
            <w:r>
              <w:rPr>
                <w:rFonts w:hint="eastAsia" w:ascii="Calibri" w:hAnsi="Calibri" w:eastAsia="仿宋_GB2312"/>
                <w:b/>
                <w:bCs/>
                <w:kern w:val="0"/>
                <w:szCs w:val="21"/>
              </w:rPr>
              <w:t>（</w:t>
            </w:r>
            <w:r>
              <w:rPr>
                <w:rFonts w:hint="eastAsia" w:ascii="Calibri" w:hAnsi="Calibri"/>
                <w:b/>
                <w:bCs/>
                <w:kern w:val="0"/>
                <w:szCs w:val="21"/>
              </w:rPr>
              <w:t>㎡</w:t>
            </w:r>
            <w:r>
              <w:rPr>
                <w:rFonts w:hint="eastAsia" w:ascii="Calibri" w:hAnsi="Calibri" w:eastAsia="仿宋_GB2312"/>
                <w:b/>
                <w:bCs/>
                <w:kern w:val="0"/>
                <w:szCs w:val="21"/>
              </w:rPr>
              <w:t>）</w:t>
            </w:r>
          </w:p>
        </w:tc>
        <w:tc>
          <w:tcPr>
            <w:tcW w:w="849" w:type="dxa"/>
            <w:tcBorders>
              <w:top w:val="nil"/>
              <w:left w:val="nil"/>
              <w:bottom w:val="single" w:color="auto" w:sz="4" w:space="0"/>
              <w:right w:val="single" w:color="auto"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rPr>
              <w:t>实际规模（</w:t>
            </w:r>
            <w:r>
              <w:rPr>
                <w:rFonts w:hint="eastAsia" w:ascii="Calibri" w:hAnsi="Calibri"/>
                <w:b/>
                <w:bCs/>
                <w:kern w:val="0"/>
                <w:szCs w:val="21"/>
              </w:rPr>
              <w:t>㎡</w:t>
            </w:r>
            <w:r>
              <w:rPr>
                <w:rFonts w:hint="eastAsia" w:ascii="Calibri" w:hAnsi="Calibri" w:eastAsia="仿宋_GB2312"/>
                <w:b/>
                <w:bCs/>
                <w:kern w:val="0"/>
                <w:szCs w:val="21"/>
              </w:rPr>
              <w:t>）</w:t>
            </w:r>
          </w:p>
        </w:tc>
        <w:tc>
          <w:tcPr>
            <w:tcW w:w="1129" w:type="dxa"/>
            <w:tcBorders>
              <w:top w:val="nil"/>
              <w:left w:val="nil"/>
              <w:bottom w:val="single" w:color="auto" w:sz="4" w:space="0"/>
              <w:right w:val="single" w:color="auto"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rPr>
              <w:t>规模控制率</w:t>
            </w:r>
          </w:p>
        </w:tc>
        <w:tc>
          <w:tcPr>
            <w:tcW w:w="1111" w:type="dxa"/>
            <w:tcBorders>
              <w:top w:val="nil"/>
              <w:left w:val="nil"/>
              <w:bottom w:val="single" w:color="auto" w:sz="4" w:space="0"/>
              <w:right w:val="single" w:color="auto"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rPr>
              <w:t>预算投资（万元）</w:t>
            </w:r>
          </w:p>
        </w:tc>
        <w:tc>
          <w:tcPr>
            <w:tcW w:w="969" w:type="dxa"/>
            <w:tcBorders>
              <w:top w:val="nil"/>
              <w:left w:val="nil"/>
              <w:bottom w:val="single" w:color="auto" w:sz="4" w:space="0"/>
              <w:right w:val="single" w:color="auto"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rPr>
              <w:t>实际投资（万元）</w:t>
            </w:r>
          </w:p>
        </w:tc>
        <w:tc>
          <w:tcPr>
            <w:tcW w:w="863" w:type="dxa"/>
            <w:tcBorders>
              <w:top w:val="nil"/>
              <w:left w:val="nil"/>
              <w:bottom w:val="single" w:color="auto" w:sz="4" w:space="0"/>
              <w:right w:val="single" w:color="auto" w:sz="4" w:space="0"/>
            </w:tcBorders>
            <w:noWrap w:val="0"/>
            <w:vAlign w:val="center"/>
          </w:tcPr>
          <w:p>
            <w:pPr>
              <w:widowControl/>
              <w:jc w:val="center"/>
              <w:rPr>
                <w:rFonts w:ascii="Calibri" w:hAnsi="Calibri" w:eastAsia="仿宋_GB2312"/>
                <w:b/>
                <w:bCs/>
                <w:kern w:val="0"/>
                <w:szCs w:val="21"/>
              </w:rPr>
            </w:pPr>
            <w:r>
              <w:rPr>
                <w:rFonts w:hint="eastAsia" w:ascii="Calibri" w:hAnsi="Calibri" w:eastAsia="仿宋_GB2312"/>
                <w:b/>
                <w:bCs/>
                <w:kern w:val="0"/>
                <w:szCs w:val="21"/>
              </w:rPr>
              <w:t>投资概算控制率</w:t>
            </w:r>
          </w:p>
        </w:tc>
      </w:tr>
      <w:tr>
        <w:tblPrEx>
          <w:tblCellMar>
            <w:top w:w="0" w:type="dxa"/>
            <w:left w:w="108" w:type="dxa"/>
            <w:bottom w:w="0" w:type="dxa"/>
            <w:right w:w="108" w:type="dxa"/>
          </w:tblCellMar>
        </w:tblPrEx>
        <w:trPr>
          <w:trHeight w:val="33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仿宋_GB2312"/>
                <w:kern w:val="0"/>
                <w:szCs w:val="21"/>
              </w:rPr>
            </w:pPr>
          </w:p>
        </w:tc>
        <w:tc>
          <w:tcPr>
            <w:tcW w:w="1189" w:type="dxa"/>
            <w:tcBorders>
              <w:top w:val="nil"/>
              <w:left w:val="nil"/>
              <w:bottom w:val="single" w:color="auto" w:sz="4" w:space="0"/>
              <w:right w:val="single" w:color="auto" w:sz="4" w:space="0"/>
            </w:tcBorders>
            <w:noWrap w:val="0"/>
            <w:vAlign w:val="center"/>
          </w:tcPr>
          <w:p>
            <w:pPr>
              <w:widowControl/>
              <w:jc w:val="center"/>
              <w:rPr>
                <w:rFonts w:hint="eastAsia" w:ascii="Calibri" w:hAnsi="Calibri" w:eastAsia="仿宋_GB2312"/>
                <w:kern w:val="0"/>
                <w:szCs w:val="21"/>
                <w:lang w:val="en-US" w:eastAsia="zh-CN"/>
              </w:rPr>
            </w:pPr>
            <w:r>
              <w:rPr>
                <w:rFonts w:hint="eastAsia" w:ascii="Calibri" w:hAnsi="Calibri" w:eastAsia="仿宋_GB2312"/>
                <w:kern w:val="0"/>
                <w:szCs w:val="21"/>
              </w:rPr>
              <w:t>　</w:t>
            </w:r>
            <w:r>
              <w:rPr>
                <w:rFonts w:hint="eastAsia" w:ascii="Calibri" w:hAnsi="Calibri" w:eastAsia="仿宋_GB2312"/>
                <w:kern w:val="0"/>
                <w:szCs w:val="21"/>
                <w:lang w:val="en-US" w:eastAsia="zh-CN"/>
              </w:rPr>
              <w:t>0</w:t>
            </w:r>
          </w:p>
        </w:tc>
        <w:tc>
          <w:tcPr>
            <w:tcW w:w="849" w:type="dxa"/>
            <w:tcBorders>
              <w:top w:val="nil"/>
              <w:left w:val="nil"/>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val="en-US" w:eastAsia="zh-CN"/>
              </w:rPr>
            </w:pPr>
            <w:r>
              <w:rPr>
                <w:rFonts w:hint="eastAsia" w:ascii="Calibri" w:hAnsi="Calibri" w:eastAsia="仿宋_GB2312"/>
                <w:kern w:val="0"/>
                <w:szCs w:val="21"/>
              </w:rPr>
              <w:t>　</w:t>
            </w:r>
            <w:r>
              <w:rPr>
                <w:rFonts w:hint="eastAsia" w:ascii="Calibri" w:hAnsi="Calibri" w:eastAsia="仿宋_GB2312"/>
                <w:kern w:val="0"/>
                <w:szCs w:val="21"/>
                <w:lang w:val="en-US" w:eastAsia="zh-CN"/>
              </w:rPr>
              <w:t>0</w:t>
            </w:r>
          </w:p>
        </w:tc>
        <w:tc>
          <w:tcPr>
            <w:tcW w:w="1129" w:type="dxa"/>
            <w:tcBorders>
              <w:top w:val="nil"/>
              <w:left w:val="nil"/>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val="en-US" w:eastAsia="zh-CN"/>
              </w:rPr>
            </w:pPr>
            <w:r>
              <w:rPr>
                <w:rFonts w:hint="eastAsia" w:ascii="Calibri" w:hAnsi="Calibri" w:eastAsia="仿宋_GB2312"/>
                <w:kern w:val="0"/>
                <w:szCs w:val="21"/>
              </w:rPr>
              <w:t>　</w:t>
            </w:r>
            <w:r>
              <w:rPr>
                <w:rFonts w:hint="eastAsia" w:ascii="Calibri" w:hAnsi="Calibri" w:eastAsia="仿宋_GB2312"/>
                <w:kern w:val="0"/>
                <w:szCs w:val="21"/>
                <w:lang w:val="en-US" w:eastAsia="zh-CN"/>
              </w:rPr>
              <w:t>0</w:t>
            </w:r>
          </w:p>
        </w:tc>
        <w:tc>
          <w:tcPr>
            <w:tcW w:w="1111" w:type="dxa"/>
            <w:tcBorders>
              <w:top w:val="nil"/>
              <w:left w:val="nil"/>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val="en-US" w:eastAsia="zh-CN"/>
              </w:rPr>
            </w:pPr>
            <w:r>
              <w:rPr>
                <w:rFonts w:hint="eastAsia" w:ascii="Calibri" w:hAnsi="Calibri" w:eastAsia="仿宋_GB2312"/>
                <w:kern w:val="0"/>
                <w:szCs w:val="21"/>
              </w:rPr>
              <w:t>　</w:t>
            </w:r>
            <w:r>
              <w:rPr>
                <w:rFonts w:hint="eastAsia" w:ascii="Calibri" w:hAnsi="Calibri" w:eastAsia="仿宋_GB2312"/>
                <w:kern w:val="0"/>
                <w:szCs w:val="21"/>
                <w:lang w:val="en-US" w:eastAsia="zh-CN"/>
              </w:rPr>
              <w:t>0</w:t>
            </w:r>
          </w:p>
        </w:tc>
        <w:tc>
          <w:tcPr>
            <w:tcW w:w="969" w:type="dxa"/>
            <w:tcBorders>
              <w:top w:val="nil"/>
              <w:left w:val="nil"/>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val="en-US" w:eastAsia="zh-CN"/>
              </w:rPr>
            </w:pPr>
            <w:r>
              <w:rPr>
                <w:rFonts w:hint="eastAsia" w:ascii="Calibri" w:hAnsi="Calibri" w:eastAsia="仿宋_GB2312"/>
                <w:kern w:val="0"/>
                <w:szCs w:val="21"/>
              </w:rPr>
              <w:t>　</w:t>
            </w:r>
            <w:r>
              <w:rPr>
                <w:rFonts w:hint="eastAsia" w:ascii="Calibri" w:hAnsi="Calibri" w:eastAsia="仿宋_GB2312"/>
                <w:kern w:val="0"/>
                <w:szCs w:val="21"/>
                <w:lang w:val="en-US" w:eastAsia="zh-CN"/>
              </w:rPr>
              <w:t>0</w:t>
            </w:r>
          </w:p>
        </w:tc>
        <w:tc>
          <w:tcPr>
            <w:tcW w:w="863" w:type="dxa"/>
            <w:tcBorders>
              <w:top w:val="nil"/>
              <w:left w:val="nil"/>
              <w:bottom w:val="single" w:color="auto" w:sz="4" w:space="0"/>
              <w:right w:val="single" w:color="auto" w:sz="4" w:space="0"/>
            </w:tcBorders>
            <w:noWrap w:val="0"/>
            <w:vAlign w:val="center"/>
          </w:tcPr>
          <w:p>
            <w:pPr>
              <w:widowControl/>
              <w:jc w:val="left"/>
              <w:rPr>
                <w:rFonts w:hint="eastAsia" w:ascii="Calibri" w:hAnsi="Calibri" w:eastAsia="仿宋_GB2312"/>
                <w:kern w:val="0"/>
                <w:szCs w:val="21"/>
                <w:lang w:val="en-US" w:eastAsia="zh-CN"/>
              </w:rPr>
            </w:pPr>
            <w:r>
              <w:rPr>
                <w:rFonts w:hint="eastAsia" w:ascii="Calibri" w:hAnsi="Calibri" w:eastAsia="仿宋_GB2312"/>
                <w:kern w:val="0"/>
                <w:szCs w:val="21"/>
              </w:rPr>
              <w:t>　</w:t>
            </w:r>
            <w:r>
              <w:rPr>
                <w:rFonts w:hint="eastAsia" w:ascii="Calibri" w:hAnsi="Calibri" w:eastAsia="仿宋_GB2312"/>
                <w:kern w:val="0"/>
                <w:szCs w:val="21"/>
                <w:lang w:val="en-US" w:eastAsia="zh-CN"/>
              </w:rPr>
              <w:t>0</w:t>
            </w:r>
          </w:p>
        </w:tc>
      </w:tr>
      <w:tr>
        <w:tblPrEx>
          <w:tblCellMar>
            <w:top w:w="0" w:type="dxa"/>
            <w:left w:w="108" w:type="dxa"/>
            <w:bottom w:w="0" w:type="dxa"/>
            <w:right w:w="108" w:type="dxa"/>
          </w:tblCellMar>
        </w:tblPrEx>
        <w:trPr>
          <w:trHeight w:val="85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eastAsia="仿宋_GB2312"/>
                <w:kern w:val="0"/>
                <w:szCs w:val="21"/>
              </w:rPr>
            </w:pPr>
            <w:r>
              <w:rPr>
                <w:rFonts w:hint="eastAsia" w:ascii="Calibri" w:hAnsi="Calibri"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Calibri" w:hAnsi="Calibri" w:eastAsia="仿宋_GB2312"/>
                <w:kern w:val="0"/>
                <w:szCs w:val="21"/>
              </w:rPr>
            </w:pPr>
            <w:r>
              <w:rPr>
                <w:rFonts w:hint="eastAsia" w:ascii="仿宋" w:hAnsi="仿宋" w:eastAsia="仿宋" w:cs="仿宋"/>
                <w:sz w:val="18"/>
                <w:szCs w:val="18"/>
                <w:shd w:val="clear" w:color="auto" w:fill="FFFFFF"/>
              </w:rPr>
              <w:t>加强财务管理，严格财务审核。加强单位财务管理，健全单位财务管理制度体系，规范单位财务行为。在费用报账支付时，按照预算规定的费用项目和用途进行</w:t>
            </w:r>
            <w:r>
              <w:rPr>
                <w:rFonts w:hint="eastAsia" w:ascii="仿宋" w:hAnsi="仿宋" w:eastAsia="仿宋" w:cs="仿宋"/>
                <w:sz w:val="18"/>
                <w:szCs w:val="18"/>
                <w:shd w:val="clear" w:color="auto" w:fill="FFFFFF"/>
                <w:lang w:eastAsia="zh-CN"/>
              </w:rPr>
              <w:t>资</w:t>
            </w:r>
            <w:r>
              <w:rPr>
                <w:rFonts w:hint="eastAsia" w:ascii="仿宋" w:hAnsi="仿宋" w:eastAsia="仿宋" w:cs="仿宋"/>
                <w:sz w:val="18"/>
                <w:szCs w:val="18"/>
                <w:shd w:val="clear" w:color="auto" w:fill="FFFFFF"/>
              </w:rPr>
              <w:t>金使用审核、列报支付、财务核算，杜绝超支现象的发生。</w:t>
            </w:r>
            <w:r>
              <w:rPr>
                <w:rFonts w:hint="eastAsia" w:ascii="Calibri" w:hAnsi="Calibri" w:eastAsia="仿宋_GB2312"/>
                <w:kern w:val="0"/>
                <w:sz w:val="18"/>
                <w:szCs w:val="18"/>
              </w:rPr>
              <w:t>　</w:t>
            </w:r>
          </w:p>
        </w:tc>
      </w:tr>
    </w:tbl>
    <w:p>
      <w:pPr>
        <w:rPr>
          <w:rFonts w:ascii="方正小标宋_GBK" w:hAnsi="宋体" w:eastAsia="方正小标宋_GBK" w:cs="宋体"/>
          <w:kern w:val="0"/>
          <w:sz w:val="36"/>
          <w:szCs w:val="36"/>
        </w:rPr>
      </w:pPr>
      <w:r>
        <w:rPr>
          <w:rFonts w:hint="eastAsia" w:ascii="Calibri" w:hAnsi="Calibri" w:eastAsia="仿宋_GB2312"/>
          <w:kern w:val="0"/>
          <w:sz w:val="22"/>
          <w:szCs w:val="22"/>
        </w:rPr>
        <w:t>说明：</w:t>
      </w:r>
      <w:r>
        <w:rPr>
          <w:rFonts w:ascii="Calibri" w:hAnsi="Calibri" w:eastAsia="仿宋_GB2312"/>
          <w:kern w:val="0"/>
          <w:sz w:val="22"/>
          <w:szCs w:val="22"/>
        </w:rPr>
        <w:t>“</w:t>
      </w:r>
      <w:r>
        <w:rPr>
          <w:rFonts w:hint="eastAsia" w:ascii="Calibri" w:hAnsi="Calibri" w:eastAsia="仿宋_GB2312"/>
          <w:kern w:val="0"/>
          <w:sz w:val="22"/>
          <w:szCs w:val="22"/>
        </w:rPr>
        <w:t>项目支出</w:t>
      </w:r>
      <w:r>
        <w:rPr>
          <w:rFonts w:ascii="Calibri" w:hAnsi="Calibri" w:eastAsia="仿宋_GB2312"/>
          <w:kern w:val="0"/>
          <w:sz w:val="22"/>
          <w:szCs w:val="22"/>
        </w:rPr>
        <w:t>”</w:t>
      </w:r>
      <w:r>
        <w:rPr>
          <w:rFonts w:hint="eastAsia" w:ascii="Calibri" w:hAnsi="Calibri" w:eastAsia="仿宋_GB2312"/>
          <w:kern w:val="0"/>
          <w:sz w:val="22"/>
          <w:szCs w:val="22"/>
        </w:rPr>
        <w:t>需要填报基本支出以外的所有项目支出情况，包括业务工作项目、运行维护项目和市级专项资金等；</w:t>
      </w:r>
      <w:r>
        <w:rPr>
          <w:rFonts w:ascii="Calibri" w:hAnsi="Calibri" w:eastAsia="仿宋_GB2312"/>
          <w:kern w:val="0"/>
          <w:sz w:val="22"/>
          <w:szCs w:val="22"/>
        </w:rPr>
        <w:t>“</w:t>
      </w:r>
      <w:r>
        <w:rPr>
          <w:rFonts w:hint="eastAsia" w:ascii="Calibri" w:hAnsi="Calibri" w:eastAsia="仿宋_GB2312"/>
          <w:kern w:val="0"/>
          <w:sz w:val="22"/>
          <w:szCs w:val="22"/>
        </w:rPr>
        <w:t>公用经费</w:t>
      </w:r>
      <w:r>
        <w:rPr>
          <w:rFonts w:ascii="Calibri" w:hAnsi="Calibri" w:eastAsia="仿宋_GB2312"/>
          <w:kern w:val="0"/>
          <w:sz w:val="22"/>
          <w:szCs w:val="22"/>
        </w:rPr>
        <w:t>”</w:t>
      </w:r>
      <w:r>
        <w:rPr>
          <w:rFonts w:hint="eastAsia" w:ascii="Calibri" w:hAnsi="Calibri" w:eastAsia="仿宋_GB2312"/>
          <w:kern w:val="0"/>
          <w:sz w:val="22"/>
          <w:szCs w:val="22"/>
        </w:rPr>
        <w:t>填报基本支出中的一般商品和服务支出。</w:t>
      </w:r>
    </w:p>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lang w:eastAsia="zh-CN"/>
        </w:rPr>
        <w:t>20</w:t>
      </w:r>
      <w:r>
        <w:rPr>
          <w:rFonts w:hint="eastAsia" w:ascii="方正小标宋_GBK" w:hAnsi="宋体" w:eastAsia="方正小标宋_GBK" w:cs="宋体"/>
          <w:kern w:val="0"/>
          <w:sz w:val="36"/>
          <w:szCs w:val="36"/>
          <w:lang w:val="en-US" w:eastAsia="zh-CN"/>
        </w:rPr>
        <w:t>20</w:t>
      </w:r>
      <w:r>
        <w:rPr>
          <w:rFonts w:hint="eastAsia" w:ascii="方正小标宋_GBK" w:hAnsi="宋体" w:eastAsia="方正小标宋_GBK" w:cs="宋体"/>
          <w:kern w:val="0"/>
          <w:sz w:val="36"/>
          <w:szCs w:val="36"/>
        </w:rPr>
        <w:t>年度县级专项资金绩效目标自评表</w:t>
      </w:r>
    </w:p>
    <w:tbl>
      <w:tblPr>
        <w:tblStyle w:val="4"/>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noWrap w:val="0"/>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工作经费专项资金</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noWrap w:val="0"/>
            <w:vAlign w:val="bottom"/>
          </w:tcPr>
          <w:p>
            <w:pPr>
              <w:widowControl/>
              <w:ind w:firstLine="804" w:firstLineChars="400"/>
              <w:jc w:val="left"/>
              <w:rPr>
                <w:rFonts w:hint="eastAsia" w:ascii="宋体" w:hAnsi="宋体" w:cs="宋体"/>
                <w:kern w:val="0"/>
                <w:sz w:val="18"/>
                <w:szCs w:val="18"/>
                <w:lang w:val="en-US" w:eastAsia="zh-CN"/>
              </w:rPr>
            </w:pPr>
            <w:r>
              <w:rPr>
                <w:rFonts w:hint="eastAsia" w:ascii="宋体" w:hAnsi="宋体" w:cs="宋体"/>
                <w:kern w:val="0"/>
                <w:szCs w:val="21"/>
              </w:rPr>
              <w:t>　</w:t>
            </w:r>
            <w:r>
              <w:rPr>
                <w:rFonts w:hint="eastAsia" w:ascii="宋体" w:hAnsi="宋体" w:cs="宋体"/>
                <w:kern w:val="0"/>
                <w:sz w:val="18"/>
                <w:szCs w:val="18"/>
                <w:lang w:val="en-US" w:eastAsia="zh-CN"/>
              </w:rPr>
              <w:t>廖国军</w:t>
            </w:r>
          </w:p>
          <w:p>
            <w:pPr>
              <w:widowControl/>
              <w:ind w:firstLine="684" w:firstLineChars="400"/>
              <w:jc w:val="left"/>
              <w:rPr>
                <w:rFonts w:hint="eastAsia" w:ascii="宋体" w:hAnsi="Calibri" w:eastAsia="宋体" w:cs="宋体"/>
                <w:kern w:val="0"/>
                <w:szCs w:val="21"/>
                <w:lang w:val="en-US" w:eastAsia="zh-CN"/>
              </w:rPr>
            </w:pPr>
            <w:r>
              <w:rPr>
                <w:rFonts w:hint="eastAsia" w:ascii="宋体" w:hAnsi="宋体" w:cs="宋体"/>
                <w:kern w:val="0"/>
                <w:sz w:val="18"/>
                <w:szCs w:val="18"/>
                <w:lang w:val="en-US" w:eastAsia="zh-CN"/>
              </w:rPr>
              <w:t>15874755578</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衡山县人民政府</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Calibri" w:eastAsia="宋体" w:cs="宋体"/>
                <w:kern w:val="0"/>
                <w:szCs w:val="21"/>
                <w:lang w:eastAsia="zh-CN"/>
              </w:rPr>
            </w:pPr>
            <w:r>
              <w:rPr>
                <w:rFonts w:hint="eastAsia" w:ascii="宋体" w:hAnsi="宋体" w:cs="宋体"/>
                <w:kern w:val="0"/>
                <w:szCs w:val="21"/>
              </w:rPr>
              <w:t>　</w:t>
            </w:r>
            <w:r>
              <w:rPr>
                <w:rFonts w:hint="eastAsia" w:ascii="宋体" w:hAnsi="宋体" w:cs="宋体"/>
                <w:kern w:val="0"/>
                <w:szCs w:val="21"/>
                <w:lang w:eastAsia="zh-CN"/>
              </w:rPr>
              <w:t>衡山县发展和改革局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2000000</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2000000</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2000000</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2000000</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Calibri"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Calibri" w:cs="宋体"/>
                <w:kern w:val="0"/>
                <w:szCs w:val="21"/>
                <w:lang w:val="en-US" w:eastAsia="zh-CN"/>
              </w:rPr>
            </w:pPr>
            <w:r>
              <w:rPr>
                <w:rFonts w:hint="eastAsia" w:ascii="宋体" w:hAnsi="Calibri" w:cs="宋体"/>
                <w:kern w:val="0"/>
                <w:szCs w:val="21"/>
                <w:lang w:val="en-US" w:eastAsia="zh-CN"/>
              </w:rPr>
              <w:t>用于易地扶贫搬迁工作经费、</w:t>
            </w:r>
          </w:p>
          <w:p>
            <w:pPr>
              <w:widowControl/>
              <w:jc w:val="center"/>
              <w:rPr>
                <w:rFonts w:hint="eastAsia" w:ascii="宋体" w:hAnsi="Calibri" w:eastAsia="宋体" w:cs="宋体"/>
                <w:kern w:val="0"/>
                <w:szCs w:val="21"/>
                <w:lang w:val="en-US" w:eastAsia="zh-CN"/>
              </w:rPr>
            </w:pPr>
            <w:r>
              <w:rPr>
                <w:rFonts w:hint="eastAsia" w:ascii="宋体" w:hAnsi="Calibri" w:cs="宋体"/>
                <w:kern w:val="0"/>
                <w:szCs w:val="21"/>
                <w:lang w:val="en-US" w:eastAsia="zh-CN"/>
              </w:rPr>
              <w:t>争资跑项招商引资工资经费</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Calibri" w:cs="宋体"/>
                <w:kern w:val="0"/>
                <w:szCs w:val="21"/>
                <w:lang w:val="en-US" w:eastAsia="zh-CN"/>
              </w:rPr>
            </w:pPr>
            <w:r>
              <w:rPr>
                <w:rFonts w:hint="eastAsia" w:ascii="宋体" w:hAnsi="Calibri" w:cs="宋体"/>
                <w:kern w:val="0"/>
                <w:szCs w:val="21"/>
                <w:lang w:val="en-US" w:eastAsia="zh-CN"/>
              </w:rPr>
              <w:t>用于易地扶贫搬迁工作经费、</w:t>
            </w:r>
          </w:p>
          <w:p>
            <w:pPr>
              <w:widowControl/>
              <w:jc w:val="center"/>
              <w:rPr>
                <w:rFonts w:ascii="仿宋_GB2312" w:hAnsi="宋体" w:eastAsia="仿宋_GB2312" w:cs="宋体"/>
                <w:kern w:val="0"/>
                <w:szCs w:val="21"/>
              </w:rPr>
            </w:pPr>
            <w:r>
              <w:rPr>
                <w:rFonts w:hint="eastAsia" w:ascii="宋体" w:hAnsi="Calibri" w:cs="宋体"/>
                <w:kern w:val="0"/>
                <w:szCs w:val="21"/>
                <w:lang w:val="en-US" w:eastAsia="zh-CN"/>
              </w:rPr>
              <w:t>争资跑项招商引资工资经费</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　</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　</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　</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　</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　</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　</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23"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noWrap w:val="0"/>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说明</w:t>
            </w:r>
          </w:p>
        </w:tc>
        <w:tc>
          <w:tcPr>
            <w:tcW w:w="9291" w:type="dxa"/>
            <w:gridSpan w:val="8"/>
            <w:tcBorders>
              <w:top w:val="single" w:color="auto" w:sz="4" w:space="0"/>
              <w:left w:val="nil"/>
              <w:bottom w:val="nil"/>
              <w:right w:val="single" w:color="000000" w:sz="4" w:space="0"/>
            </w:tcBorders>
            <w:noWrap w:val="0"/>
            <w:vAlign w:val="center"/>
          </w:tcPr>
          <w:p>
            <w:pPr>
              <w:widowControl/>
              <w:jc w:val="center"/>
              <w:rPr>
                <w:rFonts w:hint="eastAsia" w:ascii="仿宋_GB2312" w:hAnsi="宋体" w:eastAsia="仿宋_GB2312" w:cs="宋体"/>
                <w:kern w:val="0"/>
                <w:szCs w:val="21"/>
                <w:lang w:val="en-US" w:eastAsia="zh-CN"/>
              </w:rPr>
            </w:pP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noWrap w:val="0"/>
            <w:vAlign w:val="top"/>
          </w:tcPr>
          <w:p>
            <w:pPr>
              <w:widowControl/>
              <w:ind w:firstLine="402" w:firstLineChars="200"/>
              <w:jc w:val="left"/>
              <w:rPr>
                <w:rFonts w:ascii="仿宋_GB2312" w:hAnsi="宋体" w:eastAsia="仿宋_GB2312" w:cs="宋体"/>
                <w:kern w:val="0"/>
                <w:szCs w:val="21"/>
              </w:rPr>
            </w:pPr>
          </w:p>
          <w:p>
            <w:pPr>
              <w:widowControl/>
              <w:spacing w:line="360" w:lineRule="exact"/>
              <w:ind w:firstLine="402" w:firstLineChars="200"/>
              <w:jc w:val="left"/>
              <w:rPr>
                <w:rFonts w:ascii="仿宋_GB2312" w:hAnsi="宋体" w:eastAsia="仿宋_GB2312" w:cs="宋体"/>
                <w:kern w:val="0"/>
                <w:szCs w:val="21"/>
              </w:rPr>
            </w:pPr>
            <w:r>
              <w:rPr>
                <w:rFonts w:hint="eastAsia" w:ascii="仿宋_GB2312" w:hAnsi="宋体" w:eastAsia="仿宋_GB2312" w:cs="宋体"/>
                <w:kern w:val="0"/>
                <w:szCs w:val="21"/>
              </w:rPr>
              <w:t>注：</w:t>
            </w:r>
            <w:r>
              <w:rPr>
                <w:rFonts w:ascii="仿宋_GB2312" w:hAnsi="宋体" w:eastAsia="仿宋_GB2312" w:cs="宋体"/>
                <w:kern w:val="0"/>
                <w:szCs w:val="21"/>
              </w:rPr>
              <w:t>1</w:t>
            </w:r>
            <w:r>
              <w:rPr>
                <w:rFonts w:hint="eastAsia" w:ascii="仿宋_GB2312" w:hAnsi="宋体" w:eastAsia="仿宋_GB2312" w:cs="宋体"/>
                <w:kern w:val="0"/>
                <w:szCs w:val="21"/>
              </w:rPr>
              <w:t>、其他资金包括和中央、省、市补助、地方财政资金共同投入到同一项目的自有资金、社会资金，以及以前年度的结转结余资金等。</w:t>
            </w:r>
            <w:r>
              <w:rPr>
                <w:rFonts w:ascii="仿宋_GB2312" w:hAnsi="宋体" w:eastAsia="仿宋_GB2312" w:cs="宋体"/>
                <w:kern w:val="0"/>
                <w:szCs w:val="21"/>
              </w:rPr>
              <w:t xml:space="preserve"> </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、定量指标，资金使用单位填写本地区实际完成数。各部门汇总时，对绝对值直接累加计算，相对值按照资金额度加权平均计算。</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、定性指标根据指标完成情况分为：全部或基本达成预期指标、部分达成预期指标并具有一定效果、未达成预期指标且效果较差三档，资金使用单位分别按照</w:t>
            </w:r>
            <w:r>
              <w:rPr>
                <w:rFonts w:ascii="仿宋_GB2312" w:hAnsi="宋体" w:eastAsia="仿宋_GB2312" w:cs="宋体"/>
                <w:kern w:val="0"/>
                <w:szCs w:val="21"/>
              </w:rPr>
              <w:t>100</w:t>
            </w:r>
            <w:r>
              <w:rPr>
                <w:rFonts w:hint="eastAsia" w:ascii="仿宋_GB2312" w:hAnsi="宋体" w:eastAsia="仿宋_GB2312" w:cs="宋体"/>
                <w:kern w:val="0"/>
                <w:szCs w:val="21"/>
              </w:rPr>
              <w:t>％</w:t>
            </w:r>
            <w:r>
              <w:rPr>
                <w:rFonts w:ascii="仿宋_GB2312" w:hAnsi="宋体" w:eastAsia="仿宋_GB2312" w:cs="宋体"/>
                <w:kern w:val="0"/>
                <w:szCs w:val="21"/>
              </w:rPr>
              <w:t>—80</w:t>
            </w:r>
            <w:r>
              <w:rPr>
                <w:rFonts w:hint="eastAsia" w:ascii="仿宋_GB2312" w:hAnsi="宋体" w:eastAsia="仿宋_GB2312" w:cs="宋体"/>
                <w:kern w:val="0"/>
                <w:szCs w:val="21"/>
              </w:rPr>
              <w:t>％（含）、</w:t>
            </w:r>
            <w:r>
              <w:rPr>
                <w:rFonts w:ascii="仿宋_GB2312" w:hAnsi="宋体" w:eastAsia="仿宋_GB2312" w:cs="宋体"/>
                <w:kern w:val="0"/>
                <w:szCs w:val="21"/>
              </w:rPr>
              <w:t>80</w:t>
            </w:r>
            <w:r>
              <w:rPr>
                <w:rFonts w:hint="eastAsia" w:ascii="仿宋_GB2312" w:hAnsi="宋体" w:eastAsia="仿宋_GB2312" w:cs="宋体"/>
                <w:kern w:val="0"/>
                <w:szCs w:val="21"/>
              </w:rPr>
              <w:t>％</w:t>
            </w:r>
            <w:r>
              <w:rPr>
                <w:rFonts w:ascii="仿宋_GB2312" w:hAnsi="宋体" w:eastAsia="仿宋_GB2312" w:cs="宋体"/>
                <w:kern w:val="0"/>
                <w:szCs w:val="21"/>
              </w:rPr>
              <w:t>—60</w:t>
            </w:r>
            <w:r>
              <w:rPr>
                <w:rFonts w:hint="eastAsia" w:ascii="仿宋_GB2312" w:hAnsi="宋体" w:eastAsia="仿宋_GB2312" w:cs="宋体"/>
                <w:kern w:val="0"/>
                <w:szCs w:val="21"/>
              </w:rPr>
              <w:t>％（含）、</w:t>
            </w:r>
            <w:r>
              <w:rPr>
                <w:rFonts w:ascii="仿宋_GB2312" w:hAnsi="宋体" w:eastAsia="仿宋_GB2312" w:cs="宋体"/>
                <w:kern w:val="0"/>
                <w:szCs w:val="21"/>
              </w:rPr>
              <w:t>60</w:t>
            </w:r>
            <w:r>
              <w:rPr>
                <w:rFonts w:hint="eastAsia" w:ascii="仿宋_GB2312" w:hAnsi="宋体" w:eastAsia="仿宋_GB2312" w:cs="宋体"/>
                <w:kern w:val="0"/>
                <w:szCs w:val="21"/>
              </w:rPr>
              <w:t>％</w:t>
            </w:r>
            <w:r>
              <w:rPr>
                <w:rFonts w:ascii="仿宋_GB2312" w:hAnsi="宋体" w:eastAsia="仿宋_GB2312" w:cs="宋体"/>
                <w:kern w:val="0"/>
                <w:szCs w:val="21"/>
              </w:rPr>
              <w:t>—0</w:t>
            </w:r>
            <w:r>
              <w:rPr>
                <w:rFonts w:hint="eastAsia" w:ascii="仿宋_GB2312" w:hAnsi="宋体" w:eastAsia="仿宋_GB2312" w:cs="宋体"/>
                <w:kern w:val="0"/>
                <w:szCs w:val="21"/>
              </w:rPr>
              <w:t>％合理填写完成比例。</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、各主管部门及资金使用单位填写《自评表》并报送同级财政部门审核后，形成县级专项资金《自评表》。</w:t>
            </w:r>
          </w:p>
        </w:tc>
      </w:tr>
    </w:tbl>
    <w:p>
      <w:pPr>
        <w:keepNext w:val="0"/>
        <w:keepLines w:val="0"/>
        <w:pageBreakBefore w:val="0"/>
        <w:kinsoku/>
        <w:wordWrap/>
        <w:overflowPunct/>
        <w:topLinePunct w:val="0"/>
        <w:autoSpaceDE/>
        <w:autoSpaceDN/>
        <w:bidi w:val="0"/>
        <w:adjustRightInd/>
        <w:snapToGrid/>
        <w:spacing w:line="550" w:lineRule="exact"/>
        <w:ind w:left="0"/>
        <w:textAlignment w:val="auto"/>
        <w:rPr>
          <w:rFonts w:eastAsia="仿宋_GB2312"/>
          <w:kern w:val="0"/>
          <w:sz w:val="22"/>
          <w:szCs w:val="22"/>
        </w:rPr>
      </w:pPr>
    </w:p>
    <w:p/>
    <w:sectPr>
      <w:footerReference r:id="rId3" w:type="default"/>
      <w:footerReference r:id="rId4" w:type="even"/>
      <w:pgSz w:w="11906" w:h="16838"/>
      <w:pgMar w:top="1559" w:right="1287" w:bottom="1440" w:left="1622" w:header="851" w:footer="1021" w:gutter="0"/>
      <w:cols w:space="425"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10</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3F2C7"/>
    <w:multiLevelType w:val="singleLevel"/>
    <w:tmpl w:val="3B73F2C7"/>
    <w:lvl w:ilvl="0" w:tentative="0">
      <w:start w:val="6"/>
      <w:numFmt w:val="chineseCounting"/>
      <w:suff w:val="nothing"/>
      <w:lvlText w:val="%1、"/>
      <w:lvlJc w:val="left"/>
      <w:rPr>
        <w:rFonts w:hint="eastAsia"/>
      </w:rPr>
    </w:lvl>
  </w:abstractNum>
  <w:abstractNum w:abstractNumId="1">
    <w:nsid w:val="5FED981E"/>
    <w:multiLevelType w:val="singleLevel"/>
    <w:tmpl w:val="5FED981E"/>
    <w:lvl w:ilvl="0" w:tentative="0">
      <w:start w:val="1"/>
      <w:numFmt w:val="chineseCounting"/>
      <w:suff w:val="nothing"/>
      <w:lvlText w:val="（%1）"/>
      <w:lvlJc w:val="left"/>
      <w:rPr>
        <w:rFonts w:hint="eastAsia"/>
      </w:rPr>
    </w:lvl>
  </w:abstractNum>
  <w:abstractNum w:abstractNumId="2">
    <w:nsid w:val="6B97BEFF"/>
    <w:multiLevelType w:val="singleLevel"/>
    <w:tmpl w:val="6B97BEFF"/>
    <w:lvl w:ilvl="0" w:tentative="0">
      <w:start w:val="1"/>
      <w:numFmt w:val="chineseCounting"/>
      <w:suff w:val="nothing"/>
      <w:lvlText w:val="%1、"/>
      <w:lvlJc w:val="left"/>
      <w:rPr>
        <w:rFonts w:hint="eastAsia"/>
      </w:rPr>
    </w:lvl>
  </w:abstractNum>
  <w:abstractNum w:abstractNumId="3">
    <w:nsid w:val="79F4EAD5"/>
    <w:multiLevelType w:val="singleLevel"/>
    <w:tmpl w:val="79F4EAD5"/>
    <w:lvl w:ilvl="0" w:tentative="0">
      <w:start w:val="2"/>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75241"/>
    <w:rsid w:val="5BF7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6">
    <w:name w:val="page number"/>
    <w:basedOn w:val="5"/>
    <w:qFormat/>
    <w:uiPriority w:val="99"/>
    <w:rPr>
      <w:rFonts w:cs="Times New Roman"/>
    </w:rPr>
  </w:style>
  <w:style w:type="character" w:styleId="7">
    <w:name w:val="Hyperlink"/>
    <w:basedOn w:val="5"/>
    <w:semiHidden/>
    <w:unhideWhenUsed/>
    <w:qFormat/>
    <w:uiPriority w:val="99"/>
    <w:rPr>
      <w:color w:val="333333"/>
      <w:u w:val="none"/>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2021-11-02T09:22:00Z</dcterms:created>
  <dc:creator>谷雨之升</dc:creator>
  <cp:lastModifiedBy>谷雨之升</cp:lastModifiedBy>
  <dcterms:modified xsi:type="dcterms:W3CDTF">2021-11-02T09:23:49Z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