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20</w:t>
      </w:r>
      <w:r>
        <w:rPr>
          <w:rFonts w:hint="eastAsia" w:ascii="方正小标宋_GBK" w:eastAsia="方正小标宋_GBK"/>
          <w:sz w:val="48"/>
          <w:szCs w:val="48"/>
        </w:rPr>
        <w:t>年度部门整体支出绩效自评报告</w:t>
      </w:r>
    </w:p>
    <w:p>
      <w:pPr>
        <w:jc w:val="center"/>
        <w:rPr>
          <w:rFonts w:hint="eastAsia" w:ascii="黑体" w:eastAsia="黑体"/>
          <w:sz w:val="32"/>
          <w:szCs w:val="32"/>
          <w:lang w:eastAsia="zh-CN"/>
        </w:rPr>
      </w:pPr>
    </w:p>
    <w:p>
      <w:pPr>
        <w:jc w:val="center"/>
        <w:rPr>
          <w:rFonts w:hint="eastAsia" w:ascii="黑体" w:eastAsia="黑体"/>
          <w:sz w:val="32"/>
          <w:szCs w:val="32"/>
          <w:lang w:eastAsia="zh-CN"/>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44"/>
          <w:szCs w:val="44"/>
          <w:lang w:val="en-US" w:eastAsia="zh-CN"/>
        </w:rPr>
        <w:t>湖南衡山萱洲国家湿地公园管理处</w:t>
      </w:r>
    </w:p>
    <w:p>
      <w:pPr>
        <w:jc w:val="center"/>
        <w:rPr>
          <w:rFonts w:ascii="黑体" w:eastAsia="黑体"/>
          <w:sz w:val="32"/>
          <w:szCs w:val="32"/>
        </w:rPr>
      </w:pPr>
    </w:p>
    <w:p>
      <w:pPr>
        <w:jc w:val="center"/>
        <w:rPr>
          <w:rFonts w:asci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spacing w:line="600" w:lineRule="exact"/>
        <w:ind w:firstLine="620"/>
        <w:rPr>
          <w:rFonts w:ascii="黑体" w:hAnsi="黑体" w:eastAsia="黑体"/>
          <w:sz w:val="32"/>
          <w:szCs w:val="32"/>
        </w:rPr>
      </w:pPr>
    </w:p>
    <w:p>
      <w:pPr>
        <w:pStyle w:val="6"/>
        <w:widowControl/>
        <w:numPr>
          <w:ilvl w:val="0"/>
          <w:numId w:val="1"/>
        </w:numPr>
        <w:spacing w:line="600" w:lineRule="exact"/>
        <w:ind w:firstLine="620"/>
        <w:rPr>
          <w:rFonts w:hint="eastAsia" w:ascii="黑体" w:hAnsi="黑体" w:eastAsia="黑体"/>
          <w:sz w:val="32"/>
          <w:szCs w:val="32"/>
        </w:rPr>
      </w:pPr>
      <w:r>
        <w:rPr>
          <w:rFonts w:hint="eastAsia" w:ascii="黑体" w:hAnsi="黑体" w:eastAsia="黑体"/>
          <w:sz w:val="32"/>
          <w:szCs w:val="32"/>
        </w:rPr>
        <w:t>部门、单位基本情况</w:t>
      </w:r>
    </w:p>
    <w:p>
      <w:pPr>
        <w:spacing w:line="580" w:lineRule="exact"/>
        <w:ind w:firstLine="600"/>
        <w:rPr>
          <w:rFonts w:hint="eastAsia" w:ascii="宋体" w:hAnsi="宋体"/>
          <w:kern w:val="0"/>
          <w:sz w:val="28"/>
          <w:szCs w:val="28"/>
        </w:rPr>
      </w:pPr>
      <w:r>
        <w:rPr>
          <w:rFonts w:hint="eastAsia" w:ascii="宋体" w:hAnsi="宋体"/>
          <w:kern w:val="0"/>
          <w:sz w:val="28"/>
          <w:szCs w:val="28"/>
        </w:rPr>
        <w:t>（一）部门职责</w:t>
      </w:r>
    </w:p>
    <w:p>
      <w:pPr>
        <w:widowControl/>
        <w:shd w:val="clear" w:color="auto" w:fill="FFFFFF"/>
        <w:wordWrap w:val="0"/>
        <w:spacing w:line="480" w:lineRule="atLeast"/>
        <w:ind w:firstLine="271" w:firstLineChars="100"/>
        <w:jc w:val="left"/>
        <w:rPr>
          <w:rFonts w:hint="eastAsia" w:ascii="宋体" w:hAnsi="宋体"/>
          <w:color w:val="000000"/>
          <w:kern w:val="0"/>
          <w:sz w:val="28"/>
          <w:szCs w:val="28"/>
        </w:rPr>
      </w:pPr>
      <w:r>
        <w:rPr>
          <w:rFonts w:hint="eastAsia" w:ascii="宋体" w:hAnsi="宋体"/>
          <w:color w:val="000000"/>
          <w:kern w:val="0"/>
          <w:sz w:val="28"/>
          <w:szCs w:val="28"/>
          <w:lang w:val="en-US" w:eastAsia="zh-CN"/>
        </w:rPr>
        <w:t>1、</w:t>
      </w:r>
      <w:r>
        <w:rPr>
          <w:rFonts w:hint="eastAsia" w:ascii="宋体" w:hAnsi="宋体"/>
          <w:color w:val="000000"/>
          <w:kern w:val="0"/>
          <w:sz w:val="28"/>
          <w:szCs w:val="28"/>
        </w:rPr>
        <w:t>贯彻执行国家、省、市有关湿地保护的法律、法规、规章和方针政策。</w:t>
      </w:r>
    </w:p>
    <w:p>
      <w:pPr>
        <w:widowControl/>
        <w:shd w:val="clear" w:color="auto" w:fill="FFFFFF"/>
        <w:wordWrap w:val="0"/>
        <w:spacing w:line="480" w:lineRule="atLeast"/>
        <w:jc w:val="left"/>
        <w:rPr>
          <w:rFonts w:hint="eastAsia" w:ascii="宋体" w:hAnsi="宋体"/>
          <w:color w:val="000000"/>
          <w:kern w:val="0"/>
          <w:sz w:val="28"/>
          <w:szCs w:val="28"/>
        </w:rPr>
      </w:pPr>
      <w:r>
        <w:rPr>
          <w:rFonts w:hint="eastAsia" w:ascii="宋体" w:hAnsi="宋体"/>
          <w:color w:val="000000"/>
          <w:kern w:val="0"/>
          <w:sz w:val="28"/>
          <w:szCs w:val="28"/>
        </w:rPr>
        <w:t xml:space="preserve">  2、负责实施湿地公园总体规划；负责制定湿地公园的各项规章制度和管理计划；负责对湿地公园规划控制区内的建设、规划、开发、经营活动进行监管；协调湿地公园与周边乡镇、村（社区）的关系。</w:t>
      </w:r>
    </w:p>
    <w:p>
      <w:pPr>
        <w:widowControl/>
        <w:shd w:val="clear" w:color="auto" w:fill="FFFFFF"/>
        <w:wordWrap w:val="0"/>
        <w:spacing w:line="480" w:lineRule="atLeast"/>
        <w:jc w:val="left"/>
        <w:rPr>
          <w:rFonts w:hint="eastAsia" w:ascii="宋体" w:hAnsi="宋体"/>
          <w:color w:val="000000"/>
          <w:kern w:val="0"/>
          <w:sz w:val="28"/>
          <w:szCs w:val="28"/>
        </w:rPr>
      </w:pPr>
      <w:r>
        <w:rPr>
          <w:rFonts w:hint="eastAsia" w:ascii="宋体" w:hAnsi="宋体"/>
          <w:color w:val="000000"/>
          <w:kern w:val="0"/>
          <w:sz w:val="28"/>
          <w:szCs w:val="28"/>
        </w:rPr>
        <w:t xml:space="preserve">  3、</w:t>
      </w:r>
      <w:r>
        <w:rPr>
          <w:rFonts w:hint="eastAsia" w:ascii="宋体" w:hAnsi="宋体"/>
          <w:color w:val="000000"/>
          <w:sz w:val="28"/>
          <w:szCs w:val="28"/>
          <w:shd w:val="clear" w:color="auto" w:fill="FFFFFF"/>
        </w:rPr>
        <w:t>负责湿地公园内的自然资源和生态环境的保护与管理；负责湿地公园内湿地保护与利用，生态旅游等事务；负责园内野生动植物的救护和疫源疾病的防控工作</w:t>
      </w:r>
      <w:r>
        <w:rPr>
          <w:rFonts w:hint="eastAsia" w:ascii="宋体" w:hAnsi="宋体"/>
          <w:color w:val="000000"/>
          <w:kern w:val="0"/>
          <w:sz w:val="28"/>
          <w:szCs w:val="28"/>
        </w:rPr>
        <w:t>。</w:t>
      </w:r>
    </w:p>
    <w:p>
      <w:pPr>
        <w:widowControl/>
        <w:shd w:val="clear" w:color="auto" w:fill="FFFFFF"/>
        <w:wordWrap w:val="0"/>
        <w:spacing w:line="480" w:lineRule="atLeast"/>
        <w:jc w:val="left"/>
        <w:rPr>
          <w:rFonts w:hint="eastAsia" w:ascii="宋体" w:hAnsi="宋体"/>
          <w:color w:val="000000"/>
          <w:kern w:val="0"/>
          <w:sz w:val="28"/>
          <w:szCs w:val="28"/>
        </w:rPr>
      </w:pPr>
      <w:r>
        <w:rPr>
          <w:rFonts w:hint="eastAsia" w:ascii="宋体" w:hAnsi="宋体"/>
          <w:color w:val="000000"/>
          <w:kern w:val="0"/>
          <w:sz w:val="28"/>
          <w:szCs w:val="28"/>
        </w:rPr>
        <w:t xml:space="preserve">  4、</w:t>
      </w:r>
      <w:r>
        <w:rPr>
          <w:rFonts w:hint="eastAsia" w:ascii="宋体" w:hAnsi="宋体"/>
          <w:color w:val="000000"/>
          <w:sz w:val="28"/>
          <w:szCs w:val="28"/>
          <w:shd w:val="clear" w:color="auto" w:fill="FFFFFF"/>
        </w:rPr>
        <w:t>负责湿地公园资源调查和监测工作；管理湿地科研成果、数据和资料，并按照规定向有关部门报送调查和监测结果</w:t>
      </w:r>
      <w:r>
        <w:rPr>
          <w:rFonts w:hint="eastAsia" w:ascii="宋体" w:hAnsi="宋体"/>
          <w:color w:val="000000"/>
          <w:kern w:val="0"/>
          <w:sz w:val="28"/>
          <w:szCs w:val="28"/>
        </w:rPr>
        <w:t>。</w:t>
      </w:r>
    </w:p>
    <w:p>
      <w:pPr>
        <w:widowControl/>
        <w:shd w:val="clear" w:color="auto" w:fill="FFFFFF"/>
        <w:wordWrap w:val="0"/>
        <w:spacing w:line="480" w:lineRule="atLeast"/>
        <w:jc w:val="left"/>
        <w:rPr>
          <w:rFonts w:hint="eastAsia" w:ascii="宋体" w:hAnsi="宋体"/>
          <w:color w:val="000000"/>
          <w:kern w:val="0"/>
          <w:sz w:val="28"/>
          <w:szCs w:val="28"/>
        </w:rPr>
      </w:pPr>
      <w:r>
        <w:rPr>
          <w:rFonts w:hint="eastAsia" w:ascii="宋体" w:hAnsi="宋体"/>
          <w:color w:val="000000"/>
          <w:kern w:val="0"/>
          <w:sz w:val="28"/>
          <w:szCs w:val="28"/>
        </w:rPr>
        <w:t xml:space="preserve">  5、</w:t>
      </w:r>
      <w:r>
        <w:rPr>
          <w:rFonts w:hint="eastAsia" w:ascii="宋体" w:hAnsi="宋体"/>
          <w:color w:val="000000"/>
          <w:sz w:val="28"/>
          <w:szCs w:val="28"/>
          <w:shd w:val="clear" w:color="auto" w:fill="FFFFFF"/>
        </w:rPr>
        <w:t>负责湿地科学知识的科普教育、参与国际国内湿地保护与利用的交流与合作</w:t>
      </w:r>
      <w:r>
        <w:rPr>
          <w:rFonts w:hint="eastAsia" w:ascii="宋体" w:hAnsi="宋体"/>
          <w:color w:val="000000"/>
          <w:kern w:val="0"/>
          <w:sz w:val="28"/>
          <w:szCs w:val="28"/>
        </w:rPr>
        <w:t>。</w:t>
      </w:r>
    </w:p>
    <w:p>
      <w:pPr>
        <w:widowControl/>
        <w:shd w:val="clear" w:color="auto" w:fill="FFFFFF"/>
        <w:wordWrap w:val="0"/>
        <w:spacing w:line="480" w:lineRule="atLeast"/>
        <w:jc w:val="left"/>
        <w:rPr>
          <w:rFonts w:hint="eastAsia" w:ascii="宋体" w:hAnsi="宋体"/>
          <w:color w:val="000000"/>
          <w:kern w:val="0"/>
          <w:sz w:val="28"/>
          <w:szCs w:val="28"/>
        </w:rPr>
      </w:pPr>
      <w:r>
        <w:rPr>
          <w:rFonts w:hint="eastAsia" w:ascii="宋体" w:hAnsi="宋体"/>
          <w:color w:val="000000"/>
          <w:kern w:val="0"/>
          <w:sz w:val="28"/>
          <w:szCs w:val="28"/>
        </w:rPr>
        <w:t xml:space="preserve">  6、</w:t>
      </w:r>
      <w:r>
        <w:rPr>
          <w:rFonts w:hint="eastAsia" w:ascii="宋体" w:hAnsi="宋体"/>
          <w:color w:val="000000"/>
          <w:sz w:val="28"/>
          <w:szCs w:val="28"/>
          <w:shd w:val="clear" w:color="auto" w:fill="FFFFFF"/>
        </w:rPr>
        <w:t>协助争取、筹措湿地保护、修复、建设和管理资金；对授权的相关资产进行经营、管理、合理开发和综合利用；组织实施湿地公园生态保护修复工程、基础设施配套、生态旅游开发及其它项目，并予以管理</w:t>
      </w:r>
      <w:r>
        <w:rPr>
          <w:rFonts w:hint="eastAsia" w:ascii="宋体" w:hAnsi="宋体"/>
          <w:color w:val="000000"/>
          <w:kern w:val="0"/>
          <w:sz w:val="28"/>
          <w:szCs w:val="28"/>
        </w:rPr>
        <w:t>。</w:t>
      </w:r>
    </w:p>
    <w:p>
      <w:pPr>
        <w:widowControl/>
        <w:shd w:val="clear" w:color="auto" w:fill="FFFFFF"/>
        <w:wordWrap w:val="0"/>
        <w:spacing w:line="480" w:lineRule="atLeast"/>
        <w:jc w:val="left"/>
        <w:rPr>
          <w:rFonts w:hint="eastAsia" w:ascii="宋体" w:hAnsi="宋体"/>
          <w:color w:val="000000"/>
          <w:kern w:val="0"/>
          <w:sz w:val="28"/>
          <w:szCs w:val="28"/>
        </w:rPr>
      </w:pPr>
      <w:r>
        <w:rPr>
          <w:rFonts w:hint="eastAsia" w:ascii="宋体" w:hAnsi="宋体"/>
          <w:color w:val="000000"/>
          <w:kern w:val="0"/>
          <w:sz w:val="28"/>
          <w:szCs w:val="28"/>
        </w:rPr>
        <w:t xml:space="preserve">  7、</w:t>
      </w:r>
      <w:r>
        <w:rPr>
          <w:rFonts w:hint="eastAsia" w:ascii="宋体" w:hAnsi="宋体"/>
          <w:color w:val="000000"/>
          <w:sz w:val="28"/>
          <w:szCs w:val="28"/>
          <w:shd w:val="clear" w:color="auto" w:fill="FFFFFF"/>
        </w:rPr>
        <w:t>配合有关部门做好园区内的林业林政、渔业渔政、环境保护、园林绿化等工作</w:t>
      </w:r>
      <w:r>
        <w:rPr>
          <w:rFonts w:hint="eastAsia" w:ascii="宋体" w:hAnsi="宋体"/>
          <w:color w:val="000000"/>
          <w:kern w:val="0"/>
          <w:sz w:val="28"/>
          <w:szCs w:val="28"/>
        </w:rPr>
        <w:t>。</w:t>
      </w:r>
    </w:p>
    <w:p>
      <w:pPr>
        <w:widowControl/>
        <w:shd w:val="clear" w:color="auto" w:fill="FFFFFF"/>
        <w:wordWrap w:val="0"/>
        <w:spacing w:line="480" w:lineRule="atLeast"/>
        <w:jc w:val="left"/>
        <w:rPr>
          <w:rFonts w:hint="eastAsia" w:ascii="宋体" w:hAnsi="宋体"/>
          <w:color w:val="000000"/>
          <w:kern w:val="0"/>
          <w:sz w:val="28"/>
          <w:szCs w:val="28"/>
        </w:rPr>
      </w:pPr>
      <w:r>
        <w:rPr>
          <w:rFonts w:hint="eastAsia" w:ascii="宋体" w:hAnsi="宋体"/>
          <w:color w:val="000000"/>
          <w:kern w:val="0"/>
          <w:sz w:val="28"/>
          <w:szCs w:val="28"/>
        </w:rPr>
        <w:t xml:space="preserve">  8、完成</w:t>
      </w:r>
      <w:r>
        <w:rPr>
          <w:rFonts w:hint="eastAsia" w:ascii="宋体" w:hAnsi="宋体"/>
          <w:color w:val="000000"/>
          <w:kern w:val="0"/>
          <w:sz w:val="28"/>
          <w:szCs w:val="28"/>
          <w:lang w:val="en-US" w:eastAsia="zh-CN"/>
        </w:rPr>
        <w:t>县委、县</w:t>
      </w:r>
      <w:r>
        <w:rPr>
          <w:rFonts w:hint="eastAsia" w:ascii="宋体" w:hAnsi="宋体"/>
          <w:color w:val="000000"/>
          <w:kern w:val="0"/>
          <w:sz w:val="28"/>
          <w:szCs w:val="28"/>
        </w:rPr>
        <w:t>政府交办的</w:t>
      </w:r>
      <w:r>
        <w:rPr>
          <w:rFonts w:hint="eastAsia" w:ascii="宋体" w:hAnsi="宋体"/>
          <w:color w:val="000000"/>
          <w:kern w:val="0"/>
          <w:sz w:val="28"/>
          <w:szCs w:val="28"/>
          <w:lang w:val="en-US" w:eastAsia="zh-CN"/>
        </w:rPr>
        <w:t>其他任务</w:t>
      </w:r>
      <w:r>
        <w:rPr>
          <w:rFonts w:hint="eastAsia" w:ascii="宋体" w:hAnsi="宋体"/>
          <w:color w:val="000000"/>
          <w:kern w:val="0"/>
          <w:sz w:val="28"/>
          <w:szCs w:val="28"/>
        </w:rPr>
        <w:t>。</w:t>
      </w:r>
    </w:p>
    <w:p>
      <w:pPr>
        <w:spacing w:line="580" w:lineRule="exact"/>
        <w:ind w:firstLine="600"/>
        <w:rPr>
          <w:rFonts w:hint="eastAsia" w:ascii="宋体" w:hAnsi="宋体"/>
          <w:kern w:val="0"/>
          <w:sz w:val="28"/>
          <w:szCs w:val="28"/>
        </w:rPr>
      </w:pPr>
      <w:r>
        <w:rPr>
          <w:rFonts w:hint="eastAsia" w:ascii="宋体" w:hAnsi="宋体"/>
          <w:kern w:val="0"/>
          <w:sz w:val="28"/>
          <w:szCs w:val="28"/>
        </w:rPr>
        <w:t>（二）机构设置情况</w:t>
      </w:r>
    </w:p>
    <w:p>
      <w:pPr>
        <w:widowControl/>
        <w:shd w:val="clear" w:color="auto" w:fill="FFFFFF"/>
        <w:wordWrap w:val="0"/>
        <w:spacing w:line="480" w:lineRule="atLeast"/>
        <w:ind w:firstLine="542" w:firstLineChars="200"/>
        <w:jc w:val="left"/>
        <w:rPr>
          <w:rFonts w:hint="eastAsia" w:ascii="宋体" w:hAnsi="宋体"/>
          <w:color w:val="000000"/>
          <w:kern w:val="0"/>
          <w:sz w:val="28"/>
          <w:szCs w:val="28"/>
        </w:rPr>
      </w:pPr>
      <w:r>
        <w:rPr>
          <w:rFonts w:hint="eastAsia" w:ascii="宋体" w:hAnsi="宋体"/>
          <w:kern w:val="0"/>
          <w:sz w:val="28"/>
          <w:szCs w:val="28"/>
        </w:rPr>
        <w:t>湖南衡山萱洲国家湿地公园管理处内设机构包括：</w:t>
      </w:r>
      <w:r>
        <w:rPr>
          <w:rFonts w:hint="eastAsia" w:ascii="宋体" w:hAnsi="宋体"/>
          <w:color w:val="000000"/>
          <w:kern w:val="0"/>
          <w:sz w:val="28"/>
          <w:szCs w:val="28"/>
        </w:rPr>
        <w:t>办公室、计划财务股、资源保护股、科研监测股、政策法规、科普宣教股6个机构，下设永和与萱洲2个湿地保护管理站。</w:t>
      </w:r>
    </w:p>
    <w:p>
      <w:pPr>
        <w:widowControl/>
        <w:numPr>
          <w:ilvl w:val="0"/>
          <w:numId w:val="2"/>
        </w:numPr>
        <w:shd w:val="clear" w:color="auto" w:fill="FFFFFF"/>
        <w:wordWrap w:val="0"/>
        <w:spacing w:line="480" w:lineRule="atLeast"/>
        <w:ind w:firstLine="542" w:firstLineChars="200"/>
        <w:jc w:val="left"/>
        <w:rPr>
          <w:rFonts w:hint="eastAsia" w:ascii="宋体" w:hAnsi="宋体"/>
          <w:color w:val="000000"/>
          <w:kern w:val="0"/>
          <w:sz w:val="28"/>
          <w:szCs w:val="28"/>
        </w:rPr>
      </w:pPr>
      <w:r>
        <w:rPr>
          <w:rFonts w:hint="eastAsia" w:ascii="宋体" w:hAnsi="宋体"/>
          <w:color w:val="000000"/>
          <w:kern w:val="0"/>
          <w:sz w:val="28"/>
          <w:szCs w:val="28"/>
        </w:rPr>
        <w:t>人员编制情况</w:t>
      </w:r>
    </w:p>
    <w:p>
      <w:pPr>
        <w:widowControl/>
        <w:shd w:val="clear" w:color="auto" w:fill="FFFFFF"/>
        <w:wordWrap w:val="0"/>
        <w:spacing w:line="480" w:lineRule="atLeast"/>
        <w:ind w:firstLine="813" w:firstLineChars="300"/>
        <w:jc w:val="left"/>
        <w:rPr>
          <w:rFonts w:hint="eastAsia" w:ascii="黑体" w:hAnsi="黑体" w:eastAsia="黑体"/>
          <w:sz w:val="32"/>
          <w:szCs w:val="32"/>
        </w:rPr>
      </w:pPr>
      <w:r>
        <w:rPr>
          <w:rFonts w:hint="eastAsia" w:ascii="宋体" w:hAnsi="宋体"/>
          <w:color w:val="000000"/>
          <w:kern w:val="0"/>
          <w:sz w:val="28"/>
          <w:szCs w:val="28"/>
        </w:rPr>
        <w:t>20</w:t>
      </w:r>
      <w:r>
        <w:rPr>
          <w:rFonts w:hint="eastAsia" w:ascii="宋体" w:hAnsi="宋体"/>
          <w:color w:val="000000"/>
          <w:kern w:val="0"/>
          <w:sz w:val="28"/>
          <w:szCs w:val="28"/>
          <w:lang w:val="en-US" w:eastAsia="zh-CN"/>
        </w:rPr>
        <w:t>20</w:t>
      </w:r>
      <w:r>
        <w:rPr>
          <w:rFonts w:hint="eastAsia" w:ascii="宋体" w:hAnsi="宋体"/>
          <w:color w:val="000000"/>
          <w:kern w:val="0"/>
          <w:sz w:val="28"/>
          <w:szCs w:val="28"/>
        </w:rPr>
        <w:t>年末，湖南衡山萱洲国家湿地公园管理处共有全额拨款事业编制25名。年末实有在职人数14人，其中在编</w:t>
      </w:r>
      <w:r>
        <w:rPr>
          <w:rFonts w:hint="eastAsia" w:ascii="宋体" w:hAnsi="宋体"/>
          <w:color w:val="000000"/>
          <w:kern w:val="0"/>
          <w:sz w:val="28"/>
          <w:szCs w:val="28"/>
          <w:lang w:val="en-US" w:eastAsia="zh-CN"/>
        </w:rPr>
        <w:t>10</w:t>
      </w:r>
      <w:r>
        <w:rPr>
          <w:rFonts w:hint="eastAsia" w:ascii="宋体" w:hAnsi="宋体"/>
          <w:color w:val="000000"/>
          <w:kern w:val="0"/>
          <w:sz w:val="28"/>
          <w:szCs w:val="28"/>
        </w:rPr>
        <w:t>人，临聘</w:t>
      </w:r>
      <w:r>
        <w:rPr>
          <w:rFonts w:hint="eastAsia" w:ascii="宋体" w:hAnsi="宋体"/>
          <w:color w:val="000000"/>
          <w:kern w:val="0"/>
          <w:sz w:val="28"/>
          <w:szCs w:val="28"/>
          <w:lang w:val="en-US" w:eastAsia="zh-CN"/>
        </w:rPr>
        <w:t>4</w:t>
      </w:r>
      <w:r>
        <w:rPr>
          <w:rFonts w:hint="eastAsia" w:ascii="宋体" w:hAnsi="宋体"/>
          <w:color w:val="000000"/>
          <w:kern w:val="0"/>
          <w:sz w:val="28"/>
          <w:szCs w:val="28"/>
        </w:rPr>
        <w:t xml:space="preserve">人。  </w:t>
      </w:r>
    </w:p>
    <w:p>
      <w:pPr>
        <w:pStyle w:val="6"/>
        <w:widowControl/>
        <w:numPr>
          <w:ilvl w:val="0"/>
          <w:numId w:val="1"/>
        </w:numPr>
        <w:spacing w:line="600" w:lineRule="exact"/>
        <w:ind w:left="0" w:leftChars="0" w:firstLine="622" w:firstLineChars="200"/>
        <w:rPr>
          <w:rFonts w:hint="eastAsia" w:ascii="黑体" w:hAnsi="黑体" w:eastAsia="黑体"/>
          <w:sz w:val="32"/>
          <w:szCs w:val="32"/>
        </w:rPr>
      </w:pPr>
      <w:r>
        <w:rPr>
          <w:rFonts w:hint="eastAsia" w:ascii="黑体" w:hAnsi="黑体" w:eastAsia="黑体"/>
          <w:sz w:val="32"/>
          <w:szCs w:val="32"/>
        </w:rPr>
        <w:t>基本支出情况</w:t>
      </w:r>
    </w:p>
    <w:p>
      <w:pPr>
        <w:widowControl/>
        <w:ind w:firstLine="542" w:firstLineChars="200"/>
        <w:jc w:val="left"/>
        <w:rPr>
          <w:rFonts w:hint="eastAsia" w:ascii="黑体" w:hAnsi="黑体" w:eastAsia="宋体"/>
          <w:sz w:val="32"/>
          <w:szCs w:val="32"/>
          <w:lang w:eastAsia="zh-CN"/>
        </w:rPr>
      </w:pPr>
      <w:r>
        <w:rPr>
          <w:rFonts w:hint="eastAsia" w:ascii="宋体" w:hAnsi="宋体"/>
          <w:color w:val="000000"/>
          <w:kern w:val="0"/>
          <w:sz w:val="28"/>
          <w:szCs w:val="28"/>
        </w:rPr>
        <w:t>基本支出系保障湖南衡山萱洲国家湿地公园管理处机构正常运转、完成日常工作任务而发生的各项支出，包括用于在职人员基本工资、津贴补贴等人员经费以及办公费、印刷费、水电费、办公设备购置等日常公用经费。20</w:t>
      </w:r>
      <w:r>
        <w:rPr>
          <w:rFonts w:hint="eastAsia" w:ascii="宋体" w:hAnsi="宋体"/>
          <w:color w:val="000000"/>
          <w:kern w:val="0"/>
          <w:sz w:val="28"/>
          <w:szCs w:val="28"/>
          <w:lang w:val="en-US" w:eastAsia="zh-CN"/>
        </w:rPr>
        <w:t>20</w:t>
      </w:r>
      <w:r>
        <w:rPr>
          <w:rFonts w:hint="eastAsia" w:ascii="宋体" w:hAnsi="宋体"/>
          <w:color w:val="000000"/>
          <w:kern w:val="0"/>
          <w:sz w:val="28"/>
          <w:szCs w:val="28"/>
        </w:rPr>
        <w:t>年基本支出</w:t>
      </w:r>
      <w:r>
        <w:rPr>
          <w:rFonts w:hint="eastAsia" w:ascii="宋体" w:hAnsi="宋体"/>
          <w:color w:val="000000"/>
          <w:kern w:val="0"/>
          <w:sz w:val="28"/>
          <w:szCs w:val="28"/>
          <w:lang w:val="en-US" w:eastAsia="zh-CN"/>
        </w:rPr>
        <w:t>84.3</w:t>
      </w:r>
      <w:r>
        <w:rPr>
          <w:rFonts w:hint="eastAsia" w:ascii="宋体" w:hAnsi="宋体"/>
          <w:color w:val="000000"/>
          <w:kern w:val="0"/>
          <w:sz w:val="28"/>
          <w:szCs w:val="28"/>
        </w:rPr>
        <w:t>万元，较上年减少</w:t>
      </w:r>
      <w:r>
        <w:rPr>
          <w:rFonts w:hint="eastAsia" w:ascii="宋体" w:hAnsi="宋体"/>
          <w:color w:val="000000"/>
          <w:kern w:val="0"/>
          <w:sz w:val="28"/>
          <w:szCs w:val="28"/>
          <w:lang w:val="en-US" w:eastAsia="zh-CN"/>
        </w:rPr>
        <w:t>34</w:t>
      </w:r>
      <w:r>
        <w:rPr>
          <w:rFonts w:hint="eastAsia" w:ascii="宋体" w:hAnsi="宋体"/>
          <w:color w:val="000000"/>
          <w:kern w:val="0"/>
          <w:sz w:val="28"/>
          <w:szCs w:val="28"/>
        </w:rPr>
        <w:t>万元，减少</w:t>
      </w:r>
      <w:r>
        <w:rPr>
          <w:rFonts w:hint="eastAsia" w:ascii="宋体" w:hAnsi="宋体"/>
          <w:color w:val="000000"/>
          <w:kern w:val="0"/>
          <w:sz w:val="28"/>
          <w:szCs w:val="28"/>
          <w:lang w:val="en-US" w:eastAsia="zh-CN"/>
        </w:rPr>
        <w:t>28.74</w:t>
      </w:r>
      <w:r>
        <w:rPr>
          <w:rFonts w:hint="eastAsia" w:ascii="宋体" w:hAnsi="宋体"/>
          <w:color w:val="000000"/>
          <w:kern w:val="0"/>
          <w:sz w:val="28"/>
          <w:szCs w:val="28"/>
        </w:rPr>
        <w:t>%。基本支出中人员经费</w:t>
      </w:r>
      <w:r>
        <w:rPr>
          <w:rFonts w:hint="eastAsia" w:ascii="宋体" w:hAnsi="宋体"/>
          <w:color w:val="000000"/>
          <w:kern w:val="0"/>
          <w:sz w:val="28"/>
          <w:szCs w:val="28"/>
          <w:lang w:val="en-US" w:eastAsia="zh-CN"/>
        </w:rPr>
        <w:t>73.03</w:t>
      </w:r>
      <w:r>
        <w:rPr>
          <w:rFonts w:hint="eastAsia" w:ascii="宋体" w:hAnsi="宋体"/>
          <w:color w:val="000000"/>
          <w:kern w:val="0"/>
          <w:sz w:val="28"/>
          <w:szCs w:val="28"/>
        </w:rPr>
        <w:t>万元，占基本支出的</w:t>
      </w:r>
      <w:r>
        <w:rPr>
          <w:rFonts w:hint="eastAsia" w:ascii="宋体" w:hAnsi="宋体"/>
          <w:color w:val="000000"/>
          <w:kern w:val="0"/>
          <w:sz w:val="28"/>
          <w:szCs w:val="28"/>
          <w:lang w:val="en-US" w:eastAsia="zh-CN"/>
        </w:rPr>
        <w:t>86.63</w:t>
      </w:r>
      <w:r>
        <w:rPr>
          <w:rFonts w:hint="eastAsia" w:ascii="宋体" w:hAnsi="宋体"/>
          <w:color w:val="000000"/>
          <w:kern w:val="0"/>
          <w:sz w:val="28"/>
          <w:szCs w:val="28"/>
        </w:rPr>
        <w:t>%，较上年</w:t>
      </w:r>
      <w:r>
        <w:rPr>
          <w:rFonts w:hint="eastAsia" w:ascii="宋体" w:hAnsi="宋体"/>
          <w:color w:val="000000"/>
          <w:kern w:val="0"/>
          <w:sz w:val="28"/>
          <w:szCs w:val="28"/>
          <w:lang w:val="en-US" w:eastAsia="zh-CN"/>
        </w:rPr>
        <w:t>减少40.51</w:t>
      </w:r>
      <w:r>
        <w:rPr>
          <w:rFonts w:hint="eastAsia" w:ascii="宋体" w:hAnsi="宋体"/>
          <w:color w:val="000000"/>
          <w:kern w:val="0"/>
          <w:sz w:val="28"/>
          <w:szCs w:val="28"/>
        </w:rPr>
        <w:t>万元，</w:t>
      </w:r>
      <w:r>
        <w:rPr>
          <w:rFonts w:hint="eastAsia" w:ascii="宋体" w:hAnsi="宋体"/>
          <w:color w:val="000000"/>
          <w:kern w:val="0"/>
          <w:sz w:val="28"/>
          <w:szCs w:val="28"/>
          <w:lang w:val="en-US" w:eastAsia="zh-CN"/>
        </w:rPr>
        <w:t>减少35.68</w:t>
      </w:r>
      <w:r>
        <w:rPr>
          <w:rFonts w:hint="eastAsia" w:ascii="宋体" w:hAnsi="宋体"/>
          <w:color w:val="000000"/>
          <w:kern w:val="0"/>
          <w:sz w:val="28"/>
          <w:szCs w:val="28"/>
        </w:rPr>
        <w:t>%；日常公用经费</w:t>
      </w:r>
      <w:r>
        <w:rPr>
          <w:rFonts w:hint="eastAsia" w:ascii="宋体" w:hAnsi="宋体"/>
          <w:color w:val="000000"/>
          <w:kern w:val="0"/>
          <w:sz w:val="28"/>
          <w:szCs w:val="28"/>
          <w:lang w:val="en-US" w:eastAsia="zh-CN"/>
        </w:rPr>
        <w:t>11.27</w:t>
      </w:r>
      <w:r>
        <w:rPr>
          <w:rFonts w:hint="eastAsia" w:ascii="宋体" w:hAnsi="宋体"/>
          <w:color w:val="000000"/>
          <w:kern w:val="0"/>
          <w:sz w:val="28"/>
          <w:szCs w:val="28"/>
        </w:rPr>
        <w:t>万元，占基本支出的</w:t>
      </w:r>
      <w:r>
        <w:rPr>
          <w:rFonts w:hint="eastAsia" w:ascii="宋体" w:hAnsi="宋体"/>
          <w:color w:val="000000"/>
          <w:kern w:val="0"/>
          <w:sz w:val="28"/>
          <w:szCs w:val="28"/>
          <w:lang w:val="en-US" w:eastAsia="zh-CN"/>
        </w:rPr>
        <w:t>13.37</w:t>
      </w:r>
      <w:r>
        <w:rPr>
          <w:rFonts w:hint="eastAsia" w:ascii="宋体" w:hAnsi="宋体"/>
          <w:color w:val="000000"/>
          <w:kern w:val="0"/>
          <w:sz w:val="28"/>
          <w:szCs w:val="28"/>
        </w:rPr>
        <w:t>%</w:t>
      </w:r>
      <w:r>
        <w:rPr>
          <w:rFonts w:hint="eastAsia" w:ascii="宋体" w:hAnsi="宋体"/>
          <w:color w:val="000000"/>
          <w:kern w:val="0"/>
          <w:sz w:val="28"/>
          <w:szCs w:val="28"/>
          <w:lang w:eastAsia="zh-CN"/>
        </w:rPr>
        <w:t>。</w:t>
      </w:r>
    </w:p>
    <w:p>
      <w:pPr>
        <w:pStyle w:val="6"/>
        <w:widowControl/>
        <w:numPr>
          <w:ilvl w:val="0"/>
          <w:numId w:val="1"/>
        </w:numPr>
        <w:spacing w:line="600" w:lineRule="exact"/>
        <w:ind w:left="0" w:leftChars="0" w:firstLine="622" w:firstLineChars="200"/>
        <w:rPr>
          <w:rFonts w:hint="eastAsia" w:ascii="黑体" w:hAnsi="黑体" w:eastAsia="黑体"/>
          <w:sz w:val="32"/>
          <w:szCs w:val="32"/>
        </w:rPr>
      </w:pPr>
      <w:r>
        <w:rPr>
          <w:rFonts w:hint="eastAsia" w:ascii="黑体" w:hAnsi="黑体" w:eastAsia="黑体"/>
          <w:sz w:val="32"/>
          <w:szCs w:val="32"/>
        </w:rPr>
        <w:t>项目支出情况</w:t>
      </w:r>
    </w:p>
    <w:p>
      <w:pPr>
        <w:widowControl/>
        <w:ind w:firstLine="542" w:firstLineChars="200"/>
        <w:jc w:val="left"/>
        <w:rPr>
          <w:rFonts w:hint="eastAsia" w:ascii="仿宋_GB2312" w:hAnsi="黑体" w:eastAsia="仿宋_GB2312"/>
          <w:sz w:val="32"/>
          <w:szCs w:val="32"/>
          <w:lang w:eastAsia="zh-CN"/>
        </w:rPr>
      </w:pPr>
      <w:r>
        <w:rPr>
          <w:rFonts w:hint="eastAsia" w:ascii="宋体" w:hAnsi="宋体"/>
          <w:color w:val="000000"/>
          <w:kern w:val="0"/>
          <w:sz w:val="28"/>
          <w:szCs w:val="28"/>
        </w:rPr>
        <w:t>项目支出主要是为保障湖南衡山萱洲国家湿地公园建设</w:t>
      </w:r>
      <w:r>
        <w:rPr>
          <w:rFonts w:hint="eastAsia" w:ascii="宋体" w:hAnsi="宋体"/>
          <w:color w:val="000000"/>
          <w:kern w:val="0"/>
          <w:sz w:val="28"/>
          <w:szCs w:val="28"/>
          <w:lang w:val="en-US" w:eastAsia="zh-CN"/>
        </w:rPr>
        <w:t>管理</w:t>
      </w:r>
      <w:r>
        <w:rPr>
          <w:rFonts w:hint="eastAsia" w:ascii="宋体" w:hAnsi="宋体"/>
          <w:color w:val="000000"/>
          <w:kern w:val="0"/>
          <w:sz w:val="28"/>
          <w:szCs w:val="28"/>
        </w:rPr>
        <w:t>工作而发生的支出，20</w:t>
      </w:r>
      <w:r>
        <w:rPr>
          <w:rFonts w:hint="eastAsia" w:ascii="宋体" w:hAnsi="宋体"/>
          <w:color w:val="000000"/>
          <w:kern w:val="0"/>
          <w:sz w:val="28"/>
          <w:szCs w:val="28"/>
          <w:lang w:val="en-US" w:eastAsia="zh-CN"/>
        </w:rPr>
        <w:t>20</w:t>
      </w:r>
      <w:r>
        <w:rPr>
          <w:rFonts w:hint="eastAsia" w:ascii="宋体" w:hAnsi="宋体"/>
          <w:color w:val="000000"/>
          <w:kern w:val="0"/>
          <w:sz w:val="28"/>
          <w:szCs w:val="28"/>
        </w:rPr>
        <w:t>年湖南衡山萱洲国家湿地公园建设</w:t>
      </w:r>
      <w:r>
        <w:rPr>
          <w:rFonts w:hint="eastAsia" w:ascii="宋体" w:hAnsi="宋体"/>
          <w:color w:val="000000"/>
          <w:kern w:val="0"/>
          <w:sz w:val="28"/>
          <w:szCs w:val="28"/>
          <w:lang w:val="en-US" w:eastAsia="zh-CN"/>
        </w:rPr>
        <w:t>管理</w:t>
      </w:r>
      <w:r>
        <w:rPr>
          <w:rFonts w:hint="eastAsia" w:ascii="宋体" w:hAnsi="宋体"/>
          <w:color w:val="000000"/>
          <w:kern w:val="0"/>
          <w:sz w:val="28"/>
          <w:szCs w:val="28"/>
        </w:rPr>
        <w:t>工作主要对退耕还湿项目</w:t>
      </w:r>
      <w:r>
        <w:rPr>
          <w:rFonts w:hint="eastAsia" w:ascii="宋体" w:hAnsi="宋体"/>
          <w:color w:val="000000"/>
          <w:kern w:val="0"/>
          <w:sz w:val="28"/>
          <w:szCs w:val="28"/>
          <w:lang w:val="en-US" w:eastAsia="zh-CN"/>
        </w:rPr>
        <w:t>灾后恢复重建</w:t>
      </w:r>
      <w:r>
        <w:rPr>
          <w:rFonts w:hint="eastAsia" w:ascii="宋体" w:hAnsi="宋体"/>
          <w:color w:val="000000"/>
          <w:kern w:val="0"/>
          <w:sz w:val="28"/>
          <w:szCs w:val="28"/>
        </w:rPr>
        <w:t>、湿地广场</w:t>
      </w:r>
      <w:r>
        <w:rPr>
          <w:rFonts w:hint="eastAsia" w:ascii="宋体" w:hAnsi="宋体"/>
          <w:color w:val="000000"/>
          <w:kern w:val="0"/>
          <w:sz w:val="28"/>
          <w:szCs w:val="28"/>
          <w:lang w:val="en-US" w:eastAsia="zh-CN"/>
        </w:rPr>
        <w:t>二期巡护栈桥</w:t>
      </w:r>
      <w:r>
        <w:rPr>
          <w:rFonts w:hint="eastAsia" w:ascii="宋体" w:hAnsi="宋体"/>
          <w:color w:val="000000"/>
          <w:kern w:val="0"/>
          <w:sz w:val="28"/>
          <w:szCs w:val="28"/>
        </w:rPr>
        <w:t>项目</w:t>
      </w:r>
      <w:r>
        <w:rPr>
          <w:rFonts w:hint="eastAsia" w:ascii="宋体" w:hAnsi="宋体"/>
          <w:color w:val="000000"/>
          <w:kern w:val="0"/>
          <w:sz w:val="28"/>
          <w:szCs w:val="28"/>
          <w:lang w:val="en-US" w:eastAsia="zh-CN"/>
        </w:rPr>
        <w:t>建设</w:t>
      </w:r>
      <w:r>
        <w:rPr>
          <w:rFonts w:hint="eastAsia" w:ascii="宋体" w:hAnsi="宋体"/>
          <w:color w:val="000000"/>
          <w:kern w:val="0"/>
          <w:sz w:val="28"/>
          <w:szCs w:val="28"/>
        </w:rPr>
        <w:t>、湿地管护站、湿地科普宣教项目及湿地科研监测项目进行具体的项目实施工作。20</w:t>
      </w:r>
      <w:r>
        <w:rPr>
          <w:rFonts w:hint="eastAsia" w:ascii="宋体" w:hAnsi="宋体"/>
          <w:color w:val="000000"/>
          <w:kern w:val="0"/>
          <w:sz w:val="28"/>
          <w:szCs w:val="28"/>
          <w:lang w:val="en-US" w:eastAsia="zh-CN"/>
        </w:rPr>
        <w:t>20</w:t>
      </w:r>
      <w:r>
        <w:rPr>
          <w:rFonts w:hint="eastAsia" w:ascii="宋体" w:hAnsi="宋体"/>
          <w:color w:val="000000"/>
          <w:kern w:val="0"/>
          <w:sz w:val="28"/>
          <w:szCs w:val="28"/>
        </w:rPr>
        <w:t>年项目支出</w:t>
      </w:r>
      <w:r>
        <w:rPr>
          <w:rFonts w:hint="eastAsia" w:ascii="宋体" w:hAnsi="宋体"/>
          <w:color w:val="000000"/>
          <w:kern w:val="0"/>
          <w:sz w:val="28"/>
          <w:szCs w:val="28"/>
          <w:lang w:val="en-US" w:eastAsia="zh-CN"/>
        </w:rPr>
        <w:t>534</w:t>
      </w:r>
      <w:r>
        <w:rPr>
          <w:rFonts w:hint="eastAsia" w:ascii="宋体" w:hAnsi="宋体"/>
          <w:color w:val="000000"/>
          <w:kern w:val="0"/>
          <w:sz w:val="28"/>
          <w:szCs w:val="28"/>
        </w:rPr>
        <w:t>万元</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包括上年未结工程项目款，实际2020年项目支出250万元），总体</w:t>
      </w:r>
      <w:r>
        <w:rPr>
          <w:rFonts w:hint="eastAsia" w:ascii="宋体" w:hAnsi="宋体"/>
          <w:color w:val="000000"/>
          <w:kern w:val="0"/>
          <w:sz w:val="28"/>
          <w:szCs w:val="28"/>
        </w:rPr>
        <w:t>比上年</w:t>
      </w:r>
      <w:r>
        <w:rPr>
          <w:rFonts w:hint="eastAsia" w:ascii="宋体" w:hAnsi="宋体"/>
          <w:color w:val="000000"/>
          <w:kern w:val="0"/>
          <w:sz w:val="28"/>
          <w:szCs w:val="28"/>
          <w:lang w:val="en-US" w:eastAsia="zh-CN"/>
        </w:rPr>
        <w:t>减少11.01</w:t>
      </w:r>
      <w:r>
        <w:rPr>
          <w:rFonts w:hint="eastAsia" w:ascii="宋体" w:hAnsi="宋体"/>
          <w:color w:val="000000"/>
          <w:kern w:val="0"/>
          <w:sz w:val="28"/>
          <w:szCs w:val="28"/>
        </w:rPr>
        <w:t>万元，</w:t>
      </w:r>
      <w:r>
        <w:rPr>
          <w:rFonts w:hint="eastAsia" w:ascii="宋体" w:hAnsi="宋体"/>
          <w:color w:val="000000"/>
          <w:kern w:val="0"/>
          <w:sz w:val="28"/>
          <w:szCs w:val="28"/>
          <w:lang w:val="en-US" w:eastAsia="zh-CN"/>
        </w:rPr>
        <w:t>减少2</w:t>
      </w:r>
      <w:r>
        <w:rPr>
          <w:rFonts w:hint="eastAsia" w:ascii="宋体" w:hAnsi="宋体"/>
          <w:color w:val="000000"/>
          <w:kern w:val="0"/>
          <w:sz w:val="28"/>
          <w:szCs w:val="28"/>
        </w:rPr>
        <w:t>%。</w:t>
      </w:r>
      <w:r>
        <w:rPr>
          <w:rFonts w:hint="eastAsia" w:ascii="宋体" w:hAnsi="宋体"/>
          <w:color w:val="000000"/>
          <w:kern w:val="0"/>
          <w:sz w:val="28"/>
          <w:szCs w:val="28"/>
          <w:lang w:val="en-US" w:eastAsia="zh-CN"/>
        </w:rPr>
        <w:t>其中：县级资金全年预算数195万元，全年执行数186.5万元，执行率95.64%。中央、省市补助资金全年预算数65万元，全年执行数63.5万元，执行率97.69%。</w:t>
      </w:r>
    </w:p>
    <w:p>
      <w:pPr>
        <w:widowControl/>
        <w:numPr>
          <w:ilvl w:val="0"/>
          <w:numId w:val="1"/>
        </w:numPr>
        <w:spacing w:line="600" w:lineRule="exact"/>
        <w:ind w:left="0" w:leftChars="0" w:firstLine="622" w:firstLineChars="200"/>
        <w:jc w:val="left"/>
        <w:rPr>
          <w:rFonts w:hint="eastAsia" w:ascii="黑体" w:hAnsi="黑体" w:eastAsia="黑体"/>
          <w:sz w:val="32"/>
          <w:szCs w:val="32"/>
        </w:rPr>
      </w:pPr>
      <w:r>
        <w:rPr>
          <w:rFonts w:hint="eastAsia" w:ascii="黑体" w:hAnsi="黑体" w:eastAsia="黑体"/>
          <w:sz w:val="32"/>
          <w:szCs w:val="32"/>
        </w:rPr>
        <w:t>部门整体支出绩效情况</w:t>
      </w:r>
    </w:p>
    <w:p>
      <w:pPr>
        <w:widowControl/>
        <w:numPr>
          <w:ilvl w:val="0"/>
          <w:numId w:val="0"/>
        </w:numPr>
        <w:spacing w:line="600" w:lineRule="exact"/>
        <w:ind w:firstLine="542" w:firstLineChars="200"/>
        <w:jc w:val="left"/>
        <w:rPr>
          <w:rFonts w:hint="eastAsia" w:ascii="宋体" w:hAnsi="宋体"/>
          <w:color w:val="000000"/>
          <w:kern w:val="0"/>
          <w:sz w:val="28"/>
          <w:szCs w:val="28"/>
          <w:lang w:eastAsia="zh-CN"/>
        </w:rPr>
      </w:pPr>
      <w:r>
        <w:rPr>
          <w:rFonts w:hint="eastAsia" w:ascii="宋体" w:hAnsi="宋体"/>
          <w:color w:val="000000"/>
          <w:kern w:val="0"/>
          <w:sz w:val="28"/>
          <w:szCs w:val="28"/>
        </w:rPr>
        <w:t>20</w:t>
      </w:r>
      <w:r>
        <w:rPr>
          <w:rFonts w:hint="eastAsia" w:ascii="宋体" w:hAnsi="宋体"/>
          <w:color w:val="000000"/>
          <w:kern w:val="0"/>
          <w:sz w:val="28"/>
          <w:szCs w:val="28"/>
          <w:lang w:val="en-US" w:eastAsia="zh-CN"/>
        </w:rPr>
        <w:t>20</w:t>
      </w:r>
      <w:r>
        <w:rPr>
          <w:rFonts w:hint="eastAsia" w:ascii="宋体" w:hAnsi="宋体"/>
          <w:color w:val="000000"/>
          <w:kern w:val="0"/>
          <w:sz w:val="28"/>
          <w:szCs w:val="28"/>
        </w:rPr>
        <w:t>年，湖南衡山萱洲国家湿地公园管理处坚持以习近平新时代中国特色社会主义思想为指导，全面贯彻落实党中央和省、市、县政府决策部署，积履行职责</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2020年</w:t>
      </w:r>
      <w:r>
        <w:rPr>
          <w:rFonts w:hint="eastAsia" w:ascii="宋体" w:hAnsi="宋体"/>
          <w:color w:val="000000"/>
          <w:kern w:val="0"/>
          <w:sz w:val="28"/>
          <w:szCs w:val="28"/>
          <w:lang w:eastAsia="zh-CN"/>
        </w:rPr>
        <w:t>将管理处“绿水绕青山候鸟变留鸟——湖南衡山国家湿地公园‘双长’共治改革探索”的案例，成功向省委改革办申报“湖南基层改革探索100例”；完成湿地广场二期巡护栈桥项目建设；</w:t>
      </w:r>
      <w:r>
        <w:rPr>
          <w:rFonts w:hint="eastAsia" w:ascii="宋体" w:hAnsi="宋体"/>
          <w:color w:val="000000"/>
          <w:kern w:val="0"/>
          <w:sz w:val="28"/>
          <w:szCs w:val="28"/>
          <w:lang w:val="en-US" w:eastAsia="zh-CN"/>
        </w:rPr>
        <w:t>完成</w:t>
      </w:r>
      <w:r>
        <w:rPr>
          <w:rFonts w:hint="eastAsia" w:ascii="宋体" w:hAnsi="宋体"/>
          <w:color w:val="000000"/>
          <w:kern w:val="0"/>
          <w:sz w:val="28"/>
          <w:szCs w:val="28"/>
          <w:lang w:eastAsia="zh-CN"/>
        </w:rPr>
        <w:t>衡山县退耕还林还湿项目灾后恢复重建。</w:t>
      </w:r>
    </w:p>
    <w:p>
      <w:pPr>
        <w:widowControl/>
        <w:numPr>
          <w:ilvl w:val="0"/>
          <w:numId w:val="0"/>
        </w:numPr>
        <w:ind w:leftChars="0" w:firstLine="542" w:firstLineChars="200"/>
        <w:jc w:val="left"/>
        <w:rPr>
          <w:rFonts w:hint="eastAsia" w:ascii="宋体" w:hAnsi="宋体"/>
          <w:color w:val="000000"/>
          <w:kern w:val="0"/>
          <w:sz w:val="28"/>
          <w:szCs w:val="28"/>
        </w:rPr>
      </w:pPr>
      <w:r>
        <w:rPr>
          <w:rFonts w:hint="eastAsia" w:ascii="宋体" w:hAnsi="宋体"/>
          <w:color w:val="000000"/>
          <w:kern w:val="0"/>
          <w:sz w:val="28"/>
          <w:szCs w:val="28"/>
          <w:lang w:val="en-US" w:eastAsia="zh-CN"/>
        </w:rPr>
        <w:t>1、</w:t>
      </w:r>
      <w:r>
        <w:rPr>
          <w:rFonts w:hint="eastAsia" w:ascii="宋体" w:hAnsi="宋体"/>
          <w:color w:val="000000"/>
          <w:kern w:val="0"/>
          <w:sz w:val="28"/>
          <w:szCs w:val="28"/>
        </w:rPr>
        <w:t>打造良好区域生态湿地系统，有效保障区域生态平衡。</w:t>
      </w:r>
    </w:p>
    <w:p>
      <w:pPr>
        <w:widowControl/>
        <w:ind w:firstLine="542" w:firstLineChars="200"/>
        <w:jc w:val="left"/>
        <w:rPr>
          <w:rFonts w:hint="eastAsia" w:ascii="宋体" w:hAnsi="宋体"/>
          <w:b/>
          <w:bCs/>
          <w:color w:val="000000"/>
          <w:kern w:val="0"/>
          <w:sz w:val="28"/>
          <w:szCs w:val="28"/>
        </w:rPr>
      </w:pPr>
      <w:r>
        <w:rPr>
          <w:rFonts w:hint="eastAsia" w:ascii="宋体" w:hAnsi="宋体"/>
          <w:color w:val="000000"/>
          <w:kern w:val="0"/>
          <w:sz w:val="28"/>
          <w:szCs w:val="28"/>
        </w:rPr>
        <w:t>湖南衡山萱洲国家湿地公园建设</w:t>
      </w:r>
      <w:r>
        <w:rPr>
          <w:rFonts w:hint="eastAsia" w:ascii="宋体" w:hAnsi="宋体"/>
          <w:color w:val="000000"/>
          <w:kern w:val="0"/>
          <w:sz w:val="28"/>
          <w:szCs w:val="28"/>
          <w:lang w:val="en-US" w:eastAsia="zh-CN"/>
        </w:rPr>
        <w:t>管理工作</w:t>
      </w:r>
      <w:r>
        <w:rPr>
          <w:rFonts w:hint="eastAsia" w:ascii="宋体" w:hAnsi="宋体"/>
          <w:color w:val="000000"/>
          <w:kern w:val="0"/>
          <w:sz w:val="28"/>
          <w:szCs w:val="28"/>
        </w:rPr>
        <w:t>，一是通过改善水质环境，为鱼类“三场一通道”保护提供良好的生态环境，对鱼类种质资源保护具有重要意义；二是通过采取一系列的生态保护和湿地恢复工程措施，增加了生物栖息地的面积，改善现有生物栖息地环境，有利于保护生物多样性；三是通过优化湿地类型，提高湿地质量，增加了生态系统服务价值，不断完善湿地生态系统。同时也提高了湿地生态系统涵养水源、均化洪水的能力。</w:t>
      </w:r>
    </w:p>
    <w:p>
      <w:pPr>
        <w:widowControl/>
        <w:ind w:firstLine="542" w:firstLineChars="200"/>
        <w:jc w:val="left"/>
        <w:rPr>
          <w:rFonts w:hint="eastAsia" w:ascii="宋体" w:hAnsi="宋体"/>
          <w:sz w:val="28"/>
          <w:szCs w:val="28"/>
        </w:rPr>
      </w:pPr>
      <w:r>
        <w:rPr>
          <w:rFonts w:hint="eastAsia" w:ascii="宋体" w:hAnsi="宋体"/>
          <w:color w:val="000000"/>
          <w:kern w:val="0"/>
          <w:sz w:val="28"/>
          <w:szCs w:val="28"/>
        </w:rPr>
        <w:t>2、推进湿地文化传播，加快生态文明建设步伐。</w:t>
      </w:r>
    </w:p>
    <w:p>
      <w:pPr>
        <w:widowControl/>
        <w:ind w:firstLine="542" w:firstLineChars="200"/>
        <w:jc w:val="left"/>
        <w:rPr>
          <w:rFonts w:hint="eastAsia" w:ascii="宋体" w:hAnsi="宋体"/>
          <w:color w:val="000000"/>
          <w:kern w:val="0"/>
          <w:sz w:val="28"/>
          <w:szCs w:val="28"/>
        </w:rPr>
      </w:pPr>
      <w:r>
        <w:rPr>
          <w:rFonts w:hint="eastAsia" w:ascii="宋体" w:hAnsi="宋体"/>
          <w:color w:val="000000"/>
          <w:kern w:val="0"/>
          <w:sz w:val="28"/>
          <w:szCs w:val="28"/>
        </w:rPr>
        <w:t>湖南衡山萱洲国家湿地公园建设</w:t>
      </w:r>
      <w:r>
        <w:rPr>
          <w:rFonts w:hint="eastAsia" w:ascii="宋体" w:hAnsi="宋体"/>
          <w:color w:val="000000"/>
          <w:kern w:val="0"/>
          <w:sz w:val="28"/>
          <w:szCs w:val="28"/>
          <w:lang w:val="en-US" w:eastAsia="zh-CN"/>
        </w:rPr>
        <w:t>管理工作</w:t>
      </w:r>
      <w:r>
        <w:rPr>
          <w:rFonts w:hint="eastAsia" w:ascii="宋体" w:hAnsi="宋体"/>
          <w:color w:val="000000"/>
          <w:kern w:val="0"/>
          <w:sz w:val="28"/>
          <w:szCs w:val="28"/>
        </w:rPr>
        <w:t>，通过湿地公园</w:t>
      </w:r>
      <w:r>
        <w:rPr>
          <w:rFonts w:hint="eastAsia" w:ascii="宋体" w:hAnsi="宋体"/>
          <w:color w:val="000000"/>
          <w:kern w:val="0"/>
          <w:sz w:val="28"/>
          <w:szCs w:val="28"/>
          <w:lang w:val="en-US" w:eastAsia="zh-CN"/>
        </w:rPr>
        <w:t>日常</w:t>
      </w:r>
      <w:r>
        <w:rPr>
          <w:rFonts w:hint="eastAsia" w:ascii="宋体" w:hAnsi="宋体"/>
          <w:color w:val="000000"/>
          <w:kern w:val="0"/>
          <w:sz w:val="28"/>
          <w:szCs w:val="28"/>
        </w:rPr>
        <w:t>科普宣教</w:t>
      </w:r>
      <w:r>
        <w:rPr>
          <w:rFonts w:hint="eastAsia" w:ascii="宋体" w:hAnsi="宋体"/>
          <w:color w:val="000000"/>
          <w:kern w:val="0"/>
          <w:sz w:val="28"/>
          <w:szCs w:val="28"/>
          <w:lang w:val="en-US" w:eastAsia="zh-CN"/>
        </w:rPr>
        <w:t>工作</w:t>
      </w:r>
      <w:r>
        <w:rPr>
          <w:rFonts w:hint="eastAsia" w:ascii="宋体" w:hAnsi="宋体"/>
          <w:color w:val="000000"/>
          <w:kern w:val="0"/>
          <w:sz w:val="28"/>
          <w:szCs w:val="28"/>
        </w:rPr>
        <w:t>，大力推进生态自然教育，组织开展了一系列线上和线下、室内室外、传统媒体和自媒体等形式的湿地科普宣教活动，丰富了群众的湿地文化知识</w:t>
      </w:r>
      <w:r>
        <w:rPr>
          <w:rFonts w:hint="eastAsia" w:ascii="宋体" w:hAnsi="宋体"/>
          <w:color w:val="000000"/>
          <w:kern w:val="0"/>
          <w:sz w:val="28"/>
          <w:szCs w:val="28"/>
          <w:lang w:val="en-US" w:eastAsia="zh-CN"/>
        </w:rPr>
        <w:t>和保护湿地、保护生态环境的意识</w:t>
      </w:r>
      <w:r>
        <w:rPr>
          <w:rFonts w:hint="eastAsia" w:ascii="宋体" w:hAnsi="宋体"/>
          <w:color w:val="000000"/>
          <w:kern w:val="0"/>
          <w:sz w:val="28"/>
          <w:szCs w:val="28"/>
        </w:rPr>
        <w:t>，对推进精神文明建设具有重要意义。</w:t>
      </w:r>
    </w:p>
    <w:p>
      <w:pPr>
        <w:widowControl/>
        <w:ind w:firstLine="542" w:firstLineChars="200"/>
        <w:jc w:val="left"/>
        <w:rPr>
          <w:rFonts w:hint="eastAsia" w:ascii="宋体" w:hAnsi="宋体"/>
          <w:sz w:val="28"/>
          <w:szCs w:val="28"/>
        </w:rPr>
      </w:pPr>
      <w:r>
        <w:rPr>
          <w:rFonts w:hint="eastAsia" w:ascii="宋体" w:hAnsi="宋体"/>
          <w:color w:val="000000"/>
          <w:kern w:val="0"/>
          <w:sz w:val="28"/>
          <w:szCs w:val="28"/>
        </w:rPr>
        <w:t xml:space="preserve">3、促进第三产业发展，提高区域农户经济收入。 </w:t>
      </w:r>
    </w:p>
    <w:p>
      <w:pPr>
        <w:widowControl/>
        <w:spacing w:line="600" w:lineRule="exact"/>
        <w:ind w:firstLine="542" w:firstLineChars="200"/>
        <w:jc w:val="left"/>
        <w:rPr>
          <w:rFonts w:hint="eastAsia" w:ascii="宋体" w:hAnsi="宋体"/>
          <w:color w:val="000000"/>
          <w:kern w:val="0"/>
          <w:sz w:val="28"/>
          <w:szCs w:val="28"/>
        </w:rPr>
      </w:pPr>
      <w:r>
        <w:rPr>
          <w:rFonts w:hint="eastAsia" w:ascii="宋体" w:hAnsi="宋体"/>
          <w:color w:val="000000"/>
          <w:kern w:val="0"/>
          <w:sz w:val="28"/>
          <w:szCs w:val="28"/>
        </w:rPr>
        <w:t>湖南衡山萱洲国家湿地公园建设</w:t>
      </w:r>
      <w:r>
        <w:rPr>
          <w:rFonts w:hint="eastAsia" w:ascii="宋体" w:hAnsi="宋体"/>
          <w:color w:val="000000"/>
          <w:kern w:val="0"/>
          <w:sz w:val="28"/>
          <w:szCs w:val="28"/>
          <w:lang w:val="en-US" w:eastAsia="zh-CN"/>
        </w:rPr>
        <w:t>管理</w:t>
      </w:r>
      <w:r>
        <w:rPr>
          <w:rFonts w:hint="eastAsia" w:ascii="宋体" w:hAnsi="宋体"/>
          <w:color w:val="000000"/>
          <w:kern w:val="0"/>
          <w:sz w:val="28"/>
          <w:szCs w:val="28"/>
        </w:rPr>
        <w:t>过程中，随着科研、宣传工作的不断深化和生态旅游的发展，湿地公园成为了对外交流的重要窗口。一是直接提高了衡山县的知名度，吸引诸多专家、学者、游客及媒体都纷至沓来；二是开展生态旅游，带动了与旅游业相关的吃、住、行、购、娱等第三产业的发展，促进了地方区域经济发展，为当地居民提供了更多的就业机会，增加了收入来源。</w:t>
      </w:r>
    </w:p>
    <w:p>
      <w:pPr>
        <w:widowControl/>
        <w:spacing w:line="600" w:lineRule="exact"/>
        <w:ind w:firstLine="542" w:firstLineChars="200"/>
        <w:jc w:val="left"/>
        <w:rPr>
          <w:rFonts w:hint="eastAsia" w:ascii="宋体" w:hAnsi="宋体"/>
          <w:color w:val="000000"/>
          <w:kern w:val="0"/>
          <w:sz w:val="28"/>
          <w:szCs w:val="28"/>
        </w:rPr>
      </w:pPr>
      <w:r>
        <w:rPr>
          <w:rFonts w:hint="eastAsia" w:ascii="宋体" w:hAnsi="宋体"/>
          <w:color w:val="000000"/>
          <w:kern w:val="0"/>
          <w:sz w:val="28"/>
          <w:szCs w:val="28"/>
        </w:rPr>
        <w:t>4、人居环境日益改善，居民生活品质显著提高。</w:t>
      </w:r>
    </w:p>
    <w:p>
      <w:pPr>
        <w:widowControl/>
        <w:spacing w:line="600" w:lineRule="exact"/>
        <w:ind w:firstLine="542" w:firstLineChars="200"/>
        <w:jc w:val="left"/>
        <w:rPr>
          <w:rFonts w:hint="eastAsia" w:ascii="宋体" w:hAnsi="宋体"/>
          <w:sz w:val="28"/>
          <w:szCs w:val="28"/>
        </w:rPr>
      </w:pPr>
      <w:r>
        <w:rPr>
          <w:rFonts w:hint="eastAsia" w:ascii="宋体" w:hAnsi="宋体"/>
          <w:color w:val="000000"/>
          <w:kern w:val="0"/>
          <w:sz w:val="28"/>
          <w:szCs w:val="28"/>
        </w:rPr>
        <w:t>湖南衡山萱洲国家湿地公园建设</w:t>
      </w:r>
      <w:r>
        <w:rPr>
          <w:rFonts w:hint="eastAsia" w:ascii="宋体" w:hAnsi="宋体"/>
          <w:color w:val="000000"/>
          <w:kern w:val="0"/>
          <w:sz w:val="28"/>
          <w:szCs w:val="28"/>
          <w:lang w:val="en-US" w:eastAsia="zh-CN"/>
        </w:rPr>
        <w:t>管理</w:t>
      </w:r>
      <w:r>
        <w:rPr>
          <w:rFonts w:hint="eastAsia" w:ascii="宋体" w:hAnsi="宋体"/>
          <w:color w:val="000000"/>
          <w:kern w:val="0"/>
          <w:sz w:val="28"/>
          <w:szCs w:val="28"/>
        </w:rPr>
        <w:t>，通过积极引导群众进行生产经营方式的转变，降低污染源，提高其环境卫生意识，改善了农村面貌，促进了区域居民生活环境日益改善，实现环境的良性循环。</w:t>
      </w:r>
    </w:p>
    <w:p>
      <w:pPr>
        <w:widowControl/>
        <w:numPr>
          <w:ilvl w:val="0"/>
          <w:numId w:val="1"/>
        </w:numPr>
        <w:spacing w:line="600" w:lineRule="exact"/>
        <w:ind w:left="0" w:leftChars="0" w:firstLine="622" w:firstLineChars="200"/>
        <w:jc w:val="left"/>
        <w:rPr>
          <w:rFonts w:hint="eastAsia" w:ascii="黑体" w:hAnsi="黑体" w:eastAsia="黑体"/>
          <w:sz w:val="32"/>
          <w:szCs w:val="32"/>
        </w:rPr>
      </w:pPr>
      <w:r>
        <w:rPr>
          <w:rFonts w:hint="eastAsia" w:ascii="黑体" w:hAnsi="黑体" w:eastAsia="黑体"/>
          <w:sz w:val="32"/>
          <w:szCs w:val="32"/>
        </w:rPr>
        <w:t>存在的主要问题及下一步改进措施</w:t>
      </w:r>
    </w:p>
    <w:p>
      <w:pPr>
        <w:widowControl/>
        <w:shd w:val="clear" w:color="auto" w:fill="FFFFFF"/>
        <w:spacing w:line="450" w:lineRule="atLeast"/>
        <w:ind w:firstLine="660"/>
        <w:jc w:val="left"/>
        <w:rPr>
          <w:rFonts w:hint="eastAsia" w:ascii="宋体" w:hAnsi="宋体"/>
          <w:color w:val="333333"/>
          <w:kern w:val="0"/>
          <w:sz w:val="28"/>
          <w:szCs w:val="28"/>
        </w:rPr>
      </w:pPr>
      <w:r>
        <w:rPr>
          <w:rFonts w:hint="eastAsia" w:ascii="宋体" w:hAnsi="宋体"/>
          <w:color w:val="333333"/>
          <w:kern w:val="0"/>
          <w:sz w:val="28"/>
          <w:szCs w:val="28"/>
        </w:rPr>
        <w:t>20</w:t>
      </w:r>
      <w:r>
        <w:rPr>
          <w:rFonts w:hint="eastAsia" w:ascii="宋体" w:hAnsi="宋体"/>
          <w:color w:val="333333"/>
          <w:kern w:val="0"/>
          <w:sz w:val="28"/>
          <w:szCs w:val="28"/>
          <w:lang w:val="en-US" w:eastAsia="zh-CN"/>
        </w:rPr>
        <w:t>20</w:t>
      </w:r>
      <w:r>
        <w:rPr>
          <w:rFonts w:hint="eastAsia" w:ascii="宋体" w:hAnsi="宋体"/>
          <w:color w:val="333333"/>
          <w:kern w:val="0"/>
          <w:sz w:val="28"/>
          <w:szCs w:val="28"/>
        </w:rPr>
        <w:t>年我处预算整体支出虽然保证了各单位的正常运行和职能履行，但在预算执行中还存在一些困难和问题：</w:t>
      </w:r>
    </w:p>
    <w:p>
      <w:pPr>
        <w:widowControl/>
        <w:shd w:val="clear" w:color="auto" w:fill="FFFFFF"/>
        <w:spacing w:line="450" w:lineRule="atLeast"/>
        <w:ind w:firstLine="300"/>
        <w:jc w:val="left"/>
        <w:rPr>
          <w:rFonts w:hint="eastAsia" w:ascii="宋体" w:hAnsi="宋体"/>
          <w:color w:val="333333"/>
          <w:kern w:val="0"/>
          <w:sz w:val="28"/>
          <w:szCs w:val="28"/>
        </w:rPr>
      </w:pPr>
      <w:r>
        <w:rPr>
          <w:rFonts w:hint="eastAsia" w:ascii="宋体" w:hAnsi="宋体"/>
          <w:color w:val="333333"/>
          <w:kern w:val="0"/>
          <w:sz w:val="28"/>
          <w:szCs w:val="28"/>
        </w:rPr>
        <w:t xml:space="preserve"> （一）单位专项建设经费未在本单位年初预算中体现，由县财政直接进行预算。我单位只是预算单位经费部分。</w:t>
      </w:r>
    </w:p>
    <w:p>
      <w:pPr>
        <w:widowControl/>
        <w:shd w:val="clear" w:color="auto" w:fill="FFFFFF"/>
        <w:spacing w:line="450" w:lineRule="atLeast"/>
        <w:ind w:firstLine="542" w:firstLineChars="200"/>
        <w:jc w:val="left"/>
        <w:rPr>
          <w:rFonts w:hint="default" w:ascii="宋体" w:hAnsi="宋体" w:eastAsia="宋体"/>
          <w:color w:val="333333"/>
          <w:kern w:val="0"/>
          <w:sz w:val="28"/>
          <w:szCs w:val="28"/>
          <w:lang w:val="en-US" w:eastAsia="zh-CN"/>
        </w:rPr>
      </w:pPr>
      <w:r>
        <w:rPr>
          <w:rFonts w:hint="eastAsia" w:ascii="宋体" w:hAnsi="宋体"/>
          <w:color w:val="333333"/>
          <w:kern w:val="0"/>
          <w:sz w:val="28"/>
          <w:szCs w:val="28"/>
        </w:rPr>
        <w:t>（二）公用经费定额管理尚需完善。目前单位预算由基本支出和项目支出预算两部分组成，财政对基本支出中公用经费预算实行定额标准管理。公用经费按定额进行分档预算，标准的确定与实际执行差距较大，追加预算困难，导致产生公用支出挤占项目经费的情况。</w:t>
      </w:r>
      <w:r>
        <w:rPr>
          <w:rFonts w:hint="eastAsia" w:ascii="宋体" w:hAnsi="宋体"/>
          <w:color w:val="333333"/>
          <w:kern w:val="0"/>
          <w:sz w:val="28"/>
          <w:szCs w:val="28"/>
          <w:lang w:val="en-US" w:eastAsia="zh-CN"/>
        </w:rPr>
        <w:t>且我单位有一辆公务用巡护车，但未纳入公务用车运行维护费预算；以及单位临聘人员的基本开支均未纳入经费预算。</w:t>
      </w:r>
    </w:p>
    <w:p>
      <w:pPr>
        <w:widowControl/>
        <w:shd w:val="clear" w:color="auto" w:fill="FFFFFF"/>
        <w:spacing w:line="450" w:lineRule="atLeast"/>
        <w:ind w:firstLine="660"/>
        <w:jc w:val="left"/>
        <w:rPr>
          <w:rFonts w:hint="eastAsia" w:ascii="宋体" w:hAnsi="宋体"/>
          <w:color w:val="333333"/>
          <w:kern w:val="0"/>
          <w:sz w:val="28"/>
          <w:szCs w:val="28"/>
        </w:rPr>
      </w:pPr>
      <w:r>
        <w:rPr>
          <w:rFonts w:hint="eastAsia" w:ascii="宋体" w:hAnsi="宋体"/>
          <w:color w:val="333333"/>
          <w:kern w:val="0"/>
          <w:sz w:val="28"/>
          <w:szCs w:val="28"/>
        </w:rPr>
        <w:t>（三）预算精细化管理推行难。预算管理的科学化和精细化是对财政资金使用的有效监督，是大势所趋。但是，目前，由于单位预算资金本来就有限，而财政预算对于有些资金没有给足，比如住房公积金</w:t>
      </w:r>
      <w:r>
        <w:rPr>
          <w:rFonts w:hint="eastAsia" w:ascii="宋体" w:hAnsi="宋体"/>
          <w:color w:val="333333"/>
          <w:kern w:val="0"/>
          <w:sz w:val="28"/>
          <w:szCs w:val="28"/>
          <w:lang w:eastAsia="zh-CN"/>
        </w:rPr>
        <w:t>、</w:t>
      </w:r>
      <w:r>
        <w:rPr>
          <w:rFonts w:hint="eastAsia" w:ascii="宋体" w:hAnsi="宋体"/>
          <w:color w:val="333333"/>
          <w:kern w:val="0"/>
          <w:sz w:val="28"/>
          <w:szCs w:val="28"/>
          <w:lang w:val="en-US" w:eastAsia="zh-CN"/>
        </w:rPr>
        <w:t>社保</w:t>
      </w:r>
      <w:r>
        <w:rPr>
          <w:rFonts w:hint="eastAsia" w:ascii="宋体" w:hAnsi="宋体"/>
          <w:color w:val="333333"/>
          <w:kern w:val="0"/>
          <w:sz w:val="28"/>
          <w:szCs w:val="28"/>
        </w:rPr>
        <w:t>等，实际支出大大超预算，一些突发事项没有资金来源，导致预算执行难以完全精细和科学。</w:t>
      </w:r>
    </w:p>
    <w:p>
      <w:pPr>
        <w:widowControl/>
        <w:shd w:val="clear" w:color="auto" w:fill="FFFFFF"/>
        <w:spacing w:line="450" w:lineRule="atLeast"/>
        <w:ind w:firstLine="300"/>
        <w:jc w:val="left"/>
        <w:rPr>
          <w:rFonts w:ascii="仿宋_GB2312" w:hAnsi="黑体" w:eastAsia="仿宋_GB2312"/>
          <w:sz w:val="32"/>
          <w:szCs w:val="32"/>
        </w:rPr>
      </w:pPr>
      <w:r>
        <w:rPr>
          <w:rFonts w:hint="eastAsia" w:ascii="宋体" w:hAnsi="宋体"/>
          <w:color w:val="333333"/>
          <w:kern w:val="0"/>
          <w:sz w:val="28"/>
          <w:szCs w:val="28"/>
        </w:rPr>
        <w:t xml:space="preserve">  （四）为了保证预算管理的严肃性，增强预算的约束力，单位要更进一步明确和各项职能，力争在县财政按单位实际情况进行预算安排，让预算编制管理上更精细化、科学化，确保各项开支更规范、合理。</w:t>
      </w:r>
    </w:p>
    <w:p>
      <w:pPr>
        <w:widowControl/>
        <w:numPr>
          <w:ilvl w:val="0"/>
          <w:numId w:val="1"/>
        </w:numPr>
        <w:spacing w:line="600" w:lineRule="exact"/>
        <w:ind w:left="0" w:leftChars="0" w:firstLine="622" w:firstLineChars="200"/>
        <w:jc w:val="left"/>
        <w:rPr>
          <w:rFonts w:hint="eastAsia" w:ascii="黑体" w:hAnsi="黑体" w:eastAsia="黑体"/>
          <w:sz w:val="32"/>
          <w:szCs w:val="32"/>
        </w:rPr>
      </w:pPr>
      <w:r>
        <w:rPr>
          <w:rFonts w:hint="eastAsia" w:ascii="黑体" w:hAnsi="黑体" w:eastAsia="黑体"/>
          <w:sz w:val="32"/>
          <w:szCs w:val="32"/>
        </w:rPr>
        <w:t>绩效自评结果拟应用和公开情况</w:t>
      </w:r>
    </w:p>
    <w:p>
      <w:pPr>
        <w:spacing w:line="560" w:lineRule="exact"/>
        <w:ind w:firstLine="542" w:firstLineChars="200"/>
        <w:rPr>
          <w:rFonts w:hint="eastAsia" w:ascii="黑体" w:hAnsi="黑体" w:eastAsia="黑体"/>
          <w:sz w:val="32"/>
          <w:szCs w:val="32"/>
        </w:rPr>
      </w:pPr>
      <w:r>
        <w:rPr>
          <w:rFonts w:hint="eastAsia" w:ascii="宋体" w:hAnsi="宋体"/>
          <w:sz w:val="28"/>
          <w:szCs w:val="28"/>
        </w:rPr>
        <w:t>本单位将部门支出绩效自评结果在本单位的门户网站公开，接收社会监督。</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val="en-US" w:eastAsia="zh-CN"/>
        </w:rPr>
        <w:t>无</w:t>
      </w:r>
      <w:r>
        <w:rPr>
          <w:rFonts w:hint="eastAsia" w:ascii="黑体" w:hAnsi="黑体" w:eastAsia="黑体"/>
          <w:sz w:val="32"/>
          <w:szCs w:val="32"/>
        </w:rPr>
        <w:t>其他需要说明的情况</w:t>
      </w:r>
    </w:p>
    <w:p>
      <w:pPr>
        <w:widowControl/>
        <w:spacing w:line="600" w:lineRule="exact"/>
        <w:ind w:firstLine="645"/>
        <w:jc w:val="left"/>
        <w:rPr>
          <w:rFonts w:ascii="黑体" w:hAnsi="黑体" w:eastAsia="黑体"/>
          <w:sz w:val="32"/>
          <w:szCs w:val="32"/>
        </w:rPr>
      </w:pPr>
    </w:p>
    <w:p>
      <w:pPr>
        <w:widowControl/>
        <w:spacing w:line="600" w:lineRule="exact"/>
        <w:ind w:firstLine="645"/>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600" w:lineRule="exact"/>
        <w:ind w:firstLine="1580" w:firstLineChars="508"/>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widowControl/>
        <w:spacing w:line="600" w:lineRule="exact"/>
        <w:ind w:firstLine="1580" w:firstLineChars="508"/>
        <w:jc w:val="left"/>
      </w:pPr>
      <w:r>
        <w:rPr>
          <w:rFonts w:ascii="仿宋_GB2312" w:hAnsi="黑体" w:eastAsia="仿宋_GB2312"/>
          <w:sz w:val="32"/>
          <w:szCs w:val="32"/>
        </w:rPr>
        <w:t>3.20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年度县级专项资金绩效目标自评表</w:t>
      </w:r>
    </w:p>
    <w:p>
      <w:pPr>
        <w:spacing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3"/>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3</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4</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left"/>
              <w:rPr>
                <w:rFonts w:hint="default" w:eastAsia="宋体"/>
                <w:kern w:val="0"/>
                <w:sz w:val="24"/>
                <w:lang w:val="en-US" w:eastAsia="zh-CN"/>
              </w:rPr>
            </w:pPr>
            <w:r>
              <w:rPr>
                <w:rFonts w:hint="eastAsia"/>
                <w:kern w:val="0"/>
                <w:sz w:val="24"/>
              </w:rPr>
              <w:t>　</w:t>
            </w:r>
            <w:r>
              <w:rPr>
                <w:rFonts w:hint="eastAsia"/>
                <w:kern w:val="0"/>
                <w:sz w:val="24"/>
                <w:lang w:val="en-US" w:eastAsia="zh-CN"/>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lang w:eastAsia="zh-CN"/>
        </w:rPr>
        <w:t>单位：万元</w:t>
      </w:r>
      <w:r>
        <w:rPr>
          <w:rFonts w:eastAsia="仿宋_GB2312"/>
          <w:kern w:val="0"/>
          <w:sz w:val="24"/>
        </w:rPr>
        <w:tab/>
      </w:r>
      <w:r>
        <w:rPr>
          <w:rFonts w:eastAsia="仿宋_GB2312"/>
          <w:kern w:val="0"/>
          <w:sz w:val="24"/>
        </w:rPr>
        <w:tab/>
      </w:r>
    </w:p>
    <w:tbl>
      <w:tblPr>
        <w:tblStyle w:val="3"/>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25</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14</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56%</w:t>
            </w:r>
            <w:r>
              <w:rPr>
                <w:rFonts w:hint="eastAsia"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201</w:t>
            </w:r>
            <w:r>
              <w:rPr>
                <w:rFonts w:hint="eastAsia" w:eastAsia="仿宋_GB2312"/>
                <w:b/>
                <w:bCs/>
                <w:kern w:val="0"/>
                <w:szCs w:val="21"/>
                <w:lang w:val="en-US" w:eastAsia="zh-CN"/>
              </w:rPr>
              <w:t>9</w:t>
            </w:r>
            <w:r>
              <w:rPr>
                <w:rFonts w:hint="eastAsia"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1.43万元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3万元</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2.49万元</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0.5万元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0.5万元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0.5万元</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0.93万元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2.5万元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1.99万元</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545.01万元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106.19万元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534万元</w:t>
            </w:r>
            <w:r>
              <w:rPr>
                <w:rFonts w:hint="eastAsia" w:eastAsia="仿宋_GB2312"/>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eastAsia="仿宋_GB2312"/>
                <w:kern w:val="0"/>
                <w:szCs w:val="21"/>
                <w:lang w:val="en-US" w:eastAsia="zh-CN"/>
              </w:rPr>
            </w:pPr>
            <w:r>
              <w:rPr>
                <w:rFonts w:eastAsia="仿宋_GB2312"/>
                <w:kern w:val="0"/>
                <w:szCs w:val="21"/>
              </w:rPr>
              <w:t xml:space="preserve">  1</w:t>
            </w:r>
            <w:r>
              <w:rPr>
                <w:rFonts w:hint="eastAsia" w:eastAsia="仿宋_GB2312"/>
                <w:kern w:val="0"/>
                <w:szCs w:val="21"/>
              </w:rPr>
              <w:t>、</w:t>
            </w:r>
            <w:r>
              <w:rPr>
                <w:rFonts w:hint="eastAsia" w:eastAsia="仿宋_GB2312"/>
                <w:kern w:val="0"/>
                <w:szCs w:val="21"/>
                <w:lang w:val="en-US" w:eastAsia="zh-CN"/>
              </w:rPr>
              <w:t>湿地保护项目中央资金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467.56万元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40万元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259.05万元</w:t>
            </w:r>
            <w:r>
              <w:rPr>
                <w:rFonts w:hint="eastAsia" w:eastAsia="仿宋_GB2312"/>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201" w:firstLineChars="100"/>
              <w:jc w:val="left"/>
              <w:rPr>
                <w:rFonts w:hint="default" w:eastAsia="仿宋_GB2312"/>
                <w:kern w:val="0"/>
                <w:szCs w:val="21"/>
                <w:lang w:val="en-US" w:eastAsia="zh-CN"/>
              </w:rPr>
            </w:pPr>
            <w:r>
              <w:rPr>
                <w:rFonts w:eastAsia="仿宋_GB2312"/>
                <w:kern w:val="0"/>
                <w:szCs w:val="21"/>
              </w:rPr>
              <w:t>2</w:t>
            </w:r>
            <w:r>
              <w:rPr>
                <w:rFonts w:hint="eastAsia" w:eastAsia="仿宋_GB2312"/>
                <w:kern w:val="0"/>
                <w:szCs w:val="21"/>
              </w:rPr>
              <w:t>、</w:t>
            </w:r>
            <w:r>
              <w:rPr>
                <w:rFonts w:hint="eastAsia" w:eastAsia="仿宋_GB2312"/>
                <w:kern w:val="0"/>
                <w:szCs w:val="21"/>
                <w:lang w:val="en-US" w:eastAsia="zh-CN"/>
              </w:rPr>
              <w:t>湿地保护运行维护专项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15万元</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30万元</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30万元</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eastAsia="仿宋_GB2312"/>
                <w:kern w:val="0"/>
                <w:szCs w:val="21"/>
                <w:lang w:val="en-US" w:eastAsia="zh-CN"/>
              </w:rPr>
            </w:pPr>
            <w:r>
              <w:rPr>
                <w:rFonts w:eastAsia="仿宋_GB2312"/>
                <w:kern w:val="0"/>
                <w:szCs w:val="21"/>
              </w:rPr>
              <w:t xml:space="preserve">  2</w:t>
            </w:r>
            <w:r>
              <w:rPr>
                <w:rFonts w:hint="eastAsia" w:eastAsia="仿宋_GB2312"/>
                <w:kern w:val="0"/>
                <w:szCs w:val="21"/>
              </w:rPr>
              <w:t>、</w:t>
            </w:r>
            <w:r>
              <w:rPr>
                <w:rFonts w:hint="eastAsia" w:eastAsia="仿宋_GB2312"/>
                <w:kern w:val="0"/>
                <w:szCs w:val="21"/>
                <w:lang w:val="en-US" w:eastAsia="zh-CN"/>
              </w:rPr>
              <w:t>省级专项资金湿地保护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62.45万元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36.19万元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244.95万元</w:t>
            </w:r>
            <w:r>
              <w:rPr>
                <w:rFonts w:hint="eastAsia" w:eastAsia="仿宋_GB2312"/>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4.76万元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10万元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11.27万元</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3.33万元</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0.78万元</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3.34万元</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0.5万元</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0.22万元</w:t>
            </w:r>
            <w:r>
              <w:rPr>
                <w:rFonts w:hint="eastAsia" w:eastAsia="仿宋_GB2312"/>
                <w:kern w:val="0"/>
                <w:szCs w:val="21"/>
              </w:rPr>
              <w:t>　</w:t>
            </w:r>
          </w:p>
        </w:tc>
      </w:tr>
      <w:tr>
        <w:tblPrEx>
          <w:tblCellMar>
            <w:top w:w="0" w:type="dxa"/>
            <w:left w:w="108" w:type="dxa"/>
            <w:bottom w:w="0" w:type="dxa"/>
            <w:right w:w="108" w:type="dxa"/>
          </w:tblCellMar>
        </w:tblPrEx>
        <w:trPr>
          <w:trHeight w:val="55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工会经费、劳务费、委托业务等</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3万元</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4.71万元</w:t>
            </w:r>
          </w:p>
        </w:tc>
      </w:tr>
      <w:tr>
        <w:tblPrEx>
          <w:tblCellMar>
            <w:top w:w="0" w:type="dxa"/>
            <w:left w:w="108" w:type="dxa"/>
            <w:bottom w:w="0" w:type="dxa"/>
            <w:right w:w="108" w:type="dxa"/>
          </w:tblCellMar>
        </w:tblPrEx>
        <w:trPr>
          <w:trHeight w:val="523"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公务接待及公车运行维护费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1.43万元</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2.5万元</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2.22万元</w:t>
            </w:r>
          </w:p>
        </w:tc>
      </w:tr>
      <w:tr>
        <w:tblPrEx>
          <w:tblCellMar>
            <w:top w:w="0" w:type="dxa"/>
            <w:left w:w="108" w:type="dxa"/>
            <w:bottom w:w="0" w:type="dxa"/>
            <w:right w:w="108" w:type="dxa"/>
          </w:tblCellMar>
        </w:tblPrEx>
        <w:trPr>
          <w:trHeight w:val="54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333.99万元</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楼堂馆所控制情况</w:t>
            </w:r>
            <w:r>
              <w:rPr>
                <w:rFonts w:eastAsia="仿宋_GB2312"/>
                <w:kern w:val="0"/>
                <w:szCs w:val="21"/>
              </w:rPr>
              <w:br w:type="textWrapping"/>
            </w:r>
            <w:r>
              <w:rPr>
                <w:rFonts w:hint="eastAsia" w:eastAsia="仿宋_GB2312"/>
                <w:kern w:val="0"/>
                <w:szCs w:val="21"/>
              </w:rPr>
              <w:t>（</w:t>
            </w:r>
            <w:r>
              <w:rPr>
                <w:rFonts w:eastAsia="仿宋_GB2312"/>
                <w:kern w:val="0"/>
                <w:szCs w:val="21"/>
              </w:rPr>
              <w:t>20</w:t>
            </w:r>
            <w:r>
              <w:rPr>
                <w:rFonts w:hint="eastAsia" w:eastAsia="仿宋_GB2312"/>
                <w:kern w:val="0"/>
                <w:szCs w:val="21"/>
                <w:lang w:val="en-US" w:eastAsia="zh-CN"/>
              </w:rPr>
              <w:t>20</w:t>
            </w:r>
            <w:r>
              <w:rPr>
                <w:rFonts w:hint="eastAsia" w:eastAsia="仿宋_GB2312"/>
                <w:kern w:val="0"/>
                <w:szCs w:val="21"/>
              </w:rPr>
              <w:t>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批复规模</w:t>
            </w:r>
            <w:r>
              <w:rPr>
                <w:rFonts w:eastAsia="仿宋_GB2312"/>
                <w:b/>
                <w:bCs/>
                <w:kern w:val="0"/>
                <w:szCs w:val="21"/>
              </w:rPr>
              <w:br w:type="textWrapping"/>
            </w: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w:t>
            </w:r>
            <w:r>
              <w:rPr>
                <w:rFonts w:hint="eastAsia" w:eastAsia="仿宋_GB2312"/>
                <w:kern w:val="0"/>
                <w:szCs w:val="21"/>
              </w:rPr>
              <w:t>　</w:t>
            </w:r>
          </w:p>
        </w:tc>
        <w:tc>
          <w:tcPr>
            <w:tcW w:w="849"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129"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111"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969"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863"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20</w:t>
      </w:r>
      <w:r>
        <w:rPr>
          <w:rFonts w:hint="eastAsia" w:ascii="方正小标宋_GBK" w:hAnsi="宋体" w:eastAsia="方正小标宋_GBK" w:cs="宋体"/>
          <w:kern w:val="0"/>
          <w:sz w:val="36"/>
          <w:szCs w:val="36"/>
        </w:rPr>
        <w:t>年度县级专项资金绩效目标自评表</w:t>
      </w:r>
    </w:p>
    <w:tbl>
      <w:tblPr>
        <w:tblStyle w:val="3"/>
        <w:tblW w:w="10060" w:type="dxa"/>
        <w:jc w:val="center"/>
        <w:tblLayout w:type="fixed"/>
        <w:tblCellMar>
          <w:top w:w="0" w:type="dxa"/>
          <w:left w:w="108" w:type="dxa"/>
          <w:bottom w:w="0" w:type="dxa"/>
          <w:right w:w="108" w:type="dxa"/>
        </w:tblCellMar>
      </w:tblPr>
      <w:tblGrid>
        <w:gridCol w:w="769"/>
        <w:gridCol w:w="675"/>
        <w:gridCol w:w="1222"/>
        <w:gridCol w:w="1605"/>
        <w:gridCol w:w="1426"/>
        <w:gridCol w:w="1199"/>
        <w:gridCol w:w="1150"/>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66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031"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湿地保护项目资金</w:t>
            </w:r>
          </w:p>
        </w:tc>
        <w:tc>
          <w:tcPr>
            <w:tcW w:w="11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16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刘海霞13875741662</w:t>
            </w:r>
          </w:p>
        </w:tc>
      </w:tr>
      <w:tr>
        <w:tblPrEx>
          <w:tblCellMar>
            <w:top w:w="0" w:type="dxa"/>
            <w:left w:w="108" w:type="dxa"/>
            <w:bottom w:w="0" w:type="dxa"/>
            <w:right w:w="108" w:type="dxa"/>
          </w:tblCellMar>
        </w:tblPrEx>
        <w:trPr>
          <w:trHeight w:val="445" w:hRule="atLeast"/>
          <w:jc w:val="center"/>
        </w:trPr>
        <w:tc>
          <w:tcPr>
            <w:tcW w:w="266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031" w:type="dxa"/>
            <w:gridSpan w:val="2"/>
            <w:tcBorders>
              <w:top w:val="single" w:color="auto" w:sz="4" w:space="0"/>
              <w:left w:val="single" w:color="auto" w:sz="4" w:space="0"/>
              <w:bottom w:val="single" w:color="auto" w:sz="4" w:space="0"/>
              <w:right w:val="single" w:color="auto" w:sz="4" w:space="0"/>
            </w:tcBorders>
            <w:noWrap/>
            <w:vAlign w:val="center"/>
          </w:tcPr>
          <w:p>
            <w:pPr>
              <w:widowControl/>
              <w:jc w:val="both"/>
              <w:rPr>
                <w:rFonts w:ascii="仿宋_GB2312" w:hAnsi="宋体" w:eastAsia="仿宋_GB2312" w:cs="宋体"/>
                <w:kern w:val="0"/>
                <w:szCs w:val="21"/>
              </w:rPr>
            </w:pPr>
            <w:r>
              <w:rPr>
                <w:rFonts w:hint="eastAsia" w:ascii="仿宋_GB2312" w:hAnsi="宋体" w:eastAsia="仿宋_GB2312" w:cs="宋体"/>
                <w:kern w:val="0"/>
                <w:szCs w:val="21"/>
                <w:lang w:val="en-US" w:eastAsia="zh-CN"/>
              </w:rPr>
              <w:t>县人民政府</w:t>
            </w:r>
            <w:r>
              <w:rPr>
                <w:rFonts w:hint="eastAsia" w:ascii="仿宋_GB2312" w:hAnsi="宋体" w:eastAsia="仿宋_GB2312" w:cs="宋体"/>
                <w:kern w:val="0"/>
                <w:szCs w:val="21"/>
              </w:rPr>
              <w:t>　</w:t>
            </w:r>
          </w:p>
        </w:tc>
        <w:tc>
          <w:tcPr>
            <w:tcW w:w="11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164" w:type="dxa"/>
            <w:gridSpan w:val="3"/>
            <w:tcBorders>
              <w:top w:val="single" w:color="auto" w:sz="4" w:space="0"/>
              <w:left w:val="single" w:color="auto" w:sz="4" w:space="0"/>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湖南衡山萱洲国家湿地公园管理处</w:t>
            </w:r>
          </w:p>
        </w:tc>
      </w:tr>
      <w:tr>
        <w:tblPrEx>
          <w:tblCellMar>
            <w:top w:w="0" w:type="dxa"/>
            <w:left w:w="108" w:type="dxa"/>
            <w:bottom w:w="0" w:type="dxa"/>
            <w:right w:w="108" w:type="dxa"/>
          </w:tblCellMar>
        </w:tblPrEx>
        <w:trPr>
          <w:trHeight w:val="539" w:hRule="atLeast"/>
          <w:jc w:val="center"/>
        </w:trPr>
        <w:tc>
          <w:tcPr>
            <w:tcW w:w="266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34" w:hRule="atLeast"/>
          <w:jc w:val="center"/>
        </w:trPr>
        <w:tc>
          <w:tcPr>
            <w:tcW w:w="266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260万元</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250万元</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96.15%</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94" w:hRule="atLeast"/>
          <w:jc w:val="center"/>
        </w:trPr>
        <w:tc>
          <w:tcPr>
            <w:tcW w:w="266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6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65万元</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62.5万元</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97.69%</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66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195万元</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186.5万元</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95.64%</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66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3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仿宋_GB2312" w:hAnsi="宋体" w:eastAsia="仿宋_GB2312" w:cs="宋体"/>
                <w:kern w:val="0"/>
                <w:szCs w:val="21"/>
                <w:lang w:val="en-US" w:eastAsia="zh-CN"/>
              </w:rPr>
              <w:t>260万元</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250万元　</w:t>
            </w:r>
          </w:p>
        </w:tc>
      </w:tr>
      <w:tr>
        <w:tblPrEx>
          <w:tblCellMar>
            <w:top w:w="0" w:type="dxa"/>
            <w:left w:w="108" w:type="dxa"/>
            <w:bottom w:w="0" w:type="dxa"/>
            <w:right w:w="108" w:type="dxa"/>
          </w:tblCellMar>
        </w:tblPrEx>
        <w:trPr>
          <w:trHeight w:val="714"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2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60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42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9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8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3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605" w:type="dxa"/>
            <w:tcBorders>
              <w:top w:val="single" w:color="auto" w:sz="4" w:space="0"/>
              <w:left w:val="nil"/>
              <w:right w:val="single" w:color="auto" w:sz="4" w:space="0"/>
            </w:tcBorders>
            <w:noWrap/>
            <w:vAlign w:val="center"/>
          </w:tcPr>
          <w:p>
            <w:pPr>
              <w:keepNext w:val="0"/>
              <w:keepLines w:val="0"/>
              <w:pageBreakBefore w:val="0"/>
              <w:widowControl/>
              <w:tabs>
                <w:tab w:val="center" w:pos="742"/>
              </w:tabs>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正常运行情况</w:t>
            </w:r>
          </w:p>
        </w:tc>
        <w:tc>
          <w:tcPr>
            <w:tcW w:w="1426"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99"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考核验收</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81" w:type="dxa"/>
            <w:gridSpan w:val="2"/>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605"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工程验收情况</w:t>
            </w:r>
          </w:p>
        </w:tc>
        <w:tc>
          <w:tcPr>
            <w:tcW w:w="1426"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99"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验收完成</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81" w:type="dxa"/>
            <w:gridSpan w:val="2"/>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605"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完成时效</w:t>
            </w:r>
          </w:p>
        </w:tc>
        <w:tc>
          <w:tcPr>
            <w:tcW w:w="1426"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99"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按时完成</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81" w:type="dxa"/>
            <w:gridSpan w:val="2"/>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3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605"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监督管理</w:t>
            </w:r>
          </w:p>
        </w:tc>
        <w:tc>
          <w:tcPr>
            <w:tcW w:w="1426"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99"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监管到位</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81" w:type="dxa"/>
            <w:gridSpan w:val="2"/>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605"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社会效益</w:t>
            </w:r>
          </w:p>
        </w:tc>
        <w:tc>
          <w:tcPr>
            <w:tcW w:w="1426"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199" w:type="dxa"/>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影响情况</w:t>
            </w:r>
          </w:p>
        </w:tc>
        <w:tc>
          <w:tcPr>
            <w:tcW w:w="1181" w:type="dxa"/>
            <w:gridSpan w:val="2"/>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605"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环境效益</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426"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c>
          <w:tcPr>
            <w:tcW w:w="1199"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环境改善</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c>
          <w:tcPr>
            <w:tcW w:w="1181" w:type="dxa"/>
            <w:gridSpan w:val="2"/>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kern w:val="0"/>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8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605"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可持续性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Cs w:val="21"/>
              </w:rPr>
            </w:pPr>
          </w:p>
        </w:tc>
        <w:tc>
          <w:tcPr>
            <w:tcW w:w="1426"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c>
          <w:tcPr>
            <w:tcW w:w="1199"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持续影响</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c>
          <w:tcPr>
            <w:tcW w:w="1181" w:type="dxa"/>
            <w:gridSpan w:val="2"/>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605"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满意度情况</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Cs w:val="21"/>
              </w:rPr>
            </w:pPr>
          </w:p>
        </w:tc>
        <w:tc>
          <w:tcPr>
            <w:tcW w:w="1426"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c>
          <w:tcPr>
            <w:tcW w:w="1199" w:type="dxa"/>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满意</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p>
        </w:tc>
        <w:tc>
          <w:tcPr>
            <w:tcW w:w="1181" w:type="dxa"/>
            <w:gridSpan w:val="2"/>
            <w:tcBorders>
              <w:top w:val="single" w:color="auto" w:sz="4" w:space="0"/>
              <w:left w:val="nil"/>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kern w:val="0"/>
                <w:szCs w:val="21"/>
                <w:lang w:val="en-US" w:eastAsia="zh-CN"/>
              </w:rPr>
            </w:pPr>
          </w:p>
        </w:tc>
        <w:tc>
          <w:tcPr>
            <w:tcW w:w="1983"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37"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nil"/>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ind w:firstLine="402" w:firstLineChars="200"/>
              <w:jc w:val="left"/>
              <w:textAlignment w:val="auto"/>
              <w:rPr>
                <w:rFonts w:ascii="仿宋_GB2312" w:hAnsi="宋体" w:eastAsia="仿宋_GB2312" w:cs="宋体"/>
                <w:kern w:val="0"/>
                <w:sz w:val="21"/>
                <w:szCs w:val="21"/>
              </w:rPr>
            </w:pPr>
            <w:r>
              <w:rPr>
                <w:rFonts w:hint="eastAsia" w:ascii="仿宋_GB2312" w:hAnsi="宋体" w:eastAsia="仿宋_GB2312" w:cs="宋体"/>
                <w:kern w:val="0"/>
                <w:sz w:val="21"/>
                <w:szCs w:val="21"/>
              </w:rPr>
              <w:t>注：</w:t>
            </w:r>
            <w:r>
              <w:rPr>
                <w:rFonts w:ascii="仿宋_GB2312" w:hAnsi="宋体" w:eastAsia="仿宋_GB2312" w:cs="宋体"/>
                <w:kern w:val="0"/>
                <w:sz w:val="21"/>
                <w:szCs w:val="21"/>
              </w:rPr>
              <w:t>1</w:t>
            </w:r>
            <w:r>
              <w:rPr>
                <w:rFonts w:hint="eastAsia" w:ascii="仿宋_GB2312" w:hAnsi="宋体" w:eastAsia="仿宋_GB2312" w:cs="宋体"/>
                <w:kern w:val="0"/>
                <w:sz w:val="21"/>
                <w:szCs w:val="21"/>
              </w:rPr>
              <w:t>、其他资金包括和中央、省、市补助、地方财政资金共同投入到同一项目的自有资金、社会资金，以及以前年度的结转结余资金等。</w:t>
            </w:r>
            <w:r>
              <w:rPr>
                <w:rFonts w:ascii="仿宋_GB2312" w:hAnsi="宋体" w:eastAsia="仿宋_GB2312" w:cs="宋体"/>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ind w:firstLine="402" w:firstLineChars="200"/>
              <w:jc w:val="left"/>
              <w:textAlignment w:val="auto"/>
              <w:rPr>
                <w:rFonts w:ascii="仿宋_GB2312" w:hAnsi="宋体" w:eastAsia="仿宋_GB2312" w:cs="宋体"/>
                <w:kern w:val="0"/>
                <w:sz w:val="21"/>
                <w:szCs w:val="21"/>
              </w:rPr>
            </w:pPr>
            <w:r>
              <w:rPr>
                <w:rFonts w:ascii="仿宋_GB2312" w:hAnsi="宋体" w:eastAsia="仿宋_GB2312" w:cs="宋体"/>
                <w:kern w:val="0"/>
                <w:sz w:val="21"/>
                <w:szCs w:val="21"/>
              </w:rPr>
              <w:t>2</w:t>
            </w:r>
            <w:r>
              <w:rPr>
                <w:rFonts w:hint="eastAsia" w:ascii="仿宋_GB2312" w:hAnsi="宋体" w:eastAsia="仿宋_GB2312" w:cs="宋体"/>
                <w:kern w:val="0"/>
                <w:sz w:val="21"/>
                <w:szCs w:val="21"/>
              </w:rPr>
              <w:t>、定量指标，资金使用单位填写本地区实际完成数。各部门汇总时，对绝对值直接累加计算，相对值按照资金额度加权平均计算。</w:t>
            </w:r>
          </w:p>
          <w:p>
            <w:pPr>
              <w:keepNext w:val="0"/>
              <w:keepLines w:val="0"/>
              <w:pageBreakBefore w:val="0"/>
              <w:widowControl/>
              <w:kinsoku/>
              <w:wordWrap/>
              <w:overflowPunct/>
              <w:topLinePunct w:val="0"/>
              <w:autoSpaceDE/>
              <w:autoSpaceDN/>
              <w:bidi w:val="0"/>
              <w:adjustRightInd/>
              <w:snapToGrid/>
              <w:spacing w:line="240" w:lineRule="exact"/>
              <w:ind w:firstLine="402" w:firstLineChars="200"/>
              <w:jc w:val="left"/>
              <w:textAlignment w:val="auto"/>
              <w:rPr>
                <w:rFonts w:ascii="仿宋_GB2312" w:hAnsi="宋体" w:eastAsia="仿宋_GB2312" w:cs="宋体"/>
                <w:kern w:val="0"/>
                <w:sz w:val="21"/>
                <w:szCs w:val="21"/>
              </w:rPr>
            </w:pPr>
            <w:r>
              <w:rPr>
                <w:rFonts w:ascii="仿宋_GB2312" w:hAnsi="宋体" w:eastAsia="仿宋_GB2312" w:cs="宋体"/>
                <w:kern w:val="0"/>
                <w:sz w:val="21"/>
                <w:szCs w:val="21"/>
              </w:rPr>
              <w:t>3</w:t>
            </w:r>
            <w:r>
              <w:rPr>
                <w:rFonts w:hint="eastAsia" w:ascii="仿宋_GB2312" w:hAnsi="宋体" w:eastAsia="仿宋_GB2312" w:cs="宋体"/>
                <w:kern w:val="0"/>
                <w:sz w:val="21"/>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 w:val="21"/>
                <w:szCs w:val="21"/>
              </w:rPr>
              <w:t>100</w:t>
            </w:r>
            <w:r>
              <w:rPr>
                <w:rFonts w:hint="eastAsia" w:ascii="仿宋_GB2312" w:hAnsi="宋体" w:eastAsia="仿宋_GB2312" w:cs="宋体"/>
                <w:kern w:val="0"/>
                <w:sz w:val="21"/>
                <w:szCs w:val="21"/>
              </w:rPr>
              <w:t>％</w:t>
            </w:r>
            <w:r>
              <w:rPr>
                <w:rFonts w:ascii="仿宋_GB2312" w:hAnsi="宋体" w:eastAsia="仿宋_GB2312" w:cs="宋体"/>
                <w:kern w:val="0"/>
                <w:sz w:val="21"/>
                <w:szCs w:val="21"/>
              </w:rPr>
              <w:t>—80</w:t>
            </w:r>
            <w:r>
              <w:rPr>
                <w:rFonts w:hint="eastAsia" w:ascii="仿宋_GB2312" w:hAnsi="宋体" w:eastAsia="仿宋_GB2312" w:cs="宋体"/>
                <w:kern w:val="0"/>
                <w:sz w:val="21"/>
                <w:szCs w:val="21"/>
              </w:rPr>
              <w:t>％（含）、</w:t>
            </w:r>
            <w:r>
              <w:rPr>
                <w:rFonts w:ascii="仿宋_GB2312" w:hAnsi="宋体" w:eastAsia="仿宋_GB2312" w:cs="宋体"/>
                <w:kern w:val="0"/>
                <w:sz w:val="21"/>
                <w:szCs w:val="21"/>
              </w:rPr>
              <w:t>80</w:t>
            </w:r>
            <w:r>
              <w:rPr>
                <w:rFonts w:hint="eastAsia" w:ascii="仿宋_GB2312" w:hAnsi="宋体" w:eastAsia="仿宋_GB2312" w:cs="宋体"/>
                <w:kern w:val="0"/>
                <w:sz w:val="21"/>
                <w:szCs w:val="21"/>
              </w:rPr>
              <w:t>％</w:t>
            </w:r>
            <w:r>
              <w:rPr>
                <w:rFonts w:ascii="仿宋_GB2312" w:hAnsi="宋体" w:eastAsia="仿宋_GB2312" w:cs="宋体"/>
                <w:kern w:val="0"/>
                <w:sz w:val="21"/>
                <w:szCs w:val="21"/>
              </w:rPr>
              <w:t>—60</w:t>
            </w:r>
            <w:r>
              <w:rPr>
                <w:rFonts w:hint="eastAsia" w:ascii="仿宋_GB2312" w:hAnsi="宋体" w:eastAsia="仿宋_GB2312" w:cs="宋体"/>
                <w:kern w:val="0"/>
                <w:sz w:val="21"/>
                <w:szCs w:val="21"/>
              </w:rPr>
              <w:t>％（含）、</w:t>
            </w:r>
            <w:r>
              <w:rPr>
                <w:rFonts w:ascii="仿宋_GB2312" w:hAnsi="宋体" w:eastAsia="仿宋_GB2312" w:cs="宋体"/>
                <w:kern w:val="0"/>
                <w:sz w:val="21"/>
                <w:szCs w:val="21"/>
              </w:rPr>
              <w:t>60</w:t>
            </w:r>
            <w:r>
              <w:rPr>
                <w:rFonts w:hint="eastAsia" w:ascii="仿宋_GB2312" w:hAnsi="宋体" w:eastAsia="仿宋_GB2312" w:cs="宋体"/>
                <w:kern w:val="0"/>
                <w:sz w:val="21"/>
                <w:szCs w:val="21"/>
              </w:rPr>
              <w:t>％</w:t>
            </w:r>
            <w:r>
              <w:rPr>
                <w:rFonts w:ascii="仿宋_GB2312" w:hAnsi="宋体" w:eastAsia="仿宋_GB2312" w:cs="宋体"/>
                <w:kern w:val="0"/>
                <w:sz w:val="21"/>
                <w:szCs w:val="21"/>
              </w:rPr>
              <w:t>—0</w:t>
            </w:r>
            <w:r>
              <w:rPr>
                <w:rFonts w:hint="eastAsia" w:ascii="仿宋_GB2312" w:hAnsi="宋体" w:eastAsia="仿宋_GB2312" w:cs="宋体"/>
                <w:kern w:val="0"/>
                <w:sz w:val="21"/>
                <w:szCs w:val="21"/>
              </w:rPr>
              <w:t>％合理填写完成比例。</w:t>
            </w:r>
          </w:p>
          <w:p>
            <w:pPr>
              <w:keepNext w:val="0"/>
              <w:keepLines w:val="0"/>
              <w:pageBreakBefore w:val="0"/>
              <w:widowControl/>
              <w:kinsoku/>
              <w:wordWrap/>
              <w:overflowPunct/>
              <w:topLinePunct w:val="0"/>
              <w:autoSpaceDE/>
              <w:autoSpaceDN/>
              <w:bidi w:val="0"/>
              <w:adjustRightInd/>
              <w:snapToGrid/>
              <w:spacing w:line="240" w:lineRule="exact"/>
              <w:ind w:firstLine="402" w:firstLineChars="200"/>
              <w:jc w:val="left"/>
              <w:textAlignment w:val="auto"/>
              <w:rPr>
                <w:rFonts w:ascii="仿宋_GB2312" w:hAnsi="宋体" w:eastAsia="仿宋_GB2312" w:cs="宋体"/>
                <w:kern w:val="0"/>
                <w:szCs w:val="21"/>
              </w:rPr>
            </w:pPr>
            <w:r>
              <w:rPr>
                <w:rFonts w:ascii="仿宋_GB2312" w:hAnsi="宋体" w:eastAsia="仿宋_GB2312" w:cs="宋体"/>
                <w:kern w:val="0"/>
                <w:sz w:val="21"/>
                <w:szCs w:val="21"/>
              </w:rPr>
              <w:t>4</w:t>
            </w:r>
            <w:r>
              <w:rPr>
                <w:rFonts w:hint="eastAsia" w:ascii="仿宋_GB2312" w:hAnsi="宋体" w:eastAsia="仿宋_GB2312" w:cs="宋体"/>
                <w:kern w:val="0"/>
                <w:sz w:val="21"/>
                <w:szCs w:val="21"/>
              </w:rPr>
              <w:t>、各主管部门及资金使用单位填写《自评表》并报送同级财政部门审核后，形成县级专项资金《自评表》。</w:t>
            </w:r>
          </w:p>
        </w:tc>
      </w:tr>
    </w:tbl>
    <w:p>
      <w:bookmarkStart w:id="0" w:name="_GoBack"/>
      <w:bookmarkEnd w:id="0"/>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45F59A"/>
    <w:multiLevelType w:val="singleLevel"/>
    <w:tmpl w:val="0345F59A"/>
    <w:lvl w:ilvl="0" w:tentative="0">
      <w:start w:val="1"/>
      <w:numFmt w:val="chineseCounting"/>
      <w:suff w:val="nothing"/>
      <w:lvlText w:val="%1、"/>
      <w:lvlJc w:val="left"/>
      <w:rPr>
        <w:rFonts w:hint="eastAsia"/>
      </w:rPr>
    </w:lvl>
  </w:abstractNum>
  <w:abstractNum w:abstractNumId="1">
    <w:nsid w:val="3ABD181A"/>
    <w:multiLevelType w:val="multilevel"/>
    <w:tmpl w:val="3ABD181A"/>
    <w:lvl w:ilvl="0" w:tentative="0">
      <w:start w:val="3"/>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B3B6C"/>
    <w:rsid w:val="5D4B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2021-11-08T06:53:00Z</dcterms:created>
  <dc:creator>阳璐霞</dc:creator>
  <cp:lastModifiedBy>阳璐霞</cp:lastModifiedBy>
  <dcterms:modified xsi:type="dcterms:W3CDTF">2021-11-08T06:53:51Z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A92AF803D8BB499BAF8625AC60E03C19</vt:lpwstr>
  </property>
</Properties>
</file>