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p>
    <w:p>
      <w:pPr>
        <w:rPr>
          <w:rFonts w:hint="eastAsia" w:ascii="黑体" w:eastAsia="黑体"/>
          <w:sz w:val="32"/>
          <w:szCs w:val="32"/>
        </w:rPr>
      </w:pPr>
      <w:r>
        <w:rPr>
          <w:rFonts w:hint="eastAsia" w:ascii="黑体" w:eastAsia="黑体"/>
          <w:sz w:val="32"/>
          <w:szCs w:val="32"/>
        </w:rPr>
        <w:t xml:space="preserve"> </w:t>
      </w:r>
    </w:p>
    <w:p>
      <w:pPr>
        <w:jc w:val="center"/>
        <w:rPr>
          <w:rFonts w:hint="eastAsia" w:ascii="方正小标宋_GBK"/>
          <w:sz w:val="48"/>
          <w:szCs w:val="48"/>
        </w:rPr>
      </w:pPr>
      <w:r>
        <w:rPr>
          <w:rFonts w:ascii="方正小标宋_GBK"/>
          <w:sz w:val="48"/>
          <w:szCs w:val="48"/>
        </w:rPr>
        <w:t>20</w:t>
      </w:r>
      <w:r>
        <w:rPr>
          <w:rFonts w:ascii="方正小标宋_GBK" w:hAnsi="方正小标宋_GBK"/>
          <w:sz w:val="48"/>
          <w:szCs w:val="48"/>
        </w:rPr>
        <w:t>20年度部门整体支出绩效自评报告</w:t>
      </w:r>
    </w:p>
    <w:p>
      <w:pPr>
        <w:jc w:val="center"/>
        <w:rPr>
          <w:rFonts w:ascii="黑体" w:eastAsia="黑体"/>
          <w:sz w:val="32"/>
          <w:szCs w:val="32"/>
        </w:rPr>
      </w:pPr>
      <w:r>
        <w:rPr>
          <w:rFonts w:hint="eastAsia" w:ascii="黑体" w:eastAsia="黑体"/>
          <w:sz w:val="32"/>
          <w:szCs w:val="32"/>
        </w:rPr>
        <w:t xml:space="preserve"> </w:t>
      </w:r>
    </w:p>
    <w:p>
      <w:pPr>
        <w:jc w:val="center"/>
        <w:rPr>
          <w:rFonts w:hint="eastAsia" w:ascii="黑体" w:eastAsia="黑体"/>
          <w:sz w:val="32"/>
          <w:szCs w:val="32"/>
        </w:rPr>
      </w:pPr>
      <w:r>
        <w:rPr>
          <w:rFonts w:hint="eastAsia" w:ascii="黑体" w:eastAsia="黑体"/>
          <w:sz w:val="32"/>
          <w:szCs w:val="32"/>
        </w:rPr>
        <w:t xml:space="preserve"> </w:t>
      </w:r>
    </w:p>
    <w:p>
      <w:pPr>
        <w:ind w:firstLine="1540" w:firstLineChars="350"/>
        <w:rPr>
          <w:rFonts w:hint="eastAsia" w:ascii="黑体" w:eastAsia="黑体"/>
          <w:sz w:val="44"/>
          <w:szCs w:val="44"/>
        </w:rPr>
      </w:pPr>
      <w:r>
        <w:rPr>
          <w:rFonts w:hint="eastAsia" w:ascii="黑体" w:eastAsia="黑体"/>
          <w:sz w:val="44"/>
          <w:szCs w:val="44"/>
        </w:rPr>
        <w:t>衡山县住房和城乡建设局</w:t>
      </w:r>
    </w:p>
    <w:p>
      <w:pPr>
        <w:jc w:val="center"/>
        <w:rPr>
          <w:rFonts w:hint="eastAsia" w:ascii="黑体" w:eastAsia="黑体"/>
          <w:sz w:val="32"/>
          <w:szCs w:val="32"/>
        </w:rPr>
      </w:pPr>
      <w:r>
        <w:rPr>
          <w:rFonts w:hint="eastAsia" w:ascii="黑体" w:eastAsia="黑体"/>
          <w:sz w:val="32"/>
          <w:szCs w:val="32"/>
        </w:rPr>
        <w:t xml:space="preserve"> </w:t>
      </w:r>
    </w:p>
    <w:p>
      <w:pPr>
        <w:jc w:val="center"/>
        <w:rPr>
          <w:rFonts w:hint="eastAsia" w:ascii="黑体" w:eastAsia="黑体"/>
          <w:sz w:val="32"/>
          <w:szCs w:val="32"/>
        </w:rPr>
      </w:pPr>
      <w:r>
        <w:rPr>
          <w:rFonts w:hint="eastAsia" w:ascii="黑体" w:eastAsia="黑体"/>
          <w:sz w:val="32"/>
          <w:szCs w:val="32"/>
        </w:rPr>
        <w:t xml:space="preserve"> </w:t>
      </w:r>
    </w:p>
    <w:p>
      <w:pPr>
        <w:jc w:val="center"/>
        <w:rPr>
          <w:rFonts w:hint="eastAsia" w:ascii="黑体" w:eastAsia="黑体"/>
          <w:sz w:val="32"/>
          <w:szCs w:val="32"/>
        </w:rPr>
      </w:pPr>
      <w:r>
        <w:rPr>
          <w:rFonts w:hint="eastAsia" w:ascii="黑体" w:eastAsia="黑体"/>
          <w:sz w:val="32"/>
          <w:szCs w:val="32"/>
        </w:rPr>
        <w:t xml:space="preserve"> </w:t>
      </w:r>
    </w:p>
    <w:p>
      <w:pPr>
        <w:jc w:val="center"/>
        <w:rPr>
          <w:rFonts w:hint="eastAsia" w:ascii="黑体" w:eastAsia="黑体"/>
          <w:sz w:val="32"/>
          <w:szCs w:val="32"/>
        </w:rPr>
      </w:pPr>
      <w:r>
        <w:rPr>
          <w:rFonts w:hint="eastAsia" w:ascii="黑体" w:eastAsia="黑体"/>
          <w:sz w:val="32"/>
          <w:szCs w:val="32"/>
        </w:rPr>
        <w:t xml:space="preserve"> </w:t>
      </w:r>
    </w:p>
    <w:p>
      <w:pPr>
        <w:rPr>
          <w:rFonts w:hint="eastAsia" w:ascii="黑体" w:eastAsia="黑体"/>
          <w:sz w:val="32"/>
          <w:szCs w:val="32"/>
        </w:rPr>
      </w:pPr>
      <w:r>
        <w:rPr>
          <w:rFonts w:hint="eastAsia" w:ascii="黑体" w:eastAsia="黑体"/>
          <w:sz w:val="32"/>
          <w:szCs w:val="32"/>
        </w:rPr>
        <w:t xml:space="preserve"> </w:t>
      </w:r>
    </w:p>
    <w:p>
      <w:pPr>
        <w:jc w:val="center"/>
        <w:rPr>
          <w:rFonts w:hint="eastAsia" w:ascii="黑体" w:eastAsia="黑体"/>
          <w:sz w:val="32"/>
          <w:szCs w:val="32"/>
        </w:rPr>
      </w:pPr>
      <w:r>
        <w:rPr>
          <w:rFonts w:hint="eastAsia" w:ascii="黑体" w:eastAsia="黑体"/>
          <w:sz w:val="32"/>
          <w:szCs w:val="32"/>
        </w:rPr>
        <w:t xml:space="preserve"> </w:t>
      </w:r>
    </w:p>
    <w:p>
      <w:pPr>
        <w:jc w:val="center"/>
        <w:rPr>
          <w:rFonts w:hint="eastAsia" w:ascii="黑体" w:eastAsia="黑体"/>
          <w:sz w:val="44"/>
          <w:szCs w:val="44"/>
        </w:rPr>
      </w:pPr>
      <w:r>
        <w:rPr>
          <w:rFonts w:hint="eastAsia" w:ascii="黑体" w:hAnsi="黑体" w:eastAsia="黑体"/>
          <w:sz w:val="44"/>
          <w:szCs w:val="44"/>
        </w:rPr>
        <w:t>单位名称（盖章）</w:t>
      </w:r>
    </w:p>
    <w:p>
      <w:pPr>
        <w:jc w:val="center"/>
        <w:rPr>
          <w:rFonts w:hint="eastAsia" w:ascii="黑体" w:eastAsia="黑体"/>
          <w:sz w:val="32"/>
          <w:szCs w:val="32"/>
        </w:rPr>
      </w:pPr>
      <w:r>
        <w:rPr>
          <w:rFonts w:hint="eastAsia" w:ascii="黑体" w:eastAsia="黑体"/>
          <w:sz w:val="32"/>
          <w:szCs w:val="32"/>
        </w:rPr>
        <w:t xml:space="preserve"> </w:t>
      </w:r>
    </w:p>
    <w:p>
      <w:pPr>
        <w:jc w:val="center"/>
        <w:rPr>
          <w:rFonts w:hint="eastAsia" w:ascii="黑体" w:eastAsia="黑体"/>
          <w:sz w:val="32"/>
          <w:szCs w:val="32"/>
        </w:rPr>
      </w:pPr>
      <w:r>
        <w:rPr>
          <w:rFonts w:hint="eastAsia" w:ascii="黑体" w:eastAsia="黑体"/>
          <w:sz w:val="32"/>
          <w:szCs w:val="32"/>
        </w:rPr>
        <w:t xml:space="preserve"> </w:t>
      </w:r>
    </w:p>
    <w:p>
      <w:pPr>
        <w:jc w:val="center"/>
        <w:rPr>
          <w:rFonts w:hint="eastAsia" w:ascii="黑体" w:eastAsia="黑体"/>
          <w:sz w:val="32"/>
          <w:szCs w:val="32"/>
        </w:rPr>
      </w:pPr>
      <w:r>
        <w:rPr>
          <w:rFonts w:hint="eastAsia" w:ascii="黑体" w:eastAsia="黑体"/>
          <w:sz w:val="32"/>
          <w:szCs w:val="32"/>
        </w:rPr>
        <w:t xml:space="preserve"> </w:t>
      </w:r>
    </w:p>
    <w:p>
      <w:pPr>
        <w:rPr>
          <w:rFonts w:hint="eastAsia" w:ascii="黑体" w:eastAsia="黑体"/>
          <w:sz w:val="32"/>
          <w:szCs w:val="32"/>
        </w:rPr>
      </w:pPr>
      <w:r>
        <w:rPr>
          <w:rFonts w:hint="eastAsia" w:ascii="黑体" w:eastAsia="黑体"/>
          <w:sz w:val="32"/>
          <w:szCs w:val="32"/>
        </w:rPr>
        <w:t xml:space="preserve"> </w:t>
      </w:r>
    </w:p>
    <w:p>
      <w:pPr>
        <w:pStyle w:val="8"/>
        <w:widowControl/>
        <w:spacing w:line="600" w:lineRule="exact"/>
        <w:ind w:firstLine="640"/>
        <w:rPr>
          <w:rFonts w:hint="eastAsia" w:ascii="黑体" w:hAnsi="黑体" w:eastAsia="黑体"/>
          <w:sz w:val="32"/>
          <w:szCs w:val="32"/>
        </w:rPr>
      </w:pPr>
    </w:p>
    <w:p>
      <w:pPr>
        <w:pStyle w:val="8"/>
        <w:widowControl/>
        <w:spacing w:line="600" w:lineRule="exact"/>
        <w:ind w:firstLine="640"/>
        <w:rPr>
          <w:rFonts w:hint="eastAsia" w:ascii="黑体" w:hAnsi="黑体" w:eastAsia="黑体"/>
          <w:sz w:val="32"/>
          <w:szCs w:val="32"/>
        </w:rPr>
      </w:pPr>
      <w:r>
        <w:rPr>
          <w:rFonts w:hint="eastAsia" w:ascii="黑体" w:hAnsi="黑体" w:eastAsia="黑体"/>
          <w:sz w:val="32"/>
          <w:szCs w:val="32"/>
        </w:rPr>
        <w:t xml:space="preserve"> </w:t>
      </w:r>
    </w:p>
    <w:p>
      <w:pPr>
        <w:pStyle w:val="8"/>
        <w:widowControl/>
        <w:spacing w:line="600" w:lineRule="exact"/>
        <w:ind w:firstLine="640"/>
        <w:rPr>
          <w:rFonts w:hint="eastAsia" w:ascii="黑体" w:hAnsi="黑体" w:eastAsia="黑体"/>
          <w:sz w:val="32"/>
          <w:szCs w:val="32"/>
        </w:rPr>
      </w:pPr>
      <w:r>
        <w:rPr>
          <w:rFonts w:hint="eastAsia" w:ascii="黑体" w:hAnsi="黑体" w:eastAsia="黑体"/>
          <w:sz w:val="32"/>
          <w:szCs w:val="32"/>
        </w:rPr>
        <w:t xml:space="preserve"> </w:t>
      </w:r>
    </w:p>
    <w:p>
      <w:pPr>
        <w:pStyle w:val="8"/>
        <w:widowControl/>
        <w:spacing w:line="600" w:lineRule="exact"/>
        <w:ind w:firstLine="640"/>
        <w:rPr>
          <w:rFonts w:hint="eastAsia" w:ascii="黑体" w:hAnsi="黑体" w:eastAsia="黑体"/>
          <w:sz w:val="32"/>
          <w:szCs w:val="32"/>
        </w:rPr>
      </w:pPr>
      <w:r>
        <w:rPr>
          <w:rFonts w:hint="eastAsia" w:ascii="黑体" w:hAnsi="黑体" w:eastAsia="黑体"/>
          <w:sz w:val="32"/>
          <w:szCs w:val="32"/>
        </w:rPr>
        <w:t xml:space="preserve"> </w:t>
      </w:r>
    </w:p>
    <w:p>
      <w:pPr>
        <w:pStyle w:val="8"/>
        <w:widowControl/>
        <w:spacing w:line="600" w:lineRule="exact"/>
        <w:ind w:firstLine="640"/>
        <w:rPr>
          <w:rFonts w:hint="eastAsia" w:ascii="黑体" w:hAnsi="黑体" w:eastAsia="黑体"/>
          <w:sz w:val="32"/>
          <w:szCs w:val="32"/>
        </w:rPr>
      </w:pPr>
    </w:p>
    <w:p>
      <w:pPr>
        <w:numPr>
          <w:ilvl w:val="0"/>
          <w:numId w:val="1"/>
        </w:numPr>
        <w:snapToGrid w:val="0"/>
        <w:spacing w:line="600" w:lineRule="exact"/>
        <w:jc w:val="left"/>
        <w:rPr>
          <w:rFonts w:hint="eastAsia" w:ascii="黑体" w:hAnsi="黑体" w:eastAsia="黑体"/>
          <w:sz w:val="32"/>
          <w:szCs w:val="32"/>
        </w:rPr>
      </w:pPr>
      <w:r>
        <w:rPr>
          <w:rFonts w:hint="eastAsia" w:ascii="黑体" w:hAnsi="黑体" w:eastAsia="黑体"/>
          <w:sz w:val="32"/>
          <w:szCs w:val="32"/>
        </w:rPr>
        <w:t>部门、单位基本情况</w:t>
      </w:r>
    </w:p>
    <w:p>
      <w:pPr>
        <w:numPr>
          <w:ilvl w:val="0"/>
          <w:numId w:val="0"/>
        </w:numPr>
        <w:snapToGrid w:val="0"/>
        <w:spacing w:line="600" w:lineRule="exact"/>
        <w:jc w:val="left"/>
        <w:rPr>
          <w:rFonts w:hint="eastAsia" w:ascii="黑体" w:hAnsi="黑体" w:eastAsia="黑体"/>
          <w:bCs/>
          <w:sz w:val="30"/>
          <w:szCs w:val="30"/>
        </w:rPr>
      </w:pPr>
      <w:r>
        <w:rPr>
          <w:rFonts w:hint="eastAsia" w:ascii="黑体" w:hAnsi="黑体" w:eastAsia="黑体"/>
          <w:bCs/>
          <w:sz w:val="30"/>
          <w:szCs w:val="30"/>
        </w:rPr>
        <w:t>第一部分：衡山县住房和城乡建设局单位概况</w:t>
      </w:r>
    </w:p>
    <w:p>
      <w:pPr>
        <w:jc w:val="left"/>
        <w:rPr>
          <w:rFonts w:eastAsia="仿宋"/>
          <w:sz w:val="32"/>
          <w:szCs w:val="32"/>
        </w:rPr>
      </w:pPr>
      <w:r>
        <w:rPr>
          <w:rFonts w:hint="eastAsia" w:ascii="黑体" w:hAnsi="黑体" w:eastAsia="黑体"/>
          <w:bCs/>
          <w:sz w:val="30"/>
          <w:szCs w:val="30"/>
        </w:rPr>
        <w:t>一、部门职责</w:t>
      </w:r>
    </w:p>
    <w:p>
      <w:pPr>
        <w:spacing w:line="590" w:lineRule="exact"/>
        <w:ind w:firstLine="640" w:firstLineChars="200"/>
        <w:rPr>
          <w:rFonts w:eastAsia="仿宋_GB2312" w:cs="仿宋_GB2312"/>
          <w:sz w:val="32"/>
          <w:szCs w:val="32"/>
        </w:rPr>
      </w:pPr>
      <w:r>
        <w:rPr>
          <w:rFonts w:hint="eastAsia" w:eastAsia="黑体" w:cs="仿宋_GB2312"/>
          <w:sz w:val="32"/>
          <w:szCs w:val="32"/>
        </w:rPr>
        <w:t>第一条</w:t>
      </w:r>
      <w:r>
        <w:rPr>
          <w:rFonts w:eastAsia="仿宋_GB2312" w:cs="仿宋_GB2312"/>
          <w:sz w:val="32"/>
          <w:szCs w:val="32"/>
        </w:rPr>
        <w:t xml:space="preserve">  </w:t>
      </w:r>
      <w:r>
        <w:rPr>
          <w:rFonts w:hint="eastAsia" w:eastAsia="仿宋_GB2312" w:cs="仿宋_GB2312"/>
          <w:sz w:val="32"/>
          <w:szCs w:val="32"/>
        </w:rPr>
        <w:t>根据《中共衡阳市委办公室衡阳市人民政府办公室关于印发</w:t>
      </w:r>
      <w:r>
        <w:rPr>
          <w:rFonts w:eastAsia="仿宋_GB2312" w:cs="仿宋_GB2312"/>
          <w:sz w:val="32"/>
          <w:szCs w:val="32"/>
        </w:rPr>
        <w:t>&lt;</w:t>
      </w:r>
      <w:r>
        <w:rPr>
          <w:rFonts w:hint="eastAsia" w:eastAsia="仿宋_GB2312" w:cs="仿宋_GB2312"/>
          <w:sz w:val="32"/>
          <w:szCs w:val="32"/>
        </w:rPr>
        <w:t>衡山县机构改革方案</w:t>
      </w:r>
      <w:r>
        <w:rPr>
          <w:rFonts w:eastAsia="仿宋_GB2312" w:cs="仿宋_GB2312"/>
          <w:sz w:val="32"/>
          <w:szCs w:val="32"/>
        </w:rPr>
        <w:t>&gt;</w:t>
      </w:r>
      <w:r>
        <w:rPr>
          <w:rFonts w:hint="eastAsia" w:eastAsia="仿宋_GB2312" w:cs="仿宋_GB2312"/>
          <w:sz w:val="32"/>
          <w:szCs w:val="32"/>
        </w:rPr>
        <w:t>的通知》（衡办〔</w:t>
      </w:r>
      <w:r>
        <w:rPr>
          <w:rFonts w:eastAsia="仿宋_GB2312" w:cs="仿宋_GB2312"/>
          <w:sz w:val="32"/>
          <w:szCs w:val="32"/>
        </w:rPr>
        <w:t>2019</w:t>
      </w:r>
      <w:r>
        <w:rPr>
          <w:rFonts w:hint="eastAsia" w:eastAsia="仿宋_GB2312" w:cs="仿宋_GB2312"/>
          <w:sz w:val="32"/>
          <w:szCs w:val="32"/>
        </w:rPr>
        <w:t>〕</w:t>
      </w:r>
      <w:r>
        <w:rPr>
          <w:rFonts w:eastAsia="仿宋_GB2312" w:cs="仿宋_GB2312"/>
          <w:sz w:val="32"/>
          <w:szCs w:val="32"/>
        </w:rPr>
        <w:t>6</w:t>
      </w:r>
      <w:r>
        <w:rPr>
          <w:rFonts w:hint="eastAsia" w:eastAsia="仿宋_GB2312" w:cs="仿宋_GB2312"/>
          <w:sz w:val="32"/>
          <w:szCs w:val="32"/>
        </w:rPr>
        <w:t>号），制定本规定。</w:t>
      </w:r>
    </w:p>
    <w:p>
      <w:pPr>
        <w:spacing w:line="590" w:lineRule="exact"/>
        <w:ind w:firstLine="640" w:firstLineChars="200"/>
        <w:rPr>
          <w:rFonts w:eastAsia="仿宋_GB2312" w:cs="仿宋_GB2312"/>
          <w:sz w:val="32"/>
          <w:szCs w:val="32"/>
        </w:rPr>
      </w:pPr>
      <w:r>
        <w:rPr>
          <w:rFonts w:hint="eastAsia" w:eastAsia="黑体" w:cs="仿宋_GB2312"/>
          <w:sz w:val="32"/>
          <w:szCs w:val="32"/>
        </w:rPr>
        <w:t>第二条</w:t>
      </w:r>
      <w:r>
        <w:rPr>
          <w:rFonts w:eastAsia="仿宋_GB2312" w:cs="仿宋_GB2312"/>
          <w:sz w:val="32"/>
          <w:szCs w:val="32"/>
        </w:rPr>
        <w:t xml:space="preserve">  </w:t>
      </w:r>
      <w:r>
        <w:rPr>
          <w:rFonts w:hint="eastAsia" w:eastAsia="仿宋_GB2312" w:cs="仿宋_GB2312"/>
          <w:sz w:val="32"/>
          <w:szCs w:val="32"/>
        </w:rPr>
        <w:t>衡山县住房和城乡建设局（以下简称县住房和城乡建设局）是县政府工作部门，为正科级。衡山县人民防空办公室（以下简称县人防办）与县住房和城乡建设局合署办公，实行一套工作机构，两个机关名称。</w:t>
      </w:r>
    </w:p>
    <w:p>
      <w:pPr>
        <w:spacing w:line="590" w:lineRule="exact"/>
        <w:ind w:firstLine="640" w:firstLineChars="200"/>
        <w:rPr>
          <w:rFonts w:eastAsia="仿宋_GB2312" w:cs="仿宋_GB2312"/>
          <w:sz w:val="32"/>
          <w:szCs w:val="32"/>
        </w:rPr>
      </w:pPr>
      <w:r>
        <w:rPr>
          <w:rFonts w:hint="eastAsia" w:eastAsia="黑体" w:cs="仿宋_GB2312"/>
          <w:sz w:val="32"/>
          <w:szCs w:val="32"/>
        </w:rPr>
        <w:t>第三条</w:t>
      </w:r>
      <w:r>
        <w:rPr>
          <w:rFonts w:eastAsia="仿宋_GB2312" w:cs="仿宋_GB2312"/>
          <w:sz w:val="32"/>
          <w:szCs w:val="32"/>
        </w:rPr>
        <w:t xml:space="preserve">  </w:t>
      </w:r>
      <w:r>
        <w:rPr>
          <w:rFonts w:hint="eastAsia" w:eastAsia="仿宋_GB2312" w:cs="仿宋_GB2312"/>
          <w:sz w:val="32"/>
          <w:szCs w:val="32"/>
        </w:rPr>
        <w:t>县住房和城乡建设局（县人防办）贯彻落实党中央关于住房和城乡建设、人民防空工作的方针政策和决策部署，全面贯彻落实省委、市委、县委关于住房和城乡建设、人民防空工作的集中统一领导。主要职责是：</w:t>
      </w:r>
    </w:p>
    <w:p>
      <w:pPr>
        <w:spacing w:line="590" w:lineRule="exact"/>
        <w:ind w:firstLine="640" w:firstLineChars="200"/>
        <w:rPr>
          <w:rFonts w:eastAsia="仿宋_GB2312" w:cs="仿宋_GB2312"/>
          <w:kern w:val="0"/>
          <w:sz w:val="32"/>
          <w:szCs w:val="32"/>
        </w:rPr>
      </w:pPr>
      <w:r>
        <w:rPr>
          <w:rFonts w:hint="eastAsia" w:eastAsia="仿宋_GB2312" w:cs="仿宋_GB2312"/>
          <w:kern w:val="0"/>
          <w:sz w:val="32"/>
          <w:szCs w:val="32"/>
        </w:rPr>
        <w:t>（一）承担牵头推进新型城镇化战略工作；负责贯彻执行国家、省、市有关推进新型城镇化、城乡建设、人民防空、住房保障、工程建设、建筑业、住宅房地产业、勘察设计咨询业、市政设施建设方面的方针政策和法律法规，拟订全县新型城镇化、人民防空、房产业发展战略、中长期规划及年度计划并组织实施；指导乡镇住房和城乡建设工作，负责乡镇新型城镇化的目标管理考核。</w:t>
      </w:r>
    </w:p>
    <w:p>
      <w:pPr>
        <w:spacing w:line="590" w:lineRule="exact"/>
        <w:ind w:firstLine="640" w:firstLineChars="200"/>
        <w:rPr>
          <w:rFonts w:eastAsia="仿宋_GB2312" w:cs="仿宋_GB2312"/>
          <w:kern w:val="0"/>
          <w:sz w:val="32"/>
          <w:szCs w:val="32"/>
        </w:rPr>
      </w:pPr>
      <w:r>
        <w:rPr>
          <w:rFonts w:hint="eastAsia" w:eastAsia="仿宋_GB2312" w:cs="仿宋_GB2312"/>
          <w:kern w:val="0"/>
          <w:sz w:val="32"/>
          <w:szCs w:val="32"/>
        </w:rPr>
        <w:t>（二）负责住房制度改革和住房保障工作。负责推进住房制度改革和保障城镇中低收入家庭住房的责任；拟订适合县情的住房政策和住房保障办法，指导住房建设和住房制度改革；编制县本级城镇保障性住房发展规划和年度计划，并监督实施；负责组织有关廉租住房（经济适用住房）规划、申报、资金安排、建设并组织实施；参与核定廉租房租金标准和经济适用房的销售指导价格；会同相关部门做好政府有关保障性住房资金安排和资金监管工作；组织指导县城棚户区和国有工矿棚户区改造工作；负责城区保障性安居工程管理。</w:t>
      </w:r>
    </w:p>
    <w:p>
      <w:pPr>
        <w:spacing w:line="590" w:lineRule="exact"/>
        <w:ind w:firstLine="640" w:firstLineChars="200"/>
        <w:rPr>
          <w:rFonts w:eastAsia="仿宋_GB2312" w:cs="仿宋_GB2312"/>
          <w:spacing w:val="-7"/>
          <w:kern w:val="0"/>
          <w:sz w:val="32"/>
          <w:szCs w:val="32"/>
        </w:rPr>
      </w:pPr>
      <w:r>
        <w:rPr>
          <w:rFonts w:hint="eastAsia" w:eastAsia="仿宋_GB2312" w:cs="仿宋_GB2312"/>
          <w:kern w:val="0"/>
          <w:sz w:val="32"/>
          <w:szCs w:val="32"/>
        </w:rPr>
        <w:t>（三）负责全县建设市场监督管理。管理和指导全县</w:t>
      </w:r>
      <w:r>
        <w:rPr>
          <w:rFonts w:hint="eastAsia" w:eastAsia="仿宋_GB2312" w:cs="仿宋_GB2312"/>
          <w:spacing w:val="-7"/>
          <w:kern w:val="0"/>
          <w:sz w:val="32"/>
          <w:szCs w:val="32"/>
        </w:rPr>
        <w:t>建筑活动；负责全县建筑业企业及工程监理、招标代理、检验检测等相关社会中介组织的资质审核、报批和管理；负责建设工程报建和施工许可管理；负责建设工程招标投标活动的监督管理。</w:t>
      </w:r>
    </w:p>
    <w:p>
      <w:pPr>
        <w:spacing w:line="590" w:lineRule="exact"/>
        <w:ind w:firstLine="640" w:firstLineChars="200"/>
        <w:rPr>
          <w:rFonts w:eastAsia="仿宋_GB2312" w:cs="仿宋_GB2312"/>
          <w:kern w:val="0"/>
          <w:sz w:val="32"/>
          <w:szCs w:val="32"/>
        </w:rPr>
      </w:pPr>
      <w:r>
        <w:rPr>
          <w:rFonts w:hint="eastAsia" w:eastAsia="仿宋_GB2312" w:cs="仿宋_GB2312"/>
          <w:kern w:val="0"/>
          <w:sz w:val="32"/>
          <w:szCs w:val="32"/>
        </w:rPr>
        <w:t>（四）承担全县勘察设计市场监管的责任。负责勘察设计及其咨询单位和施工图审查机构的资质管理、从业人员资格审查；负责全县建设工程初步设计文件审批和施工图设计文件审查备案；负责指导建设工程消防设计审查；负责全县各类建筑工程的抗震设防的设计审查。</w:t>
      </w:r>
    </w:p>
    <w:p>
      <w:pPr>
        <w:spacing w:line="590" w:lineRule="exact"/>
        <w:ind w:firstLine="640" w:firstLineChars="200"/>
        <w:rPr>
          <w:rFonts w:eastAsia="仿宋_GB2312" w:cs="仿宋_GB2312"/>
          <w:kern w:val="0"/>
          <w:sz w:val="32"/>
          <w:szCs w:val="32"/>
        </w:rPr>
      </w:pPr>
      <w:r>
        <w:rPr>
          <w:rFonts w:hint="eastAsia" w:eastAsia="仿宋_GB2312" w:cs="仿宋_GB2312"/>
          <w:kern w:val="0"/>
          <w:sz w:val="32"/>
          <w:szCs w:val="32"/>
        </w:rPr>
        <w:t>（五）承担全县房屋建筑、市政工程和相关公用事业设施质量、安全生产监督管理的责任。负责房屋建筑和市政工程竣工验收备案并牵头组织综合验收；负责预拌（商品）混凝土及制品构件的质量监督管理；负责审核报批安全生产许可相关手续，组织或参与建设工程、相关公用事业设施质量、安全事故的</w:t>
      </w:r>
      <w:r>
        <w:rPr>
          <w:rFonts w:hint="eastAsia" w:eastAsia="仿宋_GB2312" w:cs="仿宋_GB2312"/>
          <w:bCs/>
          <w:kern w:val="0"/>
          <w:sz w:val="32"/>
          <w:szCs w:val="32"/>
        </w:rPr>
        <w:t>应急处置</w:t>
      </w:r>
      <w:r>
        <w:rPr>
          <w:rFonts w:hint="eastAsia" w:eastAsia="仿宋_GB2312" w:cs="仿宋_GB2312"/>
          <w:kern w:val="0"/>
          <w:sz w:val="32"/>
          <w:szCs w:val="32"/>
        </w:rPr>
        <w:t>和调查处理；负责城区房屋使用安全监督管理、危旧房屋安全鉴定和等级评定工作；协调规划部门编制城区危旧房屋改造规划并组织实施；指导房屋白蚁防治工作。</w:t>
      </w:r>
    </w:p>
    <w:p>
      <w:pPr>
        <w:spacing w:line="590" w:lineRule="exact"/>
        <w:ind w:firstLine="640" w:firstLineChars="200"/>
        <w:rPr>
          <w:rFonts w:eastAsia="仿宋_GB2312" w:cs="仿宋_GB2312"/>
          <w:kern w:val="0"/>
          <w:sz w:val="32"/>
          <w:szCs w:val="32"/>
        </w:rPr>
      </w:pPr>
      <w:r>
        <w:rPr>
          <w:rFonts w:hint="eastAsia" w:eastAsia="仿宋_GB2312" w:cs="仿宋_GB2312"/>
          <w:kern w:val="0"/>
          <w:sz w:val="32"/>
          <w:szCs w:val="32"/>
        </w:rPr>
        <w:t>（六）承担城市市政工程、公用事业的建设、维护、运营安全和应急管理工作；负责城市道路、桥梁、排水等设施的维护管理工作；负责全县供水、节水、污水处理、</w:t>
      </w:r>
      <w:r>
        <w:rPr>
          <w:rFonts w:hint="eastAsia" w:eastAsia="仿宋_GB2312" w:cs="仿宋_GB2312"/>
          <w:sz w:val="32"/>
          <w:szCs w:val="32"/>
        </w:rPr>
        <w:t>县城排涝、</w:t>
      </w:r>
      <w:r>
        <w:rPr>
          <w:rFonts w:hint="eastAsia" w:eastAsia="仿宋_GB2312" w:cs="仿宋_GB2312"/>
          <w:kern w:val="0"/>
          <w:sz w:val="32"/>
          <w:szCs w:val="32"/>
        </w:rPr>
        <w:t>燃气管理工作；负责城区房屋室内装饰行业管理。负责城区自来水用户的污水处理费征收；负责协调地下管线的建设和管理；负责城市雕塑建设；参与毗邻房屋安全纠纷的调解工作。</w:t>
      </w:r>
    </w:p>
    <w:p>
      <w:pPr>
        <w:spacing w:line="590" w:lineRule="exact"/>
        <w:ind w:firstLine="640" w:firstLineChars="200"/>
        <w:rPr>
          <w:rFonts w:eastAsia="仿宋_GB2312" w:cs="仿宋_GB2312"/>
          <w:kern w:val="0"/>
          <w:sz w:val="32"/>
          <w:szCs w:val="32"/>
        </w:rPr>
      </w:pPr>
      <w:r>
        <w:rPr>
          <w:rFonts w:hint="eastAsia" w:eastAsia="仿宋_GB2312" w:cs="仿宋_GB2312"/>
          <w:kern w:val="0"/>
          <w:sz w:val="32"/>
          <w:szCs w:val="32"/>
        </w:rPr>
        <w:t>（七）组织贯彻执行工程建设实施阶段国家标准、全国统一定额和省级行业标准以及相关的管理制度；指导监督各类工程建设标准定额的实施和工程造价计价，组织发布工程造价信息。</w:t>
      </w:r>
    </w:p>
    <w:p>
      <w:pPr>
        <w:spacing w:line="590" w:lineRule="exact"/>
        <w:ind w:firstLine="640" w:firstLineChars="200"/>
        <w:rPr>
          <w:rFonts w:eastAsia="仿宋_GB2312" w:cs="仿宋_GB2312"/>
          <w:kern w:val="0"/>
          <w:sz w:val="32"/>
          <w:szCs w:val="32"/>
        </w:rPr>
      </w:pPr>
      <w:r>
        <w:rPr>
          <w:rFonts w:hint="eastAsia" w:eastAsia="仿宋_GB2312" w:cs="仿宋_GB2312"/>
          <w:kern w:val="0"/>
          <w:sz w:val="32"/>
          <w:szCs w:val="32"/>
        </w:rPr>
        <w:t>（八）根据国家批准的防护类别、防护标准，会同有关部门审批人民防空建设与城市建设相结合规划，做好城市地下空间的规划、开发利用、审批工作。负责城市地下空间开发利用中人民防空防护事项的管理和监督检查。对重点防护目标防护工作进行指导和监督。对城市隧道等地下交通干线、交通综合枢纽，参加设计审查、质量监督和竣工验收认可工作。组织人民防空工程建设。负责公用人民防空工程的平时维护管理；对人民防空工程的维护管理和开发利用进行监督；参与应建防空地下室的民用建筑项目的报建联审，负责防空地下室人民防空防护部分的设计审查；负责防空地下室人民防空部分的工程质量监督管理；负责新建民用建筑易地建设、人民防空工程的拆除、改造、报废、防空警报通信设施拆除，迁移的审批。组织、协调和指导城市防空袭方案的制订、群众防空组织（人民防空专业队）建设和训练、疏散体系建设和管理。负责防空防灾应急指挥平台建设、维护和管理，组织管理人民防空通信警报和信息化建设。管理人民防空经费和资产，编制县本级人民防空经费预决算，并对使用情况实施监督检查。</w:t>
      </w:r>
    </w:p>
    <w:p>
      <w:pPr>
        <w:spacing w:line="590" w:lineRule="exact"/>
        <w:ind w:firstLine="640" w:firstLineChars="200"/>
        <w:rPr>
          <w:rFonts w:eastAsia="仿宋_GB2312" w:cs="仿宋_GB2312"/>
          <w:kern w:val="0"/>
          <w:sz w:val="32"/>
          <w:szCs w:val="32"/>
        </w:rPr>
      </w:pPr>
      <w:r>
        <w:rPr>
          <w:rFonts w:hint="eastAsia" w:eastAsia="仿宋_GB2312" w:cs="仿宋_GB2312"/>
          <w:kern w:val="0"/>
          <w:sz w:val="32"/>
          <w:szCs w:val="32"/>
        </w:rPr>
        <w:t>（九）承担规范房产市场秩序、监督管理房产市场的责任；负责商品房屋预售、销售管理及预售资金的监督；负责商品房的预售制订、验收备案；监督管理房产开发市场、房产交易市场、物业管理市场、房地产中介服务市场和商品房屋租赁市场；负责房产咨询、评估、经纪等中介服务机构资质管理；负责房屋产权登记前的纠纷调处工作；负责全县房产综合开发的监督管理；负责全县房产市场监测、调控、研究、预警预报体系建设和信息发布；配合相关部门管理房产价格和房产广告。</w:t>
      </w:r>
    </w:p>
    <w:p>
      <w:pPr>
        <w:spacing w:line="590" w:lineRule="exact"/>
        <w:ind w:firstLine="640" w:firstLineChars="200"/>
        <w:rPr>
          <w:rFonts w:eastAsia="仿宋_GB2312" w:cs="仿宋_GB2312"/>
          <w:kern w:val="0"/>
          <w:sz w:val="32"/>
          <w:szCs w:val="32"/>
        </w:rPr>
      </w:pPr>
      <w:r>
        <w:rPr>
          <w:rFonts w:hint="eastAsia" w:eastAsia="仿宋_GB2312" w:cs="仿宋_GB2312"/>
          <w:kern w:val="0"/>
          <w:sz w:val="32"/>
          <w:szCs w:val="32"/>
        </w:rPr>
        <w:t>（十）承担指导村镇建设管理的责任；指导、监督全县村镇建设；负责农村危房改造工作。</w:t>
      </w:r>
    </w:p>
    <w:p>
      <w:pPr>
        <w:spacing w:line="590" w:lineRule="exact"/>
        <w:ind w:firstLine="640" w:firstLineChars="200"/>
        <w:rPr>
          <w:rFonts w:eastAsia="仿宋_GB2312" w:cs="仿宋_GB2312"/>
          <w:kern w:val="0"/>
          <w:sz w:val="32"/>
          <w:szCs w:val="32"/>
        </w:rPr>
      </w:pPr>
      <w:r>
        <w:rPr>
          <w:rFonts w:hint="eastAsia" w:eastAsia="仿宋_GB2312" w:cs="仿宋_GB2312"/>
          <w:kern w:val="0"/>
          <w:sz w:val="32"/>
          <w:szCs w:val="32"/>
        </w:rPr>
        <w:t>（十一）承担全县物业管理行业监督管理责任。负责培育和监督物业管理市场；负责审定、审批物业管理企业资质；负责物业承接查验活动的指导和监督工作；负责代收和管理物业专项维修基金（全县物业专项维修资金管理）；指导县城房屋维修养护和售后服务管理工作。</w:t>
      </w:r>
    </w:p>
    <w:p>
      <w:pPr>
        <w:spacing w:line="590" w:lineRule="exact"/>
        <w:ind w:firstLine="640" w:firstLineChars="200"/>
        <w:rPr>
          <w:rFonts w:hint="eastAsia" w:eastAsia="仿宋_GB2312" w:cs="仿宋_GB2312"/>
          <w:kern w:val="0"/>
          <w:sz w:val="32"/>
          <w:szCs w:val="32"/>
        </w:rPr>
      </w:pPr>
      <w:r>
        <w:rPr>
          <w:rFonts w:hint="eastAsia" w:eastAsia="仿宋_GB2312" w:cs="仿宋_GB2312"/>
          <w:kern w:val="0"/>
          <w:sz w:val="32"/>
          <w:szCs w:val="32"/>
        </w:rPr>
        <w:t>（十二）负责推进全县建筑节能与建设科技进步的责任；组织建筑行业科技成果的评审、推广应用；组织重大建筑节能项目的实施，推进建筑节能和城镇节能减排；负责城建档案的收集、管理和利用。</w:t>
      </w:r>
    </w:p>
    <w:p>
      <w:pPr>
        <w:spacing w:line="590" w:lineRule="exact"/>
        <w:ind w:firstLine="640" w:firstLineChars="200"/>
        <w:rPr>
          <w:rFonts w:hint="eastAsia" w:eastAsia="仿宋_GB2312" w:cs="仿宋_GB2312"/>
          <w:kern w:val="0"/>
          <w:sz w:val="32"/>
          <w:szCs w:val="32"/>
        </w:rPr>
      </w:pPr>
      <w:r>
        <w:rPr>
          <w:rFonts w:hint="eastAsia" w:eastAsia="仿宋_GB2312" w:cs="仿宋_GB2312"/>
          <w:kern w:val="0"/>
          <w:sz w:val="32"/>
          <w:szCs w:val="32"/>
        </w:rPr>
        <w:t>（十三）负责推进全县建筑节能工作。组织重大建筑节能项目的实施，推进建筑节能和城镇节能减排；组织建筑行业科技成果的评审、推广应用；负责城建档案的收集、管理和利用。负责全县散装水泥、预拌混凝土、预拌砂浆的推广和行业管理及协调服务；负责散装水泥专项资金的使用和管理；负责预拌混凝土和预拌砂浆企业规划、审核和监督管理。负责全县新型墙体材料推广应用和监督、检查、管理；负责审核新型墙体材料产品资质认证；负责新型墙体材料专项基金的使用和管理；指导新型墙体材料的研究开发、生产和使用。</w:t>
      </w:r>
    </w:p>
    <w:p>
      <w:pPr>
        <w:spacing w:line="590" w:lineRule="exact"/>
        <w:ind w:firstLine="640" w:firstLineChars="200"/>
        <w:rPr>
          <w:rFonts w:hint="eastAsia" w:eastAsia="仿宋_GB2312" w:cs="仿宋_GB2312"/>
          <w:kern w:val="0"/>
          <w:sz w:val="32"/>
          <w:szCs w:val="32"/>
        </w:rPr>
      </w:pPr>
      <w:r>
        <w:rPr>
          <w:rFonts w:hint="eastAsia" w:eastAsia="仿宋_GB2312" w:cs="仿宋_GB2312"/>
          <w:kern w:val="0"/>
          <w:sz w:val="32"/>
          <w:szCs w:val="32"/>
        </w:rPr>
        <w:t>（十四）负责建设工程消防相关工作。指导建设工程消防设计审查；负责建设工程消防验收、备案和抽查工作。</w:t>
      </w:r>
    </w:p>
    <w:p>
      <w:pPr>
        <w:spacing w:line="590" w:lineRule="exact"/>
        <w:ind w:firstLine="640" w:firstLineChars="200"/>
        <w:rPr>
          <w:rFonts w:hint="eastAsia" w:eastAsia="仿宋_GB2312" w:cs="仿宋_GB2312"/>
          <w:kern w:val="0"/>
          <w:sz w:val="32"/>
          <w:szCs w:val="32"/>
        </w:rPr>
      </w:pPr>
      <w:r>
        <w:rPr>
          <w:rFonts w:hint="eastAsia" w:eastAsia="仿宋_GB2312" w:cs="仿宋_GB2312"/>
          <w:kern w:val="0"/>
          <w:sz w:val="32"/>
          <w:szCs w:val="32"/>
        </w:rPr>
        <w:t>（十五）负责推进住房和城乡建设领域科技发展。制定并实施全县住房和城乡建设领域科技创新发展和人才培养规划和计划。组织实施重大科技工程及创新能力建设，推进住房和城乡建设信息化和信息资料的公共服务。组织开展全县住房和城乡建设领域对外交流与合作。</w:t>
      </w:r>
    </w:p>
    <w:p>
      <w:pPr>
        <w:spacing w:line="590" w:lineRule="exact"/>
        <w:ind w:firstLine="640" w:firstLineChars="200"/>
        <w:rPr>
          <w:rFonts w:eastAsia="仿宋_GB2312" w:cs="仿宋_GB2312"/>
          <w:kern w:val="0"/>
          <w:sz w:val="32"/>
          <w:szCs w:val="32"/>
        </w:rPr>
      </w:pPr>
      <w:r>
        <w:rPr>
          <w:rFonts w:hint="eastAsia" w:eastAsia="仿宋_GB2312" w:cs="仿宋_GB2312"/>
          <w:kern w:val="0"/>
          <w:sz w:val="32"/>
          <w:szCs w:val="32"/>
        </w:rPr>
        <w:t>（十六）参与县本级城建资金、人防建设经费计划的编制和管理；负责城市建设和人防工程项目概（预）算的审查和项目竣工结算的初审；负责城市基础设施配套费和工程建设、公用事业、房产管理及人防设施相关规费的征收；负责建设行业劳保基金的征收和管理</w:t>
      </w:r>
      <w:r>
        <w:rPr>
          <w:rFonts w:eastAsia="仿宋_GB2312" w:cs="仿宋_GB2312"/>
          <w:kern w:val="0"/>
          <w:sz w:val="32"/>
          <w:szCs w:val="32"/>
        </w:rPr>
        <w:t>;</w:t>
      </w:r>
      <w:r>
        <w:rPr>
          <w:rFonts w:hint="eastAsia" w:eastAsia="仿宋_GB2312" w:cs="仿宋_GB2312"/>
          <w:kern w:val="0"/>
          <w:sz w:val="32"/>
          <w:szCs w:val="32"/>
        </w:rPr>
        <w:t>指导、监督局属企事业单位国有资产的管理；负责局管各行业综合统计报表的汇总和上报。</w:t>
      </w:r>
    </w:p>
    <w:p>
      <w:pPr>
        <w:spacing w:line="590" w:lineRule="exact"/>
        <w:ind w:firstLine="640" w:firstLineChars="200"/>
        <w:rPr>
          <w:rFonts w:eastAsia="仿宋_GB2312" w:cs="仿宋_GB2312"/>
          <w:kern w:val="0"/>
          <w:sz w:val="32"/>
          <w:szCs w:val="32"/>
        </w:rPr>
      </w:pPr>
      <w:r>
        <w:rPr>
          <w:rFonts w:hint="eastAsia" w:eastAsia="仿宋_GB2312" w:cs="仿宋_GB2312"/>
          <w:kern w:val="0"/>
          <w:sz w:val="32"/>
          <w:szCs w:val="32"/>
        </w:rPr>
        <w:t>（十七）拟订行业人才发展规划，指导建设行业人才队伍建设；负责建设系统职工队伍的培训和继续教育工作；负责专业技术职称评定的初审、评定、报批和职业资格管理的有关工作。开展全县住房和城乡建设方面的对外交流与合作。</w:t>
      </w:r>
    </w:p>
    <w:p>
      <w:pPr>
        <w:spacing w:line="590" w:lineRule="exact"/>
        <w:ind w:firstLine="640" w:firstLineChars="200"/>
        <w:rPr>
          <w:rFonts w:eastAsia="仿宋_GB2312" w:cs="仿宋_GB2312"/>
          <w:kern w:val="0"/>
          <w:sz w:val="32"/>
          <w:szCs w:val="32"/>
        </w:rPr>
      </w:pPr>
      <w:r>
        <w:rPr>
          <w:rFonts w:hint="eastAsia" w:eastAsia="仿宋_GB2312" w:cs="仿宋_GB2312"/>
          <w:kern w:val="0"/>
          <w:sz w:val="32"/>
          <w:szCs w:val="32"/>
        </w:rPr>
        <w:t>（十八）负责本行业、领域的应急管理工作，对本行业、领域的安全生产工作实施监督管理。</w:t>
      </w:r>
    </w:p>
    <w:p>
      <w:pPr>
        <w:spacing w:line="590" w:lineRule="exact"/>
        <w:ind w:firstLine="640" w:firstLineChars="200"/>
        <w:rPr>
          <w:rFonts w:eastAsia="仿宋_GB2312" w:cs="仿宋_GB2312"/>
          <w:kern w:val="0"/>
          <w:sz w:val="32"/>
          <w:szCs w:val="32"/>
        </w:rPr>
      </w:pPr>
      <w:r>
        <w:rPr>
          <w:rFonts w:hint="eastAsia" w:eastAsia="仿宋_GB2312" w:cs="仿宋_GB2312"/>
          <w:kern w:val="0"/>
          <w:sz w:val="32"/>
          <w:szCs w:val="32"/>
        </w:rPr>
        <w:t>（十九）完成县委、县政府交办的其他任务。</w:t>
      </w:r>
    </w:p>
    <w:p>
      <w:pPr>
        <w:spacing w:line="590" w:lineRule="exact"/>
        <w:rPr>
          <w:rFonts w:eastAsia="仿宋_GB2312" w:cs="仿宋_GB2312"/>
          <w:bCs/>
          <w:sz w:val="32"/>
          <w:szCs w:val="32"/>
        </w:rPr>
      </w:pPr>
      <w:r>
        <w:rPr>
          <w:rFonts w:hint="eastAsia" w:eastAsia="仿宋_GB2312" w:cs="仿宋_GB2312"/>
          <w:b/>
          <w:sz w:val="32"/>
          <w:szCs w:val="32"/>
        </w:rPr>
        <w:t>第四条 内设机构设置及编制情况：</w:t>
      </w:r>
    </w:p>
    <w:p>
      <w:pPr>
        <w:adjustRightInd w:val="0"/>
        <w:spacing w:line="590" w:lineRule="exact"/>
        <w:ind w:firstLine="640" w:firstLineChars="200"/>
        <w:rPr>
          <w:rFonts w:hint="eastAsia" w:eastAsia="仿宋_GB2312" w:cs="楷体_GB2312"/>
          <w:bCs/>
          <w:sz w:val="32"/>
          <w:szCs w:val="32"/>
        </w:rPr>
      </w:pPr>
      <w:r>
        <w:rPr>
          <w:rFonts w:hint="eastAsia" w:eastAsia="仿宋_GB2312" w:cs="楷体_GB2312"/>
          <w:bCs/>
          <w:kern w:val="0"/>
          <w:sz w:val="32"/>
          <w:szCs w:val="32"/>
        </w:rPr>
        <w:t>内设办公室、</w:t>
      </w:r>
      <w:r>
        <w:rPr>
          <w:rFonts w:hint="eastAsia" w:eastAsia="仿宋_GB2312" w:cs="楷体_GB2312"/>
          <w:sz w:val="32"/>
          <w:szCs w:val="32"/>
        </w:rPr>
        <w:t>信息综合股、</w:t>
      </w:r>
      <w:r>
        <w:rPr>
          <w:rFonts w:hint="eastAsia" w:eastAsia="仿宋_GB2312" w:cs="楷体_GB2312"/>
          <w:bCs/>
          <w:kern w:val="0"/>
          <w:sz w:val="32"/>
          <w:szCs w:val="32"/>
        </w:rPr>
        <w:t>人事股、</w:t>
      </w:r>
      <w:r>
        <w:rPr>
          <w:rFonts w:hint="eastAsia" w:cs="楷体_GB2312"/>
          <w:sz w:val="32"/>
          <w:szCs w:val="32"/>
        </w:rPr>
        <w:t>行政审批服务股、</w:t>
      </w:r>
      <w:r>
        <w:rPr>
          <w:rFonts w:hint="eastAsia" w:eastAsia="仿宋_GB2312" w:cs="楷体_GB2312"/>
          <w:bCs/>
          <w:kern w:val="0"/>
          <w:sz w:val="32"/>
          <w:szCs w:val="32"/>
        </w:rPr>
        <w:t>建设管理股、计划财务股、政策法规股</w:t>
      </w:r>
      <w:r>
        <w:rPr>
          <w:rFonts w:hint="eastAsia" w:eastAsia="仿宋_GB2312" w:cs="楷体_GB2312"/>
          <w:sz w:val="32"/>
          <w:szCs w:val="32"/>
        </w:rPr>
        <w:t>、</w:t>
      </w:r>
      <w:r>
        <w:rPr>
          <w:rFonts w:hint="eastAsia" w:eastAsia="仿宋_GB2312" w:cs="楷体_GB2312"/>
          <w:bCs/>
          <w:kern w:val="0"/>
          <w:sz w:val="32"/>
          <w:szCs w:val="32"/>
        </w:rPr>
        <w:t>公用事业股（给排水管理办公室）、</w:t>
      </w:r>
      <w:r>
        <w:rPr>
          <w:rFonts w:hint="eastAsia" w:ascii="仿宋_GB2312" w:hAnsi="仿宋_GB2312" w:eastAsia="仿宋_GB2312" w:cs="仿宋_GB2312"/>
          <w:sz w:val="32"/>
          <w:szCs w:val="32"/>
        </w:rPr>
        <w:t>物业管理股（物业专项维修资金管理中心）、房产市场管理股、科技与建筑节能股</w:t>
      </w:r>
      <w:r>
        <w:rPr>
          <w:rFonts w:hint="eastAsia" w:ascii="仿宋_GB2312" w:hAnsi="仿宋_GB2312" w:eastAsia="仿宋_GB2312" w:cs="仿宋_GB2312"/>
          <w:kern w:val="0"/>
          <w:sz w:val="32"/>
          <w:szCs w:val="32"/>
        </w:rPr>
        <w:t>、勘察设计股</w:t>
      </w:r>
      <w:r>
        <w:rPr>
          <w:rFonts w:hint="eastAsia" w:ascii="仿宋_GB2312" w:hAnsi="仿宋_GB2312" w:eastAsia="仿宋_GB2312" w:cs="仿宋_GB2312"/>
          <w:sz w:val="32"/>
          <w:szCs w:val="32"/>
        </w:rPr>
        <w:t>、招标办、</w:t>
      </w:r>
      <w:r>
        <w:rPr>
          <w:rFonts w:hint="eastAsia" w:eastAsia="仿宋_GB2312" w:cs="楷体_GB2312"/>
          <w:bCs/>
          <w:sz w:val="32"/>
          <w:szCs w:val="32"/>
        </w:rPr>
        <w:t>指挥通信股（工程管理股）、住房保障股等十五个股室。</w:t>
      </w:r>
    </w:p>
    <w:p>
      <w:pPr>
        <w:adjustRightInd w:val="0"/>
        <w:spacing w:line="590" w:lineRule="exact"/>
        <w:ind w:firstLine="640" w:firstLineChars="200"/>
        <w:rPr>
          <w:rFonts w:hint="eastAsia" w:eastAsia="仿宋_GB2312" w:cs="仿宋_GB2312"/>
          <w:sz w:val="32"/>
          <w:szCs w:val="32"/>
        </w:rPr>
      </w:pPr>
      <w:r>
        <w:rPr>
          <w:rFonts w:hint="eastAsia" w:eastAsia="仿宋_GB2312" w:cs="仿宋_GB2312"/>
          <w:sz w:val="32"/>
          <w:szCs w:val="32"/>
        </w:rPr>
        <w:t>县住房和城乡建设局（县人防办）机关行政编制</w:t>
      </w:r>
      <w:r>
        <w:rPr>
          <w:rFonts w:eastAsia="仿宋_GB2312" w:cs="仿宋_GB2312"/>
          <w:sz w:val="32"/>
          <w:szCs w:val="32"/>
        </w:rPr>
        <w:t>13</w:t>
      </w:r>
      <w:r>
        <w:rPr>
          <w:rFonts w:hint="eastAsia" w:eastAsia="仿宋_GB2312" w:cs="仿宋_GB2312"/>
          <w:sz w:val="32"/>
          <w:szCs w:val="32"/>
        </w:rPr>
        <w:t>名，设局长</w:t>
      </w:r>
      <w:r>
        <w:rPr>
          <w:rFonts w:eastAsia="仿宋_GB2312" w:cs="仿宋_GB2312"/>
          <w:sz w:val="32"/>
          <w:szCs w:val="32"/>
        </w:rPr>
        <w:t>1</w:t>
      </w:r>
      <w:r>
        <w:rPr>
          <w:rFonts w:hint="eastAsia" w:eastAsia="仿宋_GB2312" w:cs="仿宋_GB2312"/>
          <w:sz w:val="32"/>
          <w:szCs w:val="32"/>
        </w:rPr>
        <w:t>名，副局长</w:t>
      </w:r>
      <w:r>
        <w:rPr>
          <w:rFonts w:eastAsia="仿宋_GB2312" w:cs="仿宋_GB2312"/>
          <w:sz w:val="32"/>
          <w:szCs w:val="32"/>
        </w:rPr>
        <w:t>3</w:t>
      </w:r>
      <w:r>
        <w:rPr>
          <w:rFonts w:hint="eastAsia" w:eastAsia="仿宋_GB2312" w:cs="仿宋_GB2312"/>
          <w:sz w:val="32"/>
          <w:szCs w:val="32"/>
        </w:rPr>
        <w:t>名，县人民防空办公室副主任</w:t>
      </w:r>
      <w:r>
        <w:rPr>
          <w:rFonts w:eastAsia="仿宋_GB2312" w:cs="仿宋_GB2312"/>
          <w:sz w:val="32"/>
          <w:szCs w:val="32"/>
        </w:rPr>
        <w:t>1</w:t>
      </w:r>
      <w:r>
        <w:rPr>
          <w:rFonts w:hint="eastAsia" w:eastAsia="仿宋_GB2312" w:cs="仿宋_GB2312"/>
          <w:sz w:val="32"/>
          <w:szCs w:val="32"/>
        </w:rPr>
        <w:t>名，总工程师</w:t>
      </w:r>
      <w:r>
        <w:rPr>
          <w:rFonts w:eastAsia="仿宋_GB2312" w:cs="仿宋_GB2312"/>
          <w:sz w:val="32"/>
          <w:szCs w:val="32"/>
        </w:rPr>
        <w:t>1</w:t>
      </w:r>
      <w:r>
        <w:rPr>
          <w:rFonts w:hint="eastAsia" w:eastAsia="仿宋_GB2312" w:cs="仿宋_GB2312"/>
          <w:sz w:val="32"/>
          <w:szCs w:val="32"/>
        </w:rPr>
        <w:t>名，股室负责人</w:t>
      </w:r>
      <w:r>
        <w:rPr>
          <w:rFonts w:eastAsia="仿宋_GB2312" w:cs="仿宋_GB2312"/>
          <w:sz w:val="32"/>
          <w:szCs w:val="32"/>
        </w:rPr>
        <w:t>15</w:t>
      </w:r>
      <w:r>
        <w:rPr>
          <w:rFonts w:hint="eastAsia" w:eastAsia="仿宋_GB2312" w:cs="仿宋_GB2312"/>
          <w:sz w:val="32"/>
          <w:szCs w:val="32"/>
        </w:rPr>
        <w:t>名。机关后勤服务全额拨款事业编制</w:t>
      </w:r>
      <w:r>
        <w:rPr>
          <w:rFonts w:eastAsia="仿宋_GB2312" w:cs="仿宋_GB2312"/>
          <w:sz w:val="32"/>
          <w:szCs w:val="32"/>
        </w:rPr>
        <w:t>8</w:t>
      </w:r>
      <w:r>
        <w:rPr>
          <w:rFonts w:hint="eastAsia" w:eastAsia="仿宋_GB2312" w:cs="仿宋_GB2312"/>
          <w:sz w:val="32"/>
          <w:szCs w:val="32"/>
        </w:rPr>
        <w:t>名。</w:t>
      </w:r>
    </w:p>
    <w:p>
      <w:pPr>
        <w:snapToGrid w:val="0"/>
        <w:spacing w:line="600" w:lineRule="exact"/>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w:t>
      </w:r>
      <w:r>
        <w:rPr>
          <w:rFonts w:hint="eastAsia" w:ascii="仿宋_GB2312" w:hAnsi="仿宋_GB2312" w:eastAsia="仿宋_GB2312" w:cs="仿宋_GB2312"/>
          <w:b/>
          <w:bCs/>
          <w:sz w:val="32"/>
          <w:szCs w:val="32"/>
        </w:rPr>
        <w:t>部门决算单位构成</w:t>
      </w:r>
    </w:p>
    <w:p>
      <w:pPr>
        <w:snapToGrid w:val="0"/>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衡山县住房和城乡建设局20</w:t>
      </w:r>
      <w:r>
        <w:rPr>
          <w:rFonts w:hint="eastAsia" w:ascii="仿宋_GB2312" w:hAnsi="仿宋_GB2312" w:eastAsia="仿宋_GB2312" w:cs="仿宋_GB2312"/>
          <w:color w:val="000000"/>
          <w:kern w:val="0"/>
          <w:sz w:val="32"/>
          <w:szCs w:val="32"/>
          <w:lang w:eastAsia="zh-CN"/>
        </w:rPr>
        <w:t>20</w:t>
      </w:r>
      <w:r>
        <w:rPr>
          <w:rFonts w:hint="eastAsia" w:ascii="仿宋_GB2312" w:hAnsi="仿宋_GB2312" w:eastAsia="仿宋_GB2312" w:cs="仿宋_GB2312"/>
          <w:color w:val="000000"/>
          <w:kern w:val="0"/>
          <w:sz w:val="32"/>
          <w:szCs w:val="32"/>
        </w:rPr>
        <w:t>年部门决算为县住房和城乡建设局一个行政单位。（含下属</w:t>
      </w:r>
      <w:r>
        <w:rPr>
          <w:rFonts w:hint="eastAsia" w:ascii="仿宋_GB2312" w:hAnsi="仿宋_GB2312" w:eastAsia="仿宋_GB2312" w:cs="仿宋_GB2312"/>
          <w:sz w:val="32"/>
          <w:szCs w:val="32"/>
        </w:rPr>
        <w:t>衡山县建设工程质量安全监督站、衡山县市政公用事业服务中心两个</w:t>
      </w:r>
      <w:r>
        <w:rPr>
          <w:rFonts w:hint="eastAsia" w:ascii="仿宋_GB2312" w:hAnsi="仿宋_GB2312" w:eastAsia="仿宋_GB2312" w:cs="仿宋_GB2312"/>
          <w:color w:val="000000"/>
          <w:kern w:val="0"/>
          <w:sz w:val="32"/>
          <w:szCs w:val="32"/>
        </w:rPr>
        <w:t>事业编制单位）</w:t>
      </w:r>
    </w:p>
    <w:p>
      <w:pPr>
        <w:numPr>
          <w:ilvl w:val="0"/>
          <w:numId w:val="1"/>
        </w:numPr>
        <w:snapToGrid w:val="0"/>
        <w:spacing w:line="600" w:lineRule="exact"/>
        <w:ind w:left="0" w:leftChars="0" w:firstLine="0" w:firstLineChars="0"/>
        <w:jc w:val="left"/>
        <w:rPr>
          <w:rFonts w:hint="eastAsia" w:ascii="黑体" w:hAnsi="黑体" w:eastAsia="黑体"/>
          <w:sz w:val="32"/>
          <w:szCs w:val="32"/>
        </w:rPr>
      </w:pPr>
      <w:r>
        <w:rPr>
          <w:rFonts w:hint="eastAsia" w:ascii="黑体" w:hAnsi="黑体" w:eastAsia="黑体"/>
          <w:sz w:val="32"/>
          <w:szCs w:val="32"/>
        </w:rPr>
        <w:t>基本支出情况</w:t>
      </w:r>
    </w:p>
    <w:p>
      <w:pPr>
        <w:pStyle w:val="2"/>
        <w:numPr>
          <w:ilvl w:val="0"/>
          <w:numId w:val="0"/>
        </w:numPr>
        <w:ind w:leftChars="0"/>
        <w:rPr>
          <w:rFonts w:hint="eastAsia"/>
        </w:rPr>
      </w:pPr>
    </w:p>
    <w:p>
      <w:pPr>
        <w:numPr>
          <w:ilvl w:val="0"/>
          <w:numId w:val="2"/>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收支决算总体情况：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rPr>
        <w:t>年度上年结转和结余</w:t>
      </w:r>
      <w:r>
        <w:rPr>
          <w:rFonts w:hint="default" w:ascii="仿宋_GB2312" w:hAnsi="仿宋_GB2312" w:eastAsia="仿宋_GB2312" w:cs="仿宋_GB2312"/>
          <w:sz w:val="32"/>
          <w:szCs w:val="32"/>
        </w:rPr>
        <w:t>1344.63</w:t>
      </w:r>
      <w:r>
        <w:rPr>
          <w:rFonts w:hint="eastAsia" w:ascii="仿宋_GB2312" w:hAnsi="仿宋_GB2312" w:eastAsia="仿宋_GB2312" w:cs="仿宋_GB2312"/>
          <w:sz w:val="32"/>
          <w:szCs w:val="32"/>
        </w:rPr>
        <w:t>万元，收入</w:t>
      </w:r>
      <w:r>
        <w:rPr>
          <w:rFonts w:hint="default" w:ascii="仿宋_GB2312" w:hAnsi="仿宋_GB2312" w:eastAsia="仿宋_GB2312" w:cs="仿宋_GB2312"/>
          <w:sz w:val="32"/>
          <w:szCs w:val="32"/>
        </w:rPr>
        <w:t>10364.65</w:t>
      </w:r>
      <w:r>
        <w:rPr>
          <w:rFonts w:hint="eastAsia" w:ascii="仿宋_GB2312" w:hAnsi="仿宋_GB2312" w:eastAsia="仿宋_GB2312" w:cs="仿宋_GB2312"/>
          <w:sz w:val="32"/>
          <w:szCs w:val="32"/>
        </w:rPr>
        <w:t>万元，支出</w:t>
      </w:r>
      <w:r>
        <w:rPr>
          <w:rFonts w:hint="default" w:ascii="仿宋_GB2312" w:hAnsi="仿宋_GB2312" w:eastAsia="仿宋_GB2312" w:cs="仿宋_GB2312"/>
          <w:sz w:val="32"/>
          <w:szCs w:val="32"/>
        </w:rPr>
        <w:t>5435.12</w:t>
      </w:r>
      <w:r>
        <w:rPr>
          <w:rFonts w:hint="eastAsia" w:ascii="仿宋_GB2312" w:hAnsi="仿宋_GB2312" w:eastAsia="仿宋_GB2312" w:cs="仿宋_GB2312"/>
          <w:sz w:val="32"/>
          <w:szCs w:val="32"/>
        </w:rPr>
        <w:t>万元，年末结转和结余</w:t>
      </w:r>
      <w:r>
        <w:rPr>
          <w:rFonts w:hint="default" w:ascii="仿宋_GB2312" w:hAnsi="仿宋_GB2312" w:eastAsia="仿宋_GB2312" w:cs="仿宋_GB2312"/>
          <w:sz w:val="32"/>
          <w:szCs w:val="32"/>
        </w:rPr>
        <w:t>6274.16</w:t>
      </w:r>
      <w:r>
        <w:rPr>
          <w:rFonts w:hint="eastAsia" w:ascii="仿宋_GB2312" w:hAnsi="仿宋_GB2312" w:eastAsia="仿宋_GB2312" w:cs="仿宋_GB2312"/>
          <w:sz w:val="32"/>
          <w:szCs w:val="32"/>
        </w:rPr>
        <w:t>万元。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rPr>
        <w:t>年度一般公共预算财政拨款上年结转和结余</w:t>
      </w:r>
      <w:r>
        <w:rPr>
          <w:rFonts w:hint="default" w:ascii="仿宋_GB2312" w:hAnsi="仿宋_GB2312" w:eastAsia="仿宋_GB2312" w:cs="仿宋_GB2312"/>
          <w:sz w:val="32"/>
          <w:szCs w:val="32"/>
        </w:rPr>
        <w:t>1344.63</w:t>
      </w:r>
      <w:r>
        <w:rPr>
          <w:rFonts w:hint="eastAsia" w:ascii="仿宋_GB2312" w:hAnsi="仿宋_GB2312" w:eastAsia="仿宋_GB2312" w:cs="仿宋_GB2312"/>
          <w:sz w:val="32"/>
          <w:szCs w:val="32"/>
        </w:rPr>
        <w:t>万元，一般公共预算财政拨款收入</w:t>
      </w:r>
      <w:r>
        <w:rPr>
          <w:rFonts w:hint="default" w:ascii="仿宋_GB2312" w:hAnsi="仿宋_GB2312" w:eastAsia="仿宋_GB2312" w:cs="仿宋_GB2312"/>
          <w:sz w:val="32"/>
          <w:szCs w:val="32"/>
        </w:rPr>
        <w:t>6248.32</w:t>
      </w:r>
      <w:r>
        <w:rPr>
          <w:rFonts w:hint="eastAsia" w:ascii="仿宋_GB2312" w:hAnsi="仿宋_GB2312" w:eastAsia="仿宋_GB2312" w:cs="仿宋_GB2312"/>
          <w:sz w:val="32"/>
          <w:szCs w:val="32"/>
        </w:rPr>
        <w:t>万元，一般公共预算财政拨款支出</w:t>
      </w:r>
      <w:r>
        <w:rPr>
          <w:rFonts w:hint="default" w:ascii="仿宋_GB2312" w:hAnsi="仿宋_GB2312" w:eastAsia="仿宋_GB2312" w:cs="仿宋_GB2312"/>
          <w:sz w:val="32"/>
          <w:szCs w:val="32"/>
        </w:rPr>
        <w:t>3818.79</w:t>
      </w:r>
      <w:r>
        <w:rPr>
          <w:rFonts w:hint="eastAsia" w:ascii="仿宋_GB2312" w:hAnsi="仿宋_GB2312" w:eastAsia="仿宋_GB2312" w:cs="仿宋_GB2312"/>
          <w:sz w:val="32"/>
          <w:szCs w:val="32"/>
        </w:rPr>
        <w:t>万元，一般公共预算财政拨款年末结转和结余</w:t>
      </w:r>
      <w:r>
        <w:rPr>
          <w:rFonts w:hint="default" w:ascii="仿宋_GB2312" w:hAnsi="仿宋_GB2312" w:eastAsia="仿宋_GB2312" w:cs="仿宋_GB2312"/>
          <w:sz w:val="32"/>
          <w:szCs w:val="32"/>
        </w:rPr>
        <w:t>3774.16</w:t>
      </w:r>
      <w:r>
        <w:rPr>
          <w:rFonts w:hint="eastAsia" w:ascii="仿宋_GB2312" w:hAnsi="仿宋_GB2312" w:eastAsia="仿宋_GB2312" w:cs="仿宋_GB2312"/>
          <w:sz w:val="32"/>
          <w:szCs w:val="32"/>
        </w:rPr>
        <w:t>万元。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rPr>
        <w:t>年度政府性基金预算财政拨款上年结转和结余</w:t>
      </w:r>
      <w:r>
        <w:rPr>
          <w:rFonts w:hint="default" w:ascii="仿宋_GB2312" w:hAnsi="仿宋_GB2312" w:eastAsia="仿宋_GB2312" w:cs="仿宋_GB2312"/>
          <w:sz w:val="32"/>
          <w:szCs w:val="32"/>
        </w:rPr>
        <w:t>0</w:t>
      </w:r>
      <w:r>
        <w:rPr>
          <w:rFonts w:hint="eastAsia" w:ascii="仿宋_GB2312" w:hAnsi="仿宋_GB2312" w:eastAsia="仿宋_GB2312" w:cs="仿宋_GB2312"/>
          <w:sz w:val="32"/>
          <w:szCs w:val="32"/>
        </w:rPr>
        <w:t xml:space="preserve">万元，政府性基金预算财政拨款收入 </w:t>
      </w:r>
      <w:r>
        <w:rPr>
          <w:rFonts w:hint="default" w:ascii="仿宋_GB2312" w:hAnsi="仿宋_GB2312" w:eastAsia="仿宋_GB2312" w:cs="仿宋_GB2312"/>
          <w:sz w:val="32"/>
          <w:szCs w:val="32"/>
        </w:rPr>
        <w:t>4015.83</w:t>
      </w:r>
      <w:r>
        <w:rPr>
          <w:rFonts w:hint="eastAsia" w:ascii="仿宋_GB2312" w:hAnsi="仿宋_GB2312" w:eastAsia="仿宋_GB2312" w:cs="仿宋_GB2312"/>
          <w:sz w:val="32"/>
          <w:szCs w:val="32"/>
        </w:rPr>
        <w:t>万元，政府性基金预算财政拨款支出</w:t>
      </w:r>
      <w:r>
        <w:rPr>
          <w:rFonts w:hint="default" w:ascii="仿宋_GB2312" w:hAnsi="仿宋_GB2312" w:eastAsia="仿宋_GB2312" w:cs="仿宋_GB2312"/>
          <w:sz w:val="32"/>
          <w:szCs w:val="32"/>
        </w:rPr>
        <w:t>1515.83</w:t>
      </w:r>
      <w:r>
        <w:rPr>
          <w:rFonts w:hint="eastAsia" w:ascii="仿宋_GB2312" w:hAnsi="仿宋_GB2312" w:eastAsia="仿宋_GB2312" w:cs="仿宋_GB2312"/>
          <w:sz w:val="32"/>
          <w:szCs w:val="32"/>
        </w:rPr>
        <w:t xml:space="preserve"> 万元，政府性基金预算财政拨款年末结转和结余</w:t>
      </w:r>
      <w:r>
        <w:rPr>
          <w:rFonts w:hint="default" w:ascii="仿宋_GB2312" w:hAnsi="仿宋_GB2312" w:eastAsia="仿宋_GB2312" w:cs="仿宋_GB2312"/>
          <w:sz w:val="32"/>
          <w:szCs w:val="32"/>
        </w:rPr>
        <w:t>2500.00</w:t>
      </w:r>
      <w:r>
        <w:rPr>
          <w:rFonts w:hint="eastAsia" w:ascii="仿宋_GB2312" w:hAnsi="仿宋_GB2312" w:eastAsia="仿宋_GB2312" w:cs="仿宋_GB2312"/>
          <w:sz w:val="32"/>
          <w:szCs w:val="32"/>
        </w:rPr>
        <w:t>万元。</w:t>
      </w:r>
    </w:p>
    <w:p>
      <w:pPr>
        <w:widowControl/>
        <w:numPr>
          <w:ilvl w:val="0"/>
          <w:numId w:val="2"/>
        </w:numPr>
        <w:jc w:val="left"/>
        <w:rPr>
          <w:rFonts w:hint="eastAsia" w:ascii="仿宋_GB2312" w:hAnsi="仿宋_GB2312" w:eastAsia="仿宋_GB2312" w:cs="仿宋_GB2312"/>
          <w:bCs/>
          <w:kern w:val="0"/>
          <w:sz w:val="32"/>
          <w:szCs w:val="32"/>
          <w:shd w:val="clear" w:color="auto" w:fill="FFFFFF"/>
          <w:lang w:bidi="ar"/>
        </w:rPr>
      </w:pPr>
      <w:r>
        <w:rPr>
          <w:rFonts w:hint="eastAsia" w:ascii="仿宋_GB2312" w:hAnsi="仿宋_GB2312" w:eastAsia="仿宋_GB2312" w:cs="仿宋_GB2312"/>
          <w:bCs/>
          <w:kern w:val="0"/>
          <w:sz w:val="32"/>
          <w:szCs w:val="32"/>
          <w:shd w:val="clear" w:color="auto" w:fill="FFFFFF"/>
          <w:lang w:bidi="ar"/>
        </w:rPr>
        <w:t>“三公经费”支出说明：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20</w:t>
      </w:r>
      <w:r>
        <w:rPr>
          <w:rFonts w:hint="eastAsia" w:ascii="仿宋_GB2312" w:hAnsi="仿宋_GB2312" w:eastAsia="仿宋_GB2312" w:cs="仿宋_GB2312"/>
          <w:kern w:val="0"/>
          <w:sz w:val="32"/>
          <w:szCs w:val="32"/>
          <w:shd w:val="clear" w:color="auto" w:fill="FFFFFF"/>
          <w:lang w:eastAsia="zh-CN" w:bidi="ar"/>
        </w:rPr>
        <w:t>20</w:t>
      </w:r>
      <w:r>
        <w:rPr>
          <w:rFonts w:hint="eastAsia" w:ascii="仿宋_GB2312" w:hAnsi="仿宋_GB2312" w:eastAsia="仿宋_GB2312" w:cs="仿宋_GB2312"/>
          <w:kern w:val="0"/>
          <w:sz w:val="32"/>
          <w:szCs w:val="32"/>
          <w:shd w:val="clear" w:color="auto" w:fill="FFFFFF"/>
          <w:lang w:bidi="ar"/>
        </w:rPr>
        <w:t>年度一般预算基本支出“三公”经费全年预算数</w:t>
      </w:r>
      <w:r>
        <w:rPr>
          <w:rFonts w:hint="default" w:ascii="仿宋_GB2312" w:hAnsi="仿宋_GB2312" w:eastAsia="仿宋_GB2312" w:cs="仿宋_GB2312"/>
          <w:kern w:val="0"/>
          <w:sz w:val="32"/>
          <w:szCs w:val="32"/>
          <w:shd w:val="clear" w:color="auto" w:fill="FFFFFF"/>
          <w:lang w:bidi="ar"/>
        </w:rPr>
        <w:t>10.00</w:t>
      </w:r>
      <w:r>
        <w:rPr>
          <w:rFonts w:hint="eastAsia" w:ascii="仿宋_GB2312" w:hAnsi="仿宋_GB2312" w:eastAsia="仿宋_GB2312" w:cs="仿宋_GB2312"/>
          <w:kern w:val="0"/>
          <w:sz w:val="32"/>
          <w:szCs w:val="32"/>
          <w:shd w:val="clear" w:color="auto" w:fill="FFFFFF"/>
          <w:lang w:bidi="ar"/>
        </w:rPr>
        <w:t>万元，其中公务接待费</w:t>
      </w:r>
      <w:r>
        <w:rPr>
          <w:rFonts w:hint="default" w:ascii="仿宋_GB2312" w:hAnsi="仿宋_GB2312" w:eastAsia="仿宋_GB2312" w:cs="仿宋_GB2312"/>
          <w:kern w:val="0"/>
          <w:sz w:val="32"/>
          <w:szCs w:val="32"/>
          <w:shd w:val="clear" w:color="auto" w:fill="FFFFFF"/>
          <w:lang w:bidi="ar"/>
        </w:rPr>
        <w:t>8.00</w:t>
      </w:r>
      <w:r>
        <w:rPr>
          <w:rFonts w:hint="eastAsia" w:ascii="仿宋_GB2312" w:hAnsi="仿宋_GB2312" w:eastAsia="仿宋_GB2312" w:cs="仿宋_GB2312"/>
          <w:kern w:val="0"/>
          <w:sz w:val="32"/>
          <w:szCs w:val="32"/>
          <w:shd w:val="clear" w:color="auto" w:fill="FFFFFF"/>
          <w:lang w:bidi="ar"/>
        </w:rPr>
        <w:t>万元、公务车运行维护费</w:t>
      </w:r>
      <w:r>
        <w:rPr>
          <w:rFonts w:hint="default" w:ascii="仿宋_GB2312" w:hAnsi="仿宋_GB2312" w:eastAsia="仿宋_GB2312" w:cs="仿宋_GB2312"/>
          <w:kern w:val="0"/>
          <w:sz w:val="32"/>
          <w:szCs w:val="32"/>
          <w:shd w:val="clear" w:color="auto" w:fill="FFFFFF"/>
          <w:lang w:bidi="ar"/>
        </w:rPr>
        <w:t>2</w:t>
      </w:r>
      <w:r>
        <w:rPr>
          <w:rFonts w:hint="eastAsia" w:ascii="仿宋_GB2312" w:hAnsi="仿宋_GB2312" w:eastAsia="仿宋_GB2312" w:cs="仿宋_GB2312"/>
          <w:kern w:val="0"/>
          <w:sz w:val="32"/>
          <w:szCs w:val="32"/>
          <w:shd w:val="clear" w:color="auto" w:fill="FFFFFF"/>
          <w:lang w:bidi="ar"/>
        </w:rPr>
        <w:t>万元，拥有公务用车2台。20</w:t>
      </w:r>
      <w:r>
        <w:rPr>
          <w:rFonts w:hint="eastAsia" w:ascii="仿宋_GB2312" w:hAnsi="仿宋_GB2312" w:eastAsia="仿宋_GB2312" w:cs="仿宋_GB2312"/>
          <w:kern w:val="0"/>
          <w:sz w:val="32"/>
          <w:szCs w:val="32"/>
          <w:shd w:val="clear" w:color="auto" w:fill="FFFFFF"/>
          <w:lang w:eastAsia="zh-CN" w:bidi="ar"/>
        </w:rPr>
        <w:t>20</w:t>
      </w:r>
      <w:r>
        <w:rPr>
          <w:rFonts w:hint="eastAsia" w:ascii="仿宋_GB2312" w:hAnsi="仿宋_GB2312" w:eastAsia="仿宋_GB2312" w:cs="仿宋_GB2312"/>
          <w:kern w:val="0"/>
          <w:sz w:val="32"/>
          <w:szCs w:val="32"/>
          <w:shd w:val="clear" w:color="auto" w:fill="FFFFFF"/>
          <w:lang w:bidi="ar"/>
        </w:rPr>
        <w:t>年度“三公”经费全年支出数</w:t>
      </w:r>
      <w:r>
        <w:rPr>
          <w:rFonts w:hint="default" w:ascii="仿宋_GB2312" w:hAnsi="仿宋_GB2312" w:eastAsia="仿宋_GB2312" w:cs="仿宋_GB2312"/>
          <w:kern w:val="0"/>
          <w:sz w:val="32"/>
          <w:szCs w:val="32"/>
          <w:shd w:val="clear" w:color="auto" w:fill="FFFFFF"/>
          <w:lang w:bidi="ar"/>
        </w:rPr>
        <w:t>5.52</w:t>
      </w:r>
      <w:r>
        <w:rPr>
          <w:rFonts w:hint="eastAsia" w:ascii="仿宋_GB2312" w:hAnsi="仿宋_GB2312" w:eastAsia="仿宋_GB2312" w:cs="仿宋_GB2312"/>
          <w:kern w:val="0"/>
          <w:sz w:val="32"/>
          <w:szCs w:val="32"/>
          <w:shd w:val="clear" w:color="auto" w:fill="FFFFFF"/>
          <w:lang w:bidi="ar"/>
        </w:rPr>
        <w:t>万元，其中公务接待费用</w:t>
      </w:r>
      <w:r>
        <w:rPr>
          <w:rFonts w:hint="default" w:ascii="仿宋_GB2312" w:hAnsi="仿宋_GB2312" w:eastAsia="仿宋_GB2312" w:cs="仿宋_GB2312"/>
          <w:kern w:val="0"/>
          <w:sz w:val="32"/>
          <w:szCs w:val="32"/>
          <w:shd w:val="clear" w:color="auto" w:fill="FFFFFF"/>
          <w:lang w:bidi="ar"/>
        </w:rPr>
        <w:t>1.01</w:t>
      </w:r>
      <w:r>
        <w:rPr>
          <w:rFonts w:hint="eastAsia" w:ascii="仿宋_GB2312" w:hAnsi="仿宋_GB2312" w:eastAsia="仿宋_GB2312" w:cs="仿宋_GB2312"/>
          <w:kern w:val="0"/>
          <w:sz w:val="32"/>
          <w:szCs w:val="32"/>
          <w:shd w:val="clear" w:color="auto" w:fill="FFFFFF"/>
          <w:lang w:bidi="ar"/>
        </w:rPr>
        <w:t>万元，公务车运行维护费</w:t>
      </w:r>
      <w:r>
        <w:rPr>
          <w:rFonts w:hint="default" w:ascii="仿宋_GB2312" w:hAnsi="仿宋_GB2312" w:eastAsia="仿宋_GB2312" w:cs="仿宋_GB2312"/>
          <w:kern w:val="0"/>
          <w:sz w:val="32"/>
          <w:szCs w:val="32"/>
          <w:shd w:val="clear" w:color="auto" w:fill="FFFFFF"/>
          <w:lang w:bidi="ar"/>
        </w:rPr>
        <w:t>4.51</w:t>
      </w:r>
      <w:r>
        <w:rPr>
          <w:rFonts w:hint="eastAsia" w:ascii="仿宋_GB2312" w:hAnsi="仿宋_GB2312" w:eastAsia="仿宋_GB2312" w:cs="仿宋_GB2312"/>
          <w:kern w:val="0"/>
          <w:sz w:val="32"/>
          <w:szCs w:val="32"/>
          <w:shd w:val="clear" w:color="auto" w:fill="FFFFFF"/>
          <w:lang w:bidi="ar"/>
        </w:rPr>
        <w:t>万元，比上年有所增加。增加原因是本年度下属二级预算单位全部并入我局机关集中支付并统一进行年终决算。</w:t>
      </w:r>
    </w:p>
    <w:p>
      <w:pPr>
        <w:widowControl/>
        <w:jc w:val="left"/>
        <w:rPr>
          <w:rFonts w:hint="default" w:ascii="仿宋_GB2312" w:hAnsi="仿宋_GB2312" w:eastAsia="仿宋_GB2312" w:cs="仿宋_GB2312"/>
          <w:color w:val="000000"/>
          <w:kern w:val="0"/>
          <w:sz w:val="32"/>
          <w:szCs w:val="32"/>
          <w:lang w:bidi="ar"/>
        </w:rPr>
      </w:pPr>
      <w:r>
        <w:rPr>
          <w:rFonts w:hint="eastAsia" w:ascii="仿宋_GB2312" w:hAnsi="仿宋_GB2312" w:eastAsia="仿宋_GB2312" w:cs="仿宋_GB2312"/>
          <w:sz w:val="32"/>
          <w:szCs w:val="32"/>
        </w:rPr>
        <w:t>二、一般公共预算财政拨款基本支出</w:t>
      </w:r>
      <w:r>
        <w:rPr>
          <w:rFonts w:hint="default" w:ascii="仿宋_GB2312" w:hAnsi="仿宋_GB2312" w:eastAsia="仿宋_GB2312" w:cs="仿宋_GB2312"/>
          <w:sz w:val="32"/>
          <w:szCs w:val="32"/>
        </w:rPr>
        <w:t>1298.46</w:t>
      </w:r>
      <w:r>
        <w:rPr>
          <w:rFonts w:hint="eastAsia" w:ascii="仿宋_GB2312" w:hAnsi="仿宋_GB2312" w:eastAsia="仿宋_GB2312" w:cs="仿宋_GB2312"/>
          <w:sz w:val="32"/>
          <w:szCs w:val="32"/>
        </w:rPr>
        <w:t>万元，其中</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人员经费</w:t>
      </w:r>
      <w:r>
        <w:rPr>
          <w:rFonts w:hint="default" w:ascii="仿宋_GB2312" w:hAnsi="仿宋_GB2312" w:eastAsia="仿宋_GB2312" w:cs="仿宋_GB2312"/>
          <w:sz w:val="32"/>
          <w:szCs w:val="32"/>
        </w:rPr>
        <w:t>1066.35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kern w:val="0"/>
          <w:sz w:val="32"/>
          <w:szCs w:val="32"/>
          <w:lang w:bidi="ar"/>
        </w:rPr>
        <w:t>日常公用经费</w:t>
      </w:r>
      <w:r>
        <w:rPr>
          <w:rFonts w:hint="default" w:ascii="仿宋_GB2312" w:hAnsi="仿宋_GB2312" w:eastAsia="仿宋_GB2312" w:cs="仿宋_GB2312"/>
          <w:color w:val="000000"/>
          <w:kern w:val="0"/>
          <w:sz w:val="32"/>
          <w:szCs w:val="32"/>
          <w:lang w:bidi="ar"/>
        </w:rPr>
        <w:t>151.63</w:t>
      </w:r>
      <w:r>
        <w:rPr>
          <w:rFonts w:hint="eastAsia" w:ascii="仿宋_GB2312" w:hAnsi="仿宋_GB2312" w:eastAsia="仿宋_GB2312" w:cs="仿宋_GB2312"/>
          <w:color w:val="000000"/>
          <w:kern w:val="0"/>
          <w:sz w:val="32"/>
          <w:szCs w:val="32"/>
          <w:lang w:bidi="ar"/>
        </w:rPr>
        <w:t>万元</w:t>
      </w:r>
      <w:r>
        <w:rPr>
          <w:rFonts w:hint="default" w:ascii="仿宋_GB2312" w:hAnsi="仿宋_GB2312" w:eastAsia="仿宋_GB2312" w:cs="仿宋_GB2312"/>
          <w:color w:val="000000"/>
          <w:kern w:val="0"/>
          <w:sz w:val="32"/>
          <w:szCs w:val="32"/>
          <w:lang w:bidi="ar"/>
        </w:rPr>
        <w:t>，对个人和家庭的补助63.86万元，资本性支出3.12万元，其他支出13.50万元。</w:t>
      </w:r>
    </w:p>
    <w:p>
      <w:pPr>
        <w:widowControl/>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lang w:bidi="ar"/>
        </w:rPr>
        <w:t>三、</w:t>
      </w:r>
      <w:r>
        <w:rPr>
          <w:rFonts w:hint="eastAsia" w:ascii="仿宋_GB2312" w:hAnsi="仿宋_GB2312" w:eastAsia="仿宋_GB2312" w:cs="仿宋_GB2312"/>
          <w:bCs/>
          <w:color w:val="000000"/>
          <w:kern w:val="0"/>
          <w:sz w:val="32"/>
          <w:szCs w:val="32"/>
          <w:lang w:bidi="ar"/>
        </w:rPr>
        <w:t>政府采购共计</w:t>
      </w:r>
      <w:r>
        <w:rPr>
          <w:rFonts w:hint="eastAsia" w:ascii="仿宋_GB2312" w:hAnsi="仿宋_GB2312" w:eastAsia="仿宋_GB2312" w:cs="仿宋_GB2312"/>
          <w:sz w:val="32"/>
          <w:szCs w:val="32"/>
        </w:rPr>
        <w:t>金额</w:t>
      </w:r>
      <w:r>
        <w:rPr>
          <w:rFonts w:hint="default" w:ascii="仿宋_GB2312" w:hAnsi="仿宋_GB2312" w:eastAsia="仿宋_GB2312" w:cs="仿宋_GB2312"/>
          <w:sz w:val="32"/>
          <w:szCs w:val="32"/>
        </w:rPr>
        <w:t>570.18</w:t>
      </w:r>
      <w:r>
        <w:rPr>
          <w:rFonts w:hint="eastAsia" w:ascii="仿宋_GB2312" w:hAnsi="仿宋_GB2312" w:eastAsia="仿宋_GB2312" w:cs="仿宋_GB2312"/>
          <w:sz w:val="32"/>
          <w:szCs w:val="32"/>
        </w:rPr>
        <w:t>万元。按采购对象分，其中：货物类采购验收金</w:t>
      </w:r>
      <w:r>
        <w:rPr>
          <w:rFonts w:hint="eastAsia" w:ascii="仿宋_GB2312" w:hAnsi="仿宋_GB2312" w:eastAsia="仿宋_GB2312" w:cs="仿宋_GB2312"/>
          <w:sz w:val="32"/>
          <w:szCs w:val="32"/>
          <w:highlight w:val="none"/>
        </w:rPr>
        <w:t>额</w:t>
      </w:r>
      <w:r>
        <w:rPr>
          <w:rFonts w:hint="eastAsia" w:ascii="仿宋_GB2312" w:hAnsi="仿宋_GB2312" w:eastAsia="仿宋_GB2312" w:cs="仿宋_GB2312"/>
          <w:sz w:val="32"/>
          <w:szCs w:val="32"/>
          <w:highlight w:val="none"/>
          <w:lang w:val="en-US" w:eastAsia="zh-CN"/>
        </w:rPr>
        <w:t>117.21</w:t>
      </w:r>
      <w:r>
        <w:rPr>
          <w:rFonts w:hint="eastAsia" w:ascii="仿宋_GB2312" w:hAnsi="仿宋_GB2312" w:eastAsia="仿宋_GB2312" w:cs="仿宋_GB2312"/>
          <w:sz w:val="32"/>
          <w:szCs w:val="32"/>
          <w:highlight w:val="none"/>
        </w:rPr>
        <w:t>万元、服务类验收金额</w:t>
      </w:r>
      <w:r>
        <w:rPr>
          <w:rFonts w:hint="eastAsia" w:ascii="仿宋_GB2312" w:hAnsi="仿宋_GB2312" w:eastAsia="仿宋_GB2312" w:cs="仿宋_GB2312"/>
          <w:sz w:val="32"/>
          <w:szCs w:val="32"/>
          <w:highlight w:val="none"/>
          <w:lang w:val="en-US" w:eastAsia="zh-CN"/>
        </w:rPr>
        <w:t>127.08</w:t>
      </w:r>
      <w:r>
        <w:rPr>
          <w:rFonts w:hint="eastAsia" w:ascii="仿宋_GB2312" w:hAnsi="仿宋_GB2312" w:eastAsia="仿宋_GB2312" w:cs="仿宋_GB2312"/>
          <w:sz w:val="32"/>
          <w:szCs w:val="32"/>
          <w:highlight w:val="none"/>
        </w:rPr>
        <w:t>万元、工程类采购验收金额</w:t>
      </w:r>
      <w:r>
        <w:rPr>
          <w:rFonts w:hint="eastAsia" w:ascii="仿宋_GB2312" w:hAnsi="仿宋_GB2312" w:eastAsia="仿宋_GB2312" w:cs="仿宋_GB2312"/>
          <w:sz w:val="32"/>
          <w:szCs w:val="32"/>
          <w:highlight w:val="none"/>
          <w:lang w:val="en-US" w:eastAsia="zh-CN"/>
        </w:rPr>
        <w:t>325.89</w:t>
      </w:r>
      <w:r>
        <w:rPr>
          <w:rFonts w:hint="eastAsia" w:ascii="仿宋_GB2312" w:hAnsi="仿宋_GB2312" w:eastAsia="仿宋_GB2312" w:cs="仿宋_GB2312"/>
          <w:sz w:val="32"/>
          <w:szCs w:val="32"/>
          <w:highlight w:val="none"/>
        </w:rPr>
        <w:t>万元。</w:t>
      </w:r>
    </w:p>
    <w:p>
      <w:pPr>
        <w:widowControl/>
        <w:jc w:val="left"/>
        <w:rPr>
          <w:rFonts w:hint="eastAsia" w:ascii="仿宋_GB2312" w:hAnsi="仿宋_GB2312" w:eastAsia="仿宋_GB2312" w:cs="仿宋_GB2312"/>
          <w:bCs/>
          <w:color w:val="000000"/>
          <w:kern w:val="0"/>
          <w:sz w:val="32"/>
          <w:szCs w:val="32"/>
          <w:lang w:bidi="ar"/>
        </w:rPr>
      </w:pPr>
      <w:r>
        <w:rPr>
          <w:rFonts w:hint="eastAsia" w:ascii="仿宋_GB2312" w:hAnsi="仿宋_GB2312" w:eastAsia="仿宋_GB2312" w:cs="仿宋_GB2312"/>
          <w:bCs/>
          <w:color w:val="000000"/>
          <w:kern w:val="0"/>
          <w:sz w:val="32"/>
          <w:szCs w:val="32"/>
          <w:highlight w:val="none"/>
          <w:lang w:bidi="ar"/>
        </w:rPr>
        <w:t>四、国有资产占有情况：截止20</w:t>
      </w:r>
      <w:r>
        <w:rPr>
          <w:rFonts w:hint="eastAsia" w:ascii="仿宋_GB2312" w:hAnsi="仿宋_GB2312" w:eastAsia="仿宋_GB2312" w:cs="仿宋_GB2312"/>
          <w:bCs/>
          <w:color w:val="000000"/>
          <w:kern w:val="0"/>
          <w:sz w:val="32"/>
          <w:szCs w:val="32"/>
          <w:highlight w:val="none"/>
          <w:lang w:eastAsia="zh-CN" w:bidi="ar"/>
        </w:rPr>
        <w:t>20</w:t>
      </w:r>
      <w:r>
        <w:rPr>
          <w:rFonts w:hint="eastAsia" w:ascii="仿宋_GB2312" w:hAnsi="仿宋_GB2312" w:eastAsia="仿宋_GB2312" w:cs="仿宋_GB2312"/>
          <w:bCs/>
          <w:color w:val="000000"/>
          <w:kern w:val="0"/>
          <w:sz w:val="32"/>
          <w:szCs w:val="32"/>
          <w:highlight w:val="none"/>
          <w:lang w:bidi="ar"/>
        </w:rPr>
        <w:t>年12月31日，单位共</w:t>
      </w:r>
      <w:r>
        <w:rPr>
          <w:rFonts w:hint="eastAsia" w:ascii="仿宋_GB2312" w:hAnsi="仿宋_GB2312" w:eastAsia="仿宋_GB2312" w:cs="仿宋_GB2312"/>
          <w:bCs/>
          <w:color w:val="000000"/>
          <w:kern w:val="0"/>
          <w:sz w:val="32"/>
          <w:szCs w:val="32"/>
          <w:lang w:bidi="ar"/>
        </w:rPr>
        <w:t>有车辆5辆，其中公务用车一辆、特种专业技术用车一辆、其他用车2辆，其他用车主要是路灯维修车辆。单位价值10万元以上通用设备4台，单位价值50万元以上专用设备0台。</w:t>
      </w:r>
    </w:p>
    <w:p>
      <w:pPr>
        <w:pStyle w:val="8"/>
        <w:widowControl/>
        <w:spacing w:line="600" w:lineRule="exact"/>
        <w:ind w:left="0" w:leftChars="0" w:firstLine="0" w:firstLineChars="0"/>
        <w:rPr>
          <w:rFonts w:hint="eastAsia" w:ascii="黑体" w:hAnsi="黑体" w:eastAsia="黑体"/>
          <w:sz w:val="32"/>
          <w:szCs w:val="32"/>
        </w:rPr>
      </w:pPr>
      <w:r>
        <w:rPr>
          <w:rFonts w:hint="eastAsia" w:ascii="黑体" w:hAnsi="黑体" w:eastAsia="黑体"/>
          <w:sz w:val="32"/>
          <w:szCs w:val="32"/>
        </w:rPr>
        <w:t>三、项目支出情况</w:t>
      </w:r>
    </w:p>
    <w:p>
      <w:pPr>
        <w:pStyle w:val="8"/>
        <w:widowControl/>
        <w:spacing w:line="600" w:lineRule="exact"/>
        <w:ind w:firstLine="640"/>
        <w:rPr>
          <w:rFonts w:hint="eastAsia" w:ascii="仿宋" w:hAnsi="仿宋" w:eastAsia="仿宋" w:cs="仿宋"/>
          <w:b w:val="0"/>
          <w:bCs w:val="0"/>
          <w:color w:val="0000FF"/>
          <w:sz w:val="32"/>
          <w:szCs w:val="32"/>
        </w:rPr>
      </w:pPr>
      <w:r>
        <w:rPr>
          <w:rFonts w:ascii="仿宋_GB2312" w:hAnsi="仿宋_GB2312" w:eastAsia="仿宋_GB2312" w:cs="仿宋_GB2312"/>
          <w:bCs/>
          <w:color w:val="000000"/>
          <w:sz w:val="32"/>
          <w:szCs w:val="32"/>
          <w:lang w:bidi="ar"/>
        </w:rPr>
        <w:t>本年度项目支出年初预算数1669.89万元，实际支出4036.15万元，主要项目列支如下：人民防空775.72万元；黑臭水体整治16</w:t>
      </w:r>
      <w:r>
        <w:rPr>
          <w:rFonts w:ascii="仿宋_GB2312" w:hAnsi="仿宋_GB2312" w:eastAsia="仿宋_GB2312" w:cs="仿宋_GB2312"/>
          <w:bCs/>
          <w:color w:val="auto"/>
          <w:sz w:val="32"/>
          <w:szCs w:val="32"/>
          <w:lang w:bidi="ar"/>
        </w:rPr>
        <w:t>万元；市政设施维护1459.87万元，城市基础设施建设1515.83万元</w:t>
      </w:r>
      <w:r>
        <w:rPr>
          <w:rFonts w:hint="default" w:ascii="黑体" w:hAnsi="黑体" w:eastAsia="黑体"/>
          <w:sz w:val="32"/>
          <w:szCs w:val="32"/>
        </w:rPr>
        <w:t>，</w:t>
      </w:r>
      <w:r>
        <w:rPr>
          <w:rFonts w:hint="eastAsia" w:ascii="仿宋" w:hAnsi="仿宋" w:eastAsia="仿宋" w:cs="仿宋"/>
          <w:b w:val="0"/>
          <w:bCs w:val="0"/>
          <w:sz w:val="32"/>
          <w:szCs w:val="32"/>
        </w:rPr>
        <w:t>老旧小区改造268.54万元。</w:t>
      </w:r>
    </w:p>
    <w:p>
      <w:pPr>
        <w:spacing w:line="560" w:lineRule="exact"/>
        <w:rPr>
          <w:rFonts w:hint="eastAsia" w:ascii="宋体" w:hAnsi="宋体" w:cs="宋体"/>
          <w:b/>
          <w:color w:val="000000"/>
          <w:kern w:val="0"/>
          <w:sz w:val="28"/>
          <w:szCs w:val="28"/>
          <w:lang w:bidi="ar"/>
        </w:rPr>
      </w:pPr>
      <w:r>
        <w:rPr>
          <w:rFonts w:hint="eastAsia" w:ascii="黑体" w:hAnsi="黑体" w:eastAsia="黑体"/>
          <w:sz w:val="32"/>
          <w:szCs w:val="32"/>
        </w:rPr>
        <w:t>四、部门整体支出绩效情况</w:t>
      </w:r>
    </w:p>
    <w:p>
      <w:pPr>
        <w:numPr>
          <w:ilvl w:val="0"/>
          <w:numId w:val="0"/>
        </w:numPr>
        <w:adjustRightInd w:val="0"/>
        <w:snapToGrid w:val="0"/>
        <w:spacing w:line="360" w:lineRule="auto"/>
        <w:ind w:firstLine="640" w:firstLineChars="200"/>
        <w:jc w:val="left"/>
        <w:rPr>
          <w:rFonts w:hint="default" w:eastAsia="仿宋"/>
          <w:color w:val="auto"/>
          <w:lang w:val="en-US" w:eastAsia="zh-CN"/>
        </w:rPr>
      </w:pPr>
      <w:r>
        <w:rPr>
          <w:rFonts w:ascii="仿宋_GB2312" w:hAnsi="仿宋_GB2312" w:eastAsia="仿宋_GB2312" w:cs="仿宋_GB2312"/>
          <w:bCs/>
          <w:color w:val="000000"/>
          <w:sz w:val="32"/>
          <w:szCs w:val="32"/>
          <w:lang w:bidi="ar"/>
        </w:rPr>
        <w:t>一、根据预算绩效管理要求，我单位组织对20</w:t>
      </w:r>
      <w:r>
        <w:rPr>
          <w:rFonts w:hint="eastAsia" w:ascii="仿宋_GB2312" w:hAnsi="仿宋_GB2312" w:eastAsia="仿宋_GB2312" w:cs="仿宋_GB2312"/>
          <w:bCs/>
          <w:color w:val="000000"/>
          <w:sz w:val="32"/>
          <w:szCs w:val="32"/>
          <w:lang w:val="en-US" w:eastAsia="zh-CN" w:bidi="ar"/>
        </w:rPr>
        <w:t>20</w:t>
      </w:r>
      <w:r>
        <w:rPr>
          <w:rFonts w:ascii="仿宋_GB2312" w:hAnsi="仿宋_GB2312" w:eastAsia="仿宋_GB2312" w:cs="仿宋_GB2312"/>
          <w:bCs/>
          <w:color w:val="000000"/>
          <w:sz w:val="32"/>
          <w:szCs w:val="32"/>
          <w:lang w:bidi="ar"/>
        </w:rPr>
        <w:t>年度项目支出全面开展绩效自评。</w:t>
      </w:r>
      <w:r>
        <w:rPr>
          <w:rFonts w:ascii="仿宋_GB2312" w:hAnsi="仿宋_GB2312" w:eastAsia="仿宋_GB2312" w:cs="仿宋_GB2312"/>
          <w:bCs/>
          <w:color w:val="0000FF"/>
          <w:sz w:val="32"/>
          <w:szCs w:val="32"/>
          <w:lang w:bidi="ar"/>
        </w:rPr>
        <w:t xml:space="preserve">                        </w:t>
      </w:r>
      <w:r>
        <w:rPr>
          <w:rFonts w:hint="eastAsia" w:ascii="楷体" w:hAnsi="楷体" w:eastAsia="楷体" w:cs="楷体"/>
          <w:b/>
          <w:bCs/>
          <w:color w:val="auto"/>
          <w:sz w:val="32"/>
          <w:szCs w:val="32"/>
          <w:lang w:val="en-US" w:eastAsia="zh-CN"/>
        </w:rPr>
        <w:t>（一）项目建设加快推进。</w:t>
      </w:r>
      <w:r>
        <w:rPr>
          <w:rFonts w:hint="default" w:ascii="仿宋_GB2312" w:hAnsi="仿宋" w:eastAsia="仿宋_GB2312" w:cs="Times New Roman"/>
          <w:b/>
          <w:bCs/>
          <w:color w:val="auto"/>
          <w:sz w:val="32"/>
          <w:szCs w:val="32"/>
          <w:lang w:val="en-US" w:eastAsia="zh-CN"/>
        </w:rPr>
        <w:t>1.湘江水厂提质</w:t>
      </w:r>
      <w:r>
        <w:rPr>
          <w:rFonts w:hint="eastAsia" w:ascii="仿宋_GB2312" w:hAnsi="仿宋" w:eastAsia="仿宋_GB2312" w:cs="Times New Roman"/>
          <w:b/>
          <w:bCs/>
          <w:color w:val="auto"/>
          <w:sz w:val="32"/>
          <w:szCs w:val="32"/>
          <w:lang w:val="en-US" w:eastAsia="zh-CN"/>
        </w:rPr>
        <w:t>、扩容改造</w:t>
      </w:r>
      <w:r>
        <w:rPr>
          <w:rFonts w:hint="default" w:ascii="仿宋_GB2312" w:hAnsi="仿宋" w:eastAsia="仿宋_GB2312" w:cs="Times New Roman"/>
          <w:b/>
          <w:bCs/>
          <w:color w:val="auto"/>
          <w:sz w:val="32"/>
          <w:szCs w:val="32"/>
          <w:lang w:val="en-US" w:eastAsia="zh-CN"/>
        </w:rPr>
        <w:t>项目</w:t>
      </w:r>
      <w:r>
        <w:rPr>
          <w:rFonts w:hint="eastAsia" w:ascii="仿宋_GB2312" w:hAnsi="仿宋_GB2312" w:eastAsia="仿宋_GB2312" w:cs="仿宋_GB2312"/>
          <w:sz w:val="32"/>
          <w:szCs w:val="32"/>
          <w:lang w:eastAsia="zh-CN"/>
        </w:rPr>
        <w:t>在去年的基础上完成了地质灾害抢险桩基工程、预混池、沉淀池、过滤池、后臭氧消毒池、加压间、配电间、工艺管道安装。</w:t>
      </w:r>
      <w:r>
        <w:rPr>
          <w:rFonts w:hint="default" w:ascii="仿宋_GB2312" w:hAnsi="仿宋" w:eastAsia="仿宋_GB2312" w:cs="Times New Roman"/>
          <w:b/>
          <w:bCs/>
          <w:color w:val="auto"/>
          <w:sz w:val="32"/>
          <w:szCs w:val="32"/>
          <w:lang w:val="en-US" w:eastAsia="zh-CN"/>
        </w:rPr>
        <w:t>2.天然气利用工程项目</w:t>
      </w:r>
      <w:r>
        <w:rPr>
          <w:rFonts w:hint="eastAsia" w:ascii="仿宋_GB2312" w:hAnsi="仿宋" w:eastAsia="仿宋_GB2312" w:cs="Times New Roman"/>
          <w:color w:val="auto"/>
          <w:sz w:val="32"/>
          <w:szCs w:val="32"/>
          <w:lang w:val="en-US" w:eastAsia="zh-CN"/>
        </w:rPr>
        <w:t>一是</w:t>
      </w:r>
      <w:r>
        <w:rPr>
          <w:rFonts w:hint="eastAsia" w:ascii="仿宋" w:hAnsi="仿宋" w:eastAsia="仿宋"/>
          <w:sz w:val="32"/>
          <w:szCs w:val="32"/>
          <w:lang w:val="en-US" w:eastAsia="zh-CN"/>
        </w:rPr>
        <w:t>完成了九龙大道</w:t>
      </w:r>
      <w:r>
        <w:rPr>
          <w:rFonts w:ascii="仿宋" w:hAnsi="仿宋" w:eastAsia="仿宋"/>
          <w:sz w:val="32"/>
          <w:szCs w:val="32"/>
        </w:rPr>
        <w:t>—</w:t>
      </w:r>
      <w:r>
        <w:rPr>
          <w:rFonts w:hint="eastAsia" w:ascii="仿宋" w:hAnsi="仿宋" w:eastAsia="仿宋"/>
          <w:sz w:val="32"/>
          <w:szCs w:val="32"/>
          <w:lang w:eastAsia="zh-CN"/>
        </w:rPr>
        <w:t>御景龙庭</w:t>
      </w:r>
      <w:r>
        <w:rPr>
          <w:rFonts w:hint="eastAsia" w:ascii="仿宋" w:hAnsi="仿宋" w:eastAsia="仿宋"/>
          <w:sz w:val="32"/>
          <w:szCs w:val="32"/>
        </w:rPr>
        <w:t>天然气</w:t>
      </w:r>
      <w:r>
        <w:rPr>
          <w:rFonts w:hint="eastAsia" w:ascii="仿宋" w:hAnsi="仿宋" w:eastAsia="仿宋"/>
          <w:sz w:val="32"/>
          <w:szCs w:val="32"/>
          <w:lang w:val="en-US" w:eastAsia="zh-CN"/>
        </w:rPr>
        <w:t>8</w:t>
      </w:r>
      <w:r>
        <w:rPr>
          <w:rFonts w:hint="eastAsia" w:ascii="仿宋" w:hAnsi="仿宋" w:eastAsia="仿宋"/>
          <w:sz w:val="32"/>
          <w:szCs w:val="32"/>
          <w:lang w:eastAsia="zh-CN"/>
        </w:rPr>
        <w:t>公里</w:t>
      </w:r>
      <w:r>
        <w:rPr>
          <w:rFonts w:hint="eastAsia" w:ascii="仿宋" w:hAnsi="仿宋" w:eastAsia="仿宋"/>
          <w:sz w:val="32"/>
          <w:szCs w:val="32"/>
        </w:rPr>
        <w:t>管网。</w:t>
      </w:r>
      <w:r>
        <w:rPr>
          <w:rFonts w:hint="eastAsia" w:ascii="仿宋_GB2312" w:hAnsi="仿宋_GB2312" w:eastAsia="仿宋_GB2312" w:cs="仿宋_GB2312"/>
          <w:sz w:val="32"/>
          <w:szCs w:val="32"/>
          <w:lang w:eastAsia="zh-CN"/>
        </w:rPr>
        <w:t>二是</w:t>
      </w:r>
      <w:r>
        <w:rPr>
          <w:rFonts w:hint="eastAsia" w:ascii="仿宋" w:hAnsi="仿宋" w:eastAsia="仿宋"/>
          <w:sz w:val="32"/>
          <w:szCs w:val="32"/>
          <w:lang w:eastAsia="zh-CN"/>
        </w:rPr>
        <w:t>县城区域内</w:t>
      </w:r>
      <w:r>
        <w:rPr>
          <w:rFonts w:hint="eastAsia" w:ascii="仿宋_GB2312" w:hAnsi="仿宋_GB2312" w:eastAsia="仿宋_GB2312" w:cs="仿宋_GB2312"/>
          <w:sz w:val="32"/>
          <w:szCs w:val="32"/>
          <w:lang w:eastAsia="zh-CN"/>
        </w:rPr>
        <w:t>新建中压管网</w:t>
      </w:r>
      <w:r>
        <w:rPr>
          <w:rFonts w:hint="eastAsia" w:ascii="仿宋_GB2312" w:hAnsi="仿宋_GB2312" w:eastAsia="仿宋_GB2312" w:cs="仿宋_GB2312"/>
          <w:sz w:val="32"/>
          <w:szCs w:val="32"/>
          <w:lang w:val="en-US" w:eastAsia="zh-CN"/>
        </w:rPr>
        <w:t>11.4</w:t>
      </w:r>
      <w:r>
        <w:rPr>
          <w:rFonts w:hint="eastAsia" w:ascii="仿宋_GB2312" w:hAnsi="仿宋_GB2312" w:eastAsia="仿宋_GB2312" w:cs="仿宋_GB2312"/>
          <w:sz w:val="32"/>
          <w:szCs w:val="32"/>
          <w:lang w:eastAsia="zh-CN"/>
        </w:rPr>
        <w:t xml:space="preserve">公里，庭院管网 </w:t>
      </w:r>
      <w:r>
        <w:rPr>
          <w:rFonts w:hint="eastAsia" w:ascii="仿宋_GB2312" w:hAnsi="仿宋_GB2312" w:eastAsia="仿宋_GB2312" w:cs="仿宋_GB2312"/>
          <w:sz w:val="32"/>
          <w:szCs w:val="32"/>
          <w:lang w:val="en-US" w:eastAsia="zh-CN"/>
        </w:rPr>
        <w:t>13.6</w:t>
      </w:r>
      <w:r>
        <w:rPr>
          <w:rFonts w:hint="eastAsia" w:ascii="仿宋_GB2312" w:hAnsi="仿宋_GB2312" w:eastAsia="仿宋_GB2312" w:cs="仿宋_GB2312"/>
          <w:sz w:val="32"/>
          <w:szCs w:val="32"/>
          <w:lang w:eastAsia="zh-CN"/>
        </w:rPr>
        <w:t>公里。三是</w:t>
      </w:r>
      <w:r>
        <w:rPr>
          <w:rFonts w:hint="eastAsia" w:ascii="仿宋" w:hAnsi="仿宋" w:eastAsia="仿宋"/>
          <w:sz w:val="32"/>
          <w:szCs w:val="32"/>
          <w:lang w:eastAsia="zh-CN"/>
        </w:rPr>
        <w:t>衡山开云镇</w:t>
      </w:r>
      <w:r>
        <w:rPr>
          <w:rFonts w:hint="eastAsia" w:ascii="仿宋" w:hAnsi="仿宋" w:eastAsia="仿宋"/>
          <w:sz w:val="32"/>
          <w:szCs w:val="32"/>
          <w:lang w:val="en-US" w:eastAsia="zh-CN"/>
        </w:rPr>
        <w:t>-白果镇</w:t>
      </w:r>
      <w:r>
        <w:rPr>
          <w:rFonts w:hint="eastAsia" w:ascii="仿宋" w:hAnsi="仿宋" w:eastAsia="仿宋"/>
          <w:sz w:val="32"/>
          <w:szCs w:val="32"/>
          <w:lang w:eastAsia="zh-CN"/>
        </w:rPr>
        <w:t>燃气管网</w:t>
      </w:r>
      <w:r>
        <w:rPr>
          <w:rFonts w:hint="eastAsia" w:ascii="仿宋_GB2312" w:hAnsi="仿宋_GB2312" w:eastAsia="仿宋_GB2312" w:cs="仿宋_GB2312"/>
          <w:sz w:val="32"/>
          <w:szCs w:val="32"/>
          <w:lang w:val="en-US" w:eastAsia="zh-CN"/>
        </w:rPr>
        <w:t>目前已完开云镇-岭坡乡段</w:t>
      </w:r>
      <w:r>
        <w:rPr>
          <w:rFonts w:hint="eastAsia" w:ascii="仿宋" w:hAnsi="仿宋" w:eastAsia="仿宋"/>
          <w:sz w:val="32"/>
          <w:szCs w:val="32"/>
          <w:lang w:eastAsia="zh-CN"/>
        </w:rPr>
        <w:t>，</w:t>
      </w:r>
      <w:r>
        <w:rPr>
          <w:rFonts w:hint="eastAsia" w:ascii="仿宋" w:hAnsi="仿宋" w:eastAsia="仿宋"/>
          <w:sz w:val="32"/>
          <w:szCs w:val="32"/>
          <w:lang w:val="en-US" w:eastAsia="zh-CN"/>
        </w:rPr>
        <w:t>完成投资任务55%。四是</w:t>
      </w:r>
      <w:r>
        <w:rPr>
          <w:rFonts w:hint="eastAsia" w:ascii="仿宋" w:hAnsi="仿宋" w:eastAsia="仿宋"/>
          <w:sz w:val="32"/>
          <w:szCs w:val="32"/>
          <w:lang w:eastAsia="zh-CN"/>
        </w:rPr>
        <w:t>福田乡沙泉、三座桥等各村组</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lang w:eastAsia="zh-CN"/>
        </w:rPr>
        <w:t>中压管网</w:t>
      </w:r>
      <w:r>
        <w:rPr>
          <w:rFonts w:hint="eastAsia" w:ascii="仿宋_GB2312" w:hAnsi="仿宋_GB2312" w:eastAsia="仿宋_GB2312" w:cs="仿宋_GB2312"/>
          <w:sz w:val="32"/>
          <w:szCs w:val="32"/>
          <w:lang w:val="en-US" w:eastAsia="zh-CN"/>
        </w:rPr>
        <w:t>23.3</w:t>
      </w:r>
      <w:r>
        <w:rPr>
          <w:rFonts w:hint="eastAsia" w:ascii="仿宋_GB2312" w:hAnsi="仿宋_GB2312" w:eastAsia="仿宋_GB2312" w:cs="仿宋_GB2312"/>
          <w:sz w:val="32"/>
          <w:szCs w:val="32"/>
          <w:lang w:eastAsia="zh-CN"/>
        </w:rPr>
        <w:t xml:space="preserve">公里，庭院管网 </w:t>
      </w:r>
      <w:r>
        <w:rPr>
          <w:rFonts w:hint="eastAsia" w:ascii="仿宋_GB2312" w:hAnsi="仿宋_GB2312" w:eastAsia="仿宋_GB2312" w:cs="仿宋_GB2312"/>
          <w:sz w:val="32"/>
          <w:szCs w:val="32"/>
          <w:lang w:val="en-US" w:eastAsia="zh-CN"/>
        </w:rPr>
        <w:t>19.2</w:t>
      </w:r>
      <w:r>
        <w:rPr>
          <w:rFonts w:hint="eastAsia" w:ascii="仿宋_GB2312" w:hAnsi="仿宋_GB2312" w:eastAsia="仿宋_GB2312" w:cs="仿宋_GB2312"/>
          <w:sz w:val="32"/>
          <w:szCs w:val="32"/>
          <w:lang w:eastAsia="zh-CN"/>
        </w:rPr>
        <w:t>公里。</w:t>
      </w:r>
      <w:r>
        <w:rPr>
          <w:rFonts w:hint="eastAsia" w:ascii="仿宋_GB2312" w:hAnsi="仿宋" w:eastAsia="仿宋_GB2312" w:cs="Times New Roman"/>
          <w:b/>
          <w:bCs/>
          <w:color w:val="auto"/>
          <w:sz w:val="32"/>
          <w:szCs w:val="32"/>
          <w:lang w:val="en-US" w:eastAsia="zh-CN"/>
        </w:rPr>
        <w:t>3</w:t>
      </w:r>
      <w:r>
        <w:rPr>
          <w:rFonts w:hint="default" w:ascii="仿宋_GB2312" w:hAnsi="仿宋" w:eastAsia="仿宋_GB2312" w:cs="Times New Roman"/>
          <w:b/>
          <w:bCs/>
          <w:color w:val="auto"/>
          <w:sz w:val="32"/>
          <w:szCs w:val="32"/>
          <w:lang w:val="en-US" w:eastAsia="zh-CN"/>
        </w:rPr>
        <w:t>.乡镇污水处理项目</w:t>
      </w:r>
      <w:r>
        <w:rPr>
          <w:rFonts w:hint="eastAsia" w:ascii="仿宋" w:hAnsi="仿宋" w:eastAsia="仿宋" w:cs="仿宋"/>
          <w:color w:val="auto"/>
          <w:sz w:val="32"/>
          <w:szCs w:val="32"/>
          <w:lang w:val="en-US" w:eastAsia="zh-CN"/>
        </w:rPr>
        <w:t>全面推进。白果镇（长青片区）、长江镇正在设备调试，准备通水运营。永和乡（新场市）、永和乡（大源渡）、萱洲镇（贺家)、福田铺乡、东湖镇、新桥镇、白果镇主体已完工，并通过主体验收，管网建设基本完成，准备进行设备调试。萱洲镇、江东乡、江东乡（农科站片区）、贯塘乡、店门镇、东湖镇（马迹）、岭坡乡、岭坡乡（望峰片区）主体已完工，正在进行管网铺设。</w:t>
      </w:r>
      <w:r>
        <w:rPr>
          <w:rFonts w:hint="eastAsia" w:ascii="仿宋_GB2312" w:hAnsi="仿宋" w:eastAsia="仿宋_GB2312" w:cs="Times New Roman"/>
          <w:b/>
          <w:bCs/>
          <w:color w:val="auto"/>
          <w:sz w:val="32"/>
          <w:szCs w:val="32"/>
          <w:lang w:val="en-US" w:eastAsia="zh-CN"/>
        </w:rPr>
        <w:t>4</w:t>
      </w:r>
      <w:r>
        <w:rPr>
          <w:rFonts w:hint="default" w:ascii="仿宋_GB2312" w:hAnsi="仿宋" w:eastAsia="仿宋_GB2312" w:cs="Times New Roman"/>
          <w:b/>
          <w:bCs/>
          <w:color w:val="auto"/>
          <w:sz w:val="32"/>
          <w:szCs w:val="32"/>
          <w:lang w:val="en-US" w:eastAsia="zh-CN"/>
        </w:rPr>
        <w:t>.</w:t>
      </w:r>
      <w:r>
        <w:rPr>
          <w:rFonts w:hint="eastAsia" w:ascii="仿宋_GB2312" w:hAnsi="仿宋" w:eastAsia="仿宋_GB2312" w:cs="Times New Roman"/>
          <w:b/>
          <w:bCs/>
          <w:color w:val="auto"/>
          <w:sz w:val="32"/>
          <w:szCs w:val="32"/>
          <w:lang w:val="en-US" w:eastAsia="zh-CN"/>
        </w:rPr>
        <w:t>开云新城污水处理厂</w:t>
      </w:r>
      <w:r>
        <w:rPr>
          <w:rFonts w:hint="default" w:ascii="仿宋_GB2312" w:hAnsi="仿宋" w:eastAsia="仿宋_GB2312" w:cs="Times New Roman"/>
          <w:b/>
          <w:bCs/>
          <w:color w:val="auto"/>
          <w:sz w:val="32"/>
          <w:szCs w:val="32"/>
          <w:lang w:val="en-US" w:eastAsia="zh-CN"/>
        </w:rPr>
        <w:t>项目</w:t>
      </w:r>
      <w:r>
        <w:rPr>
          <w:rFonts w:hint="eastAsia" w:ascii="仿宋_GB2312" w:hAnsi="仿宋" w:eastAsia="仿宋_GB2312" w:cs="Times New Roman"/>
          <w:color w:val="auto"/>
          <w:sz w:val="32"/>
          <w:szCs w:val="32"/>
          <w:lang w:val="en-US" w:eastAsia="zh-CN"/>
        </w:rPr>
        <w:t>已完成主体工程、厂房装饰装修工程，正在进行设备安装和管网铺设。</w:t>
      </w:r>
      <w:r>
        <w:rPr>
          <w:rFonts w:hint="eastAsia" w:ascii="仿宋_GB2312" w:hAnsi="仿宋" w:eastAsia="仿宋_GB2312" w:cs="Times New Roman"/>
          <w:b/>
          <w:bCs/>
          <w:color w:val="auto"/>
          <w:sz w:val="32"/>
          <w:szCs w:val="32"/>
          <w:lang w:val="en-US" w:eastAsia="zh-CN"/>
        </w:rPr>
        <w:t>5.黑臭水体治理项目</w:t>
      </w:r>
      <w:r>
        <w:rPr>
          <w:rFonts w:hint="eastAsia" w:ascii="仿宋" w:hAnsi="仿宋" w:eastAsia="仿宋" w:cs="仿宋"/>
          <w:sz w:val="32"/>
          <w:szCs w:val="32"/>
          <w:lang w:val="en-US" w:eastAsia="zh-CN"/>
        </w:rPr>
        <w:t>金盛广场人工湖</w:t>
      </w:r>
      <w:r>
        <w:rPr>
          <w:rFonts w:hint="eastAsia" w:eastAsia="仿宋_GB2312"/>
          <w:color w:val="auto"/>
          <w:sz w:val="32"/>
          <w:szCs w:val="32"/>
          <w:lang w:val="en-US" w:eastAsia="zh-CN"/>
        </w:rPr>
        <w:t>已全部完成治理任务，荣获市黑臭水体治理工作先进单位。</w:t>
      </w:r>
      <w:r>
        <w:rPr>
          <w:rFonts w:hint="default" w:ascii="仿宋_GB2312" w:hAnsi="仿宋" w:eastAsia="仿宋_GB2312" w:cs="Times New Roman"/>
          <w:b/>
          <w:bCs/>
          <w:color w:val="auto"/>
          <w:sz w:val="32"/>
          <w:szCs w:val="32"/>
          <w:lang w:val="en-US" w:eastAsia="zh-CN"/>
        </w:rPr>
        <w:t>6.旧城改造</w:t>
      </w:r>
      <w:r>
        <w:rPr>
          <w:rFonts w:hint="eastAsia" w:ascii="仿宋_GB2312" w:hAnsi="仿宋" w:eastAsia="仿宋_GB2312" w:cs="Times New Roman"/>
          <w:b/>
          <w:bCs/>
          <w:color w:val="auto"/>
          <w:sz w:val="32"/>
          <w:szCs w:val="32"/>
          <w:lang w:val="en-US" w:eastAsia="zh-CN"/>
        </w:rPr>
        <w:t>项目</w:t>
      </w:r>
      <w:r>
        <w:rPr>
          <w:rFonts w:hint="eastAsia" w:ascii="仿宋" w:hAnsi="仿宋" w:eastAsia="仿宋"/>
          <w:bCs/>
          <w:color w:val="auto"/>
          <w:sz w:val="32"/>
          <w:szCs w:val="32"/>
        </w:rPr>
        <w:t>完成</w:t>
      </w:r>
      <w:r>
        <w:rPr>
          <w:rFonts w:hint="eastAsia" w:ascii="仿宋_GB2312" w:hAnsi="仿宋" w:eastAsia="仿宋_GB2312"/>
          <w:color w:val="auto"/>
          <w:sz w:val="32"/>
          <w:szCs w:val="32"/>
          <w:lang w:val="en-US" w:eastAsia="zh-CN"/>
        </w:rPr>
        <w:t>城南完小至紫巾路改造、县委家属楼改造、老年大学家属楼及湘江街改造、开云商城片区主干道和桥南新村改造、原商业局家属楼改造、金盛华城片区改造、日杂公司家属院七个片区的改造</w:t>
      </w:r>
      <w:r>
        <w:rPr>
          <w:rFonts w:hint="default" w:ascii="仿宋_GB2312" w:hAnsi="仿宋" w:eastAsia="仿宋_GB2312" w:cs="Times New Roman"/>
          <w:color w:val="auto"/>
          <w:sz w:val="32"/>
          <w:szCs w:val="32"/>
          <w:lang w:val="en-US" w:eastAsia="zh-CN"/>
        </w:rPr>
        <w:t>项目</w:t>
      </w:r>
      <w:r>
        <w:rPr>
          <w:rFonts w:hint="eastAsia" w:ascii="仿宋" w:hAnsi="仿宋" w:eastAsia="仿宋" w:cs="仿宋"/>
          <w:sz w:val="32"/>
          <w:szCs w:val="32"/>
          <w:lang w:val="en-US" w:eastAsia="zh-CN"/>
        </w:rPr>
        <w:t>；解决了城区工业大道、解放南路（城南完小段）、开云商城主干道、湘江街、麇城路等道路的排污排水问题和路面油化7万平方米；同时争取2020老旧小区改造项目专项债资金8000万元和配套资金1998万元。</w:t>
      </w:r>
      <w:r>
        <w:rPr>
          <w:rFonts w:hint="eastAsia" w:ascii="仿宋" w:hAnsi="仿宋" w:eastAsia="仿宋"/>
          <w:b/>
          <w:bCs w:val="0"/>
          <w:color w:val="auto"/>
          <w:sz w:val="32"/>
          <w:szCs w:val="32"/>
          <w:lang w:val="en-US" w:eastAsia="zh-CN"/>
        </w:rPr>
        <w:t>7.</w:t>
      </w:r>
      <w:r>
        <w:rPr>
          <w:rFonts w:hint="eastAsia" w:ascii="仿宋" w:hAnsi="仿宋" w:eastAsia="仿宋" w:cs="仿宋"/>
          <w:b/>
          <w:bCs/>
          <w:color w:val="auto"/>
          <w:sz w:val="32"/>
          <w:szCs w:val="32"/>
          <w:lang w:val="en-US" w:eastAsia="zh-CN"/>
        </w:rPr>
        <w:t>城市棚户区改造项目</w:t>
      </w:r>
      <w:r>
        <w:rPr>
          <w:rFonts w:hint="eastAsia" w:ascii="仿宋" w:hAnsi="仿宋" w:eastAsia="仿宋" w:cs="仿宋"/>
          <w:b/>
          <w:bCs/>
          <w:sz w:val="32"/>
          <w:szCs w:val="32"/>
          <w:lang w:val="en-US" w:eastAsia="zh-CN"/>
        </w:rPr>
        <w:t>共实施780户，目前都进入实质性的建设阶段。</w:t>
      </w:r>
      <w:r>
        <w:rPr>
          <w:rFonts w:hint="eastAsia" w:ascii="仿宋" w:hAnsi="仿宋" w:eastAsia="仿宋" w:cs="仿宋"/>
          <w:b w:val="0"/>
          <w:bCs w:val="0"/>
          <w:sz w:val="32"/>
          <w:szCs w:val="32"/>
          <w:lang w:val="en-US" w:eastAsia="zh-CN"/>
        </w:rPr>
        <w:t>分别是龙泉路棚户区改造150户；黄花路二期棚户区改造改造293户；紫巾路棚户区改造改造97户；电影院棚户区改造85户；龙泉南路片区棚户区改造115户；老印刷厂棚户区改造40户。同时公租房项目共实施84套，基本进入开工建设阶段。分别是御美人公租房项目新建24套、杉燕公租房项目新建24套、店门镇公租房项目新建36套。荣获市棚户区改造工作先进单位</w:t>
      </w:r>
      <w:r>
        <w:rPr>
          <w:rFonts w:hint="eastAsia" w:ascii="仿宋" w:hAnsi="仿宋" w:eastAsia="仿宋"/>
          <w:b/>
          <w:bCs w:val="0"/>
          <w:color w:val="auto"/>
          <w:sz w:val="32"/>
          <w:szCs w:val="32"/>
          <w:lang w:val="en-US" w:eastAsia="zh-CN"/>
        </w:rPr>
        <w:t>8.</w:t>
      </w:r>
      <w:r>
        <w:rPr>
          <w:rFonts w:hint="eastAsia" w:ascii="仿宋_GB2312" w:hAnsi="仿宋" w:eastAsia="仿宋_GB2312" w:cstheme="minorBidi"/>
          <w:b/>
          <w:bCs w:val="0"/>
          <w:color w:val="auto"/>
          <w:kern w:val="2"/>
          <w:sz w:val="32"/>
          <w:szCs w:val="32"/>
          <w:lang w:val="en-US" w:eastAsia="zh-CN" w:bidi="ar-SA"/>
        </w:rPr>
        <w:t>龙泉路开发建设项目</w:t>
      </w:r>
      <w:r>
        <w:rPr>
          <w:rFonts w:hint="eastAsia" w:ascii="仿宋_GB2312" w:hAnsi="仿宋" w:eastAsia="仿宋_GB2312" w:cstheme="minorBidi"/>
          <w:color w:val="auto"/>
          <w:kern w:val="2"/>
          <w:sz w:val="32"/>
          <w:szCs w:val="32"/>
          <w:lang w:val="en-US" w:eastAsia="zh-CN" w:bidi="ar-SA"/>
        </w:rPr>
        <w:t>：龙泉南路本年度已累计完成投资5000万，已征地50亩，其余征地正在进行中，拆迁方案在审、港湘服饰征收已达成一致，准备签协议。龙泉北路</w:t>
      </w:r>
      <w:r>
        <w:rPr>
          <w:rFonts w:hint="eastAsia" w:ascii="仿宋_GB2312" w:hAnsi="仿宋" w:eastAsia="仿宋_GB2312"/>
          <w:color w:val="auto"/>
          <w:sz w:val="32"/>
          <w:szCs w:val="32"/>
          <w:lang w:val="en-US" w:eastAsia="zh-CN"/>
        </w:rPr>
        <w:t>本年度已累计完成投资4000万元；龙泉北路项目已全部完成房屋拆除和三通一平，正在进行地质勘探、规划设计。</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right="0" w:rightChars="0" w:firstLine="643" w:firstLineChars="200"/>
        <w:jc w:val="left"/>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color w:val="auto"/>
          <w:sz w:val="32"/>
          <w:szCs w:val="32"/>
          <w:lang w:val="en-US" w:eastAsia="zh-CN"/>
        </w:rPr>
        <w:t>（二）脱贫攻坚取得决胜。</w:t>
      </w:r>
      <w:r>
        <w:rPr>
          <w:rFonts w:hint="eastAsia" w:ascii="仿宋" w:hAnsi="仿宋" w:eastAsia="仿宋" w:cs="仿宋"/>
          <w:color w:val="auto"/>
          <w:kern w:val="0"/>
          <w:sz w:val="32"/>
          <w:szCs w:val="32"/>
          <w:shd w:val="clear" w:color="auto" w:fill="FFFFFF"/>
          <w:lang w:val="en-US" w:eastAsia="zh-CN" w:bidi="ar"/>
        </w:rPr>
        <w:t>全局派出了10名班子成员、2名驻村工作队长和2名驻村工作人员，分别到福田铺乡石东村、福田社区、金路村、萱洲镇贺家山社区、湘江村开展精准扶贫和结对帮扶29户建档立卡贫困户，班子成员每月入户察民情、宣政策、建真情、扶真贫、献爱心、办实事，单位支持帮扶资金和发放传统节日物资25万元，工作队长和结对帮扶责任人为贫困户解决实际困难送去资金1万多元。</w:t>
      </w:r>
      <w:r>
        <w:rPr>
          <w:rFonts w:hint="eastAsia" w:ascii="仿宋_GB2312" w:hAnsi="仿宋_GB2312" w:eastAsia="仿宋_GB2312" w:cs="仿宋_GB2312"/>
          <w:sz w:val="32"/>
          <w:szCs w:val="32"/>
          <w:lang w:val="en-US" w:eastAsia="zh-CN"/>
        </w:rPr>
        <w:t>2020年农村危房改造项目上半年实施四类重点对象278户，下半年动态新增及边缘户合计116户，一共改造了394户；同时实施“透风漏雨”整改户数349户；共计拨付资金1390.5万元，圆满完成了省、市脱贫攻坚住房安全保障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color w:val="auto"/>
          <w:lang w:val="en-US" w:eastAsia="zh-CN"/>
        </w:rPr>
      </w:pPr>
      <w:r>
        <w:rPr>
          <w:rFonts w:hint="eastAsia" w:ascii="楷体" w:hAnsi="楷体" w:eastAsia="楷体" w:cs="楷体"/>
          <w:b/>
          <w:bCs/>
          <w:color w:val="auto"/>
          <w:sz w:val="32"/>
          <w:szCs w:val="32"/>
          <w:lang w:eastAsia="zh-CN"/>
        </w:rPr>
        <w:t>（三）环境保护持续优化。</w:t>
      </w:r>
      <w:r>
        <w:rPr>
          <w:rFonts w:hint="eastAsia" w:ascii="仿宋" w:hAnsi="仿宋" w:eastAsia="仿宋" w:cs="仿宋"/>
          <w:color w:val="auto"/>
          <w:kern w:val="0"/>
          <w:sz w:val="32"/>
          <w:szCs w:val="32"/>
          <w:lang w:val="en-US" w:eastAsia="zh-CN"/>
        </w:rPr>
        <w:t>2020</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eastAsia="zh-CN"/>
        </w:rPr>
        <w:t>，我局</w:t>
      </w:r>
      <w:r>
        <w:rPr>
          <w:rFonts w:hint="eastAsia" w:ascii="仿宋_GB2312" w:hAnsi="仿宋_GB2312" w:eastAsia="仿宋_GB2312" w:cs="仿宋_GB2312"/>
          <w:color w:val="auto"/>
          <w:sz w:val="32"/>
          <w:szCs w:val="32"/>
          <w:lang w:val="en-US" w:eastAsia="zh-CN"/>
        </w:rPr>
        <w:t>完成了县城</w:t>
      </w:r>
      <w:r>
        <w:rPr>
          <w:rFonts w:hint="eastAsia" w:eastAsia="仿宋_GB2312"/>
          <w:color w:val="auto"/>
          <w:sz w:val="32"/>
          <w:szCs w:val="32"/>
          <w:lang w:eastAsia="zh-CN"/>
        </w:rPr>
        <w:t>金盛广场人工湖一</w:t>
      </w:r>
      <w:r>
        <w:rPr>
          <w:rFonts w:hint="eastAsia" w:eastAsia="仿宋_GB2312"/>
          <w:color w:val="auto"/>
          <w:sz w:val="32"/>
          <w:szCs w:val="32"/>
          <w:lang w:val="en-US" w:eastAsia="zh-CN"/>
        </w:rPr>
        <w:t>处</w:t>
      </w:r>
      <w:r>
        <w:rPr>
          <w:rFonts w:hint="eastAsia" w:ascii="仿宋_GB2312" w:hAnsi="仿宋_GB2312" w:eastAsia="仿宋_GB2312" w:cs="仿宋_GB2312"/>
          <w:color w:val="auto"/>
          <w:sz w:val="32"/>
          <w:szCs w:val="32"/>
          <w:lang w:val="en-US" w:eastAsia="zh-CN"/>
        </w:rPr>
        <w:t>黑臭水体治理项目。处理省市县环保督察交办件共10项，及时整改问题，汇总资料回复，完成省环保督察黑臭水体治理销号。</w:t>
      </w:r>
      <w:r>
        <w:rPr>
          <w:rFonts w:hint="eastAsia" w:ascii="仿宋" w:hAnsi="仿宋" w:eastAsia="仿宋" w:cs="仿宋"/>
          <w:color w:val="auto"/>
          <w:kern w:val="2"/>
          <w:sz w:val="32"/>
          <w:szCs w:val="32"/>
          <w:lang w:val="en-US" w:eastAsia="zh-CN" w:bidi="ar-SA"/>
        </w:rPr>
        <w:t>建筑扬尘治理成效显著</w:t>
      </w:r>
      <w:r>
        <w:rPr>
          <w:rFonts w:hint="eastAsia" w:eastAsia="仿宋_GB2312"/>
          <w:color w:val="auto"/>
          <w:sz w:val="32"/>
          <w:szCs w:val="32"/>
          <w:lang w:eastAsia="zh-CN"/>
        </w:rPr>
        <w:t>，开展了“扬尘治理”、“固废清运”等专项行动，城区在建项目已全部完成6个“100%”和扬尘联网监测仪与智慧工地平台的对接，</w:t>
      </w:r>
      <w:r>
        <w:rPr>
          <w:rFonts w:hint="eastAsia" w:ascii="仿宋" w:hAnsi="仿宋" w:eastAsia="仿宋" w:cs="仿宋"/>
          <w:color w:val="auto"/>
          <w:sz w:val="32"/>
          <w:szCs w:val="32"/>
          <w:lang w:val="en-US" w:eastAsia="zh-CN"/>
        </w:rPr>
        <w:t>全县建筑工地围挡率100%，施工道路硬化率90%以上，所有房建项目均安装了冲洗设备，施工环境、场容场貌明显改观，扬尘集中整治达到预定目标。</w:t>
      </w:r>
      <w:r>
        <w:rPr>
          <w:rFonts w:hint="eastAsia" w:ascii="仿宋" w:hAnsi="仿宋" w:eastAsia="仿宋" w:cs="仿宋"/>
          <w:color w:val="auto"/>
          <w:sz w:val="32"/>
          <w:szCs w:val="32"/>
        </w:rPr>
        <w:t>城乡</w:t>
      </w:r>
      <w:r>
        <w:rPr>
          <w:rFonts w:hint="eastAsia" w:ascii="仿宋" w:hAnsi="仿宋" w:eastAsia="仿宋" w:cs="仿宋"/>
          <w:color w:val="auto"/>
          <w:sz w:val="32"/>
          <w:szCs w:val="32"/>
          <w:lang w:eastAsia="zh-CN"/>
        </w:rPr>
        <w:t>污水处理一体化项目正强力推进，</w:t>
      </w:r>
      <w:r>
        <w:rPr>
          <w:rFonts w:hint="eastAsia" w:ascii="仿宋" w:hAnsi="仿宋" w:eastAsia="仿宋" w:cs="仿宋"/>
          <w:color w:val="auto"/>
          <w:sz w:val="32"/>
          <w:szCs w:val="32"/>
          <w:lang w:val="en-US" w:eastAsia="zh-CN"/>
        </w:rPr>
        <w:t>城镇污水处理率达96%。</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仿宋_GB2312" w:hAnsi="宋体" w:eastAsia="仿宋_GB2312"/>
          <w:color w:val="auto"/>
          <w:sz w:val="32"/>
          <w:szCs w:val="32"/>
        </w:rPr>
      </w:pPr>
      <w:r>
        <w:rPr>
          <w:rFonts w:hint="eastAsia" w:ascii="楷体" w:hAnsi="楷体" w:eastAsia="楷体" w:cs="楷体"/>
          <w:b/>
          <w:color w:val="auto"/>
          <w:kern w:val="2"/>
          <w:sz w:val="32"/>
          <w:szCs w:val="32"/>
          <w:lang w:val="en-US" w:eastAsia="zh-CN" w:bidi="ar-SA"/>
        </w:rPr>
        <w:t>（四）行业监管更加规范。行政审批：</w:t>
      </w:r>
      <w:r>
        <w:rPr>
          <w:rFonts w:hint="eastAsia" w:ascii="仿宋" w:hAnsi="仿宋" w:eastAsia="仿宋" w:cs="仿宋"/>
          <w:kern w:val="2"/>
          <w:sz w:val="32"/>
          <w:szCs w:val="32"/>
          <w:lang w:val="en-US" w:eastAsia="zh-CN" w:bidi="ar"/>
        </w:rPr>
        <w:t>办理施工许可证598件，收费546万元；完成办理预售许可17栋，预售面积14万平方米，完成预测面积11.8万平方米；白蚁防治完成灭治蚁害16户，灭治面积6514.8平方米；完成商品房网签备案1120笔，协收契税940万元；完成房产档案清理归集3329卷。完成2020年</w:t>
      </w:r>
      <w:r>
        <w:rPr>
          <w:rFonts w:hint="eastAsia" w:ascii="仿宋" w:hAnsi="仿宋" w:eastAsia="仿宋" w:cs="仿宋"/>
          <w:sz w:val="32"/>
          <w:szCs w:val="32"/>
        </w:rPr>
        <w:t>全县</w:t>
      </w:r>
      <w:r>
        <w:rPr>
          <w:rFonts w:hint="eastAsia" w:ascii="仿宋" w:hAnsi="仿宋" w:eastAsia="仿宋" w:cs="仿宋"/>
          <w:sz w:val="32"/>
          <w:szCs w:val="32"/>
          <w:lang w:val="en-US" w:eastAsia="zh-CN"/>
        </w:rPr>
        <w:t>住房</w:t>
      </w:r>
      <w:r>
        <w:rPr>
          <w:rFonts w:hint="eastAsia" w:ascii="仿宋" w:hAnsi="仿宋" w:eastAsia="仿宋" w:cs="仿宋"/>
          <w:sz w:val="32"/>
          <w:szCs w:val="32"/>
        </w:rPr>
        <w:t>补贴发放</w:t>
      </w:r>
      <w:r>
        <w:rPr>
          <w:rFonts w:hint="eastAsia" w:ascii="仿宋" w:hAnsi="仿宋" w:eastAsia="仿宋" w:cs="仿宋"/>
          <w:sz w:val="32"/>
          <w:szCs w:val="32"/>
          <w:lang w:eastAsia="zh-CN"/>
        </w:rPr>
        <w:t>，</w:t>
      </w:r>
      <w:r>
        <w:rPr>
          <w:rFonts w:hint="eastAsia" w:ascii="仿宋" w:hAnsi="仿宋" w:eastAsia="仿宋" w:cs="仿宋"/>
          <w:sz w:val="32"/>
          <w:szCs w:val="32"/>
        </w:rPr>
        <w:t>上半年发放人数为12</w:t>
      </w:r>
      <w:r>
        <w:rPr>
          <w:rFonts w:hint="eastAsia" w:ascii="仿宋" w:hAnsi="仿宋" w:eastAsia="仿宋" w:cs="仿宋"/>
          <w:sz w:val="32"/>
          <w:szCs w:val="32"/>
          <w:lang w:val="en-US" w:eastAsia="zh-CN"/>
        </w:rPr>
        <w:t>35</w:t>
      </w:r>
      <w:r>
        <w:rPr>
          <w:rFonts w:hint="eastAsia" w:ascii="仿宋" w:hAnsi="仿宋" w:eastAsia="仿宋" w:cs="仿宋"/>
          <w:sz w:val="32"/>
          <w:szCs w:val="32"/>
        </w:rPr>
        <w:t>户，发放住房补贴资金为13</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85</w:t>
      </w:r>
      <w:r>
        <w:rPr>
          <w:rFonts w:hint="eastAsia" w:ascii="仿宋" w:hAnsi="仿宋" w:eastAsia="仿宋" w:cs="仿宋"/>
          <w:sz w:val="32"/>
          <w:szCs w:val="32"/>
        </w:rPr>
        <w:t>万元</w:t>
      </w:r>
      <w:r>
        <w:rPr>
          <w:rFonts w:hint="eastAsia" w:ascii="仿宋" w:hAnsi="仿宋" w:eastAsia="仿宋" w:cs="仿宋"/>
          <w:sz w:val="32"/>
          <w:szCs w:val="32"/>
          <w:lang w:eastAsia="zh-CN"/>
        </w:rPr>
        <w:t>，下半年发放人数为</w:t>
      </w:r>
      <w:r>
        <w:rPr>
          <w:rFonts w:hint="eastAsia" w:ascii="仿宋" w:hAnsi="仿宋" w:eastAsia="仿宋" w:cs="仿宋"/>
          <w:sz w:val="32"/>
          <w:szCs w:val="32"/>
          <w:lang w:val="en-US" w:eastAsia="zh-CN"/>
        </w:rPr>
        <w:t>1260户，发放住房补贴金为140.34万元</w:t>
      </w:r>
      <w:r>
        <w:rPr>
          <w:rFonts w:hint="eastAsia" w:ascii="仿宋" w:hAnsi="仿宋" w:eastAsia="仿宋" w:cs="Times New Roman"/>
          <w:b w:val="0"/>
          <w:bCs w:val="0"/>
          <w:color w:val="auto"/>
          <w:sz w:val="32"/>
          <w:szCs w:val="32"/>
          <w:lang w:val="en-US" w:eastAsia="zh-CN"/>
        </w:rPr>
        <w:t>。勘查设计管理工作荣获省先进单位。</w:t>
      </w:r>
      <w:r>
        <w:rPr>
          <w:rFonts w:hint="eastAsia" w:ascii="仿宋" w:hAnsi="仿宋" w:eastAsia="仿宋" w:cs="仿宋"/>
          <w:b/>
          <w:color w:val="auto"/>
          <w:kern w:val="2"/>
          <w:sz w:val="32"/>
          <w:szCs w:val="32"/>
          <w:lang w:val="en-US" w:eastAsia="zh-CN" w:bidi="ar-SA"/>
        </w:rPr>
        <w:t>建筑市场：</w:t>
      </w:r>
      <w:r>
        <w:rPr>
          <w:rFonts w:hint="eastAsia" w:ascii="仿宋_GB2312" w:hAnsi="宋体" w:eastAsia="仿宋_GB2312"/>
          <w:color w:val="auto"/>
          <w:sz w:val="32"/>
          <w:szCs w:val="32"/>
          <w:lang w:eastAsia="zh-CN"/>
        </w:rPr>
        <w:t>2020</w:t>
      </w:r>
      <w:r>
        <w:rPr>
          <w:rFonts w:hint="eastAsia" w:ascii="仿宋_GB2312" w:hAnsi="宋体" w:eastAsia="仿宋_GB2312"/>
          <w:color w:val="auto"/>
          <w:sz w:val="32"/>
          <w:szCs w:val="32"/>
        </w:rPr>
        <w:t>年</w:t>
      </w:r>
      <w:r>
        <w:rPr>
          <w:rFonts w:ascii="仿宋_GB2312" w:hAnsi="宋体" w:eastAsia="仿宋_GB2312"/>
          <w:color w:val="auto"/>
          <w:sz w:val="32"/>
          <w:szCs w:val="32"/>
        </w:rPr>
        <w:t>全县建筑业保持</w:t>
      </w:r>
      <w:r>
        <w:rPr>
          <w:rFonts w:hint="eastAsia" w:ascii="仿宋_GB2312" w:hAnsi="宋体" w:eastAsia="仿宋_GB2312"/>
          <w:color w:val="auto"/>
          <w:sz w:val="32"/>
          <w:szCs w:val="32"/>
          <w:lang w:eastAsia="zh-CN"/>
        </w:rPr>
        <w:t>平稳健康</w:t>
      </w:r>
      <w:r>
        <w:rPr>
          <w:rFonts w:ascii="仿宋_GB2312" w:hAnsi="宋体" w:eastAsia="仿宋_GB2312"/>
          <w:color w:val="auto"/>
          <w:sz w:val="32"/>
          <w:szCs w:val="32"/>
        </w:rPr>
        <w:t>发展的良好态势。</w:t>
      </w:r>
      <w:r>
        <w:rPr>
          <w:rFonts w:hint="eastAsia" w:ascii="仿宋_GB2312" w:hAnsi="宋体" w:eastAsia="仿宋_GB2312"/>
          <w:color w:val="auto"/>
          <w:sz w:val="32"/>
          <w:szCs w:val="32"/>
          <w:lang w:val="en-US" w:eastAsia="zh-CN"/>
        </w:rPr>
        <w:t>2020年</w:t>
      </w:r>
      <w:r>
        <w:rPr>
          <w:rFonts w:hint="eastAsia" w:ascii="仿宋_GB2312" w:hAnsi="宋体" w:eastAsia="仿宋_GB2312"/>
          <w:color w:val="auto"/>
          <w:sz w:val="32"/>
          <w:szCs w:val="32"/>
          <w:lang w:eastAsia="zh-CN"/>
        </w:rPr>
        <w:t>共受理报监工程</w:t>
      </w:r>
      <w:r>
        <w:rPr>
          <w:rFonts w:hint="eastAsia" w:ascii="仿宋_GB2312" w:hAnsi="宋体" w:eastAsia="仿宋_GB2312"/>
          <w:color w:val="auto"/>
          <w:sz w:val="32"/>
          <w:szCs w:val="32"/>
          <w:lang w:val="en-US" w:eastAsia="zh-CN"/>
        </w:rPr>
        <w:t>62</w:t>
      </w:r>
      <w:r>
        <w:rPr>
          <w:rFonts w:hint="eastAsia" w:ascii="仿宋_GB2312" w:hAnsi="宋体" w:eastAsia="仿宋_GB2312"/>
          <w:color w:val="auto"/>
          <w:sz w:val="32"/>
          <w:szCs w:val="32"/>
          <w:lang w:eastAsia="zh-CN"/>
        </w:rPr>
        <w:t>个，面积约</w:t>
      </w:r>
      <w:r>
        <w:rPr>
          <w:rFonts w:hint="eastAsia" w:ascii="仿宋_GB2312" w:hAnsi="宋体" w:eastAsia="仿宋_GB2312"/>
          <w:color w:val="auto"/>
          <w:sz w:val="32"/>
          <w:szCs w:val="32"/>
          <w:lang w:val="en-US" w:eastAsia="zh-CN"/>
        </w:rPr>
        <w:t>57.28万</w:t>
      </w:r>
      <w:r>
        <w:rPr>
          <w:rFonts w:hint="eastAsia" w:ascii="仿宋_GB2312" w:hAnsi="宋体" w:eastAsia="仿宋_GB2312"/>
          <w:color w:val="auto"/>
          <w:sz w:val="32"/>
          <w:szCs w:val="32"/>
          <w:lang w:eastAsia="zh-CN"/>
        </w:rPr>
        <w:t>平方米，工程受监率100%（规划区内私人自建房未纳入监管范围）；发出《建筑工程质量安全整改通知》110份，《建筑工程质量安全停工整顿通知书》21份。</w:t>
      </w:r>
      <w:r>
        <w:rPr>
          <w:rFonts w:hint="eastAsia" w:ascii="仿宋_GB2312" w:hAnsi="宋体" w:eastAsia="仿宋_GB2312"/>
          <w:color w:val="auto"/>
          <w:sz w:val="32"/>
          <w:szCs w:val="32"/>
          <w:lang w:val="en-US" w:eastAsia="zh-CN"/>
        </w:rPr>
        <w:t>全年共下发《建设工程质量安全隐患整改通知书》312份，《局部停工整改通知书》1份，《停工整改通知书》6份，《简易处罚决定书》75份，处罚金额7.35万元。对3名项目经理、3名总监上报严重不良行为记录。对县外1家商品混凝土公司涉嫌资料作假的行为上报住建局进行行政处罚。对1家起重机械设备租赁公司上报住建局进行行政处罚。</w:t>
      </w:r>
      <w:r>
        <w:rPr>
          <w:rFonts w:hint="eastAsia" w:ascii="仿宋_GB2312" w:hAnsi="宋体" w:eastAsia="仿宋_GB2312"/>
          <w:color w:val="auto"/>
          <w:sz w:val="32"/>
          <w:szCs w:val="32"/>
          <w:lang w:eastAsia="zh-CN"/>
        </w:rPr>
        <w:t>全县竣工工程</w:t>
      </w:r>
      <w:r>
        <w:rPr>
          <w:rFonts w:hint="eastAsia" w:ascii="仿宋_GB2312" w:hAnsi="宋体" w:eastAsia="仿宋_GB2312"/>
          <w:color w:val="auto"/>
          <w:sz w:val="32"/>
          <w:szCs w:val="32"/>
          <w:lang w:val="en-US" w:eastAsia="zh-CN"/>
        </w:rPr>
        <w:t>24</w:t>
      </w:r>
      <w:r>
        <w:rPr>
          <w:rFonts w:hint="eastAsia" w:ascii="仿宋_GB2312" w:hAnsi="宋体" w:eastAsia="仿宋_GB2312"/>
          <w:color w:val="auto"/>
          <w:sz w:val="32"/>
          <w:szCs w:val="32"/>
          <w:lang w:eastAsia="zh-CN"/>
        </w:rPr>
        <w:t>个，</w:t>
      </w:r>
      <w:r>
        <w:rPr>
          <w:rFonts w:hint="eastAsia" w:ascii="仿宋_GB2312" w:hAnsi="宋体" w:eastAsia="仿宋_GB2312"/>
          <w:color w:val="auto"/>
          <w:sz w:val="32"/>
          <w:szCs w:val="32"/>
        </w:rPr>
        <w:t>竣工验收</w:t>
      </w:r>
      <w:r>
        <w:rPr>
          <w:rFonts w:hint="eastAsia" w:ascii="仿宋_GB2312" w:hAnsi="宋体" w:eastAsia="仿宋_GB2312"/>
          <w:color w:val="auto"/>
          <w:sz w:val="32"/>
          <w:szCs w:val="32"/>
          <w:lang w:eastAsia="zh-CN"/>
        </w:rPr>
        <w:t>合格率100%。</w:t>
      </w:r>
      <w:r>
        <w:rPr>
          <w:rFonts w:hint="eastAsia" w:ascii="仿宋" w:hAnsi="仿宋" w:eastAsia="仿宋" w:cs="仿宋"/>
          <w:b/>
          <w:bCs/>
          <w:color w:val="auto"/>
          <w:kern w:val="0"/>
          <w:sz w:val="32"/>
          <w:szCs w:val="32"/>
        </w:rPr>
        <w:t>房产市场：</w:t>
      </w:r>
      <w:r>
        <w:rPr>
          <w:rFonts w:hint="eastAsia" w:ascii="仿宋_GB2312" w:eastAsia="仿宋_GB2312"/>
          <w:sz w:val="32"/>
          <w:szCs w:val="32"/>
        </w:rPr>
        <w:t>2020年批准预售商品房面积278658.78m</w:t>
      </w:r>
      <w:r>
        <w:rPr>
          <w:rFonts w:hint="eastAsia" w:ascii="仿宋_GB2312" w:eastAsia="仿宋_GB2312"/>
          <w:sz w:val="32"/>
          <w:szCs w:val="32"/>
          <w:vertAlign w:val="superscript"/>
        </w:rPr>
        <w:t>2</w:t>
      </w:r>
      <w:r>
        <w:rPr>
          <w:rFonts w:hint="eastAsia" w:ascii="仿宋_GB2312" w:eastAsia="仿宋_GB2312"/>
          <w:sz w:val="32"/>
          <w:szCs w:val="32"/>
        </w:rPr>
        <w:t>，套数2322套，销售商品房面积331518.55 m</w:t>
      </w:r>
      <w:r>
        <w:rPr>
          <w:rFonts w:hint="eastAsia" w:ascii="仿宋_GB2312" w:eastAsia="仿宋_GB2312"/>
          <w:sz w:val="32"/>
          <w:szCs w:val="32"/>
          <w:vertAlign w:val="superscript"/>
        </w:rPr>
        <w:t>2</w:t>
      </w:r>
      <w:r>
        <w:rPr>
          <w:rFonts w:hint="eastAsia" w:ascii="仿宋_GB2312" w:eastAsia="仿宋_GB2312"/>
          <w:sz w:val="32"/>
          <w:szCs w:val="32"/>
        </w:rPr>
        <w:t>，套数2850套，完成销售收入15.98亿元。因受疫情影响，衡山县出台第十九</w:t>
      </w:r>
      <w:r>
        <w:rPr>
          <w:rFonts w:hint="eastAsia" w:ascii="仿宋_GB2312" w:eastAsia="仿宋_GB2312"/>
          <w:sz w:val="32"/>
          <w:szCs w:val="32"/>
          <w:lang w:eastAsia="zh-CN"/>
        </w:rPr>
        <w:t>条</w:t>
      </w:r>
      <w:r>
        <w:rPr>
          <w:rFonts w:hint="eastAsia" w:ascii="仿宋_GB2312" w:eastAsia="仿宋_GB2312"/>
          <w:sz w:val="32"/>
          <w:szCs w:val="32"/>
        </w:rPr>
        <w:t>“稳楼市”，促进我县房地产市场稳步健康发展，比去年总体稳中有升</w:t>
      </w:r>
      <w:r>
        <w:rPr>
          <w:rFonts w:hint="eastAsia" w:ascii="仿宋_GB2312" w:hAnsi="宋体" w:eastAsia="仿宋_GB2312"/>
          <w:color w:val="auto"/>
          <w:sz w:val="32"/>
          <w:szCs w:val="32"/>
        </w:rPr>
        <w:t>。今年新增四上企业入库八家，今年房地产完成总投资近7亿多元，超额年初政府所定5亿元目标任务，劳动就业人数和工资报酬，呈良性增涨。</w:t>
      </w:r>
      <w:r>
        <w:rPr>
          <w:rFonts w:hint="eastAsia" w:ascii="楷体" w:hAnsi="楷体" w:eastAsia="楷体" w:cs="楷体"/>
          <w:b/>
          <w:color w:val="auto"/>
          <w:kern w:val="2"/>
          <w:sz w:val="32"/>
          <w:szCs w:val="32"/>
          <w:lang w:val="en-US" w:eastAsia="zh-CN" w:bidi="ar-SA"/>
        </w:rPr>
        <w:t>人防工程：</w:t>
      </w:r>
      <w:r>
        <w:rPr>
          <w:rFonts w:hint="eastAsia" w:ascii="仿宋_GB2312" w:hAnsi="宋体" w:eastAsia="仿宋_GB2312" w:cs="Times New Roman"/>
          <w:color w:val="auto"/>
          <w:sz w:val="32"/>
          <w:szCs w:val="32"/>
        </w:rPr>
        <w:t>2</w:t>
      </w:r>
      <w:r>
        <w:rPr>
          <w:rFonts w:hint="eastAsia" w:ascii="仿宋_GB2312" w:hAnsi="宋体" w:eastAsia="仿宋_GB2312" w:cs="Times New Roman"/>
          <w:color w:val="auto"/>
          <w:sz w:val="32"/>
          <w:szCs w:val="32"/>
          <w:lang w:eastAsia="zh-CN"/>
        </w:rPr>
        <w:t>020年总共审批57件，其中55件为易地建设，2件为人防结建。收取易地建设费为500余万元，审批人防工程面积为3100余平方米。15023工程通过竣工验收及搬迁使用。</w:t>
      </w:r>
      <w:r>
        <w:rPr>
          <w:rFonts w:hint="eastAsia" w:ascii="楷体" w:hAnsi="楷体" w:eastAsia="楷体" w:cs="楷体"/>
          <w:b/>
          <w:color w:val="auto"/>
          <w:kern w:val="2"/>
          <w:sz w:val="32"/>
          <w:szCs w:val="32"/>
          <w:lang w:val="en-US" w:eastAsia="zh-CN" w:bidi="ar-SA"/>
        </w:rPr>
        <w:t>招投标领域：</w:t>
      </w:r>
      <w:r>
        <w:rPr>
          <w:rFonts w:hint="eastAsia" w:ascii="仿宋_GB2312" w:hAnsi="宋体" w:eastAsia="仿宋_GB2312"/>
          <w:color w:val="auto"/>
          <w:sz w:val="32"/>
          <w:szCs w:val="32"/>
          <w:lang w:eastAsia="zh-CN"/>
        </w:rPr>
        <w:t>今年建设工程领域招投标项目共81个（公开招标</w:t>
      </w:r>
      <w:r>
        <w:rPr>
          <w:rFonts w:hint="eastAsia" w:ascii="仿宋_GB2312" w:hAnsi="宋体" w:eastAsia="仿宋_GB2312"/>
          <w:color w:val="auto"/>
          <w:sz w:val="32"/>
          <w:szCs w:val="32"/>
          <w:lang w:val="en-US" w:eastAsia="zh-CN"/>
        </w:rPr>
        <w:t>36</w:t>
      </w:r>
      <w:r>
        <w:rPr>
          <w:rFonts w:hint="eastAsia" w:ascii="仿宋_GB2312" w:hAnsi="宋体" w:eastAsia="仿宋_GB2312"/>
          <w:color w:val="auto"/>
          <w:sz w:val="32"/>
          <w:szCs w:val="32"/>
          <w:lang w:eastAsia="zh-CN"/>
        </w:rPr>
        <w:t>个，邀请招标</w:t>
      </w:r>
      <w:r>
        <w:rPr>
          <w:rFonts w:hint="eastAsia" w:ascii="仿宋_GB2312" w:hAnsi="宋体" w:eastAsia="仿宋_GB2312"/>
          <w:color w:val="auto"/>
          <w:sz w:val="32"/>
          <w:szCs w:val="32"/>
          <w:lang w:val="en-US" w:eastAsia="zh-CN"/>
        </w:rPr>
        <w:t>45</w:t>
      </w:r>
      <w:r>
        <w:rPr>
          <w:rFonts w:hint="eastAsia" w:ascii="仿宋_GB2312" w:hAnsi="宋体" w:eastAsia="仿宋_GB2312"/>
          <w:color w:val="auto"/>
          <w:sz w:val="32"/>
          <w:szCs w:val="32"/>
          <w:lang w:eastAsia="zh-CN"/>
        </w:rPr>
        <w:t>个），总造价3</w:t>
      </w:r>
      <w:r>
        <w:rPr>
          <w:rFonts w:hint="eastAsia" w:ascii="仿宋_GB2312" w:hAnsi="宋体" w:eastAsia="仿宋_GB2312"/>
          <w:color w:val="auto"/>
          <w:sz w:val="32"/>
          <w:szCs w:val="32"/>
          <w:lang w:val="en-US" w:eastAsia="zh-CN"/>
        </w:rPr>
        <w:t>.6亿元</w:t>
      </w:r>
      <w:r>
        <w:rPr>
          <w:rFonts w:hint="eastAsia" w:ascii="仿宋_GB2312" w:hAnsi="宋体" w:eastAsia="仿宋_GB2312"/>
          <w:color w:val="auto"/>
          <w:sz w:val="32"/>
          <w:szCs w:val="32"/>
          <w:lang w:eastAsia="zh-CN"/>
        </w:rPr>
        <w:t>。我局从招标文件审核到开标、评标及发放中标通知书全过程依法依规进行了有效监督管理。7月份在纪委牵头下开展了建设工程领域招标投标突出问题专项整治工作，对我县2018年5月-2020年6月以来建设领域招标投标项目进行专项整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0" w:lineRule="exact"/>
        <w:ind w:right="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kern w:val="0"/>
          <w:sz w:val="32"/>
          <w:szCs w:val="32"/>
        </w:rPr>
        <w:t>（</w:t>
      </w:r>
      <w:r>
        <w:rPr>
          <w:rFonts w:hint="eastAsia" w:ascii="楷体" w:hAnsi="楷体" w:eastAsia="楷体" w:cs="楷体"/>
          <w:b/>
          <w:bCs/>
          <w:color w:val="auto"/>
          <w:kern w:val="0"/>
          <w:sz w:val="32"/>
          <w:szCs w:val="32"/>
          <w:lang w:eastAsia="zh-CN"/>
        </w:rPr>
        <w:t>五</w:t>
      </w:r>
      <w:r>
        <w:rPr>
          <w:rFonts w:hint="eastAsia" w:ascii="楷体" w:hAnsi="楷体" w:eastAsia="楷体" w:cs="楷体"/>
          <w:b/>
          <w:bCs/>
          <w:color w:val="auto"/>
          <w:kern w:val="0"/>
          <w:sz w:val="32"/>
          <w:szCs w:val="32"/>
        </w:rPr>
        <w:t>）</w:t>
      </w:r>
      <w:r>
        <w:rPr>
          <w:rFonts w:hint="eastAsia" w:ascii="楷体" w:hAnsi="楷体" w:eastAsia="楷体" w:cs="楷体"/>
          <w:b/>
          <w:bCs/>
          <w:color w:val="auto"/>
          <w:kern w:val="0"/>
          <w:sz w:val="32"/>
          <w:szCs w:val="32"/>
          <w:lang w:eastAsia="zh-CN"/>
        </w:rPr>
        <w:t>市政设施不断完善</w:t>
      </w:r>
      <w:r>
        <w:rPr>
          <w:rFonts w:hint="eastAsia" w:ascii="楷体" w:hAnsi="楷体" w:eastAsia="楷体" w:cs="楷体"/>
          <w:b/>
          <w:bCs/>
          <w:color w:val="auto"/>
          <w:kern w:val="0"/>
          <w:sz w:val="32"/>
          <w:szCs w:val="32"/>
        </w:rPr>
        <w:t>。</w:t>
      </w:r>
      <w:r>
        <w:rPr>
          <w:rFonts w:hint="eastAsia" w:ascii="仿宋" w:hAnsi="仿宋" w:eastAsia="仿宋" w:cs="仿宋"/>
          <w:b/>
          <w:bCs/>
          <w:color w:val="auto"/>
          <w:sz w:val="32"/>
          <w:szCs w:val="32"/>
        </w:rPr>
        <w:t>路灯：</w:t>
      </w:r>
      <w:r>
        <w:rPr>
          <w:rFonts w:hint="eastAsia" w:ascii="仿宋_GB2312" w:hAnsi="仿宋_GB2312" w:eastAsia="仿宋_GB2312" w:cs="仿宋_GB2312"/>
          <w:b w:val="0"/>
          <w:kern w:val="2"/>
          <w:sz w:val="32"/>
          <w:szCs w:val="32"/>
          <w:lang w:val="en-US" w:eastAsia="zh-CN" w:bidi="ar-SA"/>
        </w:rPr>
        <w:t>累计修复路灯1250余盏，修复华灯、庭院灯180余盏，更换电缆电线2000余米，修复路灯接线井40余套，排除线路故障130余处；修复中国结、中国梦等亮化设施300余套；拆除城区射灯1000余盏；对全程所有路灯进行了一次全面检修和路灯杆清洗、养护，更换灯具340套，更换路灯井130余座，对城区路灯杆进行清洗和养护。新装主次干道路灯90余盏，新建路灯接线井50余套；对大桥社区、甘棠桥社区、两路口社区等背街小巷新装路灯150盏，确保装灯率达到100％。</w:t>
      </w:r>
      <w:r>
        <w:rPr>
          <w:rFonts w:hint="eastAsia" w:ascii="仿宋" w:hAnsi="仿宋" w:eastAsia="仿宋" w:cs="仿宋"/>
          <w:b/>
          <w:bCs/>
          <w:color w:val="auto"/>
          <w:sz w:val="32"/>
          <w:szCs w:val="32"/>
        </w:rPr>
        <w:t>市政：</w:t>
      </w:r>
      <w:r>
        <w:rPr>
          <w:rFonts w:hint="eastAsia" w:ascii="仿宋" w:hAnsi="仿宋" w:eastAsia="仿宋" w:cs="仿宋"/>
          <w:b w:val="0"/>
          <w:color w:val="auto"/>
          <w:kern w:val="2"/>
          <w:sz w:val="32"/>
          <w:szCs w:val="32"/>
          <w:lang w:val="en-US" w:eastAsia="zh-CN" w:bidi="ar-SA"/>
        </w:rPr>
        <w:t>共计修复破损人行道麻石板路面(包括盲道）4500余平方米、流水板750余平方米，修复衡山大道等主要干道破损沥青路面1700余㎡,对所有沥青路面裂缝进行了灌胶处理，共计灌缝8万余米。对亲水平台、毛泽建公园等公共广场的基础设施进行了全面的检修，修复扶手、座椅10余处；对城区主要道路安装防护栏550米，修复城区破损树穴池834个（套），修复破损路沿石2230米。对五一南路人行道进行了全面修复；完成了紫巾社区前道路改造；对五一北路延长线（二中体育场至滨江北路）道路进行改造，对青云西路进行油化、亮化、绿化，对工业南路进行改造。对全城主次干道和街巷1461口污水井和1036口雨水井进行了两次全面的清淤，对部分淤塞管网进行了疏通，对破损井盖进行全面修复。共计清淤雨水井1300余口、污水井1550余口，疏通管网5000余米，修复破损污水井170余座，雨水井130余座，对龙泉中路污水管网进行了改造。</w:t>
      </w:r>
      <w:r>
        <w:rPr>
          <w:rFonts w:hint="eastAsia" w:ascii="仿宋" w:hAnsi="仿宋" w:eastAsia="仿宋" w:cs="仿宋"/>
          <w:b/>
          <w:bCs/>
          <w:color w:val="auto"/>
          <w:kern w:val="2"/>
          <w:sz w:val="32"/>
          <w:szCs w:val="32"/>
          <w:lang w:val="en-US" w:eastAsia="zh-CN" w:bidi="ar-SA"/>
        </w:rPr>
        <w:t>供水：</w:t>
      </w:r>
      <w:r>
        <w:rPr>
          <w:rFonts w:hint="eastAsia" w:ascii="仿宋" w:hAnsi="仿宋" w:eastAsia="仿宋" w:cs="仿宋"/>
          <w:b w:val="0"/>
          <w:color w:val="auto"/>
          <w:kern w:val="2"/>
          <w:sz w:val="32"/>
          <w:szCs w:val="32"/>
          <w:lang w:val="en-US" w:eastAsia="zh-CN" w:bidi="ar-SA"/>
        </w:rPr>
        <w:t>全年供水总产量1008万吨，抄收量645万吨，产销率64％；水质综合合格率100％；新增用户2005户；新增、改造ＤＮ110以上管道3842米。；解决了衡山大道频繁爆管的问题，在15天内将800米DN400PE管更换为DN500球墨铸铁管；设备完好率99％，管网水压合格率100％，渗漏、爆管恢复及时率99％，实现了稳定供水的承诺。</w:t>
      </w:r>
      <w:r>
        <w:rPr>
          <w:rFonts w:hint="eastAsia" w:ascii="仿宋" w:hAnsi="仿宋" w:eastAsia="仿宋" w:cs="仿宋"/>
          <w:b/>
          <w:bCs/>
          <w:color w:val="auto"/>
          <w:kern w:val="2"/>
          <w:sz w:val="32"/>
          <w:szCs w:val="32"/>
          <w:lang w:val="en-US" w:eastAsia="zh-CN" w:bidi="ar-SA"/>
        </w:rPr>
        <w:t>供气：</w:t>
      </w:r>
      <w:r>
        <w:rPr>
          <w:rFonts w:hint="eastAsia" w:ascii="仿宋" w:hAnsi="仿宋" w:eastAsia="仿宋" w:cs="仿宋"/>
          <w:b w:val="0"/>
          <w:color w:val="auto"/>
          <w:kern w:val="2"/>
          <w:sz w:val="32"/>
          <w:szCs w:val="32"/>
          <w:lang w:val="en-US" w:eastAsia="zh-CN" w:bidi="ar-SA"/>
        </w:rPr>
        <w:t>对全县燃气企业开展了安全检查工作和重大危险源动态监管，全年没有发生一起燃气安全事故；新增天然气用户2345户。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eastAsia="zh-CN"/>
        </w:rPr>
        <w:t>（六）</w:t>
      </w:r>
      <w:r>
        <w:rPr>
          <w:rFonts w:hint="eastAsia" w:ascii="楷体" w:hAnsi="楷体" w:eastAsia="楷体" w:cs="楷体"/>
          <w:b/>
          <w:bCs/>
          <w:color w:val="auto"/>
          <w:sz w:val="32"/>
          <w:szCs w:val="32"/>
        </w:rPr>
        <w:t>全面小康</w:t>
      </w:r>
      <w:r>
        <w:rPr>
          <w:rFonts w:hint="eastAsia" w:ascii="楷体" w:hAnsi="楷体" w:eastAsia="楷体" w:cs="楷体"/>
          <w:b/>
          <w:bCs/>
          <w:color w:val="auto"/>
          <w:sz w:val="32"/>
          <w:szCs w:val="32"/>
          <w:lang w:eastAsia="zh-CN"/>
        </w:rPr>
        <w:t>不断提升</w:t>
      </w:r>
      <w:r>
        <w:rPr>
          <w:rFonts w:hint="eastAsia" w:ascii="楷体" w:hAnsi="楷体" w:eastAsia="楷体" w:cs="楷体"/>
          <w:b/>
          <w:bCs/>
          <w:color w:val="auto"/>
          <w:sz w:val="32"/>
          <w:szCs w:val="32"/>
        </w:rPr>
        <w:t>。</w:t>
      </w:r>
      <w:r>
        <w:rPr>
          <w:rFonts w:hint="eastAsia" w:ascii="仿宋" w:hAnsi="仿宋" w:eastAsia="仿宋" w:cs="仿宋"/>
          <w:b/>
          <w:bCs/>
          <w:color w:val="auto"/>
          <w:sz w:val="32"/>
          <w:szCs w:val="32"/>
        </w:rPr>
        <w:t>1.城镇化率：</w:t>
      </w:r>
      <w:r>
        <w:rPr>
          <w:rFonts w:hint="eastAsia" w:ascii="仿宋" w:hAnsi="仿宋" w:eastAsia="仿宋" w:cs="仿宋"/>
          <w:color w:val="auto"/>
          <w:sz w:val="32"/>
          <w:szCs w:val="32"/>
          <w:lang w:eastAsia="zh-CN"/>
        </w:rPr>
        <w:t>2021</w:t>
      </w:r>
      <w:r>
        <w:rPr>
          <w:rFonts w:hint="eastAsia" w:ascii="仿宋" w:hAnsi="仿宋" w:eastAsia="仿宋" w:cs="仿宋"/>
          <w:color w:val="auto"/>
          <w:sz w:val="32"/>
          <w:szCs w:val="32"/>
        </w:rPr>
        <w:t>年省定目标值为≥60%，</w:t>
      </w:r>
      <w:r>
        <w:rPr>
          <w:rFonts w:hint="eastAsia" w:ascii="仿宋" w:hAnsi="仿宋" w:eastAsia="仿宋" w:cs="仿宋"/>
          <w:color w:val="auto"/>
          <w:sz w:val="32"/>
          <w:szCs w:val="32"/>
          <w:lang w:val="en-US" w:eastAsia="zh-CN"/>
        </w:rPr>
        <w:t>今年我们把永和乡、福田铺乡、店门镇等12个乡镇部分集镇、中心村（社区）纳入了指标统计范围，目前城镇化率为63.6%</w:t>
      </w:r>
      <w:r>
        <w:rPr>
          <w:rFonts w:hint="eastAsia" w:ascii="仿宋" w:hAnsi="仿宋" w:eastAsia="仿宋" w:cs="仿宋"/>
          <w:color w:val="auto"/>
          <w:sz w:val="32"/>
          <w:szCs w:val="32"/>
        </w:rPr>
        <w:t>。</w:t>
      </w:r>
      <w:r>
        <w:rPr>
          <w:rFonts w:hint="eastAsia" w:ascii="仿宋" w:hAnsi="仿宋" w:eastAsia="仿宋" w:cs="仿宋"/>
          <w:b/>
          <w:bCs/>
          <w:color w:val="auto"/>
          <w:sz w:val="32"/>
          <w:szCs w:val="32"/>
        </w:rPr>
        <w:t>2.城镇污水处理率</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2021</w:t>
      </w:r>
      <w:r>
        <w:rPr>
          <w:rFonts w:hint="eastAsia" w:ascii="仿宋" w:hAnsi="仿宋" w:eastAsia="仿宋" w:cs="仿宋"/>
          <w:color w:val="auto"/>
          <w:sz w:val="32"/>
          <w:szCs w:val="32"/>
        </w:rPr>
        <w:t>年省定目标值为70%，目前</w:t>
      </w:r>
      <w:r>
        <w:rPr>
          <w:rFonts w:hint="eastAsia" w:ascii="仿宋" w:hAnsi="仿宋" w:eastAsia="仿宋" w:cs="仿宋"/>
          <w:color w:val="auto"/>
          <w:sz w:val="32"/>
          <w:szCs w:val="32"/>
          <w:lang w:eastAsia="zh-CN"/>
        </w:rPr>
        <w:t>，我县城镇</w:t>
      </w:r>
      <w:r>
        <w:rPr>
          <w:rFonts w:hint="eastAsia" w:ascii="仿宋" w:hAnsi="仿宋" w:eastAsia="仿宋" w:cs="仿宋"/>
          <w:color w:val="auto"/>
          <w:sz w:val="32"/>
          <w:szCs w:val="32"/>
        </w:rPr>
        <w:t>污水处理率达9</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w:t>
      </w:r>
      <w:r>
        <w:rPr>
          <w:rFonts w:hint="eastAsia" w:ascii="仿宋_GB2312" w:hAnsi="仿宋_GB2312" w:eastAsia="仿宋_GB2312" w:cs="仿宋_GB2312"/>
          <w:b/>
          <w:bCs/>
          <w:color w:val="auto"/>
          <w:sz w:val="32"/>
          <w:szCs w:val="32"/>
          <w:lang w:val="en-US" w:eastAsia="zh-CN"/>
        </w:rPr>
        <w:t>住房安全保障率：</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年省定目标值为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%，目前</w:t>
      </w:r>
      <w:r>
        <w:rPr>
          <w:rFonts w:hint="eastAsia" w:ascii="仿宋" w:hAnsi="仿宋" w:eastAsia="仿宋" w:cs="仿宋"/>
          <w:color w:val="auto"/>
          <w:sz w:val="32"/>
          <w:szCs w:val="32"/>
          <w:lang w:eastAsia="zh-CN"/>
        </w:rPr>
        <w:t>，我县住房安全保障率</w:t>
      </w:r>
      <w:r>
        <w:rPr>
          <w:rFonts w:hint="eastAsia" w:ascii="仿宋_GB2312" w:hAnsi="仿宋_GB2312" w:eastAsia="仿宋_GB2312" w:cs="仿宋_GB2312"/>
          <w:color w:val="auto"/>
          <w:sz w:val="32"/>
          <w:szCs w:val="32"/>
          <w:lang w:val="en-US" w:eastAsia="zh-CN"/>
        </w:rPr>
        <w:t>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43" w:firstLineChars="200"/>
        <w:textAlignment w:val="auto"/>
        <w:outlineLvl w:val="9"/>
        <w:rPr>
          <w:rFonts w:hint="eastAsia" w:ascii="仿宋" w:hAnsi="仿宋" w:eastAsia="仿宋" w:cs="仿宋"/>
          <w:color w:val="auto"/>
          <w:kern w:val="0"/>
          <w:sz w:val="32"/>
          <w:szCs w:val="32"/>
          <w:lang w:eastAsia="zh-CN"/>
        </w:rPr>
      </w:pPr>
      <w:r>
        <w:rPr>
          <w:rFonts w:hint="eastAsia" w:ascii="楷体" w:hAnsi="楷体" w:eastAsia="楷体" w:cs="楷体"/>
          <w:b/>
          <w:bCs/>
          <w:color w:val="auto"/>
          <w:sz w:val="32"/>
          <w:szCs w:val="32"/>
          <w:lang w:eastAsia="zh-CN"/>
        </w:rPr>
        <w:t>（七）</w:t>
      </w:r>
      <w:r>
        <w:rPr>
          <w:rFonts w:hint="eastAsia" w:ascii="楷体" w:hAnsi="楷体" w:eastAsia="楷体" w:cs="楷体"/>
          <w:b/>
          <w:bCs/>
          <w:color w:val="auto"/>
          <w:sz w:val="32"/>
          <w:szCs w:val="32"/>
        </w:rPr>
        <w:t>村镇建设</w:t>
      </w:r>
      <w:r>
        <w:rPr>
          <w:rFonts w:hint="eastAsia" w:ascii="楷体" w:hAnsi="楷体" w:eastAsia="楷体" w:cs="楷体"/>
          <w:b/>
          <w:bCs/>
          <w:color w:val="auto"/>
          <w:sz w:val="32"/>
          <w:szCs w:val="32"/>
          <w:lang w:eastAsia="zh-CN"/>
        </w:rPr>
        <w:t>成效明显</w:t>
      </w:r>
      <w:r>
        <w:rPr>
          <w:rFonts w:hint="eastAsia" w:ascii="楷体" w:hAnsi="楷体" w:eastAsia="楷体" w:cs="楷体"/>
          <w:b/>
          <w:bCs/>
          <w:color w:val="auto"/>
          <w:sz w:val="32"/>
          <w:szCs w:val="32"/>
        </w:rPr>
        <w:t>。</w:t>
      </w:r>
      <w:r>
        <w:rPr>
          <w:rFonts w:hint="eastAsia" w:ascii="仿宋_GB2312" w:hAnsi="仿宋" w:eastAsia="仿宋_GB2312" w:cs="Times New Roman"/>
          <w:sz w:val="32"/>
          <w:szCs w:val="32"/>
          <w:lang w:val="en-US" w:eastAsia="zh-CN"/>
        </w:rPr>
        <w:t>加强了对重点镇及特色镇的扶持力度。我县已有5个乡镇被省厅</w:t>
      </w:r>
      <w:r>
        <w:rPr>
          <w:rFonts w:hint="eastAsia" w:ascii="仿宋_GB2312" w:hAnsi="仿宋" w:eastAsia="仿宋_GB2312"/>
          <w:sz w:val="32"/>
          <w:szCs w:val="32"/>
          <w:lang w:val="en-US" w:eastAsia="zh-CN"/>
        </w:rPr>
        <w:t>评定为，具有自身特色，经济实力、辐射带动能力、发展潜力较强的重点镇及特色镇，分别是白果镇、新桥镇、开云镇、店门镇、萱洲镇。分别对各自不同特色制定了不同的产业规划路线，如继续加大对萱洲镇的旅游开发的扶持力度，扶持店门镇的席草产业做大做强。继续对白果镇、新桥镇的基础设施投入增大，使其成为后山片的经济、政治、文化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eastAsia="zh-CN"/>
        </w:rPr>
        <w:t>（八）党建工作不断夯实</w:t>
      </w:r>
      <w:r>
        <w:rPr>
          <w:rFonts w:hint="eastAsia" w:ascii="楷体" w:hAnsi="楷体" w:eastAsia="楷体" w:cs="楷体"/>
          <w:b/>
          <w:bCs/>
          <w:color w:val="auto"/>
          <w:sz w:val="32"/>
          <w:szCs w:val="32"/>
        </w:rPr>
        <w:t>。</w:t>
      </w:r>
      <w:r>
        <w:rPr>
          <w:rFonts w:hint="eastAsia" w:ascii="仿宋" w:hAnsi="仿宋" w:eastAsia="仿宋" w:cs="仿宋"/>
          <w:color w:val="auto"/>
          <w:kern w:val="0"/>
          <w:sz w:val="32"/>
          <w:szCs w:val="32"/>
          <w:lang w:eastAsia="zh-CN"/>
        </w:rPr>
        <w:t>一年来，我局狠抓党员的学习教育，采取多种形式开展对党员干部的学习教育，组织了党员集中学习活动</w:t>
      </w:r>
      <w:r>
        <w:rPr>
          <w:rFonts w:hint="eastAsia" w:ascii="仿宋" w:hAnsi="仿宋" w:eastAsia="仿宋" w:cs="仿宋"/>
          <w:color w:val="auto"/>
          <w:kern w:val="0"/>
          <w:sz w:val="32"/>
          <w:szCs w:val="32"/>
          <w:lang w:val="en-US" w:eastAsia="zh-CN"/>
        </w:rPr>
        <w:t>13次，专题上党课学习6次。副科级以上网络教育干部培训学习规定课时52学时18人已完成学分，党员注册登录“学习强国”学习面达100%。积极参加省、市、县举办的各类业务学习培训班10多人次。投入工作经费5万元以上，健全完善了党建12项工作制度，实行党务公开，建立了“两室一中心一站点”，明确了“五个日子”及主题党日活动制度，在党务公开、“五个日子”宣传栏中有内容，将党建年度工作计划、总结、党费收缴、非党积极分子培养对象、组织生活会支部班子对照检查材料、集中学习日、主题党日活动计划安排表等相关内容一一进行公示；安排3间房屋设立了支部办公室、党员阅览室、党员活动中心、远程教育站点，从而促进了党建工作正规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eastAsia="zh-CN"/>
        </w:rPr>
        <w:t>（九）建议提案有效办理</w:t>
      </w:r>
      <w:r>
        <w:rPr>
          <w:rFonts w:hint="eastAsia" w:ascii="楷体" w:hAnsi="楷体" w:eastAsia="楷体" w:cs="楷体"/>
          <w:b/>
          <w:bCs/>
          <w:color w:val="auto"/>
          <w:sz w:val="32"/>
          <w:szCs w:val="32"/>
        </w:rPr>
        <w:t>。</w:t>
      </w:r>
      <w:r>
        <w:rPr>
          <w:rFonts w:hint="eastAsia" w:ascii="仿宋" w:hAnsi="仿宋" w:eastAsia="仿宋" w:cs="仿宋"/>
          <w:color w:val="auto"/>
          <w:sz w:val="32"/>
          <w:szCs w:val="32"/>
        </w:rPr>
        <w:t>今年我局共收到人大代表建议、政协委员提案共</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件，其中人大代表建议</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件（主办</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件，</w:t>
      </w:r>
      <w:r>
        <w:rPr>
          <w:rFonts w:hint="eastAsia" w:ascii="仿宋" w:hAnsi="仿宋" w:eastAsia="仿宋" w:cs="仿宋"/>
          <w:color w:val="auto"/>
          <w:sz w:val="32"/>
          <w:szCs w:val="32"/>
          <w:lang w:eastAsia="zh-CN"/>
        </w:rPr>
        <w:t>会</w:t>
      </w:r>
      <w:r>
        <w:rPr>
          <w:rFonts w:hint="eastAsia" w:ascii="仿宋" w:hAnsi="仿宋" w:eastAsia="仿宋" w:cs="仿宋"/>
          <w:color w:val="auto"/>
          <w:sz w:val="32"/>
          <w:szCs w:val="32"/>
        </w:rPr>
        <w:t>办</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件），政协委员提案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件（主办</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件，</w:t>
      </w:r>
      <w:r>
        <w:rPr>
          <w:rFonts w:hint="eastAsia" w:ascii="仿宋" w:hAnsi="仿宋" w:eastAsia="仿宋" w:cs="仿宋"/>
          <w:color w:val="auto"/>
          <w:sz w:val="32"/>
          <w:szCs w:val="32"/>
          <w:lang w:eastAsia="zh-CN"/>
        </w:rPr>
        <w:t>会</w:t>
      </w:r>
      <w:r>
        <w:rPr>
          <w:rFonts w:hint="eastAsia" w:ascii="仿宋" w:hAnsi="仿宋" w:eastAsia="仿宋" w:cs="仿宋"/>
          <w:color w:val="auto"/>
          <w:sz w:val="32"/>
          <w:szCs w:val="32"/>
        </w:rPr>
        <w:t>办</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件）。我局根据人大建议及政协提案内容按职责分工，采取领导包案，分解任务的方式，明确承办责任、办结时限、回复要求等，确保办理工作有效落实。收到的</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件人大建议办理结果为A类</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件，B类</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件，C类</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件；收到的</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件政协提案办理结果为A类</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件，B类</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件，C类</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件。</w:t>
      </w:r>
    </w:p>
    <w:p>
      <w:pPr>
        <w:pStyle w:val="2"/>
        <w:ind w:firstLine="640" w:firstLineChars="200"/>
        <w:rPr>
          <w:rFonts w:hint="default" w:ascii="仿宋_GB2312" w:hAnsi="仿宋_GB2312" w:eastAsia="仿宋_GB2312" w:cs="仿宋_GB2312"/>
          <w:bCs/>
          <w:color w:val="0000FF"/>
          <w:sz w:val="32"/>
          <w:szCs w:val="32"/>
          <w:lang w:bidi="ar"/>
        </w:rPr>
      </w:pPr>
      <w:r>
        <w:rPr>
          <w:rFonts w:ascii="仿宋_GB2312" w:hAnsi="仿宋_GB2312" w:eastAsia="仿宋_GB2312" w:cs="仿宋_GB2312"/>
          <w:bCs/>
          <w:color w:val="0000FF"/>
          <w:sz w:val="32"/>
          <w:szCs w:val="32"/>
          <w:lang w:bidi="ar"/>
        </w:rPr>
        <w:t xml:space="preserve">                                              </w:t>
      </w:r>
    </w:p>
    <w:p>
      <w:pPr>
        <w:widowControl/>
        <w:spacing w:line="600" w:lineRule="exact"/>
        <w:ind w:firstLine="645"/>
        <w:jc w:val="left"/>
        <w:rPr>
          <w:rFonts w:hint="eastAsia" w:ascii="黑体" w:hAnsi="黑体" w:eastAsia="黑体"/>
          <w:sz w:val="32"/>
          <w:szCs w:val="32"/>
        </w:rPr>
      </w:pPr>
    </w:p>
    <w:p>
      <w:pPr>
        <w:widowControl/>
        <w:spacing w:line="600" w:lineRule="exact"/>
        <w:ind w:firstLine="645"/>
        <w:jc w:val="left"/>
        <w:rPr>
          <w:rFonts w:hint="eastAsia" w:eastAsia="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sz w:val="32"/>
          <w:szCs w:val="32"/>
        </w:rPr>
      </w:pPr>
      <w:r>
        <w:rPr>
          <w:rFonts w:hint="eastAsia" w:ascii="黑体" w:hAnsi="黑体" w:eastAsia="黑体"/>
          <w:sz w:val="32"/>
          <w:szCs w:val="32"/>
        </w:rPr>
        <w:t>存在的主要问题及下一步改进措施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rPr>
        <w:t>存在的问题</w:t>
      </w:r>
      <w:r>
        <w:rPr>
          <w:rFonts w:hint="eastAsia" w:ascii="黑体" w:hAnsi="黑体" w:eastAsia="黑体" w:cs="黑体"/>
          <w:bCs/>
          <w:color w:val="auto"/>
          <w:sz w:val="32"/>
          <w:szCs w:val="32"/>
          <w:lang w:eastAsia="zh-CN"/>
        </w:rPr>
        <w:t>和困难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项目建设资金、用地、征地拆迁问题仍是项目推进的重大阻力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项目建设资金紧缺，征拆阻力大，城市建设用地供需矛盾突出，调规程序困难、审批严格、费时长</w:t>
      </w:r>
      <w:r>
        <w:rPr>
          <w:rFonts w:hint="eastAsia" w:ascii="仿宋" w:hAnsi="仿宋" w:eastAsia="仿宋" w:cs="仿宋"/>
          <w:color w:val="auto"/>
          <w:sz w:val="32"/>
          <w:szCs w:val="32"/>
          <w:lang w:eastAsia="zh-CN"/>
        </w:rPr>
        <w:t>；</w:t>
      </w:r>
      <w:r>
        <w:rPr>
          <w:rFonts w:hint="eastAsia" w:ascii="Times New Roman" w:hAnsi="Times New Roman" w:eastAsia="仿宋_GB2312"/>
          <w:color w:val="auto"/>
          <w:sz w:val="32"/>
          <w:szCs w:val="32"/>
        </w:rPr>
        <w:t>全县房地产领域信访问题遗留问题多，涉及面广，</w:t>
      </w:r>
      <w:r>
        <w:rPr>
          <w:rFonts w:hint="eastAsia" w:ascii="Times New Roman" w:hAnsi="Times New Roman" w:eastAsia="仿宋_GB2312"/>
          <w:color w:val="auto"/>
          <w:sz w:val="32"/>
          <w:szCs w:val="32"/>
          <w:lang w:eastAsia="zh-CN"/>
        </w:rPr>
        <w:t>老旧</w:t>
      </w:r>
      <w:r>
        <w:rPr>
          <w:rFonts w:hint="eastAsia" w:ascii="Times New Roman" w:hAnsi="Times New Roman" w:eastAsia="仿宋_GB2312"/>
          <w:color w:val="auto"/>
          <w:sz w:val="32"/>
          <w:szCs w:val="32"/>
        </w:rPr>
        <w:t>小区设施损坏因维修资金不足，难以及时维修到位等</w:t>
      </w:r>
      <w:r>
        <w:rPr>
          <w:rFonts w:hint="eastAsia" w:ascii="Times New Roman" w:hAnsi="Times New Roman" w:eastAsia="仿宋_GB2312"/>
          <w:color w:val="auto"/>
          <w:sz w:val="32"/>
          <w:szCs w:val="32"/>
          <w:lang w:eastAsia="zh-CN"/>
        </w:rPr>
        <w:t>；</w:t>
      </w:r>
      <w:r>
        <w:rPr>
          <w:rFonts w:hint="eastAsia" w:ascii="仿宋" w:hAnsi="仿宋" w:eastAsia="仿宋" w:cs="仿宋"/>
          <w:color w:val="auto"/>
          <w:sz w:val="32"/>
          <w:szCs w:val="32"/>
        </w:rPr>
        <w:t>商品房非住宅去库存压力较大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经济发展环境不优，阻工闹事的现象还有发生；少数干部还不够创新大胆，不够务实，讲政治、讲规矩、讲担当还不够等等。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rPr>
        <w:t>全面加强党建工作。</w:t>
      </w:r>
      <w:r>
        <w:rPr>
          <w:rFonts w:hint="eastAsia" w:ascii="Times New Roman" w:hAnsi="Times New Roman" w:eastAsia="仿宋_GB2312" w:cs="Times New Roman"/>
          <w:color w:val="auto"/>
          <w:sz w:val="32"/>
          <w:szCs w:val="32"/>
        </w:rPr>
        <w:t>加强党员干部思想建设，进一步提高党性修养，加强政治理论学习，完善</w:t>
      </w:r>
      <w:r>
        <w:rPr>
          <w:rFonts w:hint="eastAsia" w:ascii="Times New Roman" w:hAnsi="Times New Roman" w:eastAsia="仿宋_GB2312" w:cs="Times New Roman"/>
          <w:color w:val="auto"/>
          <w:sz w:val="32"/>
          <w:szCs w:val="32"/>
          <w:lang w:eastAsia="zh-CN"/>
        </w:rPr>
        <w:t>党委理论学习</w:t>
      </w:r>
      <w:r>
        <w:rPr>
          <w:rFonts w:hint="eastAsia" w:ascii="Times New Roman" w:hAnsi="Times New Roman" w:eastAsia="仿宋_GB2312" w:cs="Times New Roman"/>
          <w:color w:val="auto"/>
          <w:sz w:val="32"/>
          <w:szCs w:val="32"/>
        </w:rPr>
        <w:t>中心组学习机制，拓展学习形式和载体。强化党</w:t>
      </w:r>
      <w:r>
        <w:rPr>
          <w:rFonts w:hint="eastAsia" w:ascii="Times New Roman" w:hAnsi="Times New Roman" w:eastAsia="仿宋_GB2312" w:cs="Times New Roman"/>
          <w:color w:val="auto"/>
          <w:sz w:val="32"/>
          <w:szCs w:val="32"/>
          <w:lang w:eastAsia="zh-CN"/>
        </w:rPr>
        <w:t>委</w:t>
      </w:r>
      <w:r>
        <w:rPr>
          <w:rFonts w:hint="eastAsia" w:ascii="Times New Roman" w:hAnsi="Times New Roman" w:eastAsia="仿宋_GB2312" w:cs="Times New Roman"/>
          <w:color w:val="auto"/>
          <w:sz w:val="32"/>
          <w:szCs w:val="32"/>
        </w:rPr>
        <w:t>书记领导责任和党支部书记主体责任，落实“一岗双责”，加强队伍建设，进一步改进工作作风，履行全面从严治党责任。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 w:hAnsi="仿宋" w:eastAsia="仿宋" w:cs="仿宋"/>
          <w:color w:val="auto"/>
          <w:sz w:val="32"/>
          <w:szCs w:val="32"/>
        </w:rPr>
      </w:pPr>
      <w:r>
        <w:rPr>
          <w:rFonts w:hint="eastAsia" w:ascii="Times New Roman" w:hAnsi="Times New Roman"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rPr>
        <w:t>强力推进项目建设</w:t>
      </w:r>
      <w:r>
        <w:rPr>
          <w:rFonts w:hint="eastAsia" w:ascii="Times New Roman" w:hAnsi="Times New Roman" w:eastAsia="仿宋_GB2312" w:cs="Times New Roman"/>
          <w:b/>
          <w:bCs/>
          <w:color w:val="auto"/>
          <w:sz w:val="32"/>
          <w:szCs w:val="32"/>
          <w:lang w:eastAsia="zh-CN"/>
        </w:rPr>
        <w:t>，加快建设城乡环境基础设施，同时着重抓好实施城市更新行动</w:t>
      </w:r>
      <w:r>
        <w:rPr>
          <w:rFonts w:hint="eastAsia" w:ascii="Times New Roman" w:hAnsi="Times New Roman" w:eastAsia="仿宋_GB2312" w:cs="Times New Roman"/>
          <w:b/>
          <w:bCs/>
          <w:color w:val="auto"/>
          <w:sz w:val="32"/>
          <w:szCs w:val="32"/>
        </w:rPr>
        <w:t>。</w:t>
      </w:r>
      <w:r>
        <w:rPr>
          <w:rFonts w:hint="eastAsia" w:ascii="仿宋" w:hAnsi="仿宋" w:eastAsia="仿宋" w:cs="仿宋"/>
          <w:color w:val="auto"/>
          <w:sz w:val="32"/>
          <w:szCs w:val="32"/>
        </w:rPr>
        <w:t>全力加快项目建设进度，加强工程质量</w:t>
      </w:r>
      <w:r>
        <w:rPr>
          <w:rFonts w:hint="eastAsia" w:ascii="仿宋" w:hAnsi="仿宋" w:eastAsia="仿宋" w:cs="仿宋"/>
          <w:color w:val="auto"/>
          <w:sz w:val="32"/>
          <w:szCs w:val="32"/>
          <w:lang w:eastAsia="zh-CN"/>
        </w:rPr>
        <w:t>安全</w:t>
      </w:r>
      <w:r>
        <w:rPr>
          <w:rFonts w:hint="eastAsia" w:ascii="仿宋" w:hAnsi="仿宋" w:eastAsia="仿宋" w:cs="仿宋"/>
          <w:color w:val="auto"/>
          <w:sz w:val="32"/>
          <w:szCs w:val="32"/>
        </w:rPr>
        <w:t>管理，积极争取建设资金，</w:t>
      </w:r>
      <w:r>
        <w:rPr>
          <w:rFonts w:hint="eastAsia" w:ascii="仿宋" w:hAnsi="仿宋" w:eastAsia="仿宋" w:cs="仿宋"/>
          <w:color w:val="auto"/>
          <w:sz w:val="32"/>
          <w:szCs w:val="32"/>
          <w:lang w:eastAsia="zh-CN"/>
        </w:rPr>
        <w:t>高质量完成开云新区及乡镇污水处理设施建设项目、湘江水厂提质扩容改造项目、</w:t>
      </w:r>
      <w:r>
        <w:rPr>
          <w:rFonts w:hint="default" w:ascii="仿宋" w:hAnsi="仿宋" w:eastAsia="仿宋" w:cs="仿宋"/>
          <w:color w:val="auto"/>
          <w:sz w:val="32"/>
          <w:szCs w:val="32"/>
          <w:lang w:val="en-US" w:eastAsia="zh-CN"/>
        </w:rPr>
        <w:t>乡镇天然气利用工程项目</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棚户区改造项目、老旧小区改造、</w:t>
      </w:r>
      <w:r>
        <w:rPr>
          <w:rFonts w:hint="eastAsia" w:ascii="仿宋_GB2312" w:hAnsi="仿宋_GB2312" w:eastAsia="仿宋_GB2312" w:cs="仿宋_GB2312"/>
          <w:sz w:val="32"/>
          <w:szCs w:val="32"/>
        </w:rPr>
        <w:t>积极发展租赁住房</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重点项目建设，</w:t>
      </w:r>
      <w:r>
        <w:rPr>
          <w:rFonts w:hint="eastAsia" w:ascii="仿宋" w:hAnsi="仿宋" w:eastAsia="仿宋" w:cs="仿宋"/>
          <w:color w:val="auto"/>
          <w:sz w:val="32"/>
          <w:szCs w:val="32"/>
          <w:lang w:eastAsia="zh-CN"/>
        </w:rPr>
        <w:t>其中老旧小区改造</w:t>
      </w:r>
      <w:r>
        <w:rPr>
          <w:rFonts w:hint="eastAsia" w:ascii="仿宋_GB2312" w:hAnsi="仿宋_GB2312" w:eastAsia="仿宋_GB2312" w:cs="仿宋_GB2312"/>
          <w:sz w:val="32"/>
          <w:szCs w:val="32"/>
        </w:rPr>
        <w:t>全力推进既有住宅加装电梯</w:t>
      </w:r>
      <w:r>
        <w:rPr>
          <w:rFonts w:hint="eastAsia" w:ascii="仿宋_GB2312" w:hAnsi="仿宋_GB2312" w:eastAsia="仿宋_GB2312" w:cs="仿宋_GB2312"/>
          <w:sz w:val="32"/>
          <w:szCs w:val="32"/>
          <w:lang w:eastAsia="zh-CN"/>
        </w:rPr>
        <w:t>，进一步提高房屋使用功能。</w:t>
      </w:r>
      <w:r>
        <w:rPr>
          <w:rFonts w:hint="eastAsia" w:ascii="仿宋" w:hAnsi="仿宋" w:eastAsia="仿宋" w:cs="仿宋"/>
          <w:color w:val="auto"/>
          <w:sz w:val="32"/>
          <w:szCs w:val="32"/>
        </w:rPr>
        <w:t>全力支持配合开云新</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、黄花新区、工业园区建设，完善供水、供气等配套基础设施建设。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3、</w:t>
      </w:r>
      <w:r>
        <w:rPr>
          <w:rFonts w:hint="eastAsia" w:ascii="Times New Roman" w:hAnsi="Times New Roman" w:eastAsia="仿宋_GB2312" w:cs="Times New Roman"/>
          <w:b/>
          <w:bCs/>
          <w:color w:val="auto"/>
          <w:sz w:val="32"/>
          <w:szCs w:val="32"/>
        </w:rPr>
        <w:t>优化建筑市场和工程质量安全监管</w:t>
      </w:r>
      <w:r>
        <w:rPr>
          <w:rFonts w:hint="eastAsia"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b/>
          <w:bCs/>
          <w:color w:val="auto"/>
          <w:sz w:val="32"/>
          <w:szCs w:val="32"/>
        </w:rPr>
        <w:t>强化住建领域行政执法及监督</w:t>
      </w:r>
      <w:r>
        <w:rPr>
          <w:rFonts w:hint="eastAsia"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color w:val="auto"/>
          <w:sz w:val="32"/>
          <w:szCs w:val="32"/>
        </w:rPr>
        <w:t>加大执法力度，严厉打击各类建筑市场违法违规行为，督促各企业严格落实安全生产主体责任，按照“五个一律”的工作要求，切实开展安全生产大检查工作。全面深入排查安全隐患，杜绝各类安全生产事故。</w:t>
      </w:r>
      <w:r>
        <w:rPr>
          <w:rFonts w:hint="eastAsia" w:ascii="Times New Roman" w:hAnsi="Times New Roman" w:eastAsia="仿宋_GB2312" w:cs="Times New Roman"/>
          <w:color w:val="auto"/>
          <w:sz w:val="32"/>
          <w:szCs w:val="32"/>
          <w:lang w:eastAsia="zh-CN"/>
        </w:rPr>
        <w:t>强化</w:t>
      </w:r>
      <w:r>
        <w:rPr>
          <w:rFonts w:hint="eastAsia" w:ascii="Times New Roman" w:hAnsi="Times New Roman" w:eastAsia="仿宋_GB2312" w:cs="Times New Roman"/>
          <w:color w:val="auto"/>
          <w:sz w:val="32"/>
          <w:szCs w:val="32"/>
        </w:rPr>
        <w:t>在建工地通过数字化网络平台进行监控、监管，切实提升建筑工地规范化管理水平。加强施工现场的文明标准化管理，不断提升施工企业安全生产文明施工水平。加强与综合执法局等相关部门的协同配合，齐抓共管，形成合力，共同推进我县建设工程安全生产形势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Times New Roman" w:hAnsi="Times New Roman" w:eastAsia="仿宋_GB2312" w:cs="Times New Roman"/>
          <w:b/>
          <w:bCs/>
          <w:color w:val="auto"/>
          <w:sz w:val="32"/>
          <w:szCs w:val="32"/>
          <w:lang w:val="en-US" w:eastAsia="zh-CN"/>
        </w:rPr>
        <w:t>4、</w:t>
      </w:r>
      <w:r>
        <w:rPr>
          <w:rFonts w:hint="eastAsia" w:ascii="Times New Roman" w:hAnsi="Times New Roman" w:eastAsia="仿宋_GB2312" w:cs="Times New Roman"/>
          <w:b/>
          <w:bCs/>
          <w:color w:val="auto"/>
          <w:sz w:val="32"/>
          <w:szCs w:val="32"/>
        </w:rPr>
        <w:t>强化房地产市场监管</w:t>
      </w:r>
      <w:r>
        <w:rPr>
          <w:rFonts w:hint="eastAsia" w:ascii="Times New Roman" w:hAnsi="Times New Roman" w:eastAsia="仿宋_GB2312" w:cs="Times New Roman"/>
          <w:b/>
          <w:bCs/>
          <w:color w:val="auto"/>
          <w:sz w:val="32"/>
          <w:szCs w:val="32"/>
          <w:lang w:eastAsia="zh-CN"/>
        </w:rPr>
        <w:t>，深化工程建设项目审批制度改革。</w:t>
      </w:r>
      <w:r>
        <w:rPr>
          <w:rFonts w:hint="eastAsia" w:ascii="Times New Roman" w:hAnsi="Times New Roman" w:eastAsia="仿宋_GB2312" w:cs="Times New Roman"/>
          <w:color w:val="auto"/>
          <w:sz w:val="32"/>
          <w:szCs w:val="32"/>
        </w:rPr>
        <w:t>继续开展房地产市场专项检查，围绕房地产开发、销售、中介等环节，对全县房地产开发项目及中介机构进行全面排查和整顿。</w:t>
      </w:r>
      <w:r>
        <w:rPr>
          <w:rFonts w:hint="eastAsia" w:ascii="仿宋" w:hAnsi="仿宋" w:eastAsia="仿宋" w:cs="仿宋"/>
          <w:color w:val="auto"/>
          <w:sz w:val="32"/>
          <w:szCs w:val="32"/>
        </w:rPr>
        <w:t>完善商品房销售备案制度，严格商品住房合同网签备案管理，进一步规范服务，优化办事程序，提高办事效率，促进商品房销售及税收稳步增长，加快推进商品房非住宅去库存，为房产市场持续健康发展营造良好环境。</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b/>
          <w:bCs/>
          <w:color w:val="auto"/>
          <w:sz w:val="32"/>
          <w:szCs w:val="32"/>
          <w:lang w:val="en-US" w:eastAsia="zh-CN"/>
        </w:rPr>
        <w:t>5、</w:t>
      </w:r>
      <w:r>
        <w:rPr>
          <w:rFonts w:hint="eastAsia" w:ascii="Times New Roman" w:hAnsi="Times New Roman" w:eastAsia="仿宋_GB2312" w:cs="Times New Roman"/>
          <w:b/>
          <w:bCs/>
          <w:color w:val="auto"/>
          <w:sz w:val="32"/>
          <w:szCs w:val="32"/>
        </w:rPr>
        <w:t>强化物业和燃气行业</w:t>
      </w:r>
      <w:r>
        <w:rPr>
          <w:rFonts w:hint="eastAsia" w:ascii="Times New Roman" w:hAnsi="Times New Roman" w:eastAsia="仿宋_GB2312" w:cs="Times New Roman"/>
          <w:b/>
          <w:bCs/>
          <w:color w:val="auto"/>
          <w:sz w:val="32"/>
          <w:szCs w:val="32"/>
          <w:lang w:eastAsia="zh-CN"/>
        </w:rPr>
        <w:t>、农村房屋安全</w:t>
      </w:r>
      <w:r>
        <w:rPr>
          <w:rFonts w:hint="eastAsia" w:ascii="Times New Roman" w:hAnsi="Times New Roman" w:eastAsia="仿宋_GB2312" w:cs="Times New Roman"/>
          <w:b/>
          <w:bCs/>
          <w:color w:val="auto"/>
          <w:sz w:val="32"/>
          <w:szCs w:val="32"/>
        </w:rPr>
        <w:t>监管。</w:t>
      </w:r>
      <w:r>
        <w:rPr>
          <w:rFonts w:hint="eastAsia" w:ascii="仿宋" w:hAnsi="仿宋" w:eastAsia="仿宋" w:cs="仿宋"/>
          <w:color w:val="auto"/>
          <w:sz w:val="32"/>
          <w:szCs w:val="32"/>
          <w:lang w:val="en-US" w:eastAsia="zh-CN"/>
        </w:rPr>
        <w:t>进一步完善物业管理制度，</w:t>
      </w:r>
      <w:r>
        <w:rPr>
          <w:rFonts w:hint="eastAsia" w:ascii="Times New Roman" w:hAnsi="Times New Roman" w:eastAsia="仿宋_GB2312" w:cs="Times New Roman"/>
          <w:color w:val="auto"/>
          <w:sz w:val="32"/>
          <w:szCs w:val="32"/>
        </w:rPr>
        <w:t>规范物业管理招投标</w:t>
      </w:r>
      <w:r>
        <w:rPr>
          <w:rFonts w:hint="eastAsia" w:ascii="Times New Roman" w:hAnsi="Times New Roman" w:eastAsia="仿宋_GB2312" w:cs="Times New Roman"/>
          <w:color w:val="auto"/>
          <w:sz w:val="32"/>
          <w:szCs w:val="32"/>
          <w:lang w:eastAsia="zh-CN"/>
        </w:rPr>
        <w:t>，</w:t>
      </w:r>
      <w:r>
        <w:rPr>
          <w:rFonts w:hint="eastAsia" w:ascii="仿宋" w:hAnsi="仿宋" w:eastAsia="仿宋" w:cs="仿宋"/>
          <w:color w:val="auto"/>
          <w:sz w:val="32"/>
          <w:szCs w:val="32"/>
          <w:lang w:val="en-US" w:eastAsia="zh-CN"/>
        </w:rPr>
        <w:t>妥善处理物业信访焦点难点问题，健全物业服务投诉受理、纠纷调处、执法监管等条块联动工作机制；将</w:t>
      </w:r>
      <w:r>
        <w:rPr>
          <w:rFonts w:hint="eastAsia" w:ascii="仿宋" w:hAnsi="仿宋" w:eastAsia="仿宋" w:cs="仿宋"/>
          <w:b w:val="0"/>
          <w:bCs w:val="0"/>
          <w:color w:val="auto"/>
          <w:sz w:val="32"/>
          <w:szCs w:val="32"/>
          <w:lang w:val="en-US" w:eastAsia="zh-CN"/>
        </w:rPr>
        <w:t>新开发楼盘居民纳入</w:t>
      </w:r>
      <w:r>
        <w:rPr>
          <w:rFonts w:hint="eastAsia" w:ascii="仿宋" w:hAnsi="仿宋" w:eastAsia="仿宋" w:cs="仿宋"/>
          <w:color w:val="auto"/>
          <w:sz w:val="32"/>
          <w:szCs w:val="32"/>
          <w:lang w:val="en-US" w:eastAsia="zh-CN"/>
        </w:rPr>
        <w:t>社区统一管理，做到以社区建设促进物业管理；大力发展业主委员会，增强业主参与小区事务的积极性。</w:t>
      </w:r>
      <w:r>
        <w:rPr>
          <w:rFonts w:hint="eastAsia" w:ascii="Times New Roman" w:hAnsi="Times New Roman" w:eastAsia="仿宋_GB2312" w:cs="Times New Roman"/>
          <w:color w:val="auto"/>
          <w:sz w:val="32"/>
          <w:szCs w:val="32"/>
        </w:rPr>
        <w:t>加大燃气行业查处力度，严厉打击违法灌装、私自倒卖液化气的燃气经营企业及小商小贩，</w:t>
      </w:r>
      <w:r>
        <w:rPr>
          <w:rFonts w:hint="eastAsia" w:ascii="Times New Roman" w:hAnsi="Times New Roman" w:eastAsia="仿宋_GB2312" w:cs="Times New Roman"/>
          <w:color w:val="auto"/>
          <w:sz w:val="32"/>
          <w:szCs w:val="32"/>
          <w:lang w:eastAsia="zh-CN"/>
        </w:rPr>
        <w:t>确保燃气行业秩序和安全。</w:t>
      </w:r>
      <w:r>
        <w:rPr>
          <w:rFonts w:hint="eastAsia" w:ascii="仿宋" w:hAnsi="仿宋" w:eastAsia="仿宋" w:cs="仿宋"/>
          <w:b w:val="0"/>
          <w:bCs w:val="0"/>
          <w:sz w:val="32"/>
          <w:szCs w:val="32"/>
          <w:lang w:eastAsia="zh-CN"/>
        </w:rPr>
        <w:t>以农村房屋安全隐患排查整治工作作为全面做好农村房屋建设和管理的总抓手，</w:t>
      </w:r>
      <w:r>
        <w:rPr>
          <w:rFonts w:hint="eastAsia" w:ascii="仿宋" w:hAnsi="仿宋" w:eastAsia="仿宋" w:cs="仿宋"/>
          <w:b w:val="0"/>
          <w:bCs w:val="0"/>
          <w:sz w:val="32"/>
          <w:szCs w:val="32"/>
          <w:lang w:val="zh-CN"/>
        </w:rPr>
        <w:t>建立三级农村房屋安全隐患排查整治联席会议制度和部门联合办公机制，组建巡查督导队伍，主动开展“四个一”督查检查，坚持改治结合，实现人居环境提升。推进农房风貌改造，使改造后的农房体现地域特点、民族特色和乡村特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b/>
          <w:bCs/>
          <w:color w:val="auto"/>
          <w:kern w:val="0"/>
          <w:sz w:val="32"/>
          <w:szCs w:val="32"/>
          <w:shd w:val="clear" w:color="auto" w:fill="FFFFFF"/>
          <w:lang w:val="en-US" w:eastAsia="zh-CN" w:bidi="ar"/>
        </w:rPr>
        <w:t>6、持续推进治理能力现代化。</w:t>
      </w:r>
      <w:r>
        <w:rPr>
          <w:rFonts w:hint="eastAsia" w:ascii="仿宋" w:hAnsi="仿宋" w:eastAsia="仿宋" w:cs="Times New Roman"/>
          <w:color w:val="auto"/>
          <w:sz w:val="32"/>
          <w:szCs w:val="32"/>
          <w:lang w:eastAsia="zh-CN"/>
        </w:rPr>
        <w:t>加强对饮用水源保护，</w:t>
      </w:r>
      <w:r>
        <w:rPr>
          <w:rFonts w:hint="eastAsia" w:ascii="仿宋" w:hAnsi="仿宋" w:eastAsia="仿宋" w:cs="仿宋"/>
          <w:color w:val="auto"/>
          <w:sz w:val="32"/>
          <w:szCs w:val="32"/>
          <w:lang w:val="en-US" w:eastAsia="zh-CN"/>
        </w:rPr>
        <w:t>完善水资源保护有关的设施和项目。</w:t>
      </w:r>
      <w:r>
        <w:rPr>
          <w:rFonts w:hint="eastAsia" w:ascii="仿宋_GB2312" w:hAnsi="仿宋_GB2312" w:eastAsia="仿宋_GB2312" w:cs="仿宋_GB2312"/>
          <w:color w:val="auto"/>
          <w:sz w:val="32"/>
          <w:szCs w:val="32"/>
          <w:lang w:val="en-US" w:eastAsia="zh-CN"/>
        </w:rPr>
        <w:t>对</w:t>
      </w:r>
      <w:r>
        <w:rPr>
          <w:rFonts w:hint="eastAsia" w:ascii="仿宋" w:hAnsi="仿宋" w:eastAsia="仿宋" w:cs="仿宋"/>
          <w:color w:val="auto"/>
          <w:kern w:val="2"/>
          <w:sz w:val="32"/>
          <w:szCs w:val="32"/>
          <w:lang w:val="en-US" w:eastAsia="zh-CN" w:bidi="ar-SA"/>
        </w:rPr>
        <w:t>建筑扬尘进行集中治理，确保</w:t>
      </w:r>
      <w:r>
        <w:rPr>
          <w:rFonts w:hint="eastAsia" w:ascii="仿宋" w:hAnsi="仿宋" w:eastAsia="仿宋" w:cs="仿宋"/>
          <w:color w:val="auto"/>
          <w:sz w:val="32"/>
          <w:szCs w:val="32"/>
          <w:lang w:val="en-US" w:eastAsia="zh-CN"/>
        </w:rPr>
        <w:t>全县建筑工地围挡率100%，施工道路硬化率90%以上，施工环境、场容场貌明显改观，扬尘集中整治达到预定目标。加快</w:t>
      </w:r>
      <w:r>
        <w:rPr>
          <w:rFonts w:hint="eastAsia" w:ascii="仿宋" w:hAnsi="仿宋" w:eastAsia="仿宋" w:cs="仿宋"/>
          <w:color w:val="auto"/>
          <w:sz w:val="32"/>
          <w:szCs w:val="32"/>
        </w:rPr>
        <w:t>城乡</w:t>
      </w:r>
      <w:r>
        <w:rPr>
          <w:rFonts w:hint="eastAsia" w:ascii="仿宋" w:hAnsi="仿宋" w:eastAsia="仿宋" w:cs="仿宋"/>
          <w:color w:val="auto"/>
          <w:sz w:val="32"/>
          <w:szCs w:val="32"/>
          <w:lang w:eastAsia="zh-CN"/>
        </w:rPr>
        <w:t>污水处理一体化项目建设，确保</w:t>
      </w:r>
      <w:r>
        <w:rPr>
          <w:rFonts w:hint="eastAsia" w:ascii="仿宋" w:hAnsi="仿宋" w:eastAsia="仿宋" w:cs="仿宋"/>
          <w:color w:val="auto"/>
          <w:sz w:val="32"/>
          <w:szCs w:val="32"/>
          <w:lang w:val="en-US" w:eastAsia="zh-CN"/>
        </w:rPr>
        <w:t>城镇污水处理率达95%以上。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1" w:firstLineChars="200"/>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color w:val="auto"/>
          <w:spacing w:val="-8"/>
          <w:sz w:val="32"/>
          <w:szCs w:val="32"/>
          <w:lang w:val="en-US" w:eastAsia="zh-CN"/>
        </w:rPr>
        <w:t>7、做好建议、提案办理工作。</w:t>
      </w:r>
      <w:r>
        <w:rPr>
          <w:rFonts w:hint="eastAsia" w:ascii="仿宋" w:hAnsi="仿宋" w:eastAsia="仿宋" w:cs="仿宋"/>
          <w:b w:val="0"/>
          <w:bCs w:val="0"/>
          <w:color w:val="auto"/>
          <w:sz w:val="32"/>
          <w:szCs w:val="32"/>
          <w:lang w:val="en-US" w:eastAsia="zh-CN"/>
        </w:rPr>
        <w:t>解放思想，提高认识，夯实责任，将建议、提案办理工作与推进城镇建设、改进工作作风、改善民生、促进经济发展等工作相结合，创新工作方法，加大落实力度，确保两案办理工作取得实效。</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rPr>
          <w:color w:val="auto"/>
        </w:rPr>
      </w:pP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rPr>
          <w:rFonts w:hint="eastAsia" w:eastAsia="宋体"/>
          <w:color w:val="auto"/>
          <w:lang w:eastAsia="zh-CN"/>
        </w:rPr>
      </w:pPr>
    </w:p>
    <w:p>
      <w:pPr>
        <w:widowControl/>
        <w:spacing w:line="600" w:lineRule="exact"/>
        <w:ind w:firstLine="645"/>
        <w:jc w:val="left"/>
        <w:rPr>
          <w:rFonts w:ascii="黑体" w:hAnsi="黑体" w:eastAsia="黑体"/>
          <w:sz w:val="32"/>
          <w:szCs w:val="32"/>
        </w:rPr>
      </w:pPr>
    </w:p>
    <w:p>
      <w:pPr>
        <w:widowControl/>
        <w:spacing w:line="60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主要反映县级专项资金、部门其他项目支出和基本支出</w:t>
      </w:r>
      <w:r>
        <w:rPr>
          <w:rFonts w:hint="eastAsia" w:ascii="仿宋_GB2312" w:eastAsia="仿宋_GB2312"/>
          <w:sz w:val="32"/>
          <w:szCs w:val="32"/>
        </w:rPr>
        <w:t>偏离绩效目标的情况</w:t>
      </w:r>
      <w:r>
        <w:rPr>
          <w:rFonts w:hint="eastAsia" w:ascii="仿宋_GB2312" w:hAnsi="黑体" w:eastAsia="仿宋_GB2312"/>
          <w:sz w:val="32"/>
          <w:szCs w:val="32"/>
        </w:rPr>
        <w:t>并分析其原因，提出</w:t>
      </w:r>
      <w:r>
        <w:rPr>
          <w:rFonts w:hint="eastAsia" w:ascii="仿宋_GB2312" w:eastAsia="仿宋_GB2312"/>
          <w:sz w:val="32"/>
          <w:szCs w:val="32"/>
        </w:rPr>
        <w:t>改进措施、工作建议等。</w:t>
      </w:r>
    </w:p>
    <w:p>
      <w:pPr>
        <w:widowControl/>
        <w:spacing w:line="600" w:lineRule="exact"/>
        <w:ind w:firstLine="645"/>
        <w:jc w:val="left"/>
        <w:rPr>
          <w:rFonts w:hint="eastAsia" w:ascii="黑体" w:hAnsi="黑体" w:eastAsia="黑体"/>
          <w:sz w:val="32"/>
          <w:szCs w:val="32"/>
        </w:rPr>
      </w:pPr>
      <w:r>
        <w:rPr>
          <w:rFonts w:hint="eastAsia" w:ascii="黑体" w:hAnsi="黑体" w:eastAsia="黑体"/>
          <w:sz w:val="32"/>
          <w:szCs w:val="32"/>
        </w:rPr>
        <w:t>六、绩效自评结果拟应用和公开情况</w:t>
      </w:r>
    </w:p>
    <w:p>
      <w:pPr>
        <w:widowControl/>
        <w:spacing w:line="600" w:lineRule="exact"/>
        <w:ind w:firstLine="645"/>
        <w:jc w:val="left"/>
        <w:rPr>
          <w:rFonts w:hint="eastAsia" w:ascii="黑体" w:hAnsi="黑体" w:eastAsia="黑体"/>
          <w:sz w:val="32"/>
          <w:szCs w:val="32"/>
        </w:rPr>
      </w:pPr>
      <w:r>
        <w:rPr>
          <w:rFonts w:hint="eastAsia" w:ascii="黑体" w:hAnsi="黑体" w:eastAsia="黑体"/>
          <w:sz w:val="32"/>
          <w:szCs w:val="32"/>
        </w:rPr>
        <w:t>七、其他需要说明的情况</w:t>
      </w:r>
    </w:p>
    <w:p>
      <w:pPr>
        <w:widowControl/>
        <w:spacing w:line="600" w:lineRule="exact"/>
        <w:ind w:firstLine="645"/>
        <w:jc w:val="left"/>
        <w:rPr>
          <w:rFonts w:hint="eastAsia" w:ascii="黑体" w:hAnsi="黑体" w:eastAsia="黑体"/>
          <w:sz w:val="32"/>
          <w:szCs w:val="32"/>
        </w:rPr>
      </w:pPr>
      <w:r>
        <w:rPr>
          <w:rFonts w:hint="eastAsia" w:ascii="黑体" w:hAnsi="黑体" w:eastAsia="黑体"/>
          <w:sz w:val="32"/>
          <w:szCs w:val="32"/>
        </w:rPr>
        <w:t xml:space="preserve"> </w:t>
      </w:r>
    </w:p>
    <w:p>
      <w:pPr>
        <w:widowControl/>
        <w:spacing w:line="600" w:lineRule="exact"/>
        <w:ind w:firstLine="645"/>
        <w:jc w:val="left"/>
        <w:rPr>
          <w:rFonts w:hint="eastAsia" w:ascii="仿宋_GB2312" w:hAnsi="黑体" w:eastAsia="仿宋_GB2312"/>
          <w:sz w:val="32"/>
          <w:szCs w:val="32"/>
        </w:rPr>
      </w:pPr>
      <w:r>
        <w:rPr>
          <w:rFonts w:hint="eastAsia" w:ascii="仿宋_GB2312" w:hAnsi="黑体" w:eastAsia="仿宋_GB2312"/>
          <w:sz w:val="32"/>
          <w:szCs w:val="32"/>
        </w:rPr>
        <w:t>附件：1.部门整体支出绩效评价指标评分表</w:t>
      </w:r>
    </w:p>
    <w:p>
      <w:pPr>
        <w:widowControl/>
        <w:spacing w:line="600" w:lineRule="exact"/>
        <w:ind w:firstLine="1625" w:firstLineChars="508"/>
        <w:jc w:val="left"/>
        <w:rPr>
          <w:rFonts w:hint="eastAsia" w:ascii="仿宋_GB2312" w:hAnsi="黑体" w:eastAsia="仿宋_GB2312"/>
          <w:sz w:val="32"/>
          <w:szCs w:val="32"/>
        </w:rPr>
      </w:pPr>
      <w:r>
        <w:rPr>
          <w:rFonts w:hint="eastAsia" w:ascii="仿宋_GB2312" w:hAnsi="黑体" w:eastAsia="仿宋_GB2312"/>
          <w:sz w:val="32"/>
          <w:szCs w:val="32"/>
        </w:rPr>
        <w:t>2.部门整体支出绩效评价基础数据表</w:t>
      </w:r>
    </w:p>
    <w:p>
      <w:pPr>
        <w:widowControl/>
        <w:spacing w:line="600" w:lineRule="exact"/>
        <w:ind w:firstLine="1625" w:firstLineChars="508"/>
        <w:jc w:val="left"/>
        <w:rPr>
          <w:rFonts w:hint="eastAsia"/>
        </w:rPr>
      </w:pPr>
      <w:r>
        <w:rPr>
          <w:rFonts w:hint="eastAsia" w:ascii="仿宋_GB2312" w:hAnsi="黑体" w:eastAsia="仿宋_GB2312"/>
          <w:sz w:val="32"/>
          <w:szCs w:val="32"/>
        </w:rPr>
        <w:t>3.2020年度县级专项资金绩效目标自评表</w:t>
      </w:r>
    </w:p>
    <w:p>
      <w:pPr>
        <w:spacing w:afterLines="100"/>
        <w:jc w:val="center"/>
        <w:rPr>
          <w:kern w:val="0"/>
          <w:sz w:val="24"/>
          <w:szCs w:val="24"/>
        </w:rPr>
      </w:pPr>
      <w:r>
        <w:rPr>
          <w:rFonts w:eastAsia="方正小标宋_GBK"/>
          <w:kern w:val="0"/>
          <w:sz w:val="36"/>
          <w:szCs w:val="36"/>
        </w:rPr>
        <w:br w:type="page"/>
      </w:r>
      <w:r>
        <w:rPr>
          <w:rFonts w:ascii="方正小标宋_GBK" w:hAnsi="方正小标宋_GBK"/>
          <w:kern w:val="0"/>
          <w:sz w:val="36"/>
          <w:szCs w:val="36"/>
        </w:rPr>
        <w:t>部门整体支出绩效评价指标评分表</w:t>
      </w:r>
    </w:p>
    <w:tbl>
      <w:tblPr>
        <w:tblStyle w:val="6"/>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vAlign w:val="center"/>
          </w:tcPr>
          <w:p>
            <w:pPr>
              <w:widowControl/>
              <w:jc w:val="left"/>
              <w:rPr>
                <w:rFonts w:hint="eastAsia"/>
                <w:kern w:val="0"/>
                <w:sz w:val="24"/>
                <w:szCs w:val="24"/>
              </w:rPr>
            </w:pPr>
            <w:r>
              <w:rPr>
                <w:rFonts w:hint="eastAsia"/>
                <w:kern w:val="0"/>
                <w:sz w:val="24"/>
                <w:szCs w:val="24"/>
              </w:rPr>
              <w:t>　</w:t>
            </w:r>
          </w:p>
          <w:p>
            <w:pPr>
              <w:bidi w:val="0"/>
              <w:rPr>
                <w:rFonts w:hint="eastAsia" w:ascii="Times New Roman" w:hAnsi="Times New Roman" w:eastAsia="宋体" w:cs="Times New Roman"/>
                <w:kern w:val="2"/>
                <w:sz w:val="21"/>
                <w:szCs w:val="21"/>
                <w:lang w:val="en-US" w:eastAsia="zh-CN" w:bidi="ar-SA"/>
              </w:rPr>
            </w:pPr>
          </w:p>
          <w:p>
            <w:pPr>
              <w:bidi w:val="0"/>
              <w:ind w:firstLine="497" w:firstLineChars="0"/>
              <w:jc w:val="left"/>
              <w:rPr>
                <w:rFonts w:hint="default"/>
                <w:lang w:val="en-US" w:eastAsia="zh-CN"/>
              </w:rPr>
            </w:pPr>
            <w:r>
              <w:rPr>
                <w:rFonts w:hint="eastAsia"/>
                <w:lang w:val="en-US" w:eastAsia="zh-CN"/>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rFonts w:hint="default" w:eastAsia="宋体"/>
                <w:kern w:val="0"/>
                <w:sz w:val="24"/>
                <w:szCs w:val="24"/>
                <w:lang w:val="en-US" w:eastAsia="zh-CN"/>
              </w:rPr>
            </w:pPr>
            <w:r>
              <w:rPr>
                <w:rFonts w:hint="eastAsia"/>
                <w:kern w:val="0"/>
                <w:sz w:val="24"/>
                <w:szCs w:val="24"/>
              </w:rPr>
              <w:t>　</w:t>
            </w:r>
            <w:r>
              <w:rPr>
                <w:rFonts w:hint="eastAsia"/>
                <w:kern w:val="0"/>
                <w:sz w:val="24"/>
                <w:szCs w:val="24"/>
                <w:lang w:val="en-US" w:eastAsia="zh-CN"/>
              </w:rPr>
              <w:t>3.5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szCs w:val="24"/>
                <w:lang w:val="en-US" w:eastAsia="zh-CN"/>
              </w:rPr>
            </w:pPr>
            <w:r>
              <w:rPr>
                <w:rFonts w:hint="eastAsia"/>
                <w:kern w:val="0"/>
                <w:sz w:val="24"/>
                <w:szCs w:val="24"/>
              </w:rPr>
              <w:t>　</w:t>
            </w:r>
            <w:r>
              <w:rPr>
                <w:rFonts w:hint="eastAsia"/>
                <w:kern w:val="0"/>
                <w:sz w:val="24"/>
                <w:szCs w:val="24"/>
                <w:lang w:val="en-US" w:eastAsia="zh-CN"/>
              </w:rPr>
              <w:t>1</w:t>
            </w:r>
          </w:p>
        </w:tc>
      </w:tr>
      <w:tr>
        <w:tblPrEx>
          <w:tblCellMar>
            <w:top w:w="0" w:type="dxa"/>
            <w:left w:w="108" w:type="dxa"/>
            <w:bottom w:w="0" w:type="dxa"/>
            <w:right w:w="108" w:type="dxa"/>
          </w:tblCellMar>
        </w:tblPrEx>
        <w:trPr>
          <w:trHeight w:val="1273" w:hRule="atLeast"/>
          <w:jc w:val="center"/>
        </w:trPr>
        <w:tc>
          <w:tcPr>
            <w:tcW w:w="709"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szCs w:val="24"/>
                <w:lang w:val="en-US" w:eastAsia="zh-CN"/>
              </w:rPr>
            </w:pPr>
            <w:r>
              <w:rPr>
                <w:rFonts w:hint="eastAsia"/>
                <w:kern w:val="0"/>
                <w:sz w:val="24"/>
                <w:szCs w:val="24"/>
              </w:rPr>
              <w:t>　</w:t>
            </w:r>
            <w:r>
              <w:rPr>
                <w:rFonts w:hint="eastAsia"/>
                <w:kern w:val="0"/>
                <w:sz w:val="24"/>
                <w:szCs w:val="24"/>
                <w:lang w:val="en-US" w:eastAsia="zh-CN"/>
              </w:rPr>
              <w:t>2</w:t>
            </w:r>
          </w:p>
        </w:tc>
      </w:tr>
      <w:tr>
        <w:tblPrEx>
          <w:tblCellMar>
            <w:top w:w="0" w:type="dxa"/>
            <w:left w:w="108" w:type="dxa"/>
            <w:bottom w:w="0" w:type="dxa"/>
            <w:right w:w="108" w:type="dxa"/>
          </w:tblCellMar>
        </w:tblPrEx>
        <w:trPr>
          <w:trHeight w:val="1325" w:hRule="atLeast"/>
          <w:jc w:val="center"/>
        </w:trPr>
        <w:tc>
          <w:tcPr>
            <w:tcW w:w="709"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szCs w:val="24"/>
                <w:lang w:val="en-US" w:eastAsia="zh-CN"/>
              </w:rPr>
            </w:pPr>
            <w:r>
              <w:rPr>
                <w:rFonts w:hint="eastAsia"/>
                <w:kern w:val="0"/>
                <w:sz w:val="24"/>
                <w:szCs w:val="24"/>
              </w:rPr>
              <w:t>　</w:t>
            </w:r>
            <w:r>
              <w:rPr>
                <w:rFonts w:hint="eastAsia"/>
                <w:kern w:val="0"/>
                <w:sz w:val="24"/>
                <w:szCs w:val="24"/>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szCs w:val="24"/>
                <w:lang w:val="en-US" w:eastAsia="zh-CN"/>
              </w:rPr>
            </w:pPr>
            <w:r>
              <w:rPr>
                <w:rFonts w:hint="eastAsia"/>
                <w:kern w:val="0"/>
                <w:sz w:val="24"/>
                <w:szCs w:val="24"/>
              </w:rPr>
              <w:t>　</w:t>
            </w:r>
            <w:r>
              <w:rPr>
                <w:rFonts w:hint="eastAsia"/>
                <w:kern w:val="0"/>
                <w:sz w:val="24"/>
                <w:szCs w:val="24"/>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nil"/>
              <w:bottom w:val="nil"/>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szCs w:val="24"/>
                <w:lang w:val="en-US" w:eastAsia="zh-CN"/>
              </w:rPr>
            </w:pPr>
            <w:r>
              <w:rPr>
                <w:rFonts w:hint="eastAsia"/>
                <w:kern w:val="0"/>
                <w:sz w:val="24"/>
                <w:szCs w:val="24"/>
              </w:rPr>
              <w:t>　</w:t>
            </w:r>
            <w:r>
              <w:rPr>
                <w:rFonts w:hint="eastAsia"/>
                <w:kern w:val="0"/>
                <w:sz w:val="24"/>
                <w:szCs w:val="24"/>
                <w:lang w:val="en-US" w:eastAsia="zh-CN"/>
              </w:rPr>
              <w:t>8</w:t>
            </w:r>
          </w:p>
        </w:tc>
      </w:tr>
      <w:tr>
        <w:tblPrEx>
          <w:tblCellMar>
            <w:top w:w="0" w:type="dxa"/>
            <w:left w:w="108" w:type="dxa"/>
            <w:bottom w:w="0" w:type="dxa"/>
            <w:right w:w="108" w:type="dxa"/>
          </w:tblCellMar>
        </w:tblPrEx>
        <w:trPr>
          <w:trHeight w:val="1223" w:hRule="atLeast"/>
          <w:jc w:val="center"/>
        </w:trPr>
        <w:tc>
          <w:tcPr>
            <w:tcW w:w="709"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szCs w:val="24"/>
                <w:lang w:val="en-US" w:eastAsia="zh-CN"/>
              </w:rPr>
            </w:pPr>
            <w:r>
              <w:rPr>
                <w:rFonts w:hint="eastAsia"/>
                <w:kern w:val="0"/>
                <w:sz w:val="24"/>
                <w:szCs w:val="24"/>
              </w:rPr>
              <w:t>　</w:t>
            </w:r>
            <w:r>
              <w:rPr>
                <w:rFonts w:hint="eastAsia"/>
                <w:kern w:val="0"/>
                <w:sz w:val="24"/>
                <w:szCs w:val="24"/>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szCs w:val="24"/>
                <w:lang w:val="en-US" w:eastAsia="zh-CN"/>
              </w:rPr>
            </w:pPr>
            <w:r>
              <w:rPr>
                <w:rFonts w:hint="eastAsia"/>
                <w:kern w:val="0"/>
                <w:sz w:val="24"/>
                <w:szCs w:val="24"/>
              </w:rPr>
              <w:t>　</w:t>
            </w:r>
            <w:r>
              <w:rPr>
                <w:rFonts w:hint="eastAsia"/>
                <w:kern w:val="0"/>
                <w:sz w:val="24"/>
                <w:szCs w:val="24"/>
                <w:lang w:val="en-US" w:eastAsia="zh-CN"/>
              </w:rPr>
              <w:t>6</w:t>
            </w:r>
          </w:p>
        </w:tc>
      </w:tr>
      <w:tr>
        <w:tblPrEx>
          <w:tblCellMar>
            <w:top w:w="0" w:type="dxa"/>
            <w:left w:w="108" w:type="dxa"/>
            <w:bottom w:w="0" w:type="dxa"/>
            <w:right w:w="108" w:type="dxa"/>
          </w:tblCellMar>
        </w:tblPrEx>
        <w:trPr>
          <w:trHeight w:val="2786" w:hRule="atLeast"/>
          <w:jc w:val="center"/>
        </w:trPr>
        <w:tc>
          <w:tcPr>
            <w:tcW w:w="709"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szCs w:val="24"/>
                <w:lang w:val="en-US" w:eastAsia="zh-CN"/>
              </w:rPr>
            </w:pPr>
            <w:r>
              <w:rPr>
                <w:rFonts w:hint="eastAsia"/>
                <w:kern w:val="0"/>
                <w:sz w:val="24"/>
                <w:szCs w:val="24"/>
              </w:rPr>
              <w:t>　</w:t>
            </w:r>
            <w:r>
              <w:rPr>
                <w:rFonts w:hint="eastAsia"/>
                <w:kern w:val="0"/>
                <w:sz w:val="24"/>
                <w:szCs w:val="24"/>
                <w:lang w:val="en-US" w:eastAsia="zh-CN"/>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bottom w:val="nil"/>
              <w:right w:val="single" w:color="auto" w:sz="4" w:space="0"/>
            </w:tcBorders>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hint="eastAsia" w:eastAsia="仿宋_GB2312"/>
                <w:kern w:val="0"/>
                <w:sz w:val="20"/>
                <w:szCs w:val="20"/>
              </w:rPr>
              <w:t>资金拨付有完整的审批程序和手续；</w:t>
            </w:r>
            <w:r>
              <w:rPr>
                <w:rFonts w:hint="eastAsia" w:ascii="宋体" w:hAnsi="宋体"/>
                <w:kern w:val="0"/>
                <w:sz w:val="20"/>
                <w:szCs w:val="20"/>
              </w:rPr>
              <w:t>③</w:t>
            </w:r>
            <w:r>
              <w:rPr>
                <w:rFonts w:hint="eastAsia" w:eastAsia="仿宋_GB2312"/>
                <w:kern w:val="0"/>
                <w:sz w:val="20"/>
                <w:szCs w:val="20"/>
              </w:rPr>
              <w:t>项目支出按规定经过评估论证；</w:t>
            </w:r>
            <w:r>
              <w:rPr>
                <w:rFonts w:hint="eastAsia" w:ascii="宋体" w:hAnsi="宋体"/>
                <w:kern w:val="0"/>
                <w:sz w:val="20"/>
                <w:szCs w:val="20"/>
              </w:rPr>
              <w:t>④</w:t>
            </w:r>
            <w:r>
              <w:rPr>
                <w:rFonts w:hint="eastAsia" w:eastAsia="仿宋_GB2312"/>
                <w:kern w:val="0"/>
                <w:sz w:val="20"/>
                <w:szCs w:val="20"/>
              </w:rPr>
              <w:t>支出符合部门预算批复的用途；</w:t>
            </w:r>
            <w:r>
              <w:rPr>
                <w:rFonts w:hint="eastAsia" w:ascii="宋体" w:hAnsi="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szCs w:val="24"/>
                <w:lang w:val="en-US" w:eastAsia="zh-CN"/>
              </w:rPr>
            </w:pPr>
            <w:r>
              <w:rPr>
                <w:rFonts w:hint="eastAsia"/>
                <w:kern w:val="0"/>
                <w:sz w:val="24"/>
                <w:szCs w:val="24"/>
              </w:rPr>
              <w:t>　</w:t>
            </w:r>
            <w:r>
              <w:rPr>
                <w:rFonts w:hint="eastAsia"/>
                <w:kern w:val="0"/>
                <w:sz w:val="24"/>
                <w:szCs w:val="24"/>
                <w:lang w:val="en-US" w:eastAsia="zh-CN"/>
              </w:rPr>
              <w:t>6</w:t>
            </w:r>
          </w:p>
        </w:tc>
      </w:tr>
      <w:tr>
        <w:tblPrEx>
          <w:tblCellMar>
            <w:top w:w="0" w:type="dxa"/>
            <w:left w:w="108" w:type="dxa"/>
            <w:bottom w:w="0" w:type="dxa"/>
            <w:right w:w="108" w:type="dxa"/>
          </w:tblCellMar>
        </w:tblPrEx>
        <w:trPr>
          <w:trHeight w:val="2951" w:hRule="atLeast"/>
          <w:jc w:val="center"/>
        </w:trPr>
        <w:tc>
          <w:tcPr>
            <w:tcW w:w="709"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szCs w:val="24"/>
                <w:lang w:val="en-US" w:eastAsia="zh-CN"/>
              </w:rPr>
            </w:pPr>
            <w:r>
              <w:rPr>
                <w:rFonts w:hint="eastAsia"/>
                <w:kern w:val="0"/>
                <w:sz w:val="24"/>
                <w:szCs w:val="24"/>
              </w:rPr>
              <w:t>　</w:t>
            </w:r>
            <w:r>
              <w:rPr>
                <w:rFonts w:hint="eastAsia"/>
                <w:kern w:val="0"/>
                <w:sz w:val="24"/>
                <w:szCs w:val="24"/>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szCs w:val="24"/>
                <w:lang w:val="en-US" w:eastAsia="zh-CN"/>
              </w:rPr>
            </w:pPr>
            <w:r>
              <w:rPr>
                <w:rFonts w:hint="eastAsia"/>
                <w:kern w:val="0"/>
                <w:sz w:val="24"/>
                <w:szCs w:val="24"/>
              </w:rPr>
              <w:t>　</w:t>
            </w:r>
            <w:r>
              <w:rPr>
                <w:rFonts w:hint="eastAsia"/>
                <w:kern w:val="0"/>
                <w:sz w:val="24"/>
                <w:szCs w:val="24"/>
                <w:lang w:val="en-US" w:eastAsia="zh-CN"/>
              </w:rPr>
              <w:t>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nil"/>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nil"/>
              <w:left w:val="nil"/>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vAlign w:val="center"/>
          </w:tcPr>
          <w:p>
            <w:pPr>
              <w:widowControl/>
              <w:jc w:val="left"/>
              <w:rPr>
                <w:rFonts w:hint="eastAsia" w:eastAsia="宋体"/>
                <w:kern w:val="0"/>
                <w:sz w:val="24"/>
                <w:szCs w:val="24"/>
                <w:lang w:val="en-US" w:eastAsia="zh-CN"/>
              </w:rPr>
            </w:pPr>
            <w:r>
              <w:rPr>
                <w:rFonts w:hint="eastAsia"/>
                <w:kern w:val="0"/>
                <w:sz w:val="24"/>
                <w:szCs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4930" w:type="dxa"/>
            <w:gridSpan w:val="2"/>
            <w:vMerge w:val="continue"/>
            <w:tcBorders>
              <w:top w:val="nil"/>
              <w:left w:val="nil"/>
              <w:bottom w:val="nil"/>
              <w:right w:val="single" w:color="000000" w:sz="4" w:space="0"/>
            </w:tcBorders>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vAlign w:val="center"/>
          </w:tcPr>
          <w:p>
            <w:pPr>
              <w:widowControl/>
              <w:jc w:val="left"/>
              <w:rPr>
                <w:rFonts w:hint="default" w:eastAsia="宋体"/>
                <w:kern w:val="0"/>
                <w:sz w:val="24"/>
                <w:szCs w:val="24"/>
                <w:lang w:val="en-US" w:eastAsia="zh-CN"/>
              </w:rPr>
            </w:pPr>
            <w:r>
              <w:rPr>
                <w:rFonts w:hint="eastAsia"/>
                <w:kern w:val="0"/>
                <w:sz w:val="24"/>
                <w:szCs w:val="24"/>
              </w:rPr>
              <w:t>　</w:t>
            </w:r>
            <w:r>
              <w:rPr>
                <w:rFonts w:hint="eastAsia"/>
                <w:kern w:val="0"/>
                <w:sz w:val="24"/>
                <w:szCs w:val="24"/>
                <w:lang w:val="en-US" w:eastAsia="zh-CN"/>
              </w:rPr>
              <w:t>10</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vAlign w:val="center"/>
          </w:tcPr>
          <w:p>
            <w:pPr>
              <w:widowControl/>
              <w:jc w:val="left"/>
              <w:rPr>
                <w:rFonts w:hint="eastAsia" w:eastAsia="宋体"/>
                <w:kern w:val="0"/>
                <w:sz w:val="24"/>
                <w:szCs w:val="24"/>
                <w:lang w:val="en-US" w:eastAsia="zh-CN"/>
              </w:rPr>
            </w:pPr>
            <w:r>
              <w:rPr>
                <w:rFonts w:hint="eastAsia"/>
                <w:kern w:val="0"/>
                <w:sz w:val="24"/>
                <w:szCs w:val="24"/>
              </w:rPr>
              <w:t>　</w:t>
            </w:r>
            <w:r>
              <w:rPr>
                <w:rFonts w:hint="eastAsia"/>
                <w:kern w:val="0"/>
                <w:sz w:val="24"/>
                <w:szCs w:val="24"/>
                <w:lang w:val="en-US" w:eastAsia="zh-CN"/>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szCs w:val="24"/>
                <w:lang w:val="en-US" w:eastAsia="zh-CN"/>
              </w:rPr>
            </w:pPr>
            <w:r>
              <w:rPr>
                <w:rFonts w:hint="eastAsia"/>
                <w:kern w:val="0"/>
                <w:sz w:val="24"/>
                <w:szCs w:val="24"/>
              </w:rPr>
              <w:t>　</w:t>
            </w:r>
            <w:r>
              <w:rPr>
                <w:rFonts w:hint="eastAsia"/>
                <w:kern w:val="0"/>
                <w:sz w:val="24"/>
                <w:szCs w:val="24"/>
                <w:lang w:val="en-US" w:eastAsia="zh-CN"/>
              </w:rPr>
              <w:t>6</w:t>
            </w:r>
          </w:p>
        </w:tc>
      </w:tr>
    </w:tbl>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bookmarkStart w:id="0" w:name="_GoBack"/>
      <w:bookmarkEnd w:id="0"/>
      <w:r>
        <w:br w:type="page"/>
      </w:r>
      <w:r>
        <w:rPr>
          <w:rFonts w:ascii="方正小标宋_GBK" w:hAnsi="方正小标宋_GBK"/>
          <w:kern w:val="0"/>
          <w:sz w:val="36"/>
          <w:szCs w:val="36"/>
        </w:rPr>
        <w:t>部门整体支出绩效评价基础数据表</w:t>
      </w:r>
    </w:p>
    <w:p>
      <w:pPr>
        <w:widowControl/>
        <w:ind w:left="91"/>
        <w:jc w:val="left"/>
        <w:rPr>
          <w:rFonts w:eastAsia="仿宋_GB2312"/>
          <w:kern w:val="0"/>
          <w:sz w:val="24"/>
          <w:szCs w:val="24"/>
        </w:rPr>
      </w:pPr>
      <w:r>
        <w:rPr>
          <w:rFonts w:hint="eastAsia" w:ascii="仿宋_GB2312" w:eastAsia="仿宋_GB2312"/>
          <w:kern w:val="0"/>
          <w:sz w:val="24"/>
          <w:szCs w:val="24"/>
        </w:rPr>
        <w:t>填报单位：</w:t>
      </w:r>
      <w:r>
        <w:rPr>
          <w:rFonts w:hint="eastAsia" w:ascii="仿宋_GB2312" w:eastAsia="仿宋_GB2312"/>
          <w:kern w:val="0"/>
          <w:sz w:val="24"/>
          <w:szCs w:val="24"/>
          <w:lang w:eastAsia="zh-CN"/>
        </w:rPr>
        <w:t>衡山县住房和城乡建设局</w:t>
      </w:r>
      <w:r>
        <w:rPr>
          <w:rFonts w:eastAsia="仿宋_GB2312"/>
          <w:kern w:val="0"/>
          <w:sz w:val="24"/>
          <w:szCs w:val="24"/>
        </w:rPr>
        <w:tab/>
      </w:r>
      <w:r>
        <w:rPr>
          <w:rFonts w:eastAsia="仿宋_GB2312"/>
          <w:kern w:val="0"/>
          <w:sz w:val="24"/>
          <w:szCs w:val="24"/>
        </w:rPr>
        <w:tab/>
      </w:r>
      <w:r>
        <w:rPr>
          <w:rFonts w:eastAsia="仿宋_GB2312"/>
          <w:kern w:val="0"/>
          <w:sz w:val="24"/>
          <w:szCs w:val="24"/>
        </w:rPr>
        <w:tab/>
      </w:r>
      <w:r>
        <w:rPr>
          <w:rFonts w:eastAsia="仿宋_GB2312"/>
          <w:kern w:val="0"/>
          <w:sz w:val="24"/>
          <w:szCs w:val="24"/>
        </w:rPr>
        <w:tab/>
      </w:r>
      <w:r>
        <w:rPr>
          <w:rFonts w:hint="eastAsia" w:ascii="仿宋_GB2312" w:eastAsia="仿宋_GB2312"/>
          <w:kern w:val="0"/>
          <w:sz w:val="24"/>
          <w:szCs w:val="24"/>
        </w:rPr>
        <w:t>单位：万元</w:t>
      </w:r>
      <w:r>
        <w:rPr>
          <w:rFonts w:eastAsia="仿宋_GB2312"/>
          <w:kern w:val="0"/>
          <w:sz w:val="24"/>
          <w:szCs w:val="24"/>
        </w:rPr>
        <w:tab/>
      </w:r>
      <w:r>
        <w:rPr>
          <w:rFonts w:hint="eastAsia" w:eastAsia="仿宋_GB2312"/>
          <w:kern w:val="0"/>
          <w:sz w:val="24"/>
          <w:szCs w:val="24"/>
        </w:rPr>
        <w:t xml:space="preserve">   </w:t>
      </w:r>
    </w:p>
    <w:tbl>
      <w:tblPr>
        <w:tblStyle w:val="6"/>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rPr>
            </w:pPr>
            <w:r>
              <w:rPr>
                <w:rFonts w:hint="eastAsia" w:eastAsia="仿宋_GB2312"/>
                <w:b/>
                <w:bCs/>
                <w:kern w:val="0"/>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rPr>
            </w:pPr>
            <w:r>
              <w:rPr>
                <w:rFonts w:eastAsia="仿宋_GB2312"/>
                <w:b/>
                <w:bCs/>
                <w:kern w:val="0"/>
              </w:rPr>
              <w:t>20</w:t>
            </w:r>
            <w:r>
              <w:rPr>
                <w:rFonts w:hint="eastAsia" w:eastAsia="仿宋_GB2312"/>
                <w:b/>
                <w:bCs/>
                <w:kern w:val="0"/>
              </w:rPr>
              <w:t>20年实际在职人数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rPr>
            </w:pPr>
            <w:r>
              <w:rPr>
                <w:rFonts w:hint="eastAsia" w:eastAsia="仿宋_GB2312"/>
                <w:b/>
                <w:bCs/>
                <w:kern w:val="0"/>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　</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rPr>
            </w:pPr>
            <w:r>
              <w:rPr>
                <w:rFonts w:eastAsia="仿宋_GB2312"/>
                <w:b/>
                <w:bCs/>
                <w:kern w:val="0"/>
              </w:rPr>
              <w:t>201</w:t>
            </w:r>
            <w:r>
              <w:rPr>
                <w:rFonts w:hint="eastAsia" w:eastAsia="仿宋_GB2312"/>
                <w:b/>
                <w:bCs/>
                <w:kern w:val="0"/>
              </w:rPr>
              <w:t>9年决算数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rPr>
            </w:pPr>
            <w:r>
              <w:rPr>
                <w:rFonts w:eastAsia="仿宋_GB2312"/>
                <w:b/>
                <w:bCs/>
                <w:kern w:val="0"/>
              </w:rPr>
              <w:t>20</w:t>
            </w:r>
            <w:r>
              <w:rPr>
                <w:rFonts w:hint="eastAsia" w:eastAsia="仿宋_GB2312"/>
                <w:b/>
                <w:bCs/>
                <w:kern w:val="0"/>
              </w:rPr>
              <w:t>20年预算数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rPr>
            </w:pPr>
            <w:r>
              <w:rPr>
                <w:rFonts w:eastAsia="仿宋_GB2312"/>
                <w:b/>
                <w:bCs/>
                <w:kern w:val="0"/>
              </w:rPr>
              <w:t>20</w:t>
            </w:r>
            <w:r>
              <w:rPr>
                <w:rFonts w:hint="eastAsia" w:eastAsia="仿宋_GB2312"/>
                <w:b/>
                <w:bCs/>
                <w:kern w:val="0"/>
              </w:rPr>
              <w:t>20年决算数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rPr>
            </w:pPr>
            <w:r>
              <w:rPr>
                <w:rFonts w:hint="eastAsia" w:eastAsia="仿宋_GB2312"/>
                <w:kern w:val="0"/>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14.73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　37</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5.52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1</w:t>
            </w:r>
            <w:r>
              <w:rPr>
                <w:rFonts w:hint="eastAsia" w:eastAsia="仿宋_GB2312"/>
                <w:kern w:val="0"/>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　14.17</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　18</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　4.51</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w:t>
            </w:r>
            <w:r>
              <w:rPr>
                <w:rFonts w:hint="eastAsia" w:eastAsia="仿宋_GB2312"/>
                <w:kern w:val="0"/>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w:t>
            </w:r>
            <w:r>
              <w:rPr>
                <w:rFonts w:hint="eastAsia" w:eastAsia="仿宋_GB2312"/>
                <w:kern w:val="0"/>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　14.17</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18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　4.51</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2</w:t>
            </w:r>
            <w:r>
              <w:rPr>
                <w:rFonts w:hint="eastAsia" w:eastAsia="仿宋_GB2312"/>
                <w:kern w:val="0"/>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3</w:t>
            </w:r>
            <w:r>
              <w:rPr>
                <w:rFonts w:hint="eastAsia" w:eastAsia="仿宋_GB2312"/>
                <w:kern w:val="0"/>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0.56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19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1.01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rPr>
            </w:pPr>
            <w:r>
              <w:rPr>
                <w:rFonts w:hint="eastAsia" w:eastAsia="仿宋_GB2312"/>
                <w:kern w:val="0"/>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1</w:t>
            </w:r>
            <w:r>
              <w:rPr>
                <w:rFonts w:hint="eastAsia" w:eastAsia="仿宋_GB2312"/>
                <w:kern w:val="0"/>
              </w:rPr>
              <w:t>、业务工作专项</w:t>
            </w:r>
            <w:r>
              <w:rPr>
                <w:rFonts w:eastAsia="仿宋_GB2312"/>
                <w:kern w:val="0"/>
              </w:rPr>
              <w:t>(</w:t>
            </w:r>
            <w:r>
              <w:rPr>
                <w:rFonts w:hint="eastAsia" w:eastAsia="仿宋_GB2312"/>
                <w:kern w:val="0"/>
              </w:rPr>
              <w:t>一个项目一行</w:t>
            </w:r>
            <w:r>
              <w:rPr>
                <w:rFonts w:eastAsia="仿宋_GB2312"/>
                <w:kern w:val="0"/>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3205.21</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lang w:val="en-US" w:eastAsia="zh-CN"/>
              </w:rPr>
              <w:t>1669.89</w:t>
            </w:r>
            <w:r>
              <w:rPr>
                <w:rFonts w:hint="eastAsia" w:eastAsia="仿宋_GB2312"/>
                <w:kern w:val="0"/>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lang w:val="en-US" w:eastAsia="zh-CN"/>
              </w:rPr>
              <w:t>4129.78</w:t>
            </w:r>
            <w:r>
              <w:rPr>
                <w:rFonts w:hint="eastAsia" w:eastAsia="仿宋_GB2312"/>
                <w:kern w:val="0"/>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hint="eastAsia" w:eastAsia="仿宋_GB2312"/>
                <w:kern w:val="0"/>
                <w:lang w:eastAsia="zh-CN"/>
              </w:rPr>
            </w:pPr>
            <w:r>
              <w:rPr>
                <w:rFonts w:hint="eastAsia" w:ascii="仿宋_GB2312" w:eastAsia="仿宋_GB2312"/>
                <w:kern w:val="0"/>
                <w:lang w:eastAsia="zh-CN"/>
              </w:rPr>
              <w:t>专项工作经费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3205.21</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lang w:val="en-US" w:eastAsia="zh-CN"/>
              </w:rPr>
              <w:t>1669.89</w:t>
            </w:r>
            <w:r>
              <w:rPr>
                <w:rFonts w:hint="eastAsia" w:eastAsia="仿宋_GB2312"/>
                <w:kern w:val="0"/>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lang w:val="en-US" w:eastAsia="zh-CN"/>
              </w:rPr>
              <w:t>4129.78</w:t>
            </w:r>
            <w:r>
              <w:rPr>
                <w:rFonts w:hint="eastAsia" w:eastAsia="仿宋_GB2312"/>
                <w:kern w:val="0"/>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2</w:t>
            </w:r>
            <w:r>
              <w:rPr>
                <w:rFonts w:hint="eastAsia" w:eastAsia="仿宋_GB2312"/>
                <w:kern w:val="0"/>
              </w:rPr>
              <w:t>、运行维护专项</w:t>
            </w:r>
            <w:r>
              <w:rPr>
                <w:rFonts w:eastAsia="仿宋_GB2312"/>
                <w:kern w:val="0"/>
              </w:rPr>
              <w:t>(</w:t>
            </w:r>
            <w:r>
              <w:rPr>
                <w:rFonts w:hint="eastAsia" w:eastAsia="仿宋_GB2312"/>
                <w:kern w:val="0"/>
              </w:rPr>
              <w:t>一个项目一行</w:t>
            </w:r>
            <w:r>
              <w:rPr>
                <w:rFonts w:eastAsia="仿宋_GB2312"/>
                <w:kern w:val="0"/>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eastAsia="仿宋_GB2312"/>
                <w:kern w:val="0"/>
              </w:rPr>
            </w:pPr>
            <w:r>
              <w:rPr>
                <w:rFonts w:hint="eastAsia" w:ascii="仿宋_GB2312" w:eastAsia="仿宋_GB2312"/>
                <w:kern w:val="0"/>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3</w:t>
            </w:r>
            <w:r>
              <w:rPr>
                <w:rFonts w:hint="eastAsia" w:eastAsia="仿宋_GB2312"/>
                <w:kern w:val="0"/>
              </w:rPr>
              <w:t>、省、市级专项资金（一个专项一行）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rPr>
            </w:pPr>
            <w:r>
              <w:rPr>
                <w:rFonts w:hint="eastAsia" w:ascii="仿宋_GB2312" w:eastAsia="仿宋_GB2312"/>
                <w:kern w:val="0"/>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rPr>
            </w:pPr>
            <w:r>
              <w:rPr>
                <w:rFonts w:hint="eastAsia" w:eastAsia="仿宋_GB2312"/>
                <w:kern w:val="0"/>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219.34</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lang w:val="en-US" w:eastAsia="zh-CN"/>
              </w:rPr>
              <w:t>124.4</w:t>
            </w:r>
            <w:r>
              <w:rPr>
                <w:rFonts w:hint="eastAsia" w:eastAsia="仿宋_GB2312"/>
                <w:kern w:val="0"/>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lang w:val="en-US" w:eastAsia="zh-CN"/>
              </w:rPr>
            </w:pPr>
            <w:r>
              <w:rPr>
                <w:rFonts w:hint="eastAsia" w:eastAsia="仿宋_GB2312"/>
                <w:kern w:val="0"/>
              </w:rPr>
              <w:t>　</w:t>
            </w:r>
            <w:r>
              <w:rPr>
                <w:rFonts w:hint="eastAsia" w:eastAsia="仿宋_GB2312"/>
                <w:kern w:val="0"/>
                <w:lang w:val="en-US" w:eastAsia="zh-CN"/>
              </w:rPr>
              <w:t>154.98</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w:t>
            </w:r>
            <w:r>
              <w:rPr>
                <w:rFonts w:hint="eastAsia" w:eastAsia="仿宋_GB2312"/>
                <w:kern w:val="0"/>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55.16</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lang w:val="en-US" w:eastAsia="zh-CN"/>
              </w:rPr>
            </w:pPr>
            <w:r>
              <w:rPr>
                <w:rFonts w:hint="eastAsia" w:eastAsia="仿宋_GB2312"/>
                <w:kern w:val="0"/>
              </w:rPr>
              <w:t>　</w:t>
            </w:r>
            <w:r>
              <w:rPr>
                <w:rFonts w:hint="eastAsia" w:eastAsia="仿宋_GB2312"/>
                <w:kern w:val="0"/>
                <w:lang w:val="en-US" w:eastAsia="zh-CN"/>
              </w:rPr>
              <w:t>40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lang w:val="en-US" w:eastAsia="zh-CN"/>
              </w:rPr>
              <w:t>23.6</w:t>
            </w:r>
            <w:r>
              <w:rPr>
                <w:rFonts w:hint="eastAsia" w:eastAsia="仿宋_GB2312"/>
                <w:kern w:val="0"/>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w:t>
            </w:r>
            <w:r>
              <w:rPr>
                <w:rFonts w:hint="eastAsia" w:eastAsia="仿宋_GB2312"/>
                <w:kern w:val="0"/>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13.81</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lang w:val="en-US" w:eastAsia="zh-CN"/>
              </w:rPr>
            </w:pPr>
            <w:r>
              <w:rPr>
                <w:rFonts w:hint="eastAsia" w:eastAsia="仿宋_GB2312"/>
                <w:kern w:val="0"/>
              </w:rPr>
              <w:t>　</w:t>
            </w:r>
            <w:r>
              <w:rPr>
                <w:rFonts w:hint="eastAsia" w:eastAsia="仿宋_GB2312"/>
                <w:kern w:val="0"/>
                <w:lang w:val="en-US" w:eastAsia="zh-CN"/>
              </w:rPr>
              <w:t>7.4</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lang w:val="en-US" w:eastAsia="zh-CN"/>
              </w:rPr>
              <w:t>9.33</w:t>
            </w:r>
            <w:r>
              <w:rPr>
                <w:rFonts w:hint="eastAsia" w:eastAsia="仿宋_GB2312"/>
                <w:kern w:val="0"/>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w:t>
            </w:r>
            <w:r>
              <w:rPr>
                <w:rFonts w:hint="eastAsia" w:eastAsia="仿宋_GB2312"/>
                <w:kern w:val="0"/>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0.47</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lang w:val="en-US" w:eastAsia="zh-CN"/>
              </w:rPr>
            </w:pPr>
            <w:r>
              <w:rPr>
                <w:rFonts w:hint="eastAsia" w:eastAsia="仿宋_GB2312"/>
                <w:kern w:val="0"/>
              </w:rPr>
              <w:t>　</w:t>
            </w:r>
            <w:r>
              <w:rPr>
                <w:rFonts w:hint="eastAsia" w:eastAsia="仿宋_GB2312"/>
                <w:kern w:val="0"/>
                <w:lang w:val="en-US" w:eastAsia="zh-CN"/>
              </w:rPr>
              <w:t>2</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lang w:val="en-US" w:eastAsia="zh-CN"/>
              </w:rPr>
              <w:t>0.42</w:t>
            </w:r>
            <w:r>
              <w:rPr>
                <w:rFonts w:hint="eastAsia" w:eastAsia="仿宋_GB2312"/>
                <w:kern w:val="0"/>
              </w:rPr>
              <w:t>　</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55" w:firstLineChars="550"/>
              <w:jc w:val="left"/>
              <w:rPr>
                <w:rFonts w:hint="eastAsia" w:eastAsia="仿宋_GB2312"/>
                <w:kern w:val="0"/>
                <w:lang w:eastAsia="zh-CN"/>
              </w:rPr>
            </w:pPr>
            <w:r>
              <w:rPr>
                <w:rFonts w:hint="eastAsia" w:ascii="仿宋_GB2312" w:eastAsia="仿宋_GB2312"/>
                <w:kern w:val="0"/>
                <w:lang w:eastAsia="zh-CN"/>
              </w:rPr>
              <w:t>其他公用经费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149.9</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lang w:val="en-US" w:eastAsia="zh-CN"/>
              </w:rPr>
            </w:pPr>
            <w:r>
              <w:rPr>
                <w:rFonts w:hint="eastAsia" w:eastAsia="仿宋_GB2312"/>
                <w:kern w:val="0"/>
                <w:lang w:val="en-US" w:eastAsia="zh-CN"/>
              </w:rPr>
              <w:t>75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lang w:val="en-US" w:eastAsia="zh-CN"/>
              </w:rPr>
            </w:pPr>
            <w:r>
              <w:rPr>
                <w:rFonts w:hint="eastAsia" w:eastAsia="仿宋_GB2312"/>
                <w:kern w:val="0"/>
                <w:lang w:val="en-US" w:eastAsia="zh-CN"/>
              </w:rPr>
              <w:t>121.63</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rPr>
            </w:pPr>
            <w:r>
              <w:rPr>
                <w:rFonts w:hint="eastAsia" w:eastAsia="仿宋_GB2312"/>
                <w:kern w:val="0"/>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kern w:val="0"/>
                <w:sz w:val="21"/>
                <w:szCs w:val="21"/>
                <w:lang w:val="en-US" w:eastAsia="zh-CN" w:bidi="ar-SA"/>
              </w:rPr>
            </w:pPr>
            <w:r>
              <w:rPr>
                <w:rFonts w:eastAsia="仿宋_GB2312"/>
                <w:kern w:val="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lang w:val="en-US" w:eastAsia="zh-CN"/>
              </w:rPr>
              <w:t>245</w:t>
            </w:r>
            <w:r>
              <w:rPr>
                <w:rFonts w:hint="eastAsia" w:eastAsia="仿宋_GB2312"/>
                <w:kern w:val="0"/>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lang w:val="en-US" w:eastAsia="zh-CN"/>
              </w:rPr>
              <w:t>528.91</w:t>
            </w:r>
            <w:r>
              <w:rPr>
                <w:rFonts w:hint="eastAsia" w:eastAsia="仿宋_GB2312"/>
                <w:kern w:val="0"/>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rPr>
            </w:pPr>
            <w:r>
              <w:rPr>
                <w:rFonts w:hint="eastAsia" w:eastAsia="仿宋_GB2312"/>
                <w:kern w:val="0"/>
              </w:rPr>
              <w:t>部门基本支出预算调整</w:t>
            </w:r>
            <w:r>
              <w:rPr>
                <w:rFonts w:eastAsia="仿宋_GB2312"/>
                <w:kern w:val="0"/>
              </w:rPr>
              <w:t>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eastAsia="仿宋_GB2312"/>
                <w:kern w:val="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　</w:t>
            </w:r>
          </w:p>
        </w:tc>
      </w:tr>
      <w:tr>
        <w:tblPrEx>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楼堂馆所控制情况</w:t>
            </w:r>
            <w:r>
              <w:rPr>
                <w:rFonts w:eastAsia="仿宋_GB2312"/>
                <w:kern w:val="0"/>
              </w:rPr>
              <w:br w:type="textWrapping"/>
            </w:r>
            <w:r>
              <w:rPr>
                <w:rFonts w:hint="eastAsia" w:eastAsia="仿宋_GB2312"/>
                <w:kern w:val="0"/>
              </w:rPr>
              <w:t>（</w:t>
            </w:r>
            <w:r>
              <w:rPr>
                <w:rFonts w:eastAsia="仿宋_GB2312"/>
                <w:kern w:val="0"/>
              </w:rPr>
              <w:t>20</w:t>
            </w:r>
            <w:r>
              <w:rPr>
                <w:rFonts w:hint="eastAsia" w:eastAsia="仿宋_GB2312"/>
                <w:kern w:val="0"/>
              </w:rPr>
              <w:t>20年完工项目）</w:t>
            </w:r>
          </w:p>
        </w:tc>
        <w:tc>
          <w:tcPr>
            <w:tcW w:w="1189" w:type="dxa"/>
            <w:tcBorders>
              <w:top w:val="nil"/>
              <w:left w:val="nil"/>
              <w:bottom w:val="single" w:color="auto" w:sz="4" w:space="0"/>
              <w:right w:val="single" w:color="auto" w:sz="4" w:space="0"/>
            </w:tcBorders>
            <w:vAlign w:val="center"/>
          </w:tcPr>
          <w:p>
            <w:pPr>
              <w:widowControl/>
              <w:jc w:val="center"/>
              <w:rPr>
                <w:rFonts w:eastAsia="仿宋_GB2312"/>
                <w:b/>
                <w:bCs/>
                <w:kern w:val="0"/>
              </w:rPr>
            </w:pPr>
            <w:r>
              <w:rPr>
                <w:rFonts w:hint="eastAsia" w:eastAsia="仿宋_GB2312"/>
                <w:b/>
                <w:bCs/>
                <w:kern w:val="0"/>
              </w:rPr>
              <w:t>批复规模</w:t>
            </w:r>
            <w:r>
              <w:rPr>
                <w:rFonts w:eastAsia="仿宋_GB2312"/>
                <w:b/>
                <w:bCs/>
                <w:kern w:val="0"/>
              </w:rPr>
              <w:br w:type="textWrapping"/>
            </w:r>
            <w:r>
              <w:rPr>
                <w:rFonts w:hint="eastAsia" w:eastAsia="仿宋_GB2312"/>
                <w:b/>
                <w:bCs/>
                <w:kern w:val="0"/>
              </w:rPr>
              <w:t>（</w:t>
            </w:r>
            <w:r>
              <w:rPr>
                <w:rFonts w:hint="eastAsia"/>
                <w:b/>
                <w:bCs/>
                <w:kern w:val="0"/>
              </w:rPr>
              <w:t>㎡</w:t>
            </w:r>
            <w:r>
              <w:rPr>
                <w:rFonts w:hint="eastAsia" w:eastAsia="仿宋_GB2312"/>
                <w:b/>
                <w:bCs/>
                <w:kern w:val="0"/>
              </w:rPr>
              <w:t>）</w:t>
            </w:r>
          </w:p>
        </w:tc>
        <w:tc>
          <w:tcPr>
            <w:tcW w:w="849" w:type="dxa"/>
            <w:tcBorders>
              <w:top w:val="nil"/>
              <w:left w:val="nil"/>
              <w:bottom w:val="single" w:color="auto" w:sz="4" w:space="0"/>
              <w:right w:val="single" w:color="auto" w:sz="4" w:space="0"/>
            </w:tcBorders>
            <w:vAlign w:val="center"/>
          </w:tcPr>
          <w:p>
            <w:pPr>
              <w:widowControl/>
              <w:jc w:val="center"/>
              <w:rPr>
                <w:rFonts w:eastAsia="仿宋_GB2312"/>
                <w:b/>
                <w:bCs/>
                <w:kern w:val="0"/>
              </w:rPr>
            </w:pPr>
            <w:r>
              <w:rPr>
                <w:rFonts w:hint="eastAsia" w:eastAsia="仿宋_GB2312"/>
                <w:b/>
                <w:bCs/>
                <w:kern w:val="0"/>
              </w:rPr>
              <w:t>实际规模（</w:t>
            </w:r>
            <w:r>
              <w:rPr>
                <w:rFonts w:hint="eastAsia"/>
                <w:b/>
                <w:bCs/>
                <w:kern w:val="0"/>
              </w:rPr>
              <w:t>㎡</w:t>
            </w:r>
            <w:r>
              <w:rPr>
                <w:rFonts w:hint="eastAsia" w:eastAsia="仿宋_GB2312"/>
                <w:b/>
                <w:bCs/>
                <w:kern w:val="0"/>
              </w:rPr>
              <w:t>）</w:t>
            </w:r>
          </w:p>
        </w:tc>
        <w:tc>
          <w:tcPr>
            <w:tcW w:w="1129" w:type="dxa"/>
            <w:tcBorders>
              <w:top w:val="nil"/>
              <w:left w:val="nil"/>
              <w:bottom w:val="single" w:color="auto" w:sz="4" w:space="0"/>
              <w:right w:val="single" w:color="auto" w:sz="4" w:space="0"/>
            </w:tcBorders>
            <w:vAlign w:val="center"/>
          </w:tcPr>
          <w:p>
            <w:pPr>
              <w:widowControl/>
              <w:jc w:val="center"/>
              <w:rPr>
                <w:rFonts w:eastAsia="仿宋_GB2312"/>
                <w:b/>
                <w:bCs/>
                <w:kern w:val="0"/>
              </w:rPr>
            </w:pPr>
            <w:r>
              <w:rPr>
                <w:rFonts w:hint="eastAsia" w:eastAsia="仿宋_GB2312"/>
                <w:b/>
                <w:bCs/>
                <w:kern w:val="0"/>
              </w:rPr>
              <w:t>规模控制率</w:t>
            </w:r>
          </w:p>
        </w:tc>
        <w:tc>
          <w:tcPr>
            <w:tcW w:w="1111" w:type="dxa"/>
            <w:tcBorders>
              <w:top w:val="nil"/>
              <w:left w:val="nil"/>
              <w:bottom w:val="single" w:color="auto" w:sz="4" w:space="0"/>
              <w:right w:val="single" w:color="auto" w:sz="4" w:space="0"/>
            </w:tcBorders>
            <w:vAlign w:val="center"/>
          </w:tcPr>
          <w:p>
            <w:pPr>
              <w:widowControl/>
              <w:jc w:val="center"/>
              <w:rPr>
                <w:rFonts w:eastAsia="仿宋_GB2312"/>
                <w:b/>
                <w:bCs/>
                <w:kern w:val="0"/>
              </w:rPr>
            </w:pPr>
            <w:r>
              <w:rPr>
                <w:rFonts w:hint="eastAsia" w:eastAsia="仿宋_GB2312"/>
                <w:b/>
                <w:bCs/>
                <w:kern w:val="0"/>
              </w:rPr>
              <w:t>预算投资（万元）</w:t>
            </w:r>
          </w:p>
        </w:tc>
        <w:tc>
          <w:tcPr>
            <w:tcW w:w="969" w:type="dxa"/>
            <w:tcBorders>
              <w:top w:val="nil"/>
              <w:left w:val="nil"/>
              <w:bottom w:val="single" w:color="auto" w:sz="4" w:space="0"/>
              <w:right w:val="single" w:color="auto" w:sz="4" w:space="0"/>
            </w:tcBorders>
            <w:vAlign w:val="center"/>
          </w:tcPr>
          <w:p>
            <w:pPr>
              <w:widowControl/>
              <w:jc w:val="center"/>
              <w:rPr>
                <w:rFonts w:eastAsia="仿宋_GB2312"/>
                <w:b/>
                <w:bCs/>
                <w:kern w:val="0"/>
              </w:rPr>
            </w:pPr>
            <w:r>
              <w:rPr>
                <w:rFonts w:hint="eastAsia" w:eastAsia="仿宋_GB2312"/>
                <w:b/>
                <w:bCs/>
                <w:kern w:val="0"/>
              </w:rPr>
              <w:t>实际投资（万元）</w:t>
            </w:r>
          </w:p>
        </w:tc>
        <w:tc>
          <w:tcPr>
            <w:tcW w:w="863" w:type="dxa"/>
            <w:tcBorders>
              <w:top w:val="nil"/>
              <w:left w:val="nil"/>
              <w:bottom w:val="single" w:color="auto" w:sz="4" w:space="0"/>
              <w:right w:val="single" w:color="auto" w:sz="4" w:space="0"/>
            </w:tcBorders>
            <w:vAlign w:val="center"/>
          </w:tcPr>
          <w:p>
            <w:pPr>
              <w:widowControl/>
              <w:jc w:val="center"/>
              <w:rPr>
                <w:rFonts w:eastAsia="仿宋_GB2312"/>
                <w:b/>
                <w:bCs/>
                <w:kern w:val="0"/>
              </w:rPr>
            </w:pPr>
            <w:r>
              <w:rPr>
                <w:rFonts w:hint="eastAsia" w:eastAsia="仿宋_GB2312"/>
                <w:b/>
                <w:bCs/>
                <w:kern w:val="0"/>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　</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rPr>
            </w:pPr>
            <w:r>
              <w:rPr>
                <w:rFonts w:hint="eastAsia" w:eastAsia="仿宋_GB2312"/>
                <w:kern w:val="0"/>
              </w:rPr>
              <w:t>　</w:t>
            </w:r>
          </w:p>
        </w:tc>
        <w:tc>
          <w:tcPr>
            <w:tcW w:w="1129" w:type="dxa"/>
            <w:tcBorders>
              <w:top w:val="nil"/>
              <w:left w:val="nil"/>
              <w:bottom w:val="single" w:color="auto" w:sz="4" w:space="0"/>
              <w:right w:val="single" w:color="auto" w:sz="4" w:space="0"/>
            </w:tcBorders>
            <w:vAlign w:val="center"/>
          </w:tcPr>
          <w:p>
            <w:pPr>
              <w:widowControl/>
              <w:jc w:val="left"/>
              <w:rPr>
                <w:rFonts w:eastAsia="仿宋_GB2312"/>
                <w:kern w:val="0"/>
              </w:rPr>
            </w:pPr>
            <w:r>
              <w:rPr>
                <w:rFonts w:hint="eastAsia" w:eastAsia="仿宋_GB2312"/>
                <w:kern w:val="0"/>
              </w:rPr>
              <w:t>　</w:t>
            </w:r>
          </w:p>
        </w:tc>
        <w:tc>
          <w:tcPr>
            <w:tcW w:w="1111" w:type="dxa"/>
            <w:tcBorders>
              <w:top w:val="nil"/>
              <w:left w:val="nil"/>
              <w:bottom w:val="single" w:color="auto" w:sz="4" w:space="0"/>
              <w:right w:val="single" w:color="auto" w:sz="4" w:space="0"/>
            </w:tcBorders>
            <w:vAlign w:val="center"/>
          </w:tcPr>
          <w:p>
            <w:pPr>
              <w:widowControl/>
              <w:jc w:val="left"/>
              <w:rPr>
                <w:rFonts w:eastAsia="仿宋_GB2312"/>
                <w:kern w:val="0"/>
              </w:rPr>
            </w:pPr>
            <w:r>
              <w:rPr>
                <w:rFonts w:hint="eastAsia" w:eastAsia="仿宋_GB2312"/>
                <w:kern w:val="0"/>
              </w:rPr>
              <w:t>　</w:t>
            </w:r>
          </w:p>
        </w:tc>
        <w:tc>
          <w:tcPr>
            <w:tcW w:w="969" w:type="dxa"/>
            <w:tcBorders>
              <w:top w:val="nil"/>
              <w:left w:val="nil"/>
              <w:bottom w:val="single" w:color="auto" w:sz="4" w:space="0"/>
              <w:right w:val="single" w:color="auto" w:sz="4" w:space="0"/>
            </w:tcBorders>
            <w:vAlign w:val="center"/>
          </w:tcPr>
          <w:p>
            <w:pPr>
              <w:widowControl/>
              <w:jc w:val="left"/>
              <w:rPr>
                <w:rFonts w:eastAsia="仿宋_GB2312"/>
                <w:kern w:val="0"/>
              </w:rPr>
            </w:pPr>
            <w:r>
              <w:rPr>
                <w:rFonts w:hint="eastAsia" w:eastAsia="仿宋_GB2312"/>
                <w:kern w:val="0"/>
              </w:rPr>
              <w:t>　</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rPr>
            </w:pPr>
            <w:r>
              <w:rPr>
                <w:rFonts w:hint="eastAsia" w:eastAsia="仿宋_GB2312"/>
                <w:kern w:val="0"/>
              </w:rPr>
              <w:t>　</w:t>
            </w:r>
          </w:p>
        </w:tc>
      </w:tr>
      <w:tr>
        <w:tblPrEx>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eastAsia="仿宋_GB2312"/>
                <w:kern w:val="0"/>
              </w:rPr>
              <w:t>　</w:t>
            </w:r>
          </w:p>
        </w:tc>
      </w:tr>
    </w:tbl>
    <w:p>
      <w:pPr>
        <w:rPr>
          <w:rFonts w:eastAsia="仿宋_GB2312"/>
          <w:kern w:val="0"/>
          <w:sz w:val="22"/>
          <w:szCs w:val="22"/>
        </w:rPr>
      </w:pPr>
      <w:r>
        <w:rPr>
          <w:rFonts w:hint="eastAsia" w:ascii="仿宋_GB2312" w:eastAsia="仿宋_GB2312"/>
          <w:kern w:val="0"/>
          <w:sz w:val="22"/>
          <w:szCs w:val="22"/>
        </w:rPr>
        <w:t>说明：</w:t>
      </w:r>
      <w:r>
        <w:rPr>
          <w:rFonts w:eastAsia="仿宋_GB2312"/>
          <w:kern w:val="0"/>
          <w:sz w:val="22"/>
          <w:szCs w:val="22"/>
        </w:rPr>
        <w:t>“</w:t>
      </w:r>
      <w:r>
        <w:rPr>
          <w:rFonts w:hint="eastAsia" w:ascii="仿宋_GB2312" w:eastAsia="仿宋_GB2312"/>
          <w:kern w:val="0"/>
          <w:sz w:val="22"/>
          <w:szCs w:val="22"/>
        </w:rPr>
        <w:t>项目支出</w:t>
      </w:r>
      <w:r>
        <w:rPr>
          <w:rFonts w:eastAsia="仿宋_GB2312"/>
          <w:kern w:val="0"/>
          <w:sz w:val="22"/>
          <w:szCs w:val="22"/>
        </w:rPr>
        <w:t>”</w:t>
      </w:r>
      <w:r>
        <w:rPr>
          <w:rFonts w:hint="eastAsia" w:ascii="仿宋_GB2312"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ascii="仿宋_GB2312" w:eastAsia="仿宋_GB2312"/>
          <w:kern w:val="0"/>
          <w:sz w:val="22"/>
          <w:szCs w:val="22"/>
        </w:rPr>
        <w:t>公用经费</w:t>
      </w:r>
      <w:r>
        <w:rPr>
          <w:rFonts w:eastAsia="仿宋_GB2312"/>
          <w:kern w:val="0"/>
          <w:sz w:val="22"/>
          <w:szCs w:val="22"/>
        </w:rPr>
        <w:t>”</w:t>
      </w:r>
      <w:r>
        <w:rPr>
          <w:rFonts w:hint="eastAsia" w:ascii="仿宋_GB2312" w:eastAsia="仿宋_GB2312"/>
          <w:kern w:val="0"/>
          <w:sz w:val="22"/>
          <w:szCs w:val="22"/>
        </w:rPr>
        <w:t>填报基本支出中的一般商品和服务支出。</w:t>
      </w:r>
    </w:p>
    <w:p>
      <w:pPr>
        <w:widowControl/>
        <w:jc w:val="center"/>
        <w:rPr>
          <w:rFonts w:ascii="方正小标宋_GBK" w:hAnsi="宋体" w:cs="宋体"/>
          <w:kern w:val="0"/>
          <w:sz w:val="36"/>
          <w:szCs w:val="36"/>
        </w:rPr>
      </w:pPr>
      <w:r>
        <w:rPr>
          <w:rFonts w:ascii="方正小标宋_GBK" w:hAnsi="宋体" w:cs="宋体"/>
          <w:kern w:val="0"/>
          <w:sz w:val="36"/>
          <w:szCs w:val="36"/>
        </w:rPr>
        <w:t>20</w:t>
      </w:r>
      <w:r>
        <w:rPr>
          <w:rFonts w:ascii="方正小标宋_GBK" w:hAnsi="方正小标宋_GBK" w:cs="宋体"/>
          <w:kern w:val="0"/>
          <w:sz w:val="36"/>
          <w:szCs w:val="36"/>
        </w:rPr>
        <w:t>20年度县级专项资金绩效目标自评表</w:t>
      </w:r>
    </w:p>
    <w:tbl>
      <w:tblPr>
        <w:tblStyle w:val="6"/>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楷体_GB2312" w:hAnsi="宋体" w:eastAsia="楷体_GB2312" w:cs="宋体"/>
                <w:b/>
                <w:bCs/>
                <w:kern w:val="0"/>
                <w:sz w:val="22"/>
                <w:szCs w:val="22"/>
              </w:rPr>
            </w:pPr>
          </w:p>
        </w:tc>
      </w:tr>
      <w:tr>
        <w:tblPrEx>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专项资金名称</w:t>
            </w:r>
          </w:p>
        </w:tc>
        <w:tc>
          <w:tcPr>
            <w:tcW w:w="3544" w:type="dxa"/>
            <w:gridSpan w:val="2"/>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负责人</w:t>
            </w:r>
          </w:p>
          <w:p>
            <w:pPr>
              <w:widowControl/>
              <w:jc w:val="center"/>
              <w:rPr>
                <w:rFonts w:ascii="仿宋_GB2312" w:hAnsi="宋体" w:eastAsia="仿宋_GB2312" w:cs="宋体"/>
                <w:kern w:val="0"/>
              </w:rPr>
            </w:pPr>
            <w:r>
              <w:rPr>
                <w:rFonts w:hint="eastAsia" w:ascii="仿宋_GB2312" w:hAnsi="宋体" w:eastAsia="仿宋_GB2312" w:cs="宋体"/>
                <w:kern w:val="0"/>
              </w:rPr>
              <w:t>及电话</w:t>
            </w:r>
          </w:p>
        </w:tc>
        <w:tc>
          <w:tcPr>
            <w:tcW w:w="3087" w:type="dxa"/>
            <w:gridSpan w:val="3"/>
            <w:tcBorders>
              <w:top w:val="single" w:color="auto" w:sz="4" w:space="0"/>
              <w:left w:val="nil"/>
              <w:bottom w:val="single" w:color="auto" w:sz="4" w:space="0"/>
              <w:right w:val="single" w:color="auto" w:sz="4" w:space="0"/>
            </w:tcBorders>
            <w:vAlign w:val="bottom"/>
          </w:tcPr>
          <w:p>
            <w:pPr>
              <w:widowControl/>
              <w:jc w:val="left"/>
              <w:rPr>
                <w:rFonts w:ascii="宋体"/>
                <w:kern w:val="0"/>
              </w:rPr>
            </w:pPr>
            <w:r>
              <w:rPr>
                <w:rFonts w:hint="eastAsia" w:ascii="宋体" w:hAnsi="宋体"/>
                <w:kern w:val="0"/>
              </w:rPr>
              <w:t>　</w:t>
            </w:r>
          </w:p>
        </w:tc>
      </w:tr>
      <w:tr>
        <w:tblPrEx>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县级主管部门</w:t>
            </w:r>
          </w:p>
        </w:tc>
        <w:tc>
          <w:tcPr>
            <w:tcW w:w="354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实施单位</w:t>
            </w:r>
          </w:p>
        </w:tc>
        <w:tc>
          <w:tcPr>
            <w:tcW w:w="3087" w:type="dxa"/>
            <w:gridSpan w:val="3"/>
            <w:tcBorders>
              <w:top w:val="single" w:color="auto" w:sz="4" w:space="0"/>
              <w:left w:val="nil"/>
              <w:bottom w:val="single" w:color="auto" w:sz="4" w:space="0"/>
              <w:right w:val="single" w:color="auto" w:sz="4" w:space="0"/>
            </w:tcBorders>
            <w:vAlign w:val="bottom"/>
          </w:tcPr>
          <w:p>
            <w:pPr>
              <w:widowControl/>
              <w:jc w:val="left"/>
              <w:rPr>
                <w:rFonts w:ascii="宋体"/>
                <w:kern w:val="0"/>
              </w:rPr>
            </w:pPr>
            <w:r>
              <w:rPr>
                <w:rFonts w:hint="eastAsia" w:ascii="宋体" w:hAnsi="宋体"/>
                <w:kern w:val="0"/>
              </w:rPr>
              <w:t>　</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项目资金（万元）</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全年预算数（A）</w:t>
            </w:r>
          </w:p>
        </w:tc>
        <w:tc>
          <w:tcPr>
            <w:tcW w:w="234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全年执行数（B）</w:t>
            </w:r>
          </w:p>
        </w:tc>
        <w:tc>
          <w:tcPr>
            <w:tcW w:w="201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执行率（B／A）</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年度资金总额</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w:t>
            </w:r>
          </w:p>
        </w:tc>
        <w:tc>
          <w:tcPr>
            <w:tcW w:w="234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w:t>
            </w:r>
          </w:p>
        </w:tc>
        <w:tc>
          <w:tcPr>
            <w:tcW w:w="201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其中：中央、省、市补助</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w:t>
            </w:r>
          </w:p>
        </w:tc>
        <w:tc>
          <w:tcPr>
            <w:tcW w:w="234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w:t>
            </w:r>
          </w:p>
        </w:tc>
        <w:tc>
          <w:tcPr>
            <w:tcW w:w="201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xml:space="preserve">  县级资金</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w:t>
            </w:r>
          </w:p>
        </w:tc>
        <w:tc>
          <w:tcPr>
            <w:tcW w:w="234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w:t>
            </w:r>
          </w:p>
        </w:tc>
        <w:tc>
          <w:tcPr>
            <w:tcW w:w="201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xml:space="preserve">      其他资金</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w:t>
            </w:r>
          </w:p>
        </w:tc>
        <w:tc>
          <w:tcPr>
            <w:tcW w:w="234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w:t>
            </w:r>
          </w:p>
        </w:tc>
        <w:tc>
          <w:tcPr>
            <w:tcW w:w="201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411" w:hRule="atLeast"/>
          <w:jc w:val="center"/>
        </w:trPr>
        <w:tc>
          <w:tcPr>
            <w:tcW w:w="76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928" w:type="dxa"/>
            <w:gridSpan w:val="4"/>
            <w:tcBorders>
              <w:top w:val="single" w:color="auto" w:sz="4" w:space="0"/>
              <w:left w:val="nil"/>
              <w:bottom w:val="single" w:color="auto" w:sz="4" w:space="0"/>
              <w:right w:val="single" w:color="auto" w:sz="4" w:space="0"/>
            </w:tcBorders>
            <w:vAlign w:val="center"/>
          </w:tcPr>
          <w:p>
            <w:pPr>
              <w:widowControl/>
              <w:jc w:val="center"/>
              <w:rPr>
                <w:rFonts w:ascii="宋体"/>
                <w:kern w:val="0"/>
              </w:rPr>
            </w:pPr>
            <w:r>
              <w:rPr>
                <w:rFonts w:hint="eastAsia" w:ascii="仿宋_GB2312" w:hAnsi="宋体" w:eastAsia="仿宋_GB2312" w:cs="宋体"/>
                <w:kern w:val="0"/>
              </w:rPr>
              <w:t>年初设定目标</w:t>
            </w:r>
            <w:r>
              <w:rPr>
                <w:rFonts w:hint="eastAsia" w:ascii="宋体" w:hAnsi="宋体"/>
                <w:kern w:val="0"/>
              </w:rPr>
              <w:t>　</w:t>
            </w:r>
          </w:p>
        </w:tc>
        <w:tc>
          <w:tcPr>
            <w:tcW w:w="4363"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全年实际完成情况</w:t>
            </w:r>
          </w:p>
        </w:tc>
      </w:tr>
      <w:tr>
        <w:tblPrEx>
          <w:tblCellMar>
            <w:top w:w="0" w:type="dxa"/>
            <w:left w:w="108" w:type="dxa"/>
            <w:bottom w:w="0" w:type="dxa"/>
            <w:right w:w="108" w:type="dxa"/>
          </w:tblCellMar>
        </w:tblPrEx>
        <w:trPr>
          <w:trHeight w:val="460"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4928" w:type="dxa"/>
            <w:gridSpan w:val="4"/>
            <w:tcBorders>
              <w:top w:val="single" w:color="auto" w:sz="4" w:space="0"/>
              <w:left w:val="nil"/>
              <w:bottom w:val="single" w:color="auto" w:sz="4" w:space="0"/>
              <w:right w:val="single" w:color="auto" w:sz="4" w:space="0"/>
            </w:tcBorders>
            <w:vAlign w:val="center"/>
          </w:tcPr>
          <w:p>
            <w:pPr>
              <w:widowControl/>
              <w:jc w:val="center"/>
              <w:rPr>
                <w:rFonts w:ascii="宋体"/>
                <w:kern w:val="0"/>
              </w:rPr>
            </w:pPr>
            <w:r>
              <w:rPr>
                <w:rFonts w:hint="eastAsia" w:ascii="宋体" w:hAnsi="宋体"/>
                <w:kern w:val="0"/>
              </w:rPr>
              <w:t>　</w:t>
            </w:r>
          </w:p>
        </w:tc>
        <w:tc>
          <w:tcPr>
            <w:tcW w:w="4363"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绩  效    指  标</w:t>
            </w:r>
          </w:p>
        </w:tc>
        <w:tc>
          <w:tcPr>
            <w:tcW w:w="675"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一级指标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二级指标</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三级指标</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年度指标值</w:t>
            </w:r>
          </w:p>
        </w:tc>
        <w:tc>
          <w:tcPr>
            <w:tcW w:w="110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全年</w:t>
            </w:r>
          </w:p>
          <w:p>
            <w:pPr>
              <w:widowControl/>
              <w:jc w:val="center"/>
              <w:rPr>
                <w:rFonts w:ascii="仿宋_GB2312" w:hAnsi="宋体" w:eastAsia="仿宋_GB2312" w:cs="宋体"/>
                <w:kern w:val="0"/>
              </w:rPr>
            </w:pPr>
            <w:r>
              <w:rPr>
                <w:rFonts w:hint="eastAsia" w:ascii="仿宋_GB2312" w:hAnsi="宋体" w:eastAsia="仿宋_GB2312" w:cs="宋体"/>
                <w:kern w:val="0"/>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未完成原因和</w:t>
            </w:r>
          </w:p>
          <w:p>
            <w:pPr>
              <w:widowControl/>
              <w:jc w:val="center"/>
              <w:rPr>
                <w:rFonts w:ascii="仿宋_GB2312" w:hAnsi="宋体" w:eastAsia="仿宋_GB2312" w:cs="宋体"/>
                <w:kern w:val="0"/>
              </w:rPr>
            </w:pPr>
            <w:r>
              <w:rPr>
                <w:rFonts w:hint="eastAsia" w:ascii="仿宋_GB2312" w:hAnsi="宋体" w:eastAsia="仿宋_GB2312" w:cs="宋体"/>
                <w:kern w:val="0"/>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restart"/>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产   出   指   标</w:t>
            </w:r>
          </w:p>
        </w:tc>
        <w:tc>
          <w:tcPr>
            <w:tcW w:w="709" w:type="dxa"/>
            <w:vMerge w:val="restart"/>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数量指标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709" w:type="dxa"/>
            <w:vMerge w:val="restart"/>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质量指标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709" w:type="dxa"/>
            <w:vMerge w:val="restart"/>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时效指标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709" w:type="dxa"/>
            <w:vMerge w:val="restart"/>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成本指标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556"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507"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restart"/>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效益   指标</w:t>
            </w:r>
          </w:p>
        </w:tc>
        <w:tc>
          <w:tcPr>
            <w:tcW w:w="709" w:type="dxa"/>
            <w:vMerge w:val="restart"/>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623"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619"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nil"/>
              <w:left w:val="single" w:color="auto" w:sz="4" w:space="0"/>
              <w:bottom w:val="single" w:color="auto" w:sz="4" w:space="0"/>
              <w:right w:val="single" w:color="auto" w:sz="4" w:space="0"/>
            </w:tcBorders>
            <w:vAlign w:val="center"/>
          </w:tcPr>
          <w:p>
            <w:pPr>
              <w:jc w:val="left"/>
              <w:rPr>
                <w:rFonts w:ascii="仿宋_GB2312" w:hAnsi="宋体" w:eastAsia="仿宋_GB2312" w:cs="宋体"/>
                <w:kern w:val="0"/>
              </w:rPr>
            </w:pPr>
            <w:r>
              <w:rPr>
                <w:rFonts w:hint="eastAsia" w:ascii="仿宋_GB2312" w:hAnsi="宋体" w:eastAsia="仿宋_GB2312" w:cs="宋体"/>
                <w:kern w:val="0"/>
              </w:rPr>
              <w:t>绩效指标</w:t>
            </w:r>
          </w:p>
        </w:tc>
        <w:tc>
          <w:tcPr>
            <w:tcW w:w="675" w:type="dxa"/>
            <w:vMerge w:val="restart"/>
            <w:tcBorders>
              <w:top w:val="nil"/>
              <w:left w:val="nil"/>
              <w:bottom w:val="single" w:color="auto" w:sz="4" w:space="0"/>
              <w:right w:val="single" w:color="auto" w:sz="4" w:space="0"/>
            </w:tcBorders>
            <w:vAlign w:val="center"/>
          </w:tcPr>
          <w:p>
            <w:pPr>
              <w:jc w:val="left"/>
              <w:rPr>
                <w:rFonts w:ascii="仿宋_GB2312" w:hAnsi="宋体" w:eastAsia="仿宋_GB2312" w:cs="宋体"/>
                <w:kern w:val="0"/>
              </w:rPr>
            </w:pPr>
            <w:r>
              <w:rPr>
                <w:rFonts w:hint="eastAsia" w:ascii="仿宋_GB2312" w:hAnsi="宋体" w:eastAsia="仿宋_GB2312" w:cs="宋体"/>
                <w:kern w:val="0"/>
              </w:rPr>
              <w:t>效   益   指   标</w:t>
            </w:r>
          </w:p>
        </w:tc>
        <w:tc>
          <w:tcPr>
            <w:tcW w:w="709" w:type="dxa"/>
            <w:vMerge w:val="restart"/>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生态效益  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709" w:type="dxa"/>
            <w:vMerge w:val="restart"/>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701"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701"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701"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w:t>
            </w:r>
          </w:p>
        </w:tc>
        <w:tc>
          <w:tcPr>
            <w:tcW w:w="1701"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restart"/>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满意度指标</w:t>
            </w:r>
          </w:p>
        </w:tc>
        <w:tc>
          <w:tcPr>
            <w:tcW w:w="709" w:type="dxa"/>
            <w:vMerge w:val="restart"/>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675" w:type="dxa"/>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vAlign w:val="center"/>
          </w:tcPr>
          <w:p>
            <w:pPr>
              <w:widowControl/>
              <w:rPr>
                <w:rFonts w:ascii="仿宋_GB2312" w:hAnsi="宋体" w:eastAsia="仿宋_GB2312" w:cs="宋体"/>
                <w:kern w:val="0"/>
              </w:rPr>
            </w:pPr>
            <w:r>
              <w:rPr>
                <w:rFonts w:hint="eastAsia" w:ascii="仿宋_GB2312" w:hAnsi="宋体" w:eastAsia="仿宋_GB2312" w:cs="宋体"/>
                <w:kern w:val="0"/>
              </w:rPr>
              <w:t>说明</w:t>
            </w:r>
          </w:p>
        </w:tc>
        <w:tc>
          <w:tcPr>
            <w:tcW w:w="9291" w:type="dxa"/>
            <w:gridSpan w:val="8"/>
            <w:tcBorders>
              <w:top w:val="single" w:color="auto" w:sz="4" w:space="0"/>
              <w:left w:val="nil"/>
              <w:bottom w:val="nil"/>
              <w:right w:val="single" w:color="000000" w:sz="4" w:space="0"/>
            </w:tcBorders>
            <w:vAlign w:val="center"/>
          </w:tcPr>
          <w:p>
            <w:pPr>
              <w:widowControl/>
              <w:jc w:val="center"/>
              <w:rPr>
                <w:rFonts w:ascii="仿宋_GB2312" w:hAnsi="宋体" w:eastAsia="仿宋_GB2312" w:cs="宋体"/>
                <w:kern w:val="0"/>
              </w:rPr>
            </w:pPr>
            <w:r>
              <w:rPr>
                <w:rFonts w:hint="eastAsia" w:ascii="仿宋_GB2312" w:hAnsi="宋体" w:eastAsia="仿宋_GB2312" w:cs="宋体"/>
                <w:kern w:val="0"/>
              </w:rPr>
              <w:t>请在此处简要说明各级监督检查中发现的问题及其所涉及的金额，如没有请填无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ind w:firstLine="420" w:firstLineChars="200"/>
              <w:jc w:val="left"/>
              <w:rPr>
                <w:rFonts w:ascii="仿宋_GB2312" w:hAnsi="宋体" w:eastAsia="仿宋_GB2312" w:cs="宋体"/>
                <w:kern w:val="0"/>
              </w:rPr>
            </w:pPr>
          </w:p>
          <w:p>
            <w:pPr>
              <w:widowControl/>
              <w:spacing w:line="360" w:lineRule="exact"/>
              <w:ind w:firstLine="420" w:firstLineChars="200"/>
              <w:jc w:val="left"/>
              <w:rPr>
                <w:rFonts w:hint="eastAsia" w:ascii="仿宋_GB2312" w:hAnsi="宋体" w:eastAsia="仿宋_GB2312" w:cs="宋体"/>
                <w:kern w:val="0"/>
              </w:rPr>
            </w:pPr>
            <w:r>
              <w:rPr>
                <w:rFonts w:hint="eastAsia" w:ascii="仿宋_GB2312" w:hAnsi="宋体" w:eastAsia="仿宋_GB2312" w:cs="宋体"/>
                <w:kern w:val="0"/>
              </w:rPr>
              <w:t>注：1、其他资金包括和中央、省、市补助、地方财政资金共同投入到同一项目的自有资金、社会资金，以及以前年度的结转结余资金等。 </w:t>
            </w:r>
          </w:p>
          <w:p>
            <w:pPr>
              <w:widowControl/>
              <w:spacing w:line="360" w:lineRule="exact"/>
              <w:ind w:firstLine="420" w:firstLineChars="200"/>
              <w:jc w:val="left"/>
              <w:rPr>
                <w:rFonts w:hint="eastAsia" w:ascii="仿宋_GB2312" w:hAnsi="宋体" w:eastAsia="仿宋_GB2312" w:cs="宋体"/>
                <w:kern w:val="0"/>
              </w:rPr>
            </w:pPr>
            <w:r>
              <w:rPr>
                <w:rFonts w:hint="eastAsia" w:ascii="仿宋_GB2312" w:hAnsi="宋体" w:eastAsia="仿宋_GB2312" w:cs="宋体"/>
                <w:kern w:val="0"/>
              </w:rPr>
              <w:t>2、定量指标，资金使用单位填写本地区实际完成数。各部门汇总时，对绝对值直接累加计算，相对值按照资金额度加权平均计算。</w:t>
            </w:r>
          </w:p>
          <w:p>
            <w:pPr>
              <w:widowControl/>
              <w:spacing w:line="360" w:lineRule="exact"/>
              <w:ind w:firstLine="420" w:firstLineChars="200"/>
              <w:jc w:val="left"/>
              <w:rPr>
                <w:rFonts w:hint="eastAsia" w:ascii="仿宋_GB2312" w:hAnsi="宋体" w:eastAsia="仿宋_GB2312" w:cs="宋体"/>
                <w:kern w:val="0"/>
              </w:rPr>
            </w:pPr>
            <w:r>
              <w:rPr>
                <w:rFonts w:hint="eastAsia" w:ascii="仿宋_GB2312" w:hAnsi="宋体" w:eastAsia="仿宋_GB2312" w:cs="宋体"/>
                <w:kern w:val="0"/>
              </w:rPr>
              <w:t>3、定性指标根据指标完成情况分为：全部或基本达成预期指标、部分达成预期指标并具有一定效果、未达成预期指标且效果较差三档，资金使用单位分别按照100％—80％（含）、80％—60％（含）、60％—0％合理填写完成比例。</w:t>
            </w:r>
          </w:p>
          <w:p>
            <w:pPr>
              <w:widowControl/>
              <w:spacing w:line="360" w:lineRule="exact"/>
              <w:ind w:firstLine="420" w:firstLineChars="200"/>
              <w:jc w:val="left"/>
              <w:rPr>
                <w:rFonts w:ascii="仿宋_GB2312" w:hAnsi="宋体" w:eastAsia="仿宋_GB2312" w:cs="宋体"/>
                <w:kern w:val="0"/>
              </w:rPr>
            </w:pPr>
            <w:r>
              <w:rPr>
                <w:rFonts w:hint="eastAsia" w:ascii="仿宋_GB2312" w:hAnsi="宋体" w:eastAsia="仿宋_GB2312" w:cs="宋体"/>
                <w:kern w:val="0"/>
              </w:rPr>
              <w:t>4、各主管部门及资金使用单位填写《自评表》并报送同级财政部门审核后，形成县级专项资金《自评表》。</w:t>
            </w:r>
          </w:p>
        </w:tc>
      </w:tr>
    </w:tbl>
    <w:p>
      <w:pPr>
        <w:rPr>
          <w:rFonts w:eastAsia="仿宋_GB2312"/>
          <w:kern w:val="0"/>
          <w:sz w:val="22"/>
          <w:szCs w:val="22"/>
        </w:rPr>
      </w:pPr>
      <w:r>
        <w:rPr>
          <w:rFonts w:eastAsia="仿宋_GB2312"/>
          <w:kern w:val="0"/>
          <w:sz w:val="22"/>
          <w:szCs w:val="22"/>
        </w:rPr>
        <w:t xml:space="preserve">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44AA6"/>
    <w:multiLevelType w:val="singleLevel"/>
    <w:tmpl w:val="BDD44AA6"/>
    <w:lvl w:ilvl="0" w:tentative="0">
      <w:start w:val="5"/>
      <w:numFmt w:val="chineseCounting"/>
      <w:suff w:val="nothing"/>
      <w:lvlText w:val="%1、"/>
      <w:lvlJc w:val="left"/>
      <w:rPr>
        <w:rFonts w:hint="eastAsia"/>
      </w:rPr>
    </w:lvl>
  </w:abstractNum>
  <w:abstractNum w:abstractNumId="1">
    <w:nsid w:val="DE7051B4"/>
    <w:multiLevelType w:val="singleLevel"/>
    <w:tmpl w:val="DE7051B4"/>
    <w:lvl w:ilvl="0" w:tentative="0">
      <w:start w:val="1"/>
      <w:numFmt w:val="chineseCounting"/>
      <w:suff w:val="nothing"/>
      <w:lvlText w:val="%1、"/>
      <w:lvlJc w:val="left"/>
      <w:rPr>
        <w:rFonts w:hint="eastAsia"/>
      </w:rPr>
    </w:lvl>
  </w:abstractNum>
  <w:abstractNum w:abstractNumId="2">
    <w:nsid w:val="30296AEB"/>
    <w:multiLevelType w:val="singleLevel"/>
    <w:tmpl w:val="30296AEB"/>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4E72C3"/>
    <w:rsid w:val="39783900"/>
    <w:rsid w:val="5FDF1A8E"/>
    <w:rsid w:val="727E8528"/>
    <w:rsid w:val="77FF65DB"/>
    <w:rsid w:val="9346AFB4"/>
    <w:rsid w:val="9BEDC9E7"/>
    <w:rsid w:val="C6E38495"/>
    <w:rsid w:val="C7FF6DBD"/>
    <w:rsid w:val="DB7FEF1E"/>
    <w:rsid w:val="DD5DECC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9</Pages>
  <Words>645</Words>
  <Characters>3680</Characters>
  <Lines>30</Lines>
  <Paragraphs>8</Paragraphs>
  <TotalTime>1</TotalTime>
  <ScaleCrop>false</ScaleCrop>
  <LinksUpToDate>false</LinksUpToDate>
  <CharactersWithSpaces>4317</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2021-04-30T19:55:00Z</dcterms:created>
  <dc:creator>微软用户</dc:creator>
  <cp:lastModifiedBy>郭郭</cp:lastModifiedBy>
  <dcterms:modified xsi:type="dcterms:W3CDTF">2021-12-30T02:58:55Z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EB94CD4D962543CA8C754D205EFE1697</vt:lpwstr>
  </property>
</Properties>
</file>