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rPr>
          <w:rFonts w:ascii="宋体" w:hAnsi="宋体" w:cs="宋体"/>
          <w:bCs/>
          <w:sz w:val="72"/>
          <w:szCs w:val="72"/>
        </w:rPr>
      </w:pPr>
      <w:r>
        <w:rPr>
          <w:rFonts w:hint="eastAsia" w:ascii="宋体" w:hAnsi="宋体" w:cs="宋体"/>
          <w:bCs/>
          <w:sz w:val="72"/>
          <w:szCs w:val="72"/>
        </w:rPr>
        <w:t>建设项目环境影响报告表</w:t>
      </w:r>
    </w:p>
    <w:p>
      <w:pPr>
        <w:adjustRightInd w:val="0"/>
        <w:snapToGrid w:val="0"/>
        <w:spacing w:beforeLines="80"/>
        <w:jc w:val="center"/>
        <w:rPr>
          <w:rFonts w:hint="eastAsia" w:ascii="宋体" w:hAnsi="宋体" w:eastAsia="宋体" w:cs="宋体"/>
          <w:bCs/>
          <w:sz w:val="48"/>
          <w:szCs w:val="48"/>
          <w:lang w:eastAsia="zh-CN"/>
        </w:rPr>
      </w:pPr>
      <w:r>
        <w:rPr>
          <w:rFonts w:hint="eastAsia" w:ascii="宋体" w:hAnsi="宋体" w:cs="宋体"/>
          <w:bCs/>
          <w:sz w:val="48"/>
          <w:szCs w:val="48"/>
        </w:rPr>
        <w:t>（污染影响类）</w:t>
      </w:r>
      <w:r>
        <w:rPr>
          <w:rFonts w:hint="eastAsia" w:ascii="宋体" w:hAnsi="宋体" w:cs="宋体"/>
          <w:bCs/>
          <w:sz w:val="48"/>
          <w:szCs w:val="48"/>
          <w:lang w:eastAsia="zh-CN"/>
        </w:rPr>
        <w:t>（</w:t>
      </w:r>
      <w:r>
        <w:rPr>
          <w:rFonts w:hint="eastAsia" w:ascii="宋体" w:hAnsi="宋体" w:cs="宋体"/>
          <w:bCs/>
          <w:sz w:val="48"/>
          <w:szCs w:val="48"/>
          <w:lang w:val="en-US" w:eastAsia="zh-CN"/>
        </w:rPr>
        <w:t>报批稿</w:t>
      </w:r>
      <w:r>
        <w:rPr>
          <w:rFonts w:hint="eastAsia" w:ascii="宋体" w:hAnsi="宋体" w:cs="宋体"/>
          <w:bCs/>
          <w:sz w:val="48"/>
          <w:szCs w:val="48"/>
          <w:lang w:eastAsia="zh-CN"/>
        </w:rPr>
        <w:t>）</w:t>
      </w:r>
    </w:p>
    <w:p>
      <w:pPr>
        <w:adjustRightInd w:val="0"/>
        <w:snapToGrid w:val="0"/>
        <w:spacing w:line="288" w:lineRule="auto"/>
        <w:jc w:val="center"/>
        <w:rPr>
          <w:rFonts w:ascii="宋体" w:hAnsi="宋体" w:cs="宋体"/>
          <w:color w:val="000000"/>
          <w:kern w:val="44"/>
          <w:sz w:val="44"/>
          <w:szCs w:val="44"/>
        </w:rPr>
      </w:pPr>
    </w:p>
    <w:p>
      <w:pPr>
        <w:jc w:val="center"/>
        <w:rPr>
          <w:rFonts w:ascii="宋体" w:hAnsi="宋体" w:cs="宋体"/>
          <w:sz w:val="52"/>
          <w:szCs w:val="52"/>
        </w:rPr>
      </w:pPr>
    </w:p>
    <w:p>
      <w:pPr>
        <w:ind w:firstLine="1040"/>
        <w:rPr>
          <w:rFonts w:ascii="宋体" w:hAnsi="宋体" w:cs="宋体"/>
          <w:sz w:val="44"/>
          <w:szCs w:val="44"/>
        </w:rPr>
      </w:pPr>
    </w:p>
    <w:p>
      <w:pPr>
        <w:ind w:firstLine="1040"/>
        <w:rPr>
          <w:rFonts w:ascii="宋体" w:hAnsi="宋体" w:cs="宋体"/>
          <w:sz w:val="44"/>
          <w:szCs w:val="44"/>
        </w:rPr>
      </w:pPr>
    </w:p>
    <w:p>
      <w:pPr>
        <w:ind w:firstLine="1040"/>
        <w:rPr>
          <w:rFonts w:ascii="宋体" w:hAnsi="宋体" w:cs="宋体"/>
          <w:sz w:val="44"/>
          <w:szCs w:val="44"/>
        </w:rPr>
      </w:pPr>
    </w:p>
    <w:p>
      <w:pPr>
        <w:ind w:firstLine="1040"/>
        <w:rPr>
          <w:rFonts w:ascii="宋体" w:hAnsi="宋体" w:cs="宋体"/>
          <w:sz w:val="44"/>
          <w:szCs w:val="44"/>
        </w:rPr>
      </w:pPr>
    </w:p>
    <w:p>
      <w:pPr>
        <w:adjustRightInd w:val="0"/>
        <w:snapToGrid w:val="0"/>
        <w:spacing w:line="288" w:lineRule="auto"/>
        <w:ind w:left="2160" w:hanging="2160" w:hangingChars="600"/>
        <w:rPr>
          <w:rFonts w:hint="eastAsia" w:ascii="宋体" w:hAnsi="宋体" w:cs="宋体"/>
          <w:sz w:val="36"/>
          <w:szCs w:val="36"/>
          <w:u w:val="single"/>
          <w:lang w:eastAsia="zh-CN"/>
        </w:rPr>
      </w:pPr>
      <w:r>
        <w:rPr>
          <w:rFonts w:hint="eastAsia" w:ascii="宋体" w:hAnsi="宋体" w:cs="宋体"/>
          <w:sz w:val="36"/>
          <w:szCs w:val="36"/>
        </w:rPr>
        <w:t>项目名称：</w:t>
      </w:r>
      <w:r>
        <w:rPr>
          <w:rFonts w:hint="eastAsia" w:ascii="宋体" w:hAnsi="宋体" w:cs="宋体"/>
          <w:sz w:val="36"/>
          <w:szCs w:val="36"/>
          <w:u w:val="single"/>
          <w:lang w:eastAsia="zh-CN"/>
        </w:rPr>
        <w:t>衡山县恒东竹木有限公司竹炭、竹制半成</w:t>
      </w:r>
    </w:p>
    <w:p>
      <w:pPr>
        <w:adjustRightInd w:val="0"/>
        <w:snapToGrid w:val="0"/>
        <w:spacing w:line="288" w:lineRule="auto"/>
        <w:ind w:left="2155" w:leftChars="855" w:hanging="360" w:hangingChars="100"/>
        <w:rPr>
          <w:rFonts w:ascii="宋体" w:hAnsi="宋体" w:cs="宋体"/>
          <w:sz w:val="36"/>
          <w:szCs w:val="36"/>
          <w:u w:val="single"/>
        </w:rPr>
      </w:pPr>
      <w:r>
        <w:rPr>
          <w:rFonts w:hint="eastAsia" w:ascii="宋体" w:hAnsi="宋体" w:cs="宋体"/>
          <w:sz w:val="36"/>
          <w:szCs w:val="36"/>
          <w:u w:val="single"/>
          <w:lang w:eastAsia="zh-CN"/>
        </w:rPr>
        <w:t>品生产建设项目</w:t>
      </w:r>
    </w:p>
    <w:p>
      <w:pPr>
        <w:adjustRightInd w:val="0"/>
        <w:snapToGrid w:val="0"/>
        <w:spacing w:line="288" w:lineRule="auto"/>
        <w:rPr>
          <w:rFonts w:hint="default" w:ascii="宋体" w:hAnsi="宋体" w:eastAsia="宋体" w:cs="宋体"/>
          <w:sz w:val="36"/>
          <w:szCs w:val="36"/>
          <w:u w:val="single"/>
          <w:lang w:val="en-US" w:eastAsia="zh-CN"/>
        </w:rPr>
      </w:pPr>
      <w:r>
        <w:rPr>
          <w:rFonts w:hint="eastAsia" w:ascii="宋体" w:hAnsi="宋体" w:cs="宋体"/>
          <w:sz w:val="36"/>
          <w:szCs w:val="36"/>
        </w:rPr>
        <w:t>建设单位（盖章）：</w:t>
      </w:r>
      <w:r>
        <w:rPr>
          <w:rFonts w:hint="eastAsia" w:ascii="宋体" w:hAnsi="宋体" w:cs="宋体"/>
          <w:sz w:val="36"/>
          <w:szCs w:val="36"/>
          <w:u w:val="single"/>
          <w:lang w:val="en-US" w:eastAsia="zh-CN"/>
        </w:rPr>
        <w:t xml:space="preserve">    </w:t>
      </w:r>
      <w:r>
        <w:rPr>
          <w:rFonts w:hint="eastAsia" w:ascii="宋体" w:hAnsi="宋体" w:cs="宋体"/>
          <w:sz w:val="36"/>
          <w:szCs w:val="36"/>
          <w:u w:val="single"/>
          <w:lang w:eastAsia="zh-CN"/>
        </w:rPr>
        <w:t>衡山县恒东竹木有限公司</w:t>
      </w:r>
      <w:r>
        <w:rPr>
          <w:rFonts w:hint="eastAsia" w:ascii="宋体" w:hAnsi="宋体" w:cs="宋体"/>
          <w:sz w:val="36"/>
          <w:szCs w:val="36"/>
          <w:u w:val="single"/>
          <w:lang w:val="en-US" w:eastAsia="zh-CN"/>
        </w:rPr>
        <w:t xml:space="preserve">  </w:t>
      </w:r>
    </w:p>
    <w:p>
      <w:pPr>
        <w:adjustRightInd w:val="0"/>
        <w:snapToGrid w:val="0"/>
        <w:spacing w:line="288" w:lineRule="auto"/>
        <w:rPr>
          <w:rFonts w:hint="default" w:ascii="宋体" w:hAnsi="宋体" w:eastAsia="宋体" w:cs="宋体"/>
          <w:sz w:val="36"/>
          <w:szCs w:val="36"/>
          <w:u w:val="single"/>
          <w:lang w:val="en-US" w:eastAsia="zh-CN"/>
        </w:rPr>
      </w:pPr>
      <w:r>
        <w:rPr>
          <w:rFonts w:hint="eastAsia" w:ascii="宋体" w:hAnsi="宋体" w:cs="宋体"/>
          <w:sz w:val="36"/>
          <w:szCs w:val="36"/>
        </w:rPr>
        <w:t>编制日期：</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202</w:t>
      </w:r>
      <w:r>
        <w:rPr>
          <w:rFonts w:hint="eastAsia" w:ascii="宋体" w:hAnsi="宋体" w:cs="宋体"/>
          <w:sz w:val="36"/>
          <w:szCs w:val="36"/>
          <w:u w:val="single"/>
          <w:lang w:val="en-US" w:eastAsia="zh-CN"/>
        </w:rPr>
        <w:t>2</w:t>
      </w:r>
      <w:r>
        <w:rPr>
          <w:rFonts w:hint="eastAsia" w:ascii="宋体" w:hAnsi="宋体" w:cs="宋体"/>
          <w:sz w:val="36"/>
          <w:szCs w:val="36"/>
          <w:u w:val="single"/>
        </w:rPr>
        <w:t>年</w:t>
      </w:r>
      <w:r>
        <w:rPr>
          <w:rFonts w:hint="eastAsia" w:ascii="宋体" w:hAnsi="宋体" w:cs="宋体"/>
          <w:sz w:val="36"/>
          <w:szCs w:val="36"/>
          <w:u w:val="single"/>
          <w:lang w:val="en-US" w:eastAsia="zh-CN"/>
        </w:rPr>
        <w:t>2</w:t>
      </w:r>
      <w:r>
        <w:rPr>
          <w:rFonts w:hint="eastAsia" w:ascii="宋体" w:hAnsi="宋体" w:cs="宋体"/>
          <w:sz w:val="36"/>
          <w:szCs w:val="36"/>
          <w:u w:val="single"/>
        </w:rPr>
        <w:t>月</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 xml:space="preserve"> </w:t>
      </w:r>
      <w:r>
        <w:rPr>
          <w:rFonts w:hint="eastAsia" w:ascii="宋体" w:hAnsi="宋体" w:cs="宋体"/>
          <w:sz w:val="36"/>
          <w:szCs w:val="36"/>
          <w:u w:val="single"/>
          <w:lang w:val="en-US" w:eastAsia="zh-CN"/>
        </w:rPr>
        <w:t xml:space="preserve">         </w:t>
      </w:r>
    </w:p>
    <w:p>
      <w:pPr>
        <w:adjustRightInd w:val="0"/>
        <w:snapToGrid w:val="0"/>
        <w:spacing w:line="288" w:lineRule="auto"/>
        <w:ind w:firstLine="1040"/>
        <w:rPr>
          <w:rFonts w:ascii="宋体" w:hAnsi="宋体" w:cs="宋体"/>
          <w:sz w:val="36"/>
          <w:szCs w:val="36"/>
          <w:u w:val="single"/>
        </w:rPr>
      </w:pPr>
      <w:bookmarkStart w:id="0" w:name="_Hlk57884087"/>
    </w:p>
    <w:p>
      <w:pPr>
        <w:adjustRightInd w:val="0"/>
        <w:snapToGrid w:val="0"/>
        <w:spacing w:line="288" w:lineRule="auto"/>
        <w:ind w:firstLine="1040"/>
        <w:rPr>
          <w:rFonts w:ascii="宋体" w:hAnsi="宋体" w:cs="宋体"/>
          <w:sz w:val="36"/>
          <w:szCs w:val="36"/>
        </w:rPr>
      </w:pPr>
    </w:p>
    <w:p>
      <w:pPr>
        <w:adjustRightInd w:val="0"/>
        <w:snapToGrid w:val="0"/>
        <w:spacing w:line="288" w:lineRule="auto"/>
        <w:ind w:firstLine="1040"/>
        <w:rPr>
          <w:rFonts w:ascii="宋体" w:hAnsi="宋体" w:cs="宋体"/>
          <w:sz w:val="36"/>
          <w:szCs w:val="36"/>
        </w:rPr>
      </w:pPr>
    </w:p>
    <w:p>
      <w:pPr>
        <w:adjustRightInd w:val="0"/>
        <w:snapToGrid w:val="0"/>
        <w:spacing w:line="288" w:lineRule="auto"/>
        <w:ind w:firstLine="1040"/>
        <w:rPr>
          <w:rFonts w:ascii="宋体" w:hAnsi="宋体" w:cs="宋体"/>
          <w:sz w:val="36"/>
          <w:szCs w:val="36"/>
        </w:rPr>
      </w:pPr>
    </w:p>
    <w:p>
      <w:pPr>
        <w:adjustRightInd w:val="0"/>
        <w:snapToGrid w:val="0"/>
        <w:spacing w:line="288" w:lineRule="auto"/>
        <w:ind w:firstLine="1040"/>
        <w:rPr>
          <w:rFonts w:ascii="宋体" w:hAnsi="宋体" w:cs="宋体"/>
          <w:sz w:val="36"/>
          <w:szCs w:val="36"/>
        </w:rPr>
      </w:pPr>
    </w:p>
    <w:bookmarkEnd w:id="0"/>
    <w:p>
      <w:pPr>
        <w:adjustRightInd w:val="0"/>
        <w:snapToGrid w:val="0"/>
        <w:spacing w:line="288" w:lineRule="auto"/>
        <w:jc w:val="center"/>
        <w:rPr>
          <w:rFonts w:ascii="楷体_GB2312" w:eastAsia="楷体_GB2312"/>
          <w:sz w:val="36"/>
          <w:szCs w:val="36"/>
        </w:rPr>
      </w:pPr>
      <w:r>
        <w:rPr>
          <w:rFonts w:hint="eastAsia" w:ascii="宋体" w:hAnsi="宋体" w:cs="宋体"/>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jc w:val="center"/>
        <w:rPr>
          <w:sz w:val="28"/>
          <w:szCs w:val="28"/>
        </w:rPr>
      </w:pPr>
      <w:r>
        <w:rPr>
          <w:rFonts w:ascii="宋体" w:hAnsi="宋体"/>
          <w:sz w:val="28"/>
          <w:szCs w:val="28"/>
        </w:rPr>
        <w:t>目录</w:t>
      </w:r>
    </w:p>
    <w:p>
      <w:pPr>
        <w:pStyle w:val="60"/>
        <w:tabs>
          <w:tab w:val="right" w:leader="dot" w:pos="8844"/>
        </w:tabs>
        <w:rPr>
          <w:sz w:val="28"/>
          <w:szCs w:val="28"/>
        </w:rPr>
      </w:pPr>
      <w:r>
        <w:rPr>
          <w:rFonts w:hint="eastAsia" w:ascii="宋体" w:hAnsi="宋体" w:cs="宋体"/>
          <w:snapToGrid w:val="0"/>
          <w:sz w:val="28"/>
          <w:szCs w:val="28"/>
        </w:rPr>
        <w:fldChar w:fldCharType="begin"/>
      </w:r>
      <w:r>
        <w:rPr>
          <w:rFonts w:hint="eastAsia" w:ascii="宋体" w:hAnsi="宋体" w:cs="宋体"/>
          <w:snapToGrid w:val="0"/>
          <w:sz w:val="28"/>
          <w:szCs w:val="28"/>
        </w:rPr>
        <w:instrText xml:space="preserve">TOC \o "1-1" \h \u </w:instrText>
      </w:r>
      <w:r>
        <w:rPr>
          <w:rFonts w:hint="eastAsia" w:ascii="宋体" w:hAnsi="宋体" w:cs="宋体"/>
          <w:snapToGrid w:val="0"/>
          <w:sz w:val="28"/>
          <w:szCs w:val="28"/>
        </w:rPr>
        <w:fldChar w:fldCharType="separate"/>
      </w:r>
      <w:r>
        <w:fldChar w:fldCharType="begin"/>
      </w:r>
      <w:r>
        <w:instrText xml:space="preserve"> HYPERLINK \l "_Toc13488" </w:instrText>
      </w:r>
      <w:r>
        <w:fldChar w:fldCharType="separate"/>
      </w:r>
      <w:r>
        <w:rPr>
          <w:snapToGrid w:val="0"/>
          <w:sz w:val="28"/>
          <w:szCs w:val="28"/>
        </w:rPr>
        <w:t>一、建设项目基本情况</w:t>
      </w:r>
      <w:r>
        <w:rPr>
          <w:sz w:val="28"/>
          <w:szCs w:val="28"/>
        </w:rPr>
        <w:tab/>
      </w:r>
      <w:r>
        <w:rPr>
          <w:sz w:val="28"/>
          <w:szCs w:val="28"/>
        </w:rPr>
        <w:fldChar w:fldCharType="begin"/>
      </w:r>
      <w:r>
        <w:rPr>
          <w:sz w:val="28"/>
          <w:szCs w:val="28"/>
        </w:rPr>
        <w:instrText xml:space="preserve"> PAGEREF _Toc13488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60"/>
        <w:tabs>
          <w:tab w:val="right" w:leader="dot" w:pos="8844"/>
        </w:tabs>
        <w:rPr>
          <w:sz w:val="28"/>
          <w:szCs w:val="28"/>
        </w:rPr>
      </w:pPr>
      <w:r>
        <w:fldChar w:fldCharType="begin"/>
      </w:r>
      <w:r>
        <w:instrText xml:space="preserve"> HYPERLINK \l "_Toc12621" </w:instrText>
      </w:r>
      <w:r>
        <w:fldChar w:fldCharType="separate"/>
      </w:r>
      <w:r>
        <w:rPr>
          <w:snapToGrid w:val="0"/>
          <w:sz w:val="28"/>
          <w:szCs w:val="28"/>
        </w:rPr>
        <w:t>二、建设项目工程分析</w:t>
      </w:r>
      <w:r>
        <w:rPr>
          <w:sz w:val="28"/>
          <w:szCs w:val="28"/>
        </w:rPr>
        <w:tab/>
      </w:r>
      <w:r>
        <w:rPr>
          <w:sz w:val="28"/>
          <w:szCs w:val="28"/>
        </w:rPr>
        <w:fldChar w:fldCharType="begin"/>
      </w:r>
      <w:r>
        <w:rPr>
          <w:sz w:val="28"/>
          <w:szCs w:val="28"/>
        </w:rPr>
        <w:instrText xml:space="preserve"> PAGEREF _Toc12621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0"/>
        <w:tabs>
          <w:tab w:val="right" w:leader="dot" w:pos="8844"/>
        </w:tabs>
        <w:rPr>
          <w:sz w:val="28"/>
          <w:szCs w:val="28"/>
        </w:rPr>
      </w:pPr>
      <w:r>
        <w:fldChar w:fldCharType="begin"/>
      </w:r>
      <w:r>
        <w:instrText xml:space="preserve"> HYPERLINK \l "_Toc26667" </w:instrText>
      </w:r>
      <w:r>
        <w:fldChar w:fldCharType="separate"/>
      </w:r>
      <w:r>
        <w:rPr>
          <w:snapToGrid w:val="0"/>
          <w:sz w:val="28"/>
          <w:szCs w:val="28"/>
        </w:rPr>
        <w:t>三、区域环境质量现状、环境保护目标及评价标准</w:t>
      </w:r>
      <w:r>
        <w:rPr>
          <w:sz w:val="28"/>
          <w:szCs w:val="28"/>
        </w:rPr>
        <w:tab/>
      </w:r>
      <w:r>
        <w:rPr>
          <w:sz w:val="28"/>
          <w:szCs w:val="28"/>
        </w:rPr>
        <w:fldChar w:fldCharType="begin"/>
      </w:r>
      <w:r>
        <w:rPr>
          <w:sz w:val="28"/>
          <w:szCs w:val="28"/>
        </w:rPr>
        <w:instrText xml:space="preserve"> PAGEREF _Toc26667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60"/>
        <w:tabs>
          <w:tab w:val="right" w:leader="dot" w:pos="8844"/>
        </w:tabs>
        <w:rPr>
          <w:sz w:val="28"/>
          <w:szCs w:val="28"/>
        </w:rPr>
      </w:pPr>
      <w:r>
        <w:fldChar w:fldCharType="begin"/>
      </w:r>
      <w:r>
        <w:instrText xml:space="preserve"> HYPERLINK \l "_Toc31524" </w:instrText>
      </w:r>
      <w:r>
        <w:fldChar w:fldCharType="separate"/>
      </w:r>
      <w:r>
        <w:rPr>
          <w:snapToGrid w:val="0"/>
          <w:sz w:val="28"/>
          <w:szCs w:val="28"/>
        </w:rPr>
        <w:t>四、主要环境影响和保护措施</w:t>
      </w:r>
      <w:r>
        <w:rPr>
          <w:sz w:val="28"/>
          <w:szCs w:val="28"/>
        </w:rPr>
        <w:tab/>
      </w:r>
      <w:r>
        <w:rPr>
          <w:sz w:val="28"/>
          <w:szCs w:val="28"/>
        </w:rPr>
        <w:fldChar w:fldCharType="begin"/>
      </w:r>
      <w:r>
        <w:rPr>
          <w:sz w:val="28"/>
          <w:szCs w:val="28"/>
        </w:rPr>
        <w:instrText xml:space="preserve"> PAGEREF _Toc31524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60"/>
        <w:tabs>
          <w:tab w:val="right" w:leader="dot" w:pos="8844"/>
        </w:tabs>
        <w:rPr>
          <w:sz w:val="28"/>
          <w:szCs w:val="28"/>
        </w:rPr>
      </w:pPr>
      <w:r>
        <w:fldChar w:fldCharType="begin"/>
      </w:r>
      <w:r>
        <w:instrText xml:space="preserve"> HYPERLINK \l "_Toc8809" </w:instrText>
      </w:r>
      <w:r>
        <w:fldChar w:fldCharType="separate"/>
      </w:r>
      <w:r>
        <w:rPr>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_Toc8809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60"/>
        <w:tabs>
          <w:tab w:val="right" w:leader="dot" w:pos="8844"/>
        </w:tabs>
        <w:rPr>
          <w:sz w:val="28"/>
          <w:szCs w:val="28"/>
        </w:rPr>
      </w:pPr>
      <w:r>
        <w:fldChar w:fldCharType="begin"/>
      </w:r>
      <w:r>
        <w:instrText xml:space="preserve"> HYPERLINK \l "_Toc14135" </w:instrText>
      </w:r>
      <w:r>
        <w:fldChar w:fldCharType="separate"/>
      </w:r>
      <w:r>
        <w:rPr>
          <w:snapToGrid w:val="0"/>
          <w:sz w:val="28"/>
          <w:szCs w:val="28"/>
        </w:rPr>
        <w:t>六、结论</w:t>
      </w:r>
      <w:r>
        <w:rPr>
          <w:sz w:val="28"/>
          <w:szCs w:val="28"/>
        </w:rPr>
        <w:tab/>
      </w:r>
      <w:r>
        <w:rPr>
          <w:sz w:val="28"/>
          <w:szCs w:val="28"/>
        </w:rPr>
        <w:fldChar w:fldCharType="begin"/>
      </w:r>
      <w:r>
        <w:rPr>
          <w:sz w:val="28"/>
          <w:szCs w:val="28"/>
        </w:rPr>
        <w:instrText xml:space="preserve"> PAGEREF _Toc14135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60"/>
        <w:tabs>
          <w:tab w:val="right" w:leader="dot" w:pos="8844"/>
        </w:tabs>
        <w:rPr>
          <w:sz w:val="28"/>
          <w:szCs w:val="28"/>
        </w:rPr>
      </w:pPr>
      <w:r>
        <w:fldChar w:fldCharType="begin"/>
      </w:r>
      <w:r>
        <w:instrText xml:space="preserve"> HYPERLINK \l "_Toc5991" </w:instrText>
      </w:r>
      <w:r>
        <w:fldChar w:fldCharType="separate"/>
      </w:r>
      <w:r>
        <w:rPr>
          <w:snapToGrid w:val="0"/>
          <w:sz w:val="28"/>
          <w:szCs w:val="28"/>
        </w:rPr>
        <w:t>附表</w:t>
      </w:r>
      <w:r>
        <w:rPr>
          <w:sz w:val="28"/>
          <w:szCs w:val="28"/>
        </w:rPr>
        <w:tab/>
      </w:r>
      <w:r>
        <w:rPr>
          <w:sz w:val="28"/>
          <w:szCs w:val="28"/>
        </w:rPr>
        <w:fldChar w:fldCharType="begin"/>
      </w:r>
      <w:r>
        <w:rPr>
          <w:sz w:val="28"/>
          <w:szCs w:val="28"/>
        </w:rPr>
        <w:instrText xml:space="preserve"> PAGEREF _Toc5991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60"/>
        <w:tabs>
          <w:tab w:val="right" w:leader="dot" w:pos="8844"/>
        </w:tabs>
        <w:rPr>
          <w:rFonts w:ascii="宋体" w:hAnsi="宋体" w:cs="宋体"/>
          <w:sz w:val="28"/>
          <w:szCs w:val="28"/>
        </w:rPr>
      </w:pPr>
      <w:r>
        <w:fldChar w:fldCharType="begin"/>
      </w:r>
      <w:r>
        <w:instrText xml:space="preserve"> HYPERLINK \l "_Toc8125" </w:instrText>
      </w:r>
      <w:r>
        <w:fldChar w:fldCharType="separate"/>
      </w:r>
      <w:r>
        <w:rPr>
          <w:snapToGrid w:val="0"/>
          <w:sz w:val="28"/>
          <w:szCs w:val="28"/>
        </w:rPr>
        <w:t>建设项目污染物排放量汇总表</w:t>
      </w:r>
      <w:r>
        <w:rPr>
          <w:sz w:val="28"/>
          <w:szCs w:val="28"/>
        </w:rPr>
        <w:tab/>
      </w:r>
      <w:r>
        <w:rPr>
          <w:sz w:val="28"/>
          <w:szCs w:val="28"/>
        </w:rPr>
        <w:fldChar w:fldCharType="begin"/>
      </w:r>
      <w:r>
        <w:rPr>
          <w:sz w:val="28"/>
          <w:szCs w:val="28"/>
        </w:rPr>
        <w:instrText xml:space="preserve"> PAGEREF _Toc8125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60"/>
        <w:tabs>
          <w:tab w:val="right" w:leader="dot" w:pos="8844"/>
        </w:tabs>
        <w:rPr>
          <w:sz w:val="28"/>
          <w:szCs w:val="28"/>
        </w:rPr>
      </w:pPr>
    </w:p>
    <w:p>
      <w:pPr>
        <w:rPr>
          <w:snapToGrid w:val="0"/>
          <w:sz w:val="24"/>
        </w:rPr>
      </w:pPr>
      <w:r>
        <w:rPr>
          <w:rFonts w:hint="eastAsia" w:ascii="宋体" w:hAnsi="宋体" w:cs="宋体"/>
          <w:snapToGrid w:val="0"/>
          <w:sz w:val="28"/>
          <w:szCs w:val="28"/>
        </w:rPr>
        <w:fldChar w:fldCharType="end"/>
      </w:r>
      <w:r>
        <w:rPr>
          <w:snapToGrid w:val="0"/>
          <w:sz w:val="24"/>
        </w:rPr>
        <w:t>附件</w:t>
      </w:r>
    </w:p>
    <w:p>
      <w:pPr>
        <w:rPr>
          <w:snapToGrid w:val="0"/>
          <w:sz w:val="24"/>
        </w:rPr>
      </w:pPr>
      <w:r>
        <w:rPr>
          <w:snapToGrid w:val="0"/>
          <w:sz w:val="24"/>
        </w:rPr>
        <w:t>附件1 环评委托书</w:t>
      </w:r>
    </w:p>
    <w:p>
      <w:pPr>
        <w:rPr>
          <w:rFonts w:hint="default" w:eastAsia="宋体"/>
          <w:snapToGrid w:val="0"/>
          <w:sz w:val="24"/>
          <w:lang w:val="en-US" w:eastAsia="zh-CN"/>
        </w:rPr>
      </w:pPr>
      <w:r>
        <w:rPr>
          <w:snapToGrid w:val="0"/>
          <w:sz w:val="24"/>
        </w:rPr>
        <w:t>附件</w:t>
      </w:r>
      <w:r>
        <w:rPr>
          <w:rFonts w:hint="eastAsia"/>
          <w:snapToGrid w:val="0"/>
          <w:sz w:val="24"/>
          <w:lang w:val="en-US" w:eastAsia="zh-CN"/>
        </w:rPr>
        <w:t>2</w:t>
      </w:r>
      <w:r>
        <w:rPr>
          <w:snapToGrid w:val="0"/>
          <w:sz w:val="24"/>
        </w:rPr>
        <w:t xml:space="preserve"> </w:t>
      </w:r>
      <w:r>
        <w:rPr>
          <w:rFonts w:hint="eastAsia"/>
          <w:snapToGrid w:val="0"/>
          <w:sz w:val="24"/>
          <w:lang w:val="en-US" w:eastAsia="zh-CN"/>
        </w:rPr>
        <w:t>土地手续</w:t>
      </w:r>
    </w:p>
    <w:p>
      <w:pPr>
        <w:rPr>
          <w:rFonts w:hint="default" w:eastAsia="宋体"/>
          <w:snapToGrid w:val="0"/>
          <w:sz w:val="24"/>
          <w:lang w:val="en-US" w:eastAsia="zh-CN"/>
        </w:rPr>
      </w:pPr>
      <w:r>
        <w:rPr>
          <w:rFonts w:hint="eastAsia"/>
          <w:snapToGrid w:val="0"/>
          <w:sz w:val="24"/>
          <w:lang w:val="en-US" w:eastAsia="zh-CN"/>
        </w:rPr>
        <w:t>附件3 发改委备案文件</w:t>
      </w:r>
    </w:p>
    <w:p>
      <w:pPr>
        <w:rPr>
          <w:snapToGrid w:val="0"/>
          <w:sz w:val="24"/>
        </w:rPr>
      </w:pPr>
      <w:r>
        <w:rPr>
          <w:rFonts w:hint="eastAsia"/>
          <w:snapToGrid w:val="0"/>
          <w:sz w:val="24"/>
        </w:rPr>
        <w:t>附件</w:t>
      </w:r>
      <w:r>
        <w:rPr>
          <w:rFonts w:hint="eastAsia"/>
          <w:snapToGrid w:val="0"/>
          <w:sz w:val="24"/>
          <w:lang w:val="en-US" w:eastAsia="zh-CN"/>
        </w:rPr>
        <w:t>4</w:t>
      </w:r>
      <w:r>
        <w:rPr>
          <w:rFonts w:hint="eastAsia"/>
          <w:snapToGrid w:val="0"/>
          <w:sz w:val="24"/>
        </w:rPr>
        <w:t xml:space="preserve"> 营业执照</w:t>
      </w:r>
    </w:p>
    <w:p>
      <w:pPr>
        <w:rPr>
          <w:rFonts w:hint="default"/>
          <w:snapToGrid w:val="0"/>
          <w:sz w:val="24"/>
          <w:lang w:val="en-US" w:eastAsia="zh-CN"/>
        </w:rPr>
      </w:pPr>
      <w:r>
        <w:rPr>
          <w:rFonts w:hint="eastAsia"/>
          <w:snapToGrid w:val="0"/>
          <w:sz w:val="24"/>
          <w:lang w:val="en-US" w:eastAsia="zh-CN"/>
        </w:rPr>
        <w:t>附件5 监测数据</w:t>
      </w:r>
    </w:p>
    <w:p>
      <w:pPr>
        <w:rPr>
          <w:rFonts w:hint="default" w:eastAsia="宋体"/>
          <w:snapToGrid w:val="0"/>
          <w:sz w:val="24"/>
          <w:lang w:val="en-US" w:eastAsia="zh-CN"/>
        </w:rPr>
      </w:pPr>
      <w:r>
        <w:rPr>
          <w:rFonts w:hint="eastAsia"/>
          <w:snapToGrid w:val="0"/>
          <w:sz w:val="24"/>
          <w:lang w:val="en-US" w:eastAsia="zh-CN"/>
        </w:rPr>
        <w:t>附件6 报告表编制依据</w:t>
      </w:r>
    </w:p>
    <w:p>
      <w:pPr>
        <w:rPr>
          <w:rFonts w:hint="eastAsia"/>
          <w:snapToGrid w:val="0"/>
          <w:sz w:val="24"/>
          <w:lang w:val="en-US" w:eastAsia="zh-CN"/>
        </w:rPr>
      </w:pPr>
      <w:r>
        <w:rPr>
          <w:rFonts w:hint="eastAsia"/>
          <w:snapToGrid w:val="0"/>
          <w:sz w:val="24"/>
          <w:lang w:val="en-US" w:eastAsia="zh-CN"/>
        </w:rPr>
        <w:t>附件7 专家评审意见</w:t>
      </w:r>
    </w:p>
    <w:p>
      <w:pPr>
        <w:rPr>
          <w:rFonts w:hint="eastAsia"/>
          <w:snapToGrid w:val="0"/>
          <w:sz w:val="24"/>
          <w:lang w:val="en-US" w:eastAsia="zh-CN"/>
        </w:rPr>
      </w:pPr>
      <w:r>
        <w:rPr>
          <w:rFonts w:hint="eastAsia"/>
          <w:snapToGrid w:val="0"/>
          <w:sz w:val="24"/>
          <w:lang w:val="en-US" w:eastAsia="zh-CN"/>
        </w:rPr>
        <w:t>附件8 专家签到表</w:t>
      </w:r>
    </w:p>
    <w:p>
      <w:pPr>
        <w:rPr>
          <w:snapToGrid w:val="0"/>
          <w:sz w:val="24"/>
        </w:rPr>
      </w:pPr>
      <w:r>
        <w:rPr>
          <w:snapToGrid w:val="0"/>
          <w:sz w:val="24"/>
        </w:rPr>
        <w:t>附图</w:t>
      </w:r>
    </w:p>
    <w:p>
      <w:pPr>
        <w:rPr>
          <w:snapToGrid w:val="0"/>
          <w:sz w:val="24"/>
        </w:rPr>
      </w:pPr>
      <w:r>
        <w:rPr>
          <w:snapToGrid w:val="0"/>
          <w:sz w:val="24"/>
        </w:rPr>
        <w:t>附图1 项目地理位置图</w:t>
      </w:r>
    </w:p>
    <w:p>
      <w:pPr>
        <w:rPr>
          <w:snapToGrid w:val="0"/>
          <w:sz w:val="24"/>
        </w:rPr>
      </w:pPr>
      <w:r>
        <w:rPr>
          <w:snapToGrid w:val="0"/>
          <w:sz w:val="24"/>
        </w:rPr>
        <w:t>附图</w:t>
      </w:r>
      <w:r>
        <w:rPr>
          <w:rFonts w:hint="eastAsia"/>
          <w:snapToGrid w:val="0"/>
          <w:sz w:val="24"/>
          <w:lang w:val="en-US" w:eastAsia="zh-CN"/>
        </w:rPr>
        <w:t>2</w:t>
      </w:r>
      <w:r>
        <w:rPr>
          <w:snapToGrid w:val="0"/>
          <w:sz w:val="24"/>
        </w:rPr>
        <w:t xml:space="preserve"> 项目平面布置图</w:t>
      </w:r>
    </w:p>
    <w:p>
      <w:pPr>
        <w:rPr>
          <w:rFonts w:hint="default" w:eastAsia="宋体"/>
          <w:snapToGrid w:val="0"/>
          <w:sz w:val="24"/>
          <w:lang w:val="en-US" w:eastAsia="zh-CN"/>
        </w:rPr>
      </w:pPr>
      <w:r>
        <w:rPr>
          <w:rFonts w:hint="eastAsia"/>
          <w:snapToGrid w:val="0"/>
          <w:sz w:val="24"/>
          <w:lang w:val="en-US" w:eastAsia="zh-CN"/>
        </w:rPr>
        <w:t>附图3 监测布点图</w:t>
      </w:r>
    </w:p>
    <w:p>
      <w:pPr>
        <w:rPr>
          <w:snapToGrid w:val="0"/>
          <w:sz w:val="24"/>
        </w:rPr>
      </w:pPr>
      <w:r>
        <w:rPr>
          <w:snapToGrid w:val="0"/>
          <w:sz w:val="24"/>
        </w:rPr>
        <w:t>附图</w:t>
      </w:r>
      <w:r>
        <w:rPr>
          <w:rFonts w:hint="eastAsia"/>
          <w:snapToGrid w:val="0"/>
          <w:sz w:val="24"/>
          <w:lang w:val="en-US" w:eastAsia="zh-CN"/>
        </w:rPr>
        <w:t>4</w:t>
      </w:r>
      <w:r>
        <w:rPr>
          <w:snapToGrid w:val="0"/>
          <w:sz w:val="24"/>
        </w:rPr>
        <w:t xml:space="preserve"> 项目周边环境敏感目标图</w:t>
      </w:r>
    </w:p>
    <w:p>
      <w:pPr>
        <w:rPr>
          <w:rStyle w:val="26"/>
          <w:kern w:val="0"/>
          <w:szCs w:val="20"/>
        </w:rPr>
      </w:pPr>
      <w:r>
        <w:rPr>
          <w:snapToGrid w:val="0"/>
          <w:sz w:val="24"/>
        </w:rPr>
        <w:t>附图</w:t>
      </w:r>
      <w:r>
        <w:rPr>
          <w:rFonts w:hint="eastAsia"/>
          <w:snapToGrid w:val="0"/>
          <w:sz w:val="24"/>
          <w:lang w:val="en-US" w:eastAsia="zh-CN"/>
        </w:rPr>
        <w:t>5</w:t>
      </w:r>
      <w:r>
        <w:rPr>
          <w:snapToGrid w:val="0"/>
          <w:sz w:val="24"/>
        </w:rPr>
        <w:t xml:space="preserve"> 项目现场照片图</w:t>
      </w:r>
    </w:p>
    <w:p>
      <w:pPr>
        <w:rPr>
          <w:rFonts w:cs="宋体"/>
          <w:snapToGrid w:val="0"/>
          <w:sz w:val="30"/>
          <w:szCs w:val="30"/>
        </w:rPr>
      </w:pPr>
      <w:r>
        <w:rPr>
          <w:rFonts w:cs="宋体"/>
          <w:snapToGrid w:val="0"/>
          <w:sz w:val="30"/>
          <w:szCs w:val="30"/>
        </w:rPr>
        <w:br w:type="page"/>
      </w:r>
    </w:p>
    <w:p>
      <w:pPr>
        <w:pStyle w:val="20"/>
        <w:jc w:val="both"/>
      </w:pPr>
    </w:p>
    <w:p>
      <w:pPr>
        <w:pStyle w:val="20"/>
        <w:jc w:val="both"/>
        <w:rPr>
          <w:rFonts w:cs="宋体"/>
          <w:snapToGrid w:val="0"/>
          <w:sz w:val="30"/>
          <w:szCs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drawing>
          <wp:inline distT="0" distB="0" distL="114300" distR="114300">
            <wp:extent cx="5269865" cy="6920230"/>
            <wp:effectExtent l="0" t="0" r="6985" b="139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5269865" cy="6920230"/>
                    </a:xfrm>
                    <a:prstGeom prst="rect">
                      <a:avLst/>
                    </a:prstGeom>
                    <a:noFill/>
                    <a:ln>
                      <a:noFill/>
                    </a:ln>
                  </pic:spPr>
                </pic:pic>
              </a:graphicData>
            </a:graphic>
          </wp:inline>
        </w:drawing>
      </w:r>
    </w:p>
    <w:p>
      <w:pPr>
        <w:pStyle w:val="20"/>
        <w:jc w:val="center"/>
        <w:outlineLvl w:val="0"/>
        <w:rPr>
          <w:rFonts w:ascii="黑体" w:hAnsi="黑体" w:eastAsia="黑体"/>
          <w:snapToGrid w:val="0"/>
          <w:sz w:val="30"/>
          <w:szCs w:val="30"/>
        </w:rPr>
      </w:pPr>
      <w:bookmarkStart w:id="1" w:name="_Toc13488"/>
      <w:r>
        <w:rPr>
          <w:rFonts w:hint="eastAsia" w:cs="宋体"/>
          <w:snapToGrid w:val="0"/>
          <w:sz w:val="30"/>
          <w:szCs w:val="30"/>
        </w:rPr>
        <w:t>一、建设项目基本情况</w:t>
      </w:r>
      <w:bookmarkEnd w:id="1"/>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42"/>
        <w:gridCol w:w="1641"/>
        <w:gridCol w:w="2200"/>
        <w:gridCol w:w="2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建设项目名称</w:t>
            </w:r>
          </w:p>
        </w:tc>
        <w:tc>
          <w:tcPr>
            <w:tcW w:w="3735" w:type="pct"/>
            <w:gridSpan w:val="3"/>
            <w:vAlign w:val="center"/>
          </w:tcPr>
          <w:p>
            <w:pPr>
              <w:adjustRightInd w:val="0"/>
              <w:snapToGrid w:val="0"/>
              <w:jc w:val="center"/>
              <w:rPr>
                <w:rFonts w:hint="eastAsia" w:eastAsia="宋体"/>
                <w:sz w:val="24"/>
                <w:lang w:eastAsia="zh-CN"/>
              </w:rPr>
            </w:pPr>
            <w:r>
              <w:rPr>
                <w:rFonts w:hint="eastAsia"/>
                <w:sz w:val="24"/>
                <w:lang w:eastAsia="zh-CN"/>
              </w:rPr>
              <w:t>衡山县恒东竹木有限公司竹炭、竹制半成品生产建设项目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项目代码</w:t>
            </w:r>
          </w:p>
        </w:tc>
        <w:tc>
          <w:tcPr>
            <w:tcW w:w="3735" w:type="pct"/>
            <w:gridSpan w:val="3"/>
            <w:vAlign w:val="center"/>
          </w:tcPr>
          <w:p>
            <w:pPr>
              <w:adjustRightInd w:val="0"/>
              <w:snapToGrid w:val="0"/>
              <w:jc w:val="cente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建设单位联系人</w:t>
            </w:r>
          </w:p>
        </w:tc>
        <w:tc>
          <w:tcPr>
            <w:tcW w:w="925" w:type="pct"/>
            <w:vAlign w:val="center"/>
          </w:tcPr>
          <w:p>
            <w:pPr>
              <w:adjustRightInd w:val="0"/>
              <w:snapToGrid w:val="0"/>
              <w:jc w:val="center"/>
              <w:rPr>
                <w:rFonts w:hint="eastAsia" w:eastAsia="宋体"/>
                <w:sz w:val="24"/>
                <w:lang w:eastAsia="zh-CN"/>
              </w:rPr>
            </w:pPr>
            <w:r>
              <w:rPr>
                <w:rFonts w:hint="eastAsia"/>
                <w:sz w:val="24"/>
                <w:lang w:eastAsia="zh-CN"/>
              </w:rPr>
              <w:t>王安东</w:t>
            </w:r>
          </w:p>
        </w:tc>
        <w:tc>
          <w:tcPr>
            <w:tcW w:w="1240" w:type="pct"/>
            <w:vAlign w:val="center"/>
          </w:tcPr>
          <w:p>
            <w:pPr>
              <w:adjustRightInd w:val="0"/>
              <w:snapToGrid w:val="0"/>
              <w:jc w:val="center"/>
              <w:rPr>
                <w:sz w:val="24"/>
              </w:rPr>
            </w:pPr>
            <w:r>
              <w:rPr>
                <w:sz w:val="24"/>
              </w:rPr>
              <w:t>联系方式</w:t>
            </w:r>
          </w:p>
        </w:tc>
        <w:tc>
          <w:tcPr>
            <w:tcW w:w="1570" w:type="pct"/>
            <w:vAlign w:val="center"/>
          </w:tcPr>
          <w:p>
            <w:pPr>
              <w:adjustRightInd w:val="0"/>
              <w:snapToGrid w:val="0"/>
              <w:jc w:val="center"/>
              <w:rPr>
                <w:rFonts w:hint="default" w:eastAsia="宋体"/>
                <w:sz w:val="24"/>
                <w:lang w:val="en-US" w:eastAsia="zh-CN"/>
              </w:rPr>
            </w:pPr>
            <w:r>
              <w:rPr>
                <w:rFonts w:hint="eastAsia"/>
                <w:color w:val="000000" w:themeColor="text1"/>
                <w:sz w:val="24"/>
                <w:lang w:val="en-US" w:eastAsia="zh-CN"/>
                <w14:textFill>
                  <w14:solidFill>
                    <w14:schemeClr w14:val="tx1"/>
                  </w14:solidFill>
                </w14:textFill>
              </w:rPr>
              <w:t>13600****</w:t>
            </w:r>
            <w:bookmarkStart w:id="15" w:name="_GoBack"/>
            <w:bookmarkEnd w:id="15"/>
            <w:r>
              <w:rPr>
                <w:rFonts w:hint="eastAsia"/>
                <w:color w:val="000000" w:themeColor="text1"/>
                <w:sz w:val="24"/>
                <w:lang w:val="en-US" w:eastAsia="zh-CN"/>
                <w14:textFill>
                  <w14:solidFill>
                    <w14:schemeClr w14:val="tx1"/>
                  </w14:solidFill>
                </w14:textFill>
              </w:rPr>
              <w:t>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建设地点</w:t>
            </w:r>
          </w:p>
        </w:tc>
        <w:tc>
          <w:tcPr>
            <w:tcW w:w="3735" w:type="pct"/>
            <w:gridSpan w:val="3"/>
            <w:vAlign w:val="center"/>
          </w:tcPr>
          <w:p>
            <w:pPr>
              <w:adjustRightInd w:val="0"/>
              <w:snapToGrid w:val="0"/>
              <w:jc w:val="center"/>
              <w:rPr>
                <w:rFonts w:hint="eastAsia" w:eastAsia="宋体"/>
                <w:sz w:val="24"/>
                <w:lang w:eastAsia="zh-CN"/>
              </w:rPr>
            </w:pPr>
            <w:r>
              <w:rPr>
                <w:rFonts w:hint="eastAsia"/>
                <w:sz w:val="24"/>
              </w:rPr>
              <w:t>湖南</w:t>
            </w:r>
            <w:r>
              <w:rPr>
                <w:sz w:val="24"/>
              </w:rPr>
              <w:t>省</w:t>
            </w:r>
            <w:r>
              <w:rPr>
                <w:rFonts w:hint="eastAsia"/>
                <w:sz w:val="24"/>
              </w:rPr>
              <w:t>衡阳市衡山县</w:t>
            </w:r>
            <w:r>
              <w:rPr>
                <w:rFonts w:hint="eastAsia"/>
                <w:sz w:val="24"/>
                <w:lang w:val="en-US" w:eastAsia="zh-CN"/>
              </w:rPr>
              <w:t>新桥镇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地理坐标</w:t>
            </w:r>
          </w:p>
        </w:tc>
        <w:tc>
          <w:tcPr>
            <w:tcW w:w="3735" w:type="pct"/>
            <w:gridSpan w:val="3"/>
            <w:vAlign w:val="center"/>
          </w:tcPr>
          <w:p>
            <w:pPr>
              <w:jc w:val="center"/>
              <w:rPr>
                <w:sz w:val="24"/>
              </w:rPr>
            </w:pPr>
            <w:r>
              <w:rPr>
                <w:rFonts w:hint="eastAsia"/>
                <w:sz w:val="24"/>
              </w:rPr>
              <w:t>东经112</w:t>
            </w:r>
            <w:r>
              <w:rPr>
                <w:sz w:val="24"/>
              </w:rPr>
              <w:t>度</w:t>
            </w:r>
            <w:r>
              <w:rPr>
                <w:rFonts w:hint="eastAsia"/>
                <w:sz w:val="24"/>
              </w:rPr>
              <w:t>47</w:t>
            </w:r>
            <w:r>
              <w:rPr>
                <w:sz w:val="24"/>
              </w:rPr>
              <w:t>分</w:t>
            </w:r>
            <w:r>
              <w:rPr>
                <w:rFonts w:hint="eastAsia"/>
                <w:sz w:val="24"/>
              </w:rPr>
              <w:t>33.014</w:t>
            </w:r>
            <w:r>
              <w:rPr>
                <w:sz w:val="24"/>
              </w:rPr>
              <w:t>秒，</w:t>
            </w:r>
            <w:r>
              <w:rPr>
                <w:rFonts w:hint="eastAsia"/>
                <w:sz w:val="24"/>
              </w:rPr>
              <w:t>北纬27</w:t>
            </w:r>
            <w:r>
              <w:rPr>
                <w:sz w:val="24"/>
              </w:rPr>
              <w:t>度</w:t>
            </w:r>
            <w:r>
              <w:rPr>
                <w:rFonts w:hint="eastAsia"/>
                <w:sz w:val="24"/>
              </w:rPr>
              <w:t>14</w:t>
            </w:r>
            <w:r>
              <w:rPr>
                <w:sz w:val="24"/>
              </w:rPr>
              <w:t>分</w:t>
            </w:r>
            <w:r>
              <w:rPr>
                <w:rFonts w:hint="eastAsia"/>
                <w:sz w:val="24"/>
              </w:rPr>
              <w:t>3.559</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925" w:type="pct"/>
            <w:vAlign w:val="center"/>
          </w:tcPr>
          <w:p>
            <w:pPr>
              <w:adjustRightInd w:val="0"/>
              <w:snapToGrid w:val="0"/>
              <w:jc w:val="center"/>
              <w:rPr>
                <w:sz w:val="24"/>
              </w:rPr>
            </w:pPr>
            <w:r>
              <w:rPr>
                <w:rFonts w:hint="eastAsia"/>
                <w:sz w:val="24"/>
              </w:rPr>
              <w:t>非金属废料和碎屑的加工处理C4220</w:t>
            </w:r>
          </w:p>
        </w:tc>
        <w:tc>
          <w:tcPr>
            <w:tcW w:w="1240" w:type="pct"/>
            <w:vAlign w:val="center"/>
          </w:tcPr>
          <w:p>
            <w:pPr>
              <w:adjustRightInd w:val="0"/>
              <w:snapToGrid w:val="0"/>
              <w:jc w:val="center"/>
              <w:rPr>
                <w:sz w:val="24"/>
              </w:rPr>
            </w:pPr>
            <w:bookmarkStart w:id="2" w:name="_Hlk49843745"/>
            <w:r>
              <w:rPr>
                <w:sz w:val="24"/>
              </w:rPr>
              <w:t>建设项目</w:t>
            </w:r>
          </w:p>
          <w:p>
            <w:pPr>
              <w:adjustRightInd w:val="0"/>
              <w:snapToGrid w:val="0"/>
              <w:jc w:val="center"/>
              <w:rPr>
                <w:sz w:val="24"/>
              </w:rPr>
            </w:pPr>
            <w:r>
              <w:rPr>
                <w:sz w:val="24"/>
              </w:rPr>
              <w:t>行业类别</w:t>
            </w:r>
            <w:bookmarkEnd w:id="2"/>
          </w:p>
        </w:tc>
        <w:tc>
          <w:tcPr>
            <w:tcW w:w="1570" w:type="pct"/>
            <w:vAlign w:val="center"/>
          </w:tcPr>
          <w:p>
            <w:pPr>
              <w:adjustRightInd w:val="0"/>
              <w:snapToGrid w:val="0"/>
              <w:rPr>
                <w:rFonts w:hint="default"/>
                <w:sz w:val="24"/>
                <w:lang w:val="en-US"/>
              </w:rPr>
            </w:pPr>
            <w:r>
              <w:rPr>
                <w:rFonts w:hint="eastAsia"/>
                <w:sz w:val="24"/>
                <w:lang w:val="en-US" w:eastAsia="zh-CN"/>
              </w:rPr>
              <w:t>三十九</w:t>
            </w:r>
            <w:r>
              <w:rPr>
                <w:rFonts w:hint="eastAsia"/>
                <w:sz w:val="24"/>
              </w:rPr>
              <w:t>、</w:t>
            </w:r>
            <w:r>
              <w:rPr>
                <w:rFonts w:hint="eastAsia"/>
                <w:sz w:val="24"/>
                <w:lang w:val="en-US" w:eastAsia="zh-CN"/>
              </w:rPr>
              <w:t>废弃资源综合利用业85</w:t>
            </w:r>
            <w:r>
              <w:rPr>
                <w:rFonts w:hint="eastAsia"/>
                <w:sz w:val="24"/>
              </w:rPr>
              <w:t>、</w:t>
            </w:r>
            <w:r>
              <w:rPr>
                <w:rFonts w:hint="eastAsia"/>
                <w:sz w:val="24"/>
                <w:lang w:val="en-US" w:eastAsia="zh-CN"/>
              </w:rPr>
              <w:t>废金属废料和碎屑加工处理422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建设性质</w:t>
            </w:r>
          </w:p>
        </w:tc>
        <w:tc>
          <w:tcPr>
            <w:tcW w:w="925" w:type="pct"/>
            <w:vAlign w:val="center"/>
          </w:tcPr>
          <w:p>
            <w:pPr>
              <w:jc w:val="left"/>
              <w:rPr>
                <w:szCs w:val="21"/>
              </w:rPr>
            </w:pPr>
            <w:r>
              <w:rPr>
                <w:rFonts w:hint="eastAsia"/>
                <w:szCs w:val="21"/>
                <w:lang w:eastAsia="zh-CN"/>
              </w:rPr>
              <w:t>☑</w:t>
            </w:r>
            <w:r>
              <w:rPr>
                <w:szCs w:val="21"/>
              </w:rPr>
              <w:t>新建（迁建）</w:t>
            </w:r>
          </w:p>
          <w:p>
            <w:pPr>
              <w:jc w:val="left"/>
              <w:rPr>
                <w:szCs w:val="21"/>
              </w:rPr>
            </w:pPr>
            <w:r>
              <w:rPr>
                <w:szCs w:val="21"/>
              </w:rPr>
              <w:t>□改建</w:t>
            </w:r>
          </w:p>
          <w:p>
            <w:pPr>
              <w:jc w:val="left"/>
              <w:rPr>
                <w:szCs w:val="21"/>
              </w:rPr>
            </w:pPr>
            <w:r>
              <w:rPr>
                <w:szCs w:val="21"/>
              </w:rPr>
              <w:t>□扩建</w:t>
            </w:r>
          </w:p>
          <w:p>
            <w:pPr>
              <w:jc w:val="left"/>
              <w:rPr>
                <w:sz w:val="24"/>
              </w:rPr>
            </w:pPr>
            <w:r>
              <w:rPr>
                <w:szCs w:val="21"/>
              </w:rPr>
              <w:t>□技术改造</w:t>
            </w:r>
          </w:p>
        </w:tc>
        <w:tc>
          <w:tcPr>
            <w:tcW w:w="1240" w:type="pct"/>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1570" w:type="pct"/>
            <w:vAlign w:val="center"/>
          </w:tcPr>
          <w:p>
            <w:pPr>
              <w:jc w:val="left"/>
              <w:rPr>
                <w:szCs w:val="21"/>
              </w:rPr>
            </w:pPr>
            <w:r>
              <w:rPr>
                <w:rFonts w:hint="eastAsia"/>
                <w:szCs w:val="21"/>
                <w:lang w:eastAsia="zh-CN"/>
              </w:rPr>
              <w:t>☑</w:t>
            </w:r>
            <w:r>
              <w:rPr>
                <w:szCs w:val="21"/>
              </w:rPr>
              <w:t xml:space="preserve">首次申报项目             </w:t>
            </w:r>
          </w:p>
          <w:p>
            <w:pPr>
              <w:jc w:val="left"/>
              <w:rPr>
                <w:szCs w:val="21"/>
              </w:rPr>
            </w:pPr>
            <w:r>
              <w:rPr>
                <w:szCs w:val="21"/>
              </w:rPr>
              <w:t>□不予批准后再次申报项目</w:t>
            </w:r>
          </w:p>
          <w:p>
            <w:pPr>
              <w:jc w:val="left"/>
              <w:rPr>
                <w:szCs w:val="21"/>
              </w:rPr>
            </w:pPr>
            <w:r>
              <w:rPr>
                <w:szCs w:val="21"/>
              </w:rPr>
              <w:t xml:space="preserve">□超五年重新审核项目     </w:t>
            </w:r>
          </w:p>
          <w:p>
            <w:pPr>
              <w:jc w:val="left"/>
              <w:rPr>
                <w:sz w:val="24"/>
              </w:rPr>
            </w:pP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925" w:type="pct"/>
            <w:vAlign w:val="center"/>
          </w:tcPr>
          <w:p>
            <w:pPr>
              <w:adjustRightInd w:val="0"/>
              <w:snapToGrid w:val="0"/>
              <w:jc w:val="center"/>
              <w:rPr>
                <w:rFonts w:hint="default" w:eastAsia="宋体"/>
                <w:sz w:val="24"/>
                <w:lang w:val="en-US" w:eastAsia="zh-CN"/>
              </w:rPr>
            </w:pPr>
            <w:r>
              <w:rPr>
                <w:rFonts w:hint="eastAsia"/>
                <w:sz w:val="24"/>
                <w:lang w:val="en-US" w:eastAsia="zh-CN"/>
              </w:rPr>
              <w:t>衡山县发展和改革局</w:t>
            </w:r>
          </w:p>
        </w:tc>
        <w:tc>
          <w:tcPr>
            <w:tcW w:w="1240" w:type="pct"/>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1570" w:type="pct"/>
            <w:vAlign w:val="center"/>
          </w:tcPr>
          <w:p>
            <w:pPr>
              <w:adjustRightInd w:val="0"/>
              <w:snapToGrid w:val="0"/>
              <w:jc w:val="center"/>
              <w:rPr>
                <w:rFonts w:hint="default" w:eastAsia="宋体"/>
                <w:sz w:val="24"/>
                <w:lang w:val="en-US" w:eastAsia="zh-CN"/>
              </w:rPr>
            </w:pPr>
            <w:r>
              <w:rPr>
                <w:rFonts w:hint="eastAsia"/>
                <w:sz w:val="24"/>
                <w:lang w:val="en-US" w:eastAsia="zh-CN"/>
              </w:rPr>
              <w:t>2111-430423-04-01-294249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总投资（万元）</w:t>
            </w:r>
          </w:p>
        </w:tc>
        <w:tc>
          <w:tcPr>
            <w:tcW w:w="925" w:type="pct"/>
            <w:vAlign w:val="center"/>
          </w:tcPr>
          <w:p>
            <w:pPr>
              <w:adjustRightInd w:val="0"/>
              <w:snapToGrid w:val="0"/>
              <w:jc w:val="center"/>
              <w:rPr>
                <w:rFonts w:hint="default" w:eastAsia="宋体"/>
                <w:color w:val="000000"/>
                <w:sz w:val="24"/>
                <w:lang w:val="en-US" w:eastAsia="zh-CN"/>
              </w:rPr>
            </w:pPr>
            <w:r>
              <w:rPr>
                <w:rFonts w:hint="eastAsia"/>
                <w:color w:val="000000"/>
                <w:sz w:val="24"/>
                <w:lang w:val="en-US" w:eastAsia="zh-CN"/>
              </w:rPr>
              <w:t>2680</w:t>
            </w:r>
          </w:p>
        </w:tc>
        <w:tc>
          <w:tcPr>
            <w:tcW w:w="1240" w:type="pct"/>
            <w:tcMar>
              <w:top w:w="16" w:type="dxa"/>
              <w:left w:w="16" w:type="dxa"/>
              <w:right w:w="16" w:type="dxa"/>
            </w:tcMar>
            <w:vAlign w:val="center"/>
          </w:tcPr>
          <w:p>
            <w:pPr>
              <w:adjustRightInd w:val="0"/>
              <w:snapToGrid w:val="0"/>
              <w:jc w:val="center"/>
              <w:rPr>
                <w:color w:val="000000"/>
                <w:sz w:val="24"/>
              </w:rPr>
            </w:pPr>
            <w:r>
              <w:rPr>
                <w:color w:val="000000"/>
                <w:sz w:val="24"/>
              </w:rPr>
              <w:t>环保投资（万元）</w:t>
            </w:r>
          </w:p>
        </w:tc>
        <w:tc>
          <w:tcPr>
            <w:tcW w:w="1570" w:type="pct"/>
            <w:vAlign w:val="center"/>
          </w:tcPr>
          <w:p>
            <w:pPr>
              <w:adjustRightInd w:val="0"/>
              <w:snapToGrid w:val="0"/>
              <w:jc w:val="center"/>
              <w:rPr>
                <w:rFonts w:hint="default" w:eastAsia="宋体"/>
                <w:color w:val="000000"/>
                <w:sz w:val="24"/>
                <w:lang w:val="en-US" w:eastAsia="zh-CN"/>
              </w:rPr>
            </w:pPr>
            <w:r>
              <w:rPr>
                <w:rFonts w:hint="eastAsia"/>
                <w:color w:val="000000"/>
                <w:sz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环保投资占比（%）</w:t>
            </w:r>
          </w:p>
        </w:tc>
        <w:tc>
          <w:tcPr>
            <w:tcW w:w="925" w:type="pct"/>
            <w:vAlign w:val="center"/>
          </w:tcPr>
          <w:p>
            <w:pPr>
              <w:adjustRightInd w:val="0"/>
              <w:snapToGrid w:val="0"/>
              <w:jc w:val="center"/>
              <w:rPr>
                <w:rFonts w:hint="default" w:eastAsia="宋体"/>
                <w:sz w:val="24"/>
                <w:lang w:val="en-US" w:eastAsia="zh-CN"/>
              </w:rPr>
            </w:pPr>
            <w:r>
              <w:rPr>
                <w:rFonts w:hint="eastAsia"/>
                <w:sz w:val="24"/>
                <w:lang w:val="en-US" w:eastAsia="zh-CN"/>
              </w:rPr>
              <w:t>1.12</w:t>
            </w:r>
          </w:p>
        </w:tc>
        <w:tc>
          <w:tcPr>
            <w:tcW w:w="1240" w:type="pct"/>
            <w:tcMar>
              <w:top w:w="16" w:type="dxa"/>
              <w:left w:w="16" w:type="dxa"/>
              <w:right w:w="16" w:type="dxa"/>
            </w:tcMar>
            <w:vAlign w:val="center"/>
          </w:tcPr>
          <w:p>
            <w:pPr>
              <w:adjustRightInd w:val="0"/>
              <w:snapToGrid w:val="0"/>
              <w:jc w:val="center"/>
              <w:rPr>
                <w:sz w:val="24"/>
              </w:rPr>
            </w:pPr>
            <w:r>
              <w:rPr>
                <w:sz w:val="24"/>
              </w:rPr>
              <w:t>施工工期</w:t>
            </w:r>
          </w:p>
        </w:tc>
        <w:tc>
          <w:tcPr>
            <w:tcW w:w="1570" w:type="pct"/>
            <w:vAlign w:val="center"/>
          </w:tcPr>
          <w:p>
            <w:pPr>
              <w:adjustRightInd w:val="0"/>
              <w:snapToGrid w:val="0"/>
              <w:jc w:val="center"/>
              <w:rPr>
                <w:sz w:val="24"/>
              </w:rPr>
            </w:pPr>
            <w:r>
              <w:rPr>
                <w:rFonts w:hint="eastAsia"/>
                <w:sz w:val="24"/>
                <w:lang w:val="en-US" w:eastAsia="zh-CN"/>
              </w:rPr>
              <w:t>3</w:t>
            </w:r>
            <w:r>
              <w:rPr>
                <w:rFonts w:hint="eastAsia"/>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4" w:type="pct"/>
            <w:tcMar>
              <w:top w:w="16" w:type="dxa"/>
              <w:left w:w="16" w:type="dxa"/>
              <w:right w:w="16" w:type="dxa"/>
            </w:tcMar>
            <w:vAlign w:val="center"/>
          </w:tcPr>
          <w:p>
            <w:pPr>
              <w:adjustRightInd w:val="0"/>
              <w:snapToGrid w:val="0"/>
              <w:jc w:val="center"/>
              <w:rPr>
                <w:sz w:val="24"/>
              </w:rPr>
            </w:pPr>
            <w:r>
              <w:rPr>
                <w:sz w:val="24"/>
              </w:rPr>
              <w:t>是否开工建设</w:t>
            </w:r>
          </w:p>
        </w:tc>
        <w:tc>
          <w:tcPr>
            <w:tcW w:w="925" w:type="pct"/>
            <w:vAlign w:val="center"/>
          </w:tcPr>
          <w:p>
            <w:pPr>
              <w:adjustRightInd w:val="0"/>
              <w:snapToGrid w:val="0"/>
              <w:rPr>
                <w:sz w:val="24"/>
              </w:rPr>
            </w:pPr>
            <w:r>
              <w:rPr>
                <w:rFonts w:hint="eastAsia"/>
                <w:szCs w:val="21"/>
                <w:lang w:eastAsia="zh-CN"/>
              </w:rPr>
              <w:t>☑</w:t>
            </w:r>
            <w:r>
              <w:rPr>
                <w:sz w:val="24"/>
              </w:rPr>
              <w:t>否</w:t>
            </w:r>
          </w:p>
          <w:p>
            <w:pPr>
              <w:adjustRightInd w:val="0"/>
              <w:snapToGrid w:val="0"/>
              <w:rPr>
                <w:sz w:val="24"/>
              </w:rPr>
            </w:pPr>
            <w:r>
              <w:rPr>
                <w:szCs w:val="21"/>
              </w:rPr>
              <w:t>□</w:t>
            </w:r>
            <w:r>
              <w:rPr>
                <w:sz w:val="24"/>
              </w:rPr>
              <w:t>是：</w:t>
            </w:r>
          </w:p>
        </w:tc>
        <w:tc>
          <w:tcPr>
            <w:tcW w:w="1240" w:type="pct"/>
            <w:tcMar>
              <w:top w:w="16" w:type="dxa"/>
              <w:left w:w="16" w:type="dxa"/>
              <w:right w:w="16" w:type="dxa"/>
            </w:tcMar>
            <w:vAlign w:val="center"/>
          </w:tcPr>
          <w:p>
            <w:pPr>
              <w:adjustRightInd w:val="0"/>
              <w:snapToGrid w:val="0"/>
              <w:jc w:val="center"/>
              <w:rPr>
                <w:sz w:val="24"/>
              </w:rPr>
            </w:pPr>
            <w:r>
              <w:rPr>
                <w:spacing w:val="-6"/>
                <w:sz w:val="24"/>
              </w:rPr>
              <w:t>用地面积（m</w:t>
            </w:r>
            <w:r>
              <w:rPr>
                <w:spacing w:val="-6"/>
                <w:sz w:val="24"/>
                <w:vertAlign w:val="superscript"/>
              </w:rPr>
              <w:t>2</w:t>
            </w:r>
            <w:r>
              <w:rPr>
                <w:spacing w:val="-6"/>
                <w:sz w:val="24"/>
              </w:rPr>
              <w:t>）</w:t>
            </w:r>
          </w:p>
        </w:tc>
        <w:tc>
          <w:tcPr>
            <w:tcW w:w="1570" w:type="pct"/>
            <w:vAlign w:val="center"/>
          </w:tcPr>
          <w:p>
            <w:pPr>
              <w:adjustRightInd w:val="0"/>
              <w:snapToGrid w:val="0"/>
              <w:jc w:val="center"/>
              <w:rPr>
                <w:rFonts w:hint="default" w:eastAsia="宋体"/>
                <w:sz w:val="24"/>
                <w:lang w:val="en-US" w:eastAsia="zh-CN"/>
              </w:rPr>
            </w:pPr>
            <w:r>
              <w:rPr>
                <w:rFonts w:hint="eastAsia"/>
                <w:color w:val="000000"/>
                <w:sz w:val="24"/>
                <w:lang w:val="en-US" w:eastAsia="zh-CN"/>
              </w:rPr>
              <w:t>6944.5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4" w:type="pct"/>
            <w:vAlign w:val="center"/>
          </w:tcPr>
          <w:p>
            <w:pPr>
              <w:autoSpaceDE w:val="0"/>
              <w:autoSpaceDN w:val="0"/>
              <w:adjustRightInd w:val="0"/>
              <w:snapToGrid w:val="0"/>
              <w:jc w:val="center"/>
              <w:rPr>
                <w:kern w:val="0"/>
                <w:sz w:val="24"/>
              </w:rPr>
            </w:pPr>
            <w:r>
              <w:rPr>
                <w:kern w:val="0"/>
                <w:sz w:val="24"/>
              </w:rPr>
              <w:t>专项评价设置情况</w:t>
            </w:r>
          </w:p>
        </w:tc>
        <w:tc>
          <w:tcPr>
            <w:tcW w:w="3735" w:type="pct"/>
            <w:gridSpan w:val="3"/>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4" w:type="pct"/>
            <w:vAlign w:val="center"/>
          </w:tcPr>
          <w:p>
            <w:pPr>
              <w:autoSpaceDE w:val="0"/>
              <w:autoSpaceDN w:val="0"/>
              <w:adjustRightInd w:val="0"/>
              <w:snapToGrid w:val="0"/>
              <w:jc w:val="center"/>
              <w:rPr>
                <w:kern w:val="0"/>
                <w:sz w:val="24"/>
              </w:rPr>
            </w:pPr>
            <w:r>
              <w:rPr>
                <w:sz w:val="24"/>
              </w:rPr>
              <w:t>规划情况</w:t>
            </w:r>
          </w:p>
        </w:tc>
        <w:tc>
          <w:tcPr>
            <w:tcW w:w="3735" w:type="pct"/>
            <w:gridSpan w:val="3"/>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4" w:type="pct"/>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3735" w:type="pct"/>
            <w:gridSpan w:val="3"/>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4" w:type="pct"/>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3735" w:type="pct"/>
            <w:gridSpan w:val="3"/>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4" w:type="pct"/>
            <w:vAlign w:val="center"/>
          </w:tcPr>
          <w:p>
            <w:pPr>
              <w:autoSpaceDE w:val="0"/>
              <w:autoSpaceDN w:val="0"/>
              <w:adjustRightInd w:val="0"/>
              <w:snapToGrid w:val="0"/>
              <w:jc w:val="center"/>
              <w:rPr>
                <w:kern w:val="0"/>
                <w:sz w:val="24"/>
              </w:rPr>
            </w:pPr>
            <w:r>
              <w:rPr>
                <w:kern w:val="0"/>
                <w:sz w:val="24"/>
              </w:rPr>
              <w:t>其他符合性分析</w:t>
            </w:r>
          </w:p>
        </w:tc>
        <w:tc>
          <w:tcPr>
            <w:tcW w:w="3735" w:type="pct"/>
            <w:gridSpan w:val="3"/>
            <w:vAlign w:val="center"/>
          </w:tcPr>
          <w:p>
            <w:pPr>
              <w:widowControl/>
              <w:spacing w:line="360" w:lineRule="auto"/>
              <w:ind w:firstLine="482" w:firstLineChars="200"/>
              <w:jc w:val="left"/>
              <w:rPr>
                <w:b/>
                <w:bCs/>
                <w:color w:val="000000"/>
                <w:sz w:val="24"/>
              </w:rPr>
            </w:pPr>
            <w:r>
              <w:rPr>
                <w:rFonts w:hint="eastAsia"/>
                <w:b/>
                <w:bCs/>
                <w:color w:val="000000"/>
                <w:sz w:val="24"/>
              </w:rPr>
              <w:t>1、产业政策符合性分析</w:t>
            </w:r>
          </w:p>
          <w:p>
            <w:pPr>
              <w:keepNext w:val="0"/>
              <w:keepLines w:val="0"/>
              <w:pageBreakBefore w:val="0"/>
              <w:widowControl/>
              <w:kinsoku/>
              <w:wordWrap/>
              <w:overflowPunct/>
              <w:topLinePunct w:val="0"/>
              <w:autoSpaceDE/>
              <w:autoSpaceDN/>
              <w:bidi w:val="0"/>
              <w:adjustRightInd/>
              <w:snapToGrid/>
              <w:spacing w:line="360" w:lineRule="auto"/>
              <w:ind w:firstLine="496" w:firstLineChars="200"/>
              <w:jc w:val="both"/>
              <w:textAlignment w:val="auto"/>
              <w:rPr>
                <w:b/>
                <w:bCs/>
                <w:color w:val="000000"/>
                <w:sz w:val="24"/>
              </w:rPr>
            </w:pPr>
            <w:r>
              <w:rPr>
                <w:bCs/>
                <w:spacing w:val="4"/>
                <w:sz w:val="24"/>
              </w:rPr>
              <w:t>本项目为</w:t>
            </w:r>
            <w:r>
              <w:rPr>
                <w:rFonts w:hint="eastAsia"/>
                <w:bCs/>
                <w:spacing w:val="4"/>
                <w:sz w:val="24"/>
                <w:lang w:val="en-US" w:eastAsia="zh-CN"/>
              </w:rPr>
              <w:t>竹炭</w:t>
            </w:r>
            <w:r>
              <w:rPr>
                <w:rFonts w:hint="eastAsia"/>
                <w:bCs/>
                <w:spacing w:val="4"/>
                <w:sz w:val="24"/>
              </w:rPr>
              <w:t>加工</w:t>
            </w:r>
            <w:r>
              <w:rPr>
                <w:bCs/>
                <w:spacing w:val="4"/>
                <w:sz w:val="24"/>
              </w:rPr>
              <w:t>项目，对比</w:t>
            </w:r>
            <w:r>
              <w:rPr>
                <w:bCs/>
                <w:sz w:val="24"/>
              </w:rPr>
              <w:t>《产业结构调整指导目录（2019年本）》，本项目不属于限制类和淘汰类。本项目符合相关政策。</w:t>
            </w:r>
          </w:p>
          <w:p>
            <w:pPr>
              <w:widowControl/>
              <w:spacing w:line="360" w:lineRule="auto"/>
              <w:ind w:firstLine="482" w:firstLineChars="200"/>
              <w:jc w:val="left"/>
              <w:rPr>
                <w:color w:val="000000"/>
                <w:sz w:val="24"/>
              </w:rPr>
            </w:pPr>
            <w:r>
              <w:rPr>
                <w:rFonts w:hint="eastAsia"/>
                <w:b/>
                <w:bCs/>
                <w:color w:val="000000"/>
                <w:sz w:val="24"/>
              </w:rPr>
              <w:t>2、“三线一单”符合性分析</w:t>
            </w:r>
          </w:p>
          <w:p>
            <w:pPr>
              <w:spacing w:line="360" w:lineRule="auto"/>
              <w:ind w:firstLine="480" w:firstLineChars="200"/>
              <w:rPr>
                <w:sz w:val="24"/>
              </w:rPr>
            </w:pPr>
            <w:r>
              <w:rPr>
                <w:sz w:val="24"/>
              </w:rPr>
              <w:t>生态环境准入清单是基于生态保护红线、环境质量底线和资源利用上线，以清单方式列出的禁止、限制等差别化环境准入条件和要求。根据《</w:t>
            </w:r>
            <w:r>
              <w:rPr>
                <w:rFonts w:hint="eastAsia"/>
                <w:sz w:val="24"/>
              </w:rPr>
              <w:t>衡阳市</w:t>
            </w:r>
            <w:r>
              <w:rPr>
                <w:sz w:val="24"/>
              </w:rPr>
              <w:t>人民政府关于实施“三线一单”生态环境分区管控的意见》（</w:t>
            </w:r>
            <w:r>
              <w:rPr>
                <w:rFonts w:hint="eastAsia"/>
                <w:sz w:val="24"/>
              </w:rPr>
              <w:t>衡</w:t>
            </w:r>
            <w:r>
              <w:rPr>
                <w:sz w:val="24"/>
              </w:rPr>
              <w:t>政发[2020]</w:t>
            </w:r>
            <w:r>
              <w:rPr>
                <w:rFonts w:hint="eastAsia"/>
                <w:sz w:val="24"/>
              </w:rPr>
              <w:t>9</w:t>
            </w:r>
            <w:r>
              <w:rPr>
                <w:sz w:val="24"/>
              </w:rPr>
              <w:t>号）中</w:t>
            </w:r>
            <w:r>
              <w:rPr>
                <w:rFonts w:hint="eastAsia"/>
                <w:sz w:val="24"/>
              </w:rPr>
              <w:t>“</w:t>
            </w:r>
            <w:r>
              <w:rPr>
                <w:sz w:val="24"/>
              </w:rPr>
              <w:t xml:space="preserve">附件3 </w:t>
            </w:r>
            <w:r>
              <w:rPr>
                <w:rFonts w:hint="eastAsia"/>
                <w:sz w:val="24"/>
              </w:rPr>
              <w:t>衡阳</w:t>
            </w:r>
            <w:r>
              <w:rPr>
                <w:sz w:val="24"/>
              </w:rPr>
              <w:t>市生态环境管控基本要求</w:t>
            </w:r>
            <w:r>
              <w:rPr>
                <w:rFonts w:hint="eastAsia"/>
                <w:sz w:val="24"/>
              </w:rPr>
              <w:t>”</w:t>
            </w:r>
            <w:r>
              <w:rPr>
                <w:sz w:val="24"/>
              </w:rPr>
              <w:t>，本项目生态环境准入清单符合性见下表</w:t>
            </w:r>
            <w:r>
              <w:rPr>
                <w:rFonts w:hint="eastAsia"/>
                <w:sz w:val="24"/>
              </w:rPr>
              <w:t>。</w:t>
            </w:r>
          </w:p>
          <w:p>
            <w:pPr>
              <w:jc w:val="center"/>
              <w:rPr>
                <w:b/>
                <w:szCs w:val="21"/>
              </w:rPr>
            </w:pPr>
            <w:r>
              <w:rPr>
                <w:b/>
                <w:szCs w:val="21"/>
              </w:rPr>
              <w:t>表</w:t>
            </w:r>
            <w:r>
              <w:rPr>
                <w:rFonts w:hint="eastAsia"/>
                <w:b/>
                <w:szCs w:val="21"/>
              </w:rPr>
              <w:t>1-1  “三线一单”对照分析预判情况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506"/>
              <w:gridCol w:w="2915"/>
              <w:gridCol w:w="1934"/>
              <w:gridCol w:w="6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pPr>
                    <w:pStyle w:val="63"/>
                    <w:adjustRightInd/>
                    <w:snapToGrid/>
                    <w:rPr>
                      <w:b/>
                      <w:sz w:val="21"/>
                      <w:szCs w:val="21"/>
                    </w:rPr>
                  </w:pPr>
                  <w:r>
                    <w:rPr>
                      <w:rFonts w:hint="eastAsia"/>
                      <w:b/>
                      <w:sz w:val="21"/>
                      <w:szCs w:val="21"/>
                    </w:rPr>
                    <w:t>序号</w:t>
                  </w:r>
                </w:p>
              </w:tc>
              <w:tc>
                <w:tcPr>
                  <w:tcW w:w="403" w:type="pct"/>
                  <w:vAlign w:val="center"/>
                </w:tcPr>
                <w:p>
                  <w:pPr>
                    <w:pStyle w:val="63"/>
                    <w:adjustRightInd/>
                    <w:snapToGrid/>
                    <w:rPr>
                      <w:b/>
                      <w:sz w:val="21"/>
                      <w:szCs w:val="21"/>
                    </w:rPr>
                  </w:pPr>
                  <w:r>
                    <w:rPr>
                      <w:rFonts w:hint="eastAsia"/>
                      <w:b/>
                      <w:sz w:val="21"/>
                      <w:szCs w:val="21"/>
                    </w:rPr>
                    <w:t>类别</w:t>
                  </w:r>
                </w:p>
              </w:tc>
              <w:tc>
                <w:tcPr>
                  <w:tcW w:w="2285" w:type="pct"/>
                  <w:vAlign w:val="center"/>
                </w:tcPr>
                <w:p>
                  <w:pPr>
                    <w:pStyle w:val="63"/>
                    <w:adjustRightInd/>
                    <w:snapToGrid/>
                    <w:rPr>
                      <w:b/>
                      <w:sz w:val="21"/>
                      <w:szCs w:val="21"/>
                    </w:rPr>
                  </w:pPr>
                  <w:r>
                    <w:rPr>
                      <w:rFonts w:hint="eastAsia"/>
                      <w:b/>
                      <w:sz w:val="21"/>
                      <w:szCs w:val="21"/>
                    </w:rPr>
                    <w:t>管控要求</w:t>
                  </w:r>
                </w:p>
              </w:tc>
              <w:tc>
                <w:tcPr>
                  <w:tcW w:w="1519" w:type="pct"/>
                  <w:vAlign w:val="center"/>
                </w:tcPr>
                <w:p>
                  <w:pPr>
                    <w:pStyle w:val="63"/>
                    <w:adjustRightInd/>
                    <w:snapToGrid/>
                    <w:rPr>
                      <w:b/>
                      <w:sz w:val="21"/>
                      <w:szCs w:val="21"/>
                    </w:rPr>
                  </w:pPr>
                  <w:r>
                    <w:rPr>
                      <w:rFonts w:hint="eastAsia"/>
                      <w:b/>
                      <w:sz w:val="21"/>
                      <w:szCs w:val="21"/>
                    </w:rPr>
                    <w:t>符合性分析</w:t>
                  </w:r>
                </w:p>
              </w:tc>
              <w:tc>
                <w:tcPr>
                  <w:tcW w:w="491" w:type="pct"/>
                  <w:vAlign w:val="center"/>
                </w:tcPr>
                <w:p>
                  <w:pPr>
                    <w:pStyle w:val="63"/>
                    <w:adjustRightInd/>
                    <w:snapToGrid/>
                    <w:rPr>
                      <w:b/>
                      <w:sz w:val="21"/>
                      <w:szCs w:val="21"/>
                    </w:rPr>
                  </w:pPr>
                  <w:r>
                    <w:rPr>
                      <w:rFonts w:hint="eastAsia"/>
                      <w:b/>
                      <w:sz w:val="21"/>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pPr>
                    <w:pStyle w:val="63"/>
                    <w:adjustRightInd/>
                    <w:snapToGrid/>
                    <w:rPr>
                      <w:sz w:val="21"/>
                      <w:szCs w:val="21"/>
                    </w:rPr>
                  </w:pPr>
                  <w:r>
                    <w:rPr>
                      <w:rFonts w:hint="eastAsia"/>
                      <w:sz w:val="21"/>
                      <w:szCs w:val="21"/>
                    </w:rPr>
                    <w:t>1</w:t>
                  </w:r>
                </w:p>
              </w:tc>
              <w:tc>
                <w:tcPr>
                  <w:tcW w:w="403" w:type="pct"/>
                  <w:vAlign w:val="center"/>
                </w:tcPr>
                <w:p>
                  <w:pPr>
                    <w:pStyle w:val="63"/>
                    <w:adjustRightInd/>
                    <w:snapToGrid/>
                    <w:rPr>
                      <w:sz w:val="21"/>
                      <w:szCs w:val="21"/>
                    </w:rPr>
                  </w:pPr>
                  <w:r>
                    <w:rPr>
                      <w:rFonts w:hint="eastAsia"/>
                      <w:sz w:val="21"/>
                      <w:szCs w:val="21"/>
                    </w:rPr>
                    <w:t>环境管控单元</w:t>
                  </w:r>
                </w:p>
              </w:tc>
              <w:tc>
                <w:tcPr>
                  <w:tcW w:w="2285" w:type="pct"/>
                  <w:vAlign w:val="center"/>
                </w:tcPr>
                <w:p>
                  <w:pPr>
                    <w:pStyle w:val="63"/>
                    <w:adjustRightInd/>
                    <w:snapToGrid/>
                    <w:rPr>
                      <w:sz w:val="21"/>
                      <w:szCs w:val="21"/>
                    </w:rPr>
                  </w:pPr>
                  <w:r>
                    <w:rPr>
                      <w:rFonts w:hint="eastAsia"/>
                      <w:sz w:val="21"/>
                      <w:szCs w:val="21"/>
                    </w:rPr>
                    <w:t>环境管控单元分为三类，其中衡山县具体环境管控单元为优先保护单元</w:t>
                  </w:r>
                  <w:r>
                    <w:rPr>
                      <w:sz w:val="21"/>
                      <w:szCs w:val="21"/>
                    </w:rPr>
                    <w:t>2</w:t>
                  </w:r>
                  <w:r>
                    <w:rPr>
                      <w:rFonts w:hint="eastAsia"/>
                      <w:sz w:val="21"/>
                      <w:szCs w:val="21"/>
                    </w:rPr>
                    <w:t>个（店门镇/萱洲镇/永和乡，东湖镇）；重点管控单元</w:t>
                  </w:r>
                  <w:r>
                    <w:rPr>
                      <w:sz w:val="21"/>
                      <w:szCs w:val="21"/>
                    </w:rPr>
                    <w:t>1</w:t>
                  </w:r>
                  <w:r>
                    <w:rPr>
                      <w:rFonts w:hint="eastAsia"/>
                      <w:sz w:val="21"/>
                      <w:szCs w:val="21"/>
                    </w:rPr>
                    <w:t>个（开云镇/长江镇）；一般管控单元</w:t>
                  </w:r>
                  <w:r>
                    <w:rPr>
                      <w:sz w:val="21"/>
                      <w:szCs w:val="21"/>
                    </w:rPr>
                    <w:t>1</w:t>
                  </w:r>
                  <w:r>
                    <w:rPr>
                      <w:rFonts w:hint="eastAsia"/>
                      <w:sz w:val="21"/>
                      <w:szCs w:val="21"/>
                    </w:rPr>
                    <w:t>个（</w:t>
                  </w:r>
                  <w:r>
                    <w:rPr>
                      <w:sz w:val="21"/>
                    </w:rPr>
                    <w:t>白果镇/福田铺乡/贯塘乡/江东乡/岭坡乡/新桥镇</w:t>
                  </w:r>
                  <w:r>
                    <w:rPr>
                      <w:rFonts w:hint="eastAsia"/>
                      <w:sz w:val="21"/>
                      <w:szCs w:val="21"/>
                    </w:rPr>
                    <w:t>）。</w:t>
                  </w:r>
                </w:p>
              </w:tc>
              <w:tc>
                <w:tcPr>
                  <w:tcW w:w="1519" w:type="pct"/>
                  <w:vAlign w:val="center"/>
                </w:tcPr>
                <w:p>
                  <w:pPr>
                    <w:pStyle w:val="63"/>
                    <w:adjustRightInd/>
                    <w:snapToGrid/>
                    <w:rPr>
                      <w:sz w:val="21"/>
                      <w:szCs w:val="21"/>
                    </w:rPr>
                  </w:pPr>
                  <w:r>
                    <w:rPr>
                      <w:sz w:val="21"/>
                      <w:szCs w:val="21"/>
                    </w:rPr>
                    <w:t>本项目位于湖南省衡阳市</w:t>
                  </w:r>
                  <w:r>
                    <w:rPr>
                      <w:rFonts w:hint="eastAsia"/>
                      <w:sz w:val="21"/>
                      <w:szCs w:val="21"/>
                    </w:rPr>
                    <w:t>衡山县</w:t>
                  </w:r>
                  <w:r>
                    <w:rPr>
                      <w:rFonts w:hint="eastAsia"/>
                      <w:sz w:val="21"/>
                      <w:szCs w:val="21"/>
                      <w:lang w:val="en-US" w:eastAsia="zh-CN"/>
                    </w:rPr>
                    <w:t>新桥镇</w:t>
                  </w:r>
                  <w:r>
                    <w:rPr>
                      <w:rFonts w:hint="eastAsia"/>
                      <w:sz w:val="21"/>
                      <w:szCs w:val="21"/>
                    </w:rPr>
                    <w:t>，为属于</w:t>
                  </w:r>
                  <w:r>
                    <w:rPr>
                      <w:rFonts w:hint="eastAsia"/>
                      <w:sz w:val="21"/>
                      <w:szCs w:val="21"/>
                      <w:lang w:val="en-US" w:eastAsia="zh-CN"/>
                    </w:rPr>
                    <w:t>一般</w:t>
                  </w:r>
                  <w:r>
                    <w:rPr>
                      <w:rFonts w:hint="eastAsia"/>
                      <w:sz w:val="21"/>
                      <w:szCs w:val="21"/>
                    </w:rPr>
                    <w:t>管控单元</w:t>
                  </w:r>
                </w:p>
              </w:tc>
              <w:tc>
                <w:tcPr>
                  <w:tcW w:w="491" w:type="pct"/>
                  <w:vAlign w:val="center"/>
                </w:tcPr>
                <w:p>
                  <w:pPr>
                    <w:pStyle w:val="63"/>
                    <w:adjustRightInd/>
                    <w:snapToGrid/>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pPr>
                    <w:pStyle w:val="63"/>
                    <w:adjustRightInd/>
                    <w:snapToGrid/>
                    <w:rPr>
                      <w:sz w:val="21"/>
                      <w:szCs w:val="21"/>
                    </w:rPr>
                  </w:pPr>
                  <w:r>
                    <w:rPr>
                      <w:rFonts w:hint="eastAsia"/>
                      <w:sz w:val="21"/>
                      <w:szCs w:val="21"/>
                    </w:rPr>
                    <w:t>2</w:t>
                  </w:r>
                </w:p>
              </w:tc>
              <w:tc>
                <w:tcPr>
                  <w:tcW w:w="403" w:type="pct"/>
                  <w:vAlign w:val="center"/>
                </w:tcPr>
                <w:p>
                  <w:pPr>
                    <w:pStyle w:val="63"/>
                    <w:adjustRightInd/>
                    <w:snapToGrid/>
                    <w:rPr>
                      <w:sz w:val="21"/>
                      <w:szCs w:val="21"/>
                    </w:rPr>
                  </w:pPr>
                  <w:r>
                    <w:rPr>
                      <w:rFonts w:hint="eastAsia"/>
                      <w:sz w:val="21"/>
                      <w:szCs w:val="21"/>
                    </w:rPr>
                    <w:t>主要属性</w:t>
                  </w:r>
                </w:p>
              </w:tc>
              <w:tc>
                <w:tcPr>
                  <w:tcW w:w="2285" w:type="pct"/>
                  <w:vAlign w:val="center"/>
                </w:tcPr>
                <w:p>
                  <w:pPr>
                    <w:pStyle w:val="63"/>
                    <w:adjustRightInd/>
                    <w:snapToGrid/>
                    <w:rPr>
                      <w:sz w:val="21"/>
                    </w:rPr>
                  </w:pPr>
                  <w:r>
                    <w:rPr>
                      <w:rFonts w:hint="eastAsia"/>
                      <w:sz w:val="21"/>
                      <w:szCs w:val="21"/>
                    </w:rPr>
                    <w:t>1、</w:t>
                  </w:r>
                  <w:r>
                    <w:rPr>
                      <w:sz w:val="21"/>
                    </w:rPr>
                    <w:t>红线/一般生态空间——公益林/湿地公园/水产种质资源保护区/水土保持功能重要区/水土流失敏感区/水源涵养重要区</w:t>
                  </w:r>
                </w:p>
                <w:p>
                  <w:pPr>
                    <w:pStyle w:val="63"/>
                    <w:adjustRightInd/>
                    <w:snapToGrid/>
                    <w:rPr>
                      <w:sz w:val="21"/>
                    </w:rPr>
                  </w:pPr>
                  <w:r>
                    <w:rPr>
                      <w:rFonts w:hint="eastAsia"/>
                      <w:sz w:val="21"/>
                      <w:szCs w:val="21"/>
                    </w:rPr>
                    <w:t>2、</w:t>
                  </w:r>
                  <w:r>
                    <w:rPr>
                      <w:sz w:val="21"/>
                    </w:rPr>
                    <w:t>水环境优先保护区——萱洲国家湿地公园、湘江衡阳段四大家鱼国家级水产种质资源保护区</w:t>
                  </w:r>
                </w:p>
                <w:p>
                  <w:pPr>
                    <w:pStyle w:val="63"/>
                    <w:adjustRightInd/>
                    <w:snapToGrid/>
                    <w:rPr>
                      <w:sz w:val="21"/>
                      <w:szCs w:val="21"/>
                    </w:rPr>
                  </w:pPr>
                  <w:r>
                    <w:rPr>
                      <w:rFonts w:hint="eastAsia"/>
                      <w:sz w:val="21"/>
                    </w:rPr>
                    <w:t>3、</w:t>
                  </w:r>
                  <w:r>
                    <w:rPr>
                      <w:sz w:val="21"/>
                    </w:rPr>
                    <w:t>大气环境布局敏感重点管控区</w:t>
                  </w:r>
                </w:p>
                <w:p>
                  <w:pPr>
                    <w:pStyle w:val="63"/>
                    <w:adjustRightInd/>
                    <w:snapToGrid/>
                    <w:rPr>
                      <w:sz w:val="21"/>
                      <w:szCs w:val="21"/>
                    </w:rPr>
                  </w:pPr>
                  <w:r>
                    <w:rPr>
                      <w:sz w:val="21"/>
                      <w:szCs w:val="21"/>
                    </w:rPr>
                    <w:t>4</w:t>
                  </w:r>
                  <w:r>
                    <w:rPr>
                      <w:rFonts w:hint="eastAsia"/>
                      <w:sz w:val="21"/>
                      <w:szCs w:val="21"/>
                    </w:rPr>
                    <w:t>、</w:t>
                  </w:r>
                  <w:r>
                    <w:rPr>
                      <w:sz w:val="21"/>
                    </w:rPr>
                    <w:t>农用地优先保护区/其他土壤重点管控区——市县级采矿权/砂石矿</w:t>
                  </w:r>
                </w:p>
              </w:tc>
              <w:tc>
                <w:tcPr>
                  <w:tcW w:w="1519" w:type="pct"/>
                  <w:vAlign w:val="center"/>
                </w:tcPr>
                <w:p>
                  <w:pPr>
                    <w:pStyle w:val="63"/>
                    <w:adjustRightInd/>
                    <w:snapToGrid/>
                    <w:rPr>
                      <w:sz w:val="21"/>
                      <w:szCs w:val="21"/>
                    </w:rPr>
                  </w:pPr>
                  <w:r>
                    <w:rPr>
                      <w:rFonts w:hint="eastAsia"/>
                      <w:sz w:val="21"/>
                      <w:szCs w:val="21"/>
                    </w:rPr>
                    <w:t>1、</w:t>
                  </w:r>
                  <w:r>
                    <w:rPr>
                      <w:sz w:val="21"/>
                      <w:szCs w:val="21"/>
                    </w:rPr>
                    <w:t>本项目位于湖南省衡阳市</w:t>
                  </w:r>
                  <w:r>
                    <w:rPr>
                      <w:rFonts w:hint="eastAsia"/>
                      <w:sz w:val="21"/>
                      <w:szCs w:val="21"/>
                    </w:rPr>
                    <w:t>衡山县</w:t>
                  </w:r>
                  <w:r>
                    <w:rPr>
                      <w:rFonts w:hint="eastAsia"/>
                      <w:sz w:val="21"/>
                      <w:szCs w:val="21"/>
                      <w:lang w:val="en-US" w:eastAsia="zh-CN"/>
                    </w:rPr>
                    <w:t>新桥镇</w:t>
                  </w:r>
                  <w:r>
                    <w:rPr>
                      <w:sz w:val="21"/>
                      <w:szCs w:val="21"/>
                    </w:rPr>
                    <w:t>，</w:t>
                  </w:r>
                  <w:r>
                    <w:rPr>
                      <w:rFonts w:hint="eastAsia"/>
                      <w:sz w:val="21"/>
                      <w:szCs w:val="21"/>
                    </w:rPr>
                    <w:t>不在衡山县</w:t>
                  </w:r>
                  <w:r>
                    <w:rPr>
                      <w:sz w:val="21"/>
                      <w:szCs w:val="21"/>
                    </w:rPr>
                    <w:t>公益林/水土保持功能重要区</w:t>
                  </w:r>
                  <w:r>
                    <w:rPr>
                      <w:rFonts w:hint="eastAsia"/>
                      <w:sz w:val="21"/>
                      <w:szCs w:val="21"/>
                    </w:rPr>
                    <w:t>；</w:t>
                  </w:r>
                </w:p>
                <w:p>
                  <w:pPr>
                    <w:pStyle w:val="63"/>
                    <w:adjustRightInd/>
                    <w:snapToGrid/>
                    <w:rPr>
                      <w:sz w:val="21"/>
                      <w:szCs w:val="21"/>
                    </w:rPr>
                  </w:pPr>
                  <w:r>
                    <w:rPr>
                      <w:rFonts w:hint="eastAsia"/>
                      <w:sz w:val="21"/>
                      <w:szCs w:val="21"/>
                    </w:rPr>
                    <w:t>2、本项目不在</w:t>
                  </w:r>
                  <w:r>
                    <w:rPr>
                      <w:sz w:val="21"/>
                    </w:rPr>
                    <w:t>萱洲国家湿地公园、湘江衡阳段四大家鱼国家级水产种质资源保护区</w:t>
                  </w:r>
                  <w:r>
                    <w:rPr>
                      <w:rFonts w:hint="eastAsia"/>
                      <w:sz w:val="21"/>
                      <w:szCs w:val="21"/>
                    </w:rPr>
                    <w:t>；</w:t>
                  </w:r>
                </w:p>
                <w:p>
                  <w:pPr>
                    <w:pStyle w:val="63"/>
                    <w:adjustRightInd/>
                    <w:snapToGrid/>
                    <w:rPr>
                      <w:sz w:val="21"/>
                      <w:szCs w:val="21"/>
                    </w:rPr>
                  </w:pPr>
                  <w:r>
                    <w:rPr>
                      <w:rFonts w:hint="eastAsia"/>
                      <w:sz w:val="21"/>
                      <w:szCs w:val="21"/>
                    </w:rPr>
                    <w:t>3、项目</w:t>
                  </w:r>
                  <w:r>
                    <w:rPr>
                      <w:sz w:val="21"/>
                      <w:szCs w:val="21"/>
                    </w:rPr>
                    <w:t>不涉及</w:t>
                  </w:r>
                  <w:r>
                    <w:rPr>
                      <w:rFonts w:hint="eastAsia"/>
                      <w:sz w:val="21"/>
                      <w:szCs w:val="21"/>
                    </w:rPr>
                    <w:t>采矿，不在</w:t>
                  </w:r>
                  <w:r>
                    <w:rPr>
                      <w:sz w:val="21"/>
                    </w:rPr>
                    <w:t>农用地优先保护区/其他土壤重点管控区</w:t>
                  </w:r>
                  <w:r>
                    <w:rPr>
                      <w:rFonts w:hint="eastAsia"/>
                      <w:sz w:val="21"/>
                    </w:rPr>
                    <w:t>。</w:t>
                  </w:r>
                </w:p>
              </w:tc>
              <w:tc>
                <w:tcPr>
                  <w:tcW w:w="491" w:type="pct"/>
                  <w:vAlign w:val="center"/>
                </w:tcPr>
                <w:p>
                  <w:pPr>
                    <w:pStyle w:val="63"/>
                    <w:adjustRightInd/>
                    <w:snapToGrid/>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pPr>
                    <w:pStyle w:val="63"/>
                    <w:adjustRightInd/>
                    <w:snapToGrid/>
                    <w:rPr>
                      <w:sz w:val="21"/>
                      <w:szCs w:val="21"/>
                    </w:rPr>
                  </w:pPr>
                  <w:r>
                    <w:rPr>
                      <w:rFonts w:hint="eastAsia"/>
                      <w:sz w:val="21"/>
                      <w:szCs w:val="21"/>
                    </w:rPr>
                    <w:t>3</w:t>
                  </w:r>
                </w:p>
              </w:tc>
              <w:tc>
                <w:tcPr>
                  <w:tcW w:w="403" w:type="pct"/>
                  <w:vAlign w:val="center"/>
                </w:tcPr>
                <w:p>
                  <w:pPr>
                    <w:pStyle w:val="63"/>
                    <w:adjustRightInd/>
                    <w:snapToGrid/>
                    <w:rPr>
                      <w:sz w:val="21"/>
                      <w:szCs w:val="21"/>
                    </w:rPr>
                  </w:pPr>
                  <w:r>
                    <w:rPr>
                      <w:rFonts w:hint="eastAsia"/>
                      <w:sz w:val="21"/>
                      <w:szCs w:val="21"/>
                    </w:rPr>
                    <w:t>空间布局约束</w:t>
                  </w:r>
                </w:p>
              </w:tc>
              <w:tc>
                <w:tcPr>
                  <w:tcW w:w="2285" w:type="pct"/>
                  <w:vAlign w:val="center"/>
                </w:tcPr>
                <w:p>
                  <w:pPr>
                    <w:pStyle w:val="63"/>
                    <w:adjustRightInd/>
                    <w:snapToGrid/>
                    <w:rPr>
                      <w:sz w:val="21"/>
                    </w:rPr>
                  </w:pPr>
                  <w:r>
                    <w:rPr>
                      <w:rFonts w:hint="eastAsia"/>
                      <w:sz w:val="21"/>
                      <w:szCs w:val="21"/>
                    </w:rPr>
                    <w:t>1、</w:t>
                  </w:r>
                  <w:r>
                    <w:rPr>
                      <w:sz w:val="21"/>
                    </w:rPr>
                    <w:t>严禁在城市建成区内新建石化、有机化工、包装印刷、沥青搅拌站、工业涂装等高 VOCs 排放建设项</w:t>
                  </w:r>
                </w:p>
                <w:p>
                  <w:pPr>
                    <w:pStyle w:val="63"/>
                    <w:adjustRightInd/>
                    <w:snapToGrid/>
                    <w:rPr>
                      <w:sz w:val="21"/>
                    </w:rPr>
                  </w:pPr>
                  <w:r>
                    <w:rPr>
                      <w:sz w:val="21"/>
                    </w:rPr>
                    <w:t>2</w:t>
                  </w:r>
                  <w:r>
                    <w:rPr>
                      <w:rFonts w:hint="eastAsia"/>
                      <w:sz w:val="21"/>
                    </w:rPr>
                    <w:t>、</w:t>
                  </w:r>
                  <w:r>
                    <w:rPr>
                      <w:sz w:val="21"/>
                    </w:rPr>
                    <w:t>科学划定畜禽养殖禁养区，在畜禽养殖污染防治规划编制和禁养区划定工作基础上，依法关闭或搬迁禁养区内的畜禽养殖场（小区）和养殖专业户</w:t>
                  </w:r>
                </w:p>
                <w:p>
                  <w:pPr>
                    <w:pStyle w:val="63"/>
                    <w:adjustRightInd/>
                    <w:snapToGrid/>
                    <w:rPr>
                      <w:sz w:val="21"/>
                      <w:szCs w:val="21"/>
                    </w:rPr>
                  </w:pPr>
                  <w:r>
                    <w:rPr>
                      <w:rFonts w:hint="eastAsia"/>
                      <w:sz w:val="21"/>
                    </w:rPr>
                    <w:t>3、</w:t>
                  </w:r>
                  <w:r>
                    <w:rPr>
                      <w:sz w:val="21"/>
                    </w:rPr>
                    <w:t>水产种质资源保护区按《水产种质资源保护区管理暂行办法》（2016 年修正本）要求管理</w:t>
                  </w:r>
                </w:p>
              </w:tc>
              <w:tc>
                <w:tcPr>
                  <w:tcW w:w="1519" w:type="pct"/>
                  <w:vAlign w:val="center"/>
                </w:tcPr>
                <w:p>
                  <w:pPr>
                    <w:pStyle w:val="63"/>
                    <w:adjustRightInd/>
                    <w:snapToGrid/>
                    <w:rPr>
                      <w:sz w:val="21"/>
                      <w:szCs w:val="21"/>
                    </w:rPr>
                  </w:pPr>
                  <w:r>
                    <w:rPr>
                      <w:rFonts w:hint="eastAsia"/>
                      <w:sz w:val="21"/>
                      <w:szCs w:val="21"/>
                    </w:rPr>
                    <w:t>1、本项目属于</w:t>
                  </w:r>
                  <w:r>
                    <w:rPr>
                      <w:rFonts w:hint="eastAsia"/>
                      <w:bCs/>
                      <w:sz w:val="21"/>
                      <w:szCs w:val="21"/>
                      <w:lang w:val="en-US" w:eastAsia="zh-CN"/>
                    </w:rPr>
                    <w:t>竹</w:t>
                  </w:r>
                  <w:r>
                    <w:rPr>
                      <w:rFonts w:hint="eastAsia"/>
                      <w:bCs/>
                      <w:sz w:val="21"/>
                      <w:szCs w:val="21"/>
                    </w:rPr>
                    <w:t>制品加工生产项目</w:t>
                  </w:r>
                  <w:r>
                    <w:rPr>
                      <w:rFonts w:hint="eastAsia"/>
                      <w:sz w:val="21"/>
                      <w:szCs w:val="21"/>
                    </w:rPr>
                    <w:t>，不属于石化、有机化工、包装印刷、沥青搅拌站、工业涂装等高VOCs排放建设项目，</w:t>
                  </w:r>
                </w:p>
                <w:p>
                  <w:pPr>
                    <w:pStyle w:val="63"/>
                    <w:adjustRightInd/>
                    <w:snapToGrid/>
                    <w:rPr>
                      <w:rFonts w:hint="eastAsia" w:eastAsia="宋体"/>
                      <w:sz w:val="21"/>
                      <w:szCs w:val="21"/>
                      <w:lang w:eastAsia="zh-CN"/>
                    </w:rPr>
                  </w:pPr>
                  <w:r>
                    <w:rPr>
                      <w:rFonts w:hint="eastAsia"/>
                      <w:sz w:val="21"/>
                      <w:szCs w:val="21"/>
                    </w:rPr>
                    <w:t>2、也不属于养殖项目</w:t>
                  </w:r>
                  <w:r>
                    <w:rPr>
                      <w:rFonts w:hint="eastAsia"/>
                      <w:sz w:val="21"/>
                      <w:szCs w:val="21"/>
                      <w:lang w:eastAsia="zh-CN"/>
                    </w:rPr>
                    <w:t>。</w:t>
                  </w:r>
                </w:p>
                <w:p>
                  <w:pPr>
                    <w:pStyle w:val="63"/>
                    <w:adjustRightInd/>
                    <w:snapToGrid/>
                    <w:rPr>
                      <w:sz w:val="21"/>
                      <w:szCs w:val="21"/>
                    </w:rPr>
                  </w:pPr>
                  <w:r>
                    <w:rPr>
                      <w:rFonts w:hint="eastAsia"/>
                      <w:sz w:val="21"/>
                      <w:szCs w:val="21"/>
                    </w:rPr>
                    <w:t>3、本项目不在</w:t>
                  </w:r>
                  <w:r>
                    <w:rPr>
                      <w:sz w:val="21"/>
                    </w:rPr>
                    <w:t>水产种质资源保护区</w:t>
                  </w:r>
                  <w:r>
                    <w:rPr>
                      <w:rFonts w:hint="eastAsia"/>
                      <w:sz w:val="21"/>
                    </w:rPr>
                    <w:t>。</w:t>
                  </w:r>
                </w:p>
              </w:tc>
              <w:tc>
                <w:tcPr>
                  <w:tcW w:w="491" w:type="pct"/>
                  <w:vAlign w:val="center"/>
                </w:tcPr>
                <w:p>
                  <w:pPr>
                    <w:pStyle w:val="63"/>
                    <w:adjustRightInd/>
                    <w:snapToGrid/>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pPr>
                    <w:pStyle w:val="63"/>
                    <w:adjustRightInd/>
                    <w:snapToGrid/>
                    <w:rPr>
                      <w:sz w:val="21"/>
                      <w:szCs w:val="21"/>
                    </w:rPr>
                  </w:pPr>
                  <w:r>
                    <w:rPr>
                      <w:rFonts w:hint="eastAsia"/>
                      <w:sz w:val="21"/>
                      <w:szCs w:val="21"/>
                    </w:rPr>
                    <w:t>4</w:t>
                  </w:r>
                </w:p>
              </w:tc>
              <w:tc>
                <w:tcPr>
                  <w:tcW w:w="403" w:type="pct"/>
                  <w:vAlign w:val="center"/>
                </w:tcPr>
                <w:p>
                  <w:pPr>
                    <w:pStyle w:val="63"/>
                    <w:adjustRightInd/>
                    <w:snapToGrid/>
                    <w:rPr>
                      <w:sz w:val="21"/>
                      <w:szCs w:val="21"/>
                    </w:rPr>
                  </w:pPr>
                  <w:r>
                    <w:rPr>
                      <w:rFonts w:hint="eastAsia"/>
                      <w:sz w:val="21"/>
                      <w:szCs w:val="21"/>
                    </w:rPr>
                    <w:t>污染物排放管控</w:t>
                  </w:r>
                </w:p>
              </w:tc>
              <w:tc>
                <w:tcPr>
                  <w:tcW w:w="2285" w:type="pct"/>
                  <w:vAlign w:val="center"/>
                </w:tcPr>
                <w:p>
                  <w:pPr>
                    <w:pStyle w:val="63"/>
                    <w:adjustRightInd/>
                    <w:snapToGrid/>
                    <w:rPr>
                      <w:sz w:val="21"/>
                    </w:rPr>
                  </w:pPr>
                  <w:r>
                    <w:rPr>
                      <w:rFonts w:hint="eastAsia"/>
                      <w:sz w:val="21"/>
                      <w:szCs w:val="21"/>
                    </w:rPr>
                    <w:t>1、</w:t>
                  </w:r>
                  <w:r>
                    <w:rPr>
                      <w:sz w:val="21"/>
                    </w:rPr>
                    <w:t>乡镇污水处理率达到80%以上。现有污水处理厂污泥处理处置设施全部完成达标改造。污泥应进行稳定化、无害化和资源化处理处置，禁止处理处置未达标的污泥进入耕地</w:t>
                  </w:r>
                  <w:r>
                    <w:rPr>
                      <w:rFonts w:hint="eastAsia"/>
                      <w:sz w:val="21"/>
                    </w:rPr>
                    <w:t>。</w:t>
                  </w:r>
                </w:p>
                <w:p>
                  <w:pPr>
                    <w:pStyle w:val="63"/>
                    <w:adjustRightInd/>
                    <w:snapToGrid/>
                    <w:rPr>
                      <w:sz w:val="21"/>
                      <w:szCs w:val="21"/>
                    </w:rPr>
                  </w:pPr>
                  <w:r>
                    <w:rPr>
                      <w:rFonts w:hint="eastAsia"/>
                      <w:sz w:val="21"/>
                      <w:szCs w:val="21"/>
                    </w:rPr>
                    <w:t>2、</w:t>
                  </w:r>
                  <w:r>
                    <w:rPr>
                      <w:sz w:val="21"/>
                    </w:rPr>
                    <w:t>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 露天焚烧</w:t>
                  </w:r>
                  <w:r>
                    <w:rPr>
                      <w:rFonts w:hint="eastAsia"/>
                      <w:sz w:val="21"/>
                      <w:szCs w:val="21"/>
                    </w:rPr>
                    <w:t>。</w:t>
                  </w:r>
                </w:p>
                <w:p>
                  <w:pPr>
                    <w:pStyle w:val="63"/>
                    <w:adjustRightInd/>
                    <w:snapToGrid/>
                    <w:rPr>
                      <w:sz w:val="21"/>
                      <w:szCs w:val="21"/>
                    </w:rPr>
                  </w:pPr>
                  <w:r>
                    <w:rPr>
                      <w:rFonts w:hint="eastAsia"/>
                      <w:sz w:val="21"/>
                      <w:szCs w:val="21"/>
                    </w:rPr>
                    <w:t>3、</w:t>
                  </w:r>
                  <w:r>
                    <w:rPr>
                      <w:sz w:val="21"/>
                    </w:rPr>
                    <w:t>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r>
                    <w:rPr>
                      <w:rFonts w:hint="eastAsia"/>
                      <w:sz w:val="21"/>
                      <w:szCs w:val="21"/>
                    </w:rPr>
                    <w:t>。</w:t>
                  </w:r>
                </w:p>
              </w:tc>
              <w:tc>
                <w:tcPr>
                  <w:tcW w:w="1519" w:type="pct"/>
                  <w:vAlign w:val="center"/>
                </w:tcPr>
                <w:p>
                  <w:pPr>
                    <w:pStyle w:val="63"/>
                    <w:adjustRightInd/>
                    <w:snapToGrid/>
                    <w:rPr>
                      <w:sz w:val="21"/>
                      <w:szCs w:val="21"/>
                    </w:rPr>
                  </w:pPr>
                  <w:r>
                    <w:rPr>
                      <w:sz w:val="21"/>
                      <w:szCs w:val="21"/>
                    </w:rPr>
                    <w:t>1</w:t>
                  </w:r>
                  <w:r>
                    <w:rPr>
                      <w:rFonts w:hint="eastAsia"/>
                      <w:sz w:val="21"/>
                      <w:szCs w:val="21"/>
                    </w:rPr>
                    <w:t>、项目生活污水经</w:t>
                  </w:r>
                  <w:r>
                    <w:rPr>
                      <w:rFonts w:hint="eastAsia"/>
                      <w:color w:val="000000" w:themeColor="text1"/>
                      <w:sz w:val="21"/>
                      <w:szCs w:val="21"/>
                      <w:lang w:val="en-US" w:eastAsia="zh-CN"/>
                      <w14:textFill>
                        <w14:solidFill>
                          <w14:schemeClr w14:val="tx1"/>
                        </w14:solidFill>
                      </w14:textFill>
                    </w:rPr>
                    <w:t>隔油池、</w:t>
                  </w:r>
                  <w:r>
                    <w:rPr>
                      <w:rFonts w:hint="eastAsia"/>
                      <w:sz w:val="21"/>
                      <w:szCs w:val="21"/>
                    </w:rPr>
                    <w:t>化粪池处理</w:t>
                  </w:r>
                  <w:r>
                    <w:rPr>
                      <w:rFonts w:hint="eastAsia"/>
                      <w:sz w:val="21"/>
                      <w:szCs w:val="21"/>
                      <w:lang w:val="en-US" w:eastAsia="zh-CN"/>
                    </w:rPr>
                    <w:t>后用作农肥</w:t>
                  </w:r>
                  <w:r>
                    <w:rPr>
                      <w:rFonts w:hint="eastAsia"/>
                      <w:sz w:val="21"/>
                      <w:szCs w:val="21"/>
                    </w:rPr>
                    <w:t>；</w:t>
                  </w:r>
                </w:p>
                <w:p>
                  <w:pPr>
                    <w:pStyle w:val="63"/>
                    <w:adjustRightInd/>
                    <w:snapToGrid/>
                    <w:rPr>
                      <w:sz w:val="21"/>
                      <w:szCs w:val="21"/>
                    </w:rPr>
                  </w:pPr>
                  <w:r>
                    <w:rPr>
                      <w:rFonts w:hint="eastAsia"/>
                      <w:sz w:val="21"/>
                      <w:szCs w:val="21"/>
                    </w:rPr>
                    <w:t>2、项目不属于</w:t>
                  </w:r>
                  <w:r>
                    <w:rPr>
                      <w:sz w:val="21"/>
                    </w:rPr>
                    <w:t>建材、有色、火电、化工等行业</w:t>
                  </w:r>
                  <w:r>
                    <w:rPr>
                      <w:rFonts w:hint="eastAsia"/>
                      <w:sz w:val="21"/>
                    </w:rPr>
                    <w:t>，有</w:t>
                  </w:r>
                  <w:r>
                    <w:rPr>
                      <w:rFonts w:hint="eastAsia"/>
                      <w:sz w:val="21"/>
                      <w:lang w:val="en-US" w:eastAsia="zh-CN"/>
                    </w:rPr>
                    <w:t>炉窑</w:t>
                  </w:r>
                  <w:r>
                    <w:rPr>
                      <w:rFonts w:hint="eastAsia"/>
                      <w:sz w:val="21"/>
                    </w:rPr>
                    <w:t>装置，在采取布袋除尘</w:t>
                  </w:r>
                  <w:r>
                    <w:rPr>
                      <w:rFonts w:hint="eastAsia"/>
                      <w:sz w:val="21"/>
                      <w:lang w:eastAsia="zh-CN"/>
                    </w:rPr>
                    <w:t>等</w:t>
                  </w:r>
                  <w:r>
                    <w:rPr>
                      <w:rFonts w:hint="eastAsia"/>
                      <w:sz w:val="21"/>
                    </w:rPr>
                    <w:t>措施的前提下，可有效减少无组织废气排放量且能达标排放</w:t>
                  </w:r>
                  <w:r>
                    <w:rPr>
                      <w:rFonts w:hint="eastAsia"/>
                      <w:sz w:val="21"/>
                      <w:szCs w:val="21"/>
                    </w:rPr>
                    <w:t>；</w:t>
                  </w:r>
                </w:p>
                <w:p>
                  <w:pPr>
                    <w:pStyle w:val="63"/>
                    <w:adjustRightInd/>
                    <w:snapToGrid/>
                    <w:rPr>
                      <w:sz w:val="21"/>
                      <w:szCs w:val="21"/>
                    </w:rPr>
                  </w:pPr>
                  <w:r>
                    <w:rPr>
                      <w:rFonts w:hint="eastAsia"/>
                      <w:sz w:val="21"/>
                      <w:szCs w:val="21"/>
                    </w:rPr>
                    <w:t>3、</w:t>
                  </w:r>
                  <w:r>
                    <w:rPr>
                      <w:rFonts w:hint="eastAsia"/>
                      <w:sz w:val="21"/>
                      <w:szCs w:val="21"/>
                      <w:lang w:val="eu-ES"/>
                    </w:rPr>
                    <w:t>项目</w:t>
                  </w:r>
                  <w:r>
                    <w:rPr>
                      <w:rFonts w:hint="eastAsia"/>
                      <w:sz w:val="21"/>
                      <w:szCs w:val="21"/>
                      <w:lang w:val="en-US" w:eastAsia="zh-CN"/>
                    </w:rPr>
                    <w:t>产生的各类</w:t>
                  </w:r>
                  <w:r>
                    <w:rPr>
                      <w:rFonts w:hint="eastAsia"/>
                      <w:sz w:val="21"/>
                      <w:szCs w:val="21"/>
                      <w:lang w:val="eu-ES"/>
                    </w:rPr>
                    <w:t>固体废物均可得到合理有效的处置</w:t>
                  </w:r>
                  <w:r>
                    <w:rPr>
                      <w:rFonts w:hint="eastAsia"/>
                      <w:sz w:val="21"/>
                      <w:szCs w:val="21"/>
                    </w:rPr>
                    <w:t>。</w:t>
                  </w:r>
                </w:p>
              </w:tc>
              <w:tc>
                <w:tcPr>
                  <w:tcW w:w="491" w:type="pct"/>
                  <w:vAlign w:val="center"/>
                </w:tcPr>
                <w:p>
                  <w:pPr>
                    <w:pStyle w:val="63"/>
                    <w:adjustRightInd/>
                    <w:snapToGrid/>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pPr>
                    <w:pStyle w:val="63"/>
                    <w:adjustRightInd/>
                    <w:snapToGrid/>
                    <w:rPr>
                      <w:sz w:val="21"/>
                      <w:szCs w:val="21"/>
                    </w:rPr>
                  </w:pPr>
                  <w:r>
                    <w:rPr>
                      <w:rFonts w:hint="eastAsia"/>
                      <w:sz w:val="21"/>
                      <w:szCs w:val="21"/>
                    </w:rPr>
                    <w:t>5</w:t>
                  </w:r>
                </w:p>
              </w:tc>
              <w:tc>
                <w:tcPr>
                  <w:tcW w:w="403" w:type="pct"/>
                  <w:vAlign w:val="center"/>
                </w:tcPr>
                <w:p>
                  <w:pPr>
                    <w:pStyle w:val="63"/>
                    <w:adjustRightInd/>
                    <w:snapToGrid/>
                    <w:rPr>
                      <w:sz w:val="21"/>
                      <w:szCs w:val="21"/>
                    </w:rPr>
                  </w:pPr>
                  <w:r>
                    <w:rPr>
                      <w:rFonts w:hint="eastAsia"/>
                      <w:sz w:val="21"/>
                      <w:szCs w:val="21"/>
                    </w:rPr>
                    <w:t>环境风险防控</w:t>
                  </w:r>
                </w:p>
              </w:tc>
              <w:tc>
                <w:tcPr>
                  <w:tcW w:w="2285" w:type="pct"/>
                  <w:vAlign w:val="center"/>
                </w:tcPr>
                <w:p>
                  <w:pPr>
                    <w:pStyle w:val="63"/>
                    <w:numPr>
                      <w:ilvl w:val="0"/>
                      <w:numId w:val="1"/>
                    </w:numPr>
                    <w:adjustRightInd/>
                    <w:snapToGrid/>
                    <w:rPr>
                      <w:sz w:val="21"/>
                      <w:szCs w:val="21"/>
                    </w:rPr>
                  </w:pPr>
                  <w:r>
                    <w:rPr>
                      <w:sz w:val="21"/>
                    </w:rPr>
                    <w:t>加强风险防范和控制能力建设，制定和完善水污染事故应急处置方案，并定期组织演练；开展尾矿库环境风险评估，全面整治历史遗留尾矿库，建立突出环境风险隐患管理台账，逐一摸清污染成因，制定整治方案</w:t>
                  </w:r>
                  <w:r>
                    <w:rPr>
                      <w:rFonts w:hint="eastAsia"/>
                      <w:sz w:val="21"/>
                      <w:szCs w:val="21"/>
                    </w:rPr>
                    <w:t>。</w:t>
                  </w:r>
                </w:p>
                <w:p>
                  <w:pPr>
                    <w:pStyle w:val="63"/>
                    <w:numPr>
                      <w:ilvl w:val="0"/>
                      <w:numId w:val="1"/>
                    </w:numPr>
                    <w:adjustRightInd/>
                    <w:snapToGrid/>
                    <w:rPr>
                      <w:sz w:val="21"/>
                      <w:szCs w:val="21"/>
                    </w:rPr>
                  </w:pPr>
                  <w:r>
                    <w:rPr>
                      <w:sz w:val="21"/>
                    </w:rPr>
                    <w:t>采取农艺调控、化学阻控、替代种植等措施，降低农产品重金属超标风险。</w:t>
                  </w:r>
                </w:p>
              </w:tc>
              <w:tc>
                <w:tcPr>
                  <w:tcW w:w="1519" w:type="pct"/>
                  <w:vAlign w:val="center"/>
                </w:tcPr>
                <w:p>
                  <w:pPr>
                    <w:pStyle w:val="63"/>
                    <w:adjustRightInd/>
                    <w:snapToGrid/>
                    <w:rPr>
                      <w:sz w:val="21"/>
                      <w:szCs w:val="21"/>
                    </w:rPr>
                  </w:pPr>
                  <w:r>
                    <w:rPr>
                      <w:rFonts w:hint="eastAsia"/>
                      <w:sz w:val="21"/>
                      <w:szCs w:val="21"/>
                    </w:rPr>
                    <w:t>1、</w:t>
                  </w:r>
                  <w:r>
                    <w:rPr>
                      <w:rFonts w:hint="eastAsia"/>
                      <w:sz w:val="21"/>
                      <w:szCs w:val="21"/>
                      <w:lang w:eastAsia="zh-CN"/>
                    </w:rPr>
                    <w:t>制定企业按照生产管理制度</w:t>
                  </w:r>
                  <w:r>
                    <w:rPr>
                      <w:rFonts w:hint="eastAsia"/>
                      <w:sz w:val="21"/>
                      <w:szCs w:val="21"/>
                    </w:rPr>
                    <w:t>，加强项目环境风险管理。</w:t>
                  </w:r>
                </w:p>
                <w:p>
                  <w:pPr>
                    <w:pStyle w:val="63"/>
                    <w:adjustRightInd/>
                    <w:snapToGrid/>
                    <w:rPr>
                      <w:sz w:val="21"/>
                      <w:szCs w:val="21"/>
                    </w:rPr>
                  </w:pPr>
                  <w:r>
                    <w:rPr>
                      <w:rFonts w:hint="eastAsia"/>
                      <w:sz w:val="21"/>
                      <w:szCs w:val="21"/>
                    </w:rPr>
                    <w:t>2、本项目生产过程不涉及重金属排放，对土壤环境影响较小。</w:t>
                  </w:r>
                </w:p>
              </w:tc>
              <w:tc>
                <w:tcPr>
                  <w:tcW w:w="491" w:type="pct"/>
                  <w:vAlign w:val="center"/>
                </w:tcPr>
                <w:p>
                  <w:pPr>
                    <w:pStyle w:val="63"/>
                    <w:adjustRightInd/>
                    <w:snapToGrid/>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pPr>
                    <w:pStyle w:val="63"/>
                    <w:adjustRightInd/>
                    <w:snapToGrid/>
                    <w:rPr>
                      <w:sz w:val="21"/>
                      <w:szCs w:val="21"/>
                    </w:rPr>
                  </w:pPr>
                  <w:r>
                    <w:rPr>
                      <w:rFonts w:hint="eastAsia"/>
                      <w:sz w:val="21"/>
                      <w:szCs w:val="21"/>
                    </w:rPr>
                    <w:t>6</w:t>
                  </w:r>
                </w:p>
              </w:tc>
              <w:tc>
                <w:tcPr>
                  <w:tcW w:w="403" w:type="pct"/>
                  <w:vAlign w:val="center"/>
                </w:tcPr>
                <w:p>
                  <w:pPr>
                    <w:pStyle w:val="63"/>
                    <w:adjustRightInd/>
                    <w:snapToGrid/>
                    <w:rPr>
                      <w:sz w:val="21"/>
                      <w:szCs w:val="21"/>
                    </w:rPr>
                  </w:pPr>
                  <w:r>
                    <w:rPr>
                      <w:rFonts w:hint="eastAsia"/>
                      <w:sz w:val="21"/>
                      <w:szCs w:val="21"/>
                    </w:rPr>
                    <w:t>资源开发效率要求</w:t>
                  </w:r>
                </w:p>
              </w:tc>
              <w:tc>
                <w:tcPr>
                  <w:tcW w:w="2285" w:type="pct"/>
                  <w:vAlign w:val="center"/>
                </w:tcPr>
                <w:p>
                  <w:pPr>
                    <w:pStyle w:val="63"/>
                    <w:adjustRightInd/>
                    <w:snapToGrid/>
                    <w:rPr>
                      <w:sz w:val="21"/>
                      <w:szCs w:val="21"/>
                    </w:rPr>
                  </w:pPr>
                  <w:r>
                    <w:rPr>
                      <w:rFonts w:hint="eastAsia"/>
                      <w:sz w:val="21"/>
                      <w:szCs w:val="21"/>
                    </w:rPr>
                    <w:t>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pPr>
                    <w:pStyle w:val="63"/>
                    <w:adjustRightInd/>
                    <w:snapToGrid/>
                    <w:rPr>
                      <w:sz w:val="21"/>
                      <w:szCs w:val="21"/>
                    </w:rPr>
                  </w:pPr>
                  <w:r>
                    <w:rPr>
                      <w:rFonts w:hint="eastAsia"/>
                      <w:sz w:val="21"/>
                      <w:szCs w:val="21"/>
                    </w:rPr>
                    <w:t>2、水资源：大力推进农业、工业、城镇节水，全面推进节水型社会建设</w:t>
                  </w:r>
                </w:p>
              </w:tc>
              <w:tc>
                <w:tcPr>
                  <w:tcW w:w="1519" w:type="pct"/>
                  <w:vAlign w:val="center"/>
                </w:tcPr>
                <w:p>
                  <w:pPr>
                    <w:pStyle w:val="63"/>
                    <w:adjustRightInd/>
                    <w:snapToGrid/>
                    <w:rPr>
                      <w:sz w:val="21"/>
                      <w:szCs w:val="21"/>
                    </w:rPr>
                  </w:pPr>
                  <w:r>
                    <w:rPr>
                      <w:rFonts w:hint="eastAsia"/>
                      <w:color w:val="000000" w:themeColor="text1"/>
                      <w:sz w:val="21"/>
                      <w:szCs w:val="21"/>
                      <w14:textFill>
                        <w14:solidFill>
                          <w14:schemeClr w14:val="tx1"/>
                        </w14:solidFill>
                      </w14:textFill>
                    </w:rPr>
                    <w:t>本项目生产过程中所用的资源主要为水、电资源。本项目生活污水经</w:t>
                  </w:r>
                  <w:r>
                    <w:rPr>
                      <w:rFonts w:hint="eastAsia"/>
                      <w:color w:val="000000" w:themeColor="text1"/>
                      <w:sz w:val="21"/>
                      <w:szCs w:val="21"/>
                      <w:lang w:val="en-US" w:eastAsia="zh-CN"/>
                      <w14:textFill>
                        <w14:solidFill>
                          <w14:schemeClr w14:val="tx1"/>
                        </w14:solidFill>
                      </w14:textFill>
                    </w:rPr>
                    <w:t>隔油池、</w:t>
                  </w:r>
                  <w:r>
                    <w:rPr>
                      <w:rFonts w:hint="eastAsia"/>
                      <w:color w:val="000000" w:themeColor="text1"/>
                      <w:sz w:val="21"/>
                      <w:szCs w:val="21"/>
                      <w14:textFill>
                        <w14:solidFill>
                          <w14:schemeClr w14:val="tx1"/>
                        </w14:solidFill>
                      </w14:textFill>
                    </w:rPr>
                    <w:t>化粪池处理</w:t>
                  </w:r>
                  <w:r>
                    <w:rPr>
                      <w:rFonts w:hint="eastAsia"/>
                      <w:color w:val="000000" w:themeColor="text1"/>
                      <w:sz w:val="21"/>
                      <w:szCs w:val="21"/>
                      <w:lang w:val="en-US" w:eastAsia="zh-CN"/>
                      <w14:textFill>
                        <w14:solidFill>
                          <w14:schemeClr w14:val="tx1"/>
                        </w14:solidFill>
                      </w14:textFill>
                    </w:rPr>
                    <w:t>后用作农肥。</w:t>
                  </w:r>
                  <w:r>
                    <w:rPr>
                      <w:rFonts w:hint="eastAsia"/>
                      <w:color w:val="000000" w:themeColor="text1"/>
                      <w:sz w:val="21"/>
                      <w:szCs w:val="21"/>
                      <w14:textFill>
                        <w14:solidFill>
                          <w14:schemeClr w14:val="tx1"/>
                        </w14:solidFill>
                      </w14:textFill>
                    </w:rPr>
                    <w:t>项目选用设备均为节能、降耗环保设备。</w:t>
                  </w:r>
                </w:p>
              </w:tc>
              <w:tc>
                <w:tcPr>
                  <w:tcW w:w="491" w:type="pct"/>
                  <w:vAlign w:val="center"/>
                </w:tcPr>
                <w:p>
                  <w:pPr>
                    <w:pStyle w:val="63"/>
                    <w:adjustRightInd/>
                    <w:snapToGrid/>
                    <w:rPr>
                      <w:sz w:val="21"/>
                      <w:szCs w:val="21"/>
                    </w:rPr>
                  </w:pPr>
                  <w:r>
                    <w:rPr>
                      <w:rFonts w:hint="eastAsia"/>
                      <w:sz w:val="21"/>
                      <w:szCs w:val="21"/>
                    </w:rPr>
                    <w:t>是</w:t>
                  </w:r>
                </w:p>
              </w:tc>
            </w:tr>
          </w:tbl>
          <w:p>
            <w:pPr>
              <w:pStyle w:val="2"/>
              <w:spacing w:after="0"/>
              <w:ind w:left="0" w:leftChars="0" w:firstLine="480"/>
              <w:rPr>
                <w:lang w:val="en-US" w:eastAsia="zh-CN"/>
              </w:rPr>
            </w:pPr>
            <w:r>
              <w:rPr>
                <w:bCs/>
                <w:lang w:val="en-US" w:eastAsia="zh-CN"/>
              </w:rPr>
              <w:t>综上所述，本项目符合</w:t>
            </w:r>
            <w:r>
              <w:rPr>
                <w:rFonts w:hint="eastAsia"/>
                <w:bCs/>
                <w:lang w:val="en-US" w:eastAsia="zh-CN"/>
              </w:rPr>
              <w:t>“</w:t>
            </w:r>
            <w:r>
              <w:rPr>
                <w:bCs/>
                <w:lang w:val="en-US" w:eastAsia="zh-CN"/>
              </w:rPr>
              <w:t>三线一单</w:t>
            </w:r>
            <w:r>
              <w:rPr>
                <w:rFonts w:hint="eastAsia"/>
                <w:bCs/>
                <w:lang w:val="en-US" w:eastAsia="zh-CN"/>
              </w:rPr>
              <w:t>”</w:t>
            </w:r>
            <w:r>
              <w:rPr>
                <w:bCs/>
                <w:lang w:val="en-US" w:eastAsia="zh-CN"/>
              </w:rPr>
              <w:t>及国家及地方现行的产业政策</w:t>
            </w:r>
            <w:r>
              <w:rPr>
                <w:rFonts w:hint="eastAsia"/>
                <w:bCs/>
                <w:lang w:val="en-US" w:eastAsia="zh-CN"/>
              </w:rPr>
              <w:t>。</w:t>
            </w:r>
          </w:p>
          <w:p>
            <w:pPr>
              <w:autoSpaceDE w:val="0"/>
              <w:autoSpaceDN w:val="0"/>
              <w:adjustRightInd w:val="0"/>
              <w:snapToGrid w:val="0"/>
              <w:spacing w:line="360" w:lineRule="auto"/>
              <w:ind w:firstLine="482" w:firstLineChars="200"/>
              <w:rPr>
                <w:bCs/>
                <w:sz w:val="24"/>
              </w:rPr>
            </w:pPr>
            <w:r>
              <w:rPr>
                <w:rFonts w:hint="eastAsia"/>
                <w:b/>
                <w:sz w:val="24"/>
              </w:rPr>
              <w:t>3、平面布置合理性分析</w:t>
            </w:r>
          </w:p>
          <w:p>
            <w:pPr>
              <w:pStyle w:val="62"/>
              <w:spacing w:line="360" w:lineRule="auto"/>
              <w:ind w:firstLine="480" w:firstLineChars="200"/>
              <w:rPr>
                <w:bCs/>
              </w:rPr>
            </w:pPr>
            <w:r>
              <w:rPr>
                <w:rFonts w:hint="eastAsia" w:hAnsi="宋体"/>
              </w:rPr>
              <w:t>进场道路</w:t>
            </w:r>
            <w:r>
              <w:rPr>
                <w:rFonts w:hint="eastAsia" w:hAnsi="宋体"/>
                <w:lang w:val="en-US" w:eastAsia="zh-CN"/>
              </w:rPr>
              <w:t>北</w:t>
            </w:r>
            <w:r>
              <w:rPr>
                <w:rFonts w:hint="eastAsia" w:hAnsi="宋体"/>
              </w:rPr>
              <w:t>面连接</w:t>
            </w:r>
            <w:r>
              <w:rPr>
                <w:rFonts w:hint="eastAsia" w:hAnsi="宋体"/>
                <w:lang w:val="en-US" w:eastAsia="zh-CN"/>
              </w:rPr>
              <w:t>县</w:t>
            </w:r>
            <w:r>
              <w:rPr>
                <w:rFonts w:hint="eastAsia" w:hAnsi="宋体"/>
              </w:rPr>
              <w:t>道</w:t>
            </w:r>
            <w:r>
              <w:rPr>
                <w:rFonts w:hint="eastAsia" w:hAnsi="宋体"/>
                <w:lang w:val="en-US" w:eastAsia="zh-CN"/>
              </w:rPr>
              <w:t>X009</w:t>
            </w:r>
            <w:r>
              <w:rPr>
                <w:rFonts w:hint="eastAsia" w:hAnsi="宋体"/>
              </w:rPr>
              <w:t>，生产</w:t>
            </w:r>
            <w:r>
              <w:rPr>
                <w:rFonts w:hint="eastAsia" w:hAnsi="宋体"/>
                <w:lang w:val="en-US" w:eastAsia="zh-CN"/>
              </w:rPr>
              <w:t>线</w:t>
            </w:r>
            <w:r>
              <w:rPr>
                <w:rFonts w:hint="eastAsia" w:hAnsi="宋体"/>
              </w:rPr>
              <w:t>呈长方形</w:t>
            </w:r>
            <w:r>
              <w:rPr>
                <w:rFonts w:hint="eastAsia" w:hAnsi="宋体"/>
                <w:lang w:val="en-US" w:eastAsia="zh-CN"/>
              </w:rPr>
              <w:t>分布</w:t>
            </w:r>
            <w:r>
              <w:rPr>
                <w:rFonts w:hint="eastAsia" w:hAnsi="宋体"/>
              </w:rPr>
              <w:t>，自东</w:t>
            </w:r>
            <w:r>
              <w:rPr>
                <w:rFonts w:hint="eastAsia" w:hAnsi="宋体"/>
                <w:lang w:val="en-US" w:eastAsia="zh-CN"/>
              </w:rPr>
              <w:t>南</w:t>
            </w:r>
            <w:r>
              <w:rPr>
                <w:rFonts w:hint="eastAsia" w:hAnsi="宋体"/>
              </w:rPr>
              <w:t>向西</w:t>
            </w:r>
            <w:r>
              <w:rPr>
                <w:rFonts w:hint="eastAsia" w:hAnsi="宋体"/>
                <w:lang w:val="en-US" w:eastAsia="zh-CN"/>
              </w:rPr>
              <w:t>北</w:t>
            </w:r>
            <w:r>
              <w:rPr>
                <w:rFonts w:hint="eastAsia" w:hAnsi="宋体"/>
              </w:rPr>
              <w:t>方向分别为</w:t>
            </w:r>
            <w:r>
              <w:rPr>
                <w:rFonts w:hint="eastAsia" w:hAnsi="宋体"/>
                <w:lang w:val="en-US" w:eastAsia="zh-CN"/>
              </w:rPr>
              <w:t>进料区、分选区、破碎区、烘干区和炭化区等</w:t>
            </w:r>
            <w:r>
              <w:rPr>
                <w:rFonts w:hint="eastAsia" w:hAnsi="宋体"/>
              </w:rPr>
              <w:t>。</w:t>
            </w:r>
            <w:r>
              <w:rPr>
                <w:rFonts w:hint="eastAsia" w:hAnsi="宋体"/>
                <w:lang w:val="en-US" w:eastAsia="zh-CN"/>
              </w:rPr>
              <w:t>综合楼办公用房位于生产线的西侧。</w:t>
            </w:r>
            <w:r>
              <w:rPr>
                <w:bCs/>
              </w:rPr>
              <w:t>项目在施工期及运营期采取环评报告中提出的各项污染防治措施，确保污染源达标排放的前提下，对周围环境影响很小。</w:t>
            </w:r>
          </w:p>
          <w:p>
            <w:pPr>
              <w:spacing w:line="360" w:lineRule="auto"/>
              <w:ind w:firstLine="480" w:firstLineChars="200"/>
              <w:rPr>
                <w:bCs/>
                <w:spacing w:val="4"/>
                <w:sz w:val="24"/>
              </w:rPr>
            </w:pPr>
            <w:r>
              <w:rPr>
                <w:rFonts w:hint="eastAsia"/>
                <w:sz w:val="24"/>
              </w:rPr>
              <w:t>综合来看，</w:t>
            </w:r>
            <w:r>
              <w:rPr>
                <w:bCs/>
                <w:sz w:val="24"/>
              </w:rPr>
              <w:t>项目地功能分区明</w:t>
            </w:r>
            <w:r>
              <w:rPr>
                <w:rFonts w:hint="eastAsia"/>
                <w:bCs/>
                <w:sz w:val="24"/>
              </w:rPr>
              <w:t>确</w:t>
            </w:r>
            <w:r>
              <w:rPr>
                <w:bCs/>
                <w:sz w:val="24"/>
              </w:rPr>
              <w:t>，按照生产工艺流水线布局，</w:t>
            </w:r>
            <w:r>
              <w:rPr>
                <w:rFonts w:hint="eastAsia" w:hAnsi="宋体"/>
                <w:sz w:val="24"/>
              </w:rPr>
              <w:t>高噪声设备设置在远离居民的一侧</w:t>
            </w:r>
            <w:r>
              <w:rPr>
                <w:rFonts w:hint="eastAsia"/>
                <w:bCs/>
                <w:sz w:val="24"/>
              </w:rPr>
              <w:t>，</w:t>
            </w:r>
            <w:r>
              <w:rPr>
                <w:bCs/>
                <w:sz w:val="24"/>
              </w:rPr>
              <w:t>总体布局</w:t>
            </w:r>
            <w:r>
              <w:rPr>
                <w:rFonts w:hint="eastAsia"/>
                <w:bCs/>
                <w:sz w:val="24"/>
              </w:rPr>
              <w:t>从环保角度考虑</w:t>
            </w:r>
            <w:r>
              <w:rPr>
                <w:bCs/>
                <w:sz w:val="24"/>
              </w:rPr>
              <w:t>合理。</w:t>
            </w:r>
          </w:p>
          <w:p>
            <w:pPr>
              <w:autoSpaceDE w:val="0"/>
              <w:autoSpaceDN w:val="0"/>
              <w:adjustRightInd w:val="0"/>
              <w:snapToGrid w:val="0"/>
              <w:spacing w:line="360" w:lineRule="auto"/>
              <w:ind w:firstLine="482" w:firstLineChars="200"/>
              <w:rPr>
                <w:bCs/>
                <w:sz w:val="24"/>
              </w:rPr>
            </w:pPr>
            <w:r>
              <w:rPr>
                <w:rFonts w:hint="eastAsia"/>
                <w:b/>
                <w:sz w:val="24"/>
              </w:rPr>
              <w:t>4、选址合理性分析</w:t>
            </w:r>
          </w:p>
          <w:p>
            <w:pPr>
              <w:autoSpaceDE w:val="0"/>
              <w:autoSpaceDN w:val="0"/>
              <w:adjustRightInd w:val="0"/>
              <w:snapToGrid w:val="0"/>
              <w:spacing w:line="360" w:lineRule="auto"/>
              <w:ind w:firstLine="496" w:firstLineChars="200"/>
              <w:rPr>
                <w:kern w:val="0"/>
                <w:sz w:val="24"/>
              </w:rPr>
            </w:pPr>
            <w:r>
              <w:rPr>
                <w:rFonts w:hint="eastAsia"/>
                <w:bCs/>
                <w:spacing w:val="4"/>
                <w:sz w:val="24"/>
              </w:rPr>
              <w:t>项目位于</w:t>
            </w:r>
            <w:r>
              <w:rPr>
                <w:rFonts w:hint="eastAsia"/>
                <w:bCs/>
                <w:spacing w:val="4"/>
                <w:sz w:val="24"/>
                <w:lang w:val="en-US" w:eastAsia="zh-CN"/>
              </w:rPr>
              <w:t>衡山县</w:t>
            </w:r>
            <w:r>
              <w:rPr>
                <w:rFonts w:hint="eastAsia"/>
                <w:sz w:val="24"/>
                <w:lang w:val="en-US" w:eastAsia="zh-CN"/>
              </w:rPr>
              <w:t>新桥镇</w:t>
            </w:r>
            <w:r>
              <w:rPr>
                <w:rFonts w:hint="eastAsia"/>
                <w:sz w:val="24"/>
              </w:rPr>
              <w:t>，</w:t>
            </w:r>
            <w:r>
              <w:rPr>
                <w:rFonts w:hint="eastAsia"/>
                <w:sz w:val="24"/>
                <w:lang w:val="en-US" w:eastAsia="zh-CN"/>
              </w:rPr>
              <w:t>北</w:t>
            </w:r>
            <w:r>
              <w:rPr>
                <w:rFonts w:hint="eastAsia"/>
                <w:bCs/>
                <w:spacing w:val="4"/>
                <w:sz w:val="24"/>
              </w:rPr>
              <w:t>面</w:t>
            </w:r>
            <w:r>
              <w:rPr>
                <w:rFonts w:hint="eastAsia"/>
                <w:bCs/>
                <w:spacing w:val="4"/>
                <w:sz w:val="24"/>
                <w:lang w:eastAsia="zh-CN"/>
              </w:rPr>
              <w:t>厂区进出口连接</w:t>
            </w:r>
            <w:r>
              <w:rPr>
                <w:rFonts w:hint="eastAsia"/>
                <w:bCs/>
                <w:spacing w:val="4"/>
                <w:sz w:val="24"/>
                <w:lang w:val="en-US" w:eastAsia="zh-CN"/>
              </w:rPr>
              <w:t>县</w:t>
            </w:r>
            <w:r>
              <w:rPr>
                <w:rFonts w:hint="eastAsia"/>
                <w:bCs/>
                <w:spacing w:val="4"/>
                <w:sz w:val="24"/>
                <w:lang w:eastAsia="zh-CN"/>
              </w:rPr>
              <w:t>道</w:t>
            </w:r>
            <w:r>
              <w:rPr>
                <w:rFonts w:hint="eastAsia"/>
                <w:bCs/>
                <w:spacing w:val="4"/>
                <w:sz w:val="24"/>
                <w:lang w:val="en-US" w:eastAsia="zh-CN"/>
              </w:rPr>
              <w:t>X009</w:t>
            </w:r>
            <w:r>
              <w:rPr>
                <w:rFonts w:hint="eastAsia"/>
                <w:bCs/>
                <w:spacing w:val="4"/>
                <w:sz w:val="24"/>
                <w:lang w:eastAsia="zh-CN"/>
              </w:rPr>
              <w:t>道路</w:t>
            </w:r>
            <w:r>
              <w:rPr>
                <w:rFonts w:hint="eastAsia"/>
                <w:bCs/>
                <w:spacing w:val="4"/>
                <w:sz w:val="24"/>
              </w:rPr>
              <w:t>，交通便利，地理位置优越。根据环境质量现状调查，项目所在地环境空气、地表水及声环境质量良好，有足够的环境容量。项目在施工期及运营期采取环评报告中提出的各项污染防治措施，确保污染源达标排放的前提下，对周围环境影响很小。因此本项目选址从环保角度可行。</w:t>
            </w:r>
          </w:p>
        </w:tc>
      </w:tr>
    </w:tbl>
    <w:p>
      <w:pPr>
        <w:spacing w:line="360" w:lineRule="auto"/>
        <w:rPr>
          <w:rFonts w:eastAsia="黑体"/>
          <w:sz w:val="30"/>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jc w:val="center"/>
        <w:outlineLvl w:val="0"/>
        <w:rPr>
          <w:rFonts w:ascii="黑体" w:hAnsi="黑体" w:eastAsia="黑体"/>
          <w:snapToGrid w:val="0"/>
          <w:sz w:val="30"/>
          <w:szCs w:val="30"/>
        </w:rPr>
      </w:pPr>
      <w:bookmarkStart w:id="3" w:name="_Toc12621"/>
      <w:r>
        <w:rPr>
          <w:rFonts w:hint="eastAsia" w:ascii="黑体" w:hAnsi="黑体" w:eastAsia="黑体"/>
          <w:snapToGrid w:val="0"/>
          <w:sz w:val="30"/>
          <w:szCs w:val="30"/>
        </w:rPr>
        <w:t>二、建设项目工程分析</w:t>
      </w:r>
      <w:bookmarkEnd w:id="3"/>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8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630" w:type="dxa"/>
            <w:vAlign w:val="center"/>
          </w:tcPr>
          <w:p>
            <w:pPr>
              <w:pStyle w:val="20"/>
              <w:adjustRightInd w:val="0"/>
              <w:snapToGrid w:val="0"/>
              <w:spacing w:before="0" w:beforeAutospacing="0" w:after="0" w:afterAutospacing="0"/>
              <w:jc w:val="center"/>
              <w:rPr>
                <w:rFonts w:cs="宋体"/>
                <w:szCs w:val="24"/>
                <w:lang w:val="en-US" w:eastAsia="zh-CN"/>
              </w:rPr>
            </w:pPr>
            <w:r>
              <w:rPr>
                <w:rFonts w:hint="eastAsia" w:cs="宋体"/>
                <w:szCs w:val="24"/>
                <w:lang w:val="en-US" w:eastAsia="zh-CN"/>
              </w:rPr>
              <w:t>建设内容</w:t>
            </w:r>
          </w:p>
        </w:tc>
        <w:tc>
          <w:tcPr>
            <w:tcW w:w="8430" w:type="dxa"/>
          </w:tcPr>
          <w:p>
            <w:pPr>
              <w:keepNext/>
              <w:keepLines/>
              <w:widowControl/>
              <w:spacing w:line="360" w:lineRule="auto"/>
              <w:rPr>
                <w:rFonts w:hint="eastAsia" w:eastAsia="宋体"/>
                <w:b/>
                <w:bCs/>
                <w:sz w:val="24"/>
                <w:lang w:eastAsia="zh-CN"/>
              </w:rPr>
            </w:pPr>
            <w:r>
              <w:rPr>
                <w:rFonts w:hint="eastAsia"/>
                <w:b/>
                <w:bCs/>
                <w:sz w:val="24"/>
                <w:lang w:eastAsia="zh-CN"/>
              </w:rPr>
              <w:t>项目由来</w:t>
            </w:r>
          </w:p>
          <w:p>
            <w:pPr>
              <w:keepNext/>
              <w:keepLines/>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b w:val="0"/>
                <w:bCs w:val="0"/>
                <w:sz w:val="24"/>
                <w:lang w:eastAsia="zh-CN"/>
              </w:rPr>
            </w:pPr>
            <w:r>
              <w:rPr>
                <w:rFonts w:hint="eastAsia"/>
                <w:b w:val="0"/>
                <w:bCs w:val="0"/>
                <w:sz w:val="24"/>
                <w:lang w:eastAsia="zh-CN"/>
              </w:rPr>
              <w:t>本项目属于</w:t>
            </w:r>
            <w:r>
              <w:rPr>
                <w:rFonts w:hint="eastAsia"/>
                <w:b w:val="0"/>
                <w:bCs w:val="0"/>
                <w:sz w:val="24"/>
                <w:lang w:val="en-US" w:eastAsia="zh-CN"/>
              </w:rPr>
              <w:t>竹炭</w:t>
            </w:r>
            <w:r>
              <w:rPr>
                <w:rFonts w:hint="eastAsia"/>
                <w:b w:val="0"/>
                <w:bCs w:val="0"/>
                <w:sz w:val="24"/>
                <w:lang w:eastAsia="zh-CN"/>
              </w:rPr>
              <w:t>制品加工项目，经查询《部令第16号 建设项目环境影响评价分类管理名录（2021年版）》，本项目属于“</w:t>
            </w:r>
            <w:r>
              <w:rPr>
                <w:rFonts w:hint="eastAsia"/>
                <w:b w:val="0"/>
                <w:bCs w:val="0"/>
                <w:sz w:val="24"/>
                <w:lang w:val="en-US" w:eastAsia="zh-CN"/>
              </w:rPr>
              <w:t>三十九</w:t>
            </w:r>
            <w:r>
              <w:rPr>
                <w:rFonts w:hint="eastAsia"/>
                <w:b w:val="0"/>
                <w:bCs w:val="0"/>
                <w:sz w:val="24"/>
                <w:lang w:eastAsia="zh-CN"/>
              </w:rPr>
              <w:t>、</w:t>
            </w:r>
            <w:r>
              <w:rPr>
                <w:rFonts w:hint="eastAsia"/>
                <w:b w:val="0"/>
                <w:bCs w:val="0"/>
                <w:sz w:val="24"/>
                <w:lang w:val="en-US" w:eastAsia="zh-CN"/>
              </w:rPr>
              <w:t>废弃资源综合利用</w:t>
            </w:r>
            <w:r>
              <w:rPr>
                <w:rFonts w:hint="eastAsia"/>
                <w:b w:val="0"/>
                <w:bCs w:val="0"/>
                <w:sz w:val="24"/>
                <w:lang w:eastAsia="zh-CN"/>
              </w:rPr>
              <w:t>业—</w:t>
            </w:r>
            <w:r>
              <w:rPr>
                <w:rFonts w:hint="eastAsia"/>
                <w:b w:val="0"/>
                <w:bCs w:val="0"/>
                <w:sz w:val="24"/>
                <w:lang w:val="en-US" w:eastAsia="zh-CN"/>
              </w:rPr>
              <w:t>85、非金属废料和碎屑加工处理422</w:t>
            </w:r>
            <w:r>
              <w:rPr>
                <w:rFonts w:hint="eastAsia"/>
                <w:b w:val="0"/>
                <w:bCs w:val="0"/>
                <w:sz w:val="24"/>
                <w:lang w:eastAsia="zh-CN"/>
              </w:rPr>
              <w:t>”中的报告表类别。据此，建设单位委托我公司编制环境影响评价报告表。</w:t>
            </w:r>
          </w:p>
          <w:p>
            <w:pPr>
              <w:keepNext/>
              <w:keepLines/>
              <w:widowControl/>
              <w:spacing w:line="360" w:lineRule="auto"/>
              <w:rPr>
                <w:sz w:val="24"/>
              </w:rPr>
            </w:pPr>
            <w:r>
              <w:rPr>
                <w:rFonts w:hint="eastAsia"/>
                <w:b/>
                <w:bCs/>
                <w:sz w:val="24"/>
              </w:rPr>
              <w:t>项目概况</w:t>
            </w:r>
          </w:p>
          <w:p>
            <w:pPr>
              <w:keepNext/>
              <w:keepLines/>
              <w:widowControl/>
              <w:spacing w:line="360" w:lineRule="auto"/>
              <w:ind w:firstLine="480" w:firstLineChars="200"/>
              <w:rPr>
                <w:rFonts w:hint="eastAsia" w:eastAsia="宋体"/>
                <w:sz w:val="24"/>
                <w:lang w:eastAsia="zh-CN"/>
              </w:rPr>
            </w:pPr>
            <w:r>
              <w:rPr>
                <w:rFonts w:hint="eastAsia"/>
                <w:sz w:val="24"/>
              </w:rPr>
              <w:t>项目名称：</w:t>
            </w:r>
            <w:r>
              <w:rPr>
                <w:rFonts w:hint="eastAsia"/>
                <w:sz w:val="24"/>
                <w:lang w:eastAsia="zh-CN"/>
              </w:rPr>
              <w:t>衡山县恒东竹木有限公司竹炭、竹制半成品生产建设项目</w:t>
            </w:r>
          </w:p>
          <w:p>
            <w:pPr>
              <w:keepNext/>
              <w:keepLines/>
              <w:widowControl/>
              <w:spacing w:line="360" w:lineRule="auto"/>
              <w:ind w:firstLine="480" w:firstLineChars="200"/>
              <w:rPr>
                <w:sz w:val="24"/>
              </w:rPr>
            </w:pPr>
            <w:r>
              <w:rPr>
                <w:rFonts w:hint="eastAsia"/>
                <w:sz w:val="24"/>
              </w:rPr>
              <w:t>建设性质：新建</w:t>
            </w:r>
          </w:p>
          <w:p>
            <w:pPr>
              <w:keepNext/>
              <w:keepLines/>
              <w:widowControl/>
              <w:spacing w:line="360" w:lineRule="auto"/>
              <w:ind w:firstLine="480" w:firstLineChars="200"/>
              <w:rPr>
                <w:rFonts w:hint="eastAsia" w:eastAsia="宋体"/>
                <w:sz w:val="24"/>
                <w:lang w:eastAsia="zh-CN"/>
              </w:rPr>
            </w:pPr>
            <w:r>
              <w:rPr>
                <w:rFonts w:hint="eastAsia"/>
                <w:sz w:val="24"/>
              </w:rPr>
              <w:t>建设单位：</w:t>
            </w:r>
            <w:r>
              <w:rPr>
                <w:rFonts w:hint="eastAsia"/>
                <w:sz w:val="24"/>
                <w:lang w:eastAsia="zh-CN"/>
              </w:rPr>
              <w:t>衡山县恒东竹木有限公司</w:t>
            </w:r>
          </w:p>
          <w:p>
            <w:pPr>
              <w:keepNext/>
              <w:keepLines/>
              <w:widowControl/>
              <w:spacing w:line="360" w:lineRule="auto"/>
              <w:ind w:firstLine="480" w:firstLineChars="200"/>
              <w:rPr>
                <w:rFonts w:hint="default" w:eastAsia="宋体"/>
                <w:sz w:val="24"/>
                <w:lang w:val="en-US" w:eastAsia="zh-CN"/>
              </w:rPr>
            </w:pPr>
            <w:r>
              <w:rPr>
                <w:rFonts w:hint="eastAsia"/>
                <w:sz w:val="24"/>
              </w:rPr>
              <w:t>建设地点：湖南</w:t>
            </w:r>
            <w:r>
              <w:rPr>
                <w:sz w:val="24"/>
              </w:rPr>
              <w:t>省</w:t>
            </w:r>
            <w:r>
              <w:rPr>
                <w:rFonts w:hint="eastAsia"/>
                <w:sz w:val="24"/>
              </w:rPr>
              <w:t>衡阳市衡山县</w:t>
            </w:r>
            <w:r>
              <w:rPr>
                <w:rFonts w:hint="eastAsia"/>
                <w:sz w:val="24"/>
                <w:lang w:val="en-US" w:eastAsia="zh-CN"/>
              </w:rPr>
              <w:t>新桥镇高新村上街101号</w:t>
            </w:r>
          </w:p>
          <w:p>
            <w:pPr>
              <w:keepNext/>
              <w:keepLines/>
              <w:widowControl/>
              <w:spacing w:line="360" w:lineRule="auto"/>
              <w:ind w:firstLine="480" w:firstLineChars="200"/>
              <w:rPr>
                <w:color w:val="000000"/>
                <w:sz w:val="24"/>
              </w:rPr>
            </w:pPr>
            <w:r>
              <w:rPr>
                <w:rFonts w:hint="eastAsia"/>
                <w:color w:val="000000"/>
                <w:sz w:val="24"/>
              </w:rPr>
              <w:t>项目投资：总投资</w:t>
            </w:r>
            <w:r>
              <w:rPr>
                <w:rFonts w:hint="eastAsia"/>
                <w:color w:val="000000"/>
                <w:sz w:val="24"/>
                <w:lang w:val="en-US" w:eastAsia="zh-CN"/>
              </w:rPr>
              <w:t>2680</w:t>
            </w:r>
            <w:r>
              <w:rPr>
                <w:rFonts w:hint="eastAsia"/>
                <w:color w:val="000000"/>
                <w:sz w:val="24"/>
              </w:rPr>
              <w:t>万元，环保投资30万元</w:t>
            </w:r>
          </w:p>
          <w:p>
            <w:pPr>
              <w:keepNext/>
              <w:keepLines/>
              <w:widowControl/>
              <w:spacing w:line="360" w:lineRule="auto"/>
              <w:ind w:firstLine="480" w:firstLineChars="200"/>
              <w:rPr>
                <w:sz w:val="24"/>
              </w:rPr>
            </w:pPr>
            <w:r>
              <w:rPr>
                <w:rFonts w:hint="eastAsia"/>
                <w:color w:val="000000"/>
                <w:sz w:val="24"/>
              </w:rPr>
              <w:t>用地面积：占地面积</w:t>
            </w:r>
            <w:r>
              <w:rPr>
                <w:rFonts w:hint="eastAsia"/>
                <w:color w:val="000000"/>
                <w:sz w:val="24"/>
                <w:lang w:val="en-US" w:eastAsia="zh-CN"/>
              </w:rPr>
              <w:t>6944.5</w:t>
            </w:r>
            <w:r>
              <w:rPr>
                <w:rFonts w:hint="eastAsia"/>
                <w:color w:val="000000"/>
                <w:sz w:val="24"/>
              </w:rPr>
              <w:t>m</w:t>
            </w:r>
            <w:r>
              <w:rPr>
                <w:rFonts w:hint="eastAsia"/>
                <w:color w:val="000000"/>
                <w:sz w:val="24"/>
                <w:vertAlign w:val="superscript"/>
              </w:rPr>
              <w:t>2</w:t>
            </w:r>
          </w:p>
          <w:p>
            <w:pPr>
              <w:keepNext/>
              <w:keepLines/>
              <w:widowControl/>
              <w:spacing w:line="360" w:lineRule="auto"/>
              <w:ind w:firstLine="480" w:firstLineChars="200"/>
              <w:rPr>
                <w:sz w:val="24"/>
              </w:rPr>
            </w:pPr>
            <w:r>
              <w:rPr>
                <w:rFonts w:hint="eastAsia"/>
                <w:sz w:val="24"/>
              </w:rPr>
              <w:t>劳动定员：共1</w:t>
            </w:r>
            <w:r>
              <w:rPr>
                <w:rFonts w:hint="eastAsia"/>
                <w:sz w:val="24"/>
                <w:lang w:val="en-US" w:eastAsia="zh-CN"/>
              </w:rPr>
              <w:t>2</w:t>
            </w:r>
            <w:r>
              <w:rPr>
                <w:rFonts w:hint="eastAsia"/>
                <w:sz w:val="24"/>
              </w:rPr>
              <w:t>人</w:t>
            </w:r>
          </w:p>
          <w:p>
            <w:pPr>
              <w:keepNext/>
              <w:keepLines/>
              <w:widowControl/>
              <w:spacing w:line="360" w:lineRule="auto"/>
              <w:ind w:firstLine="480" w:firstLineChars="200"/>
              <w:rPr>
                <w:rFonts w:hint="default" w:eastAsia="宋体"/>
                <w:bCs/>
                <w:color w:val="000000"/>
                <w:sz w:val="24"/>
                <w:lang w:val="en-US" w:eastAsia="zh-CN"/>
              </w:rPr>
            </w:pPr>
            <w:r>
              <w:rPr>
                <w:rFonts w:hint="eastAsia"/>
                <w:sz w:val="24"/>
              </w:rPr>
              <w:t>建设规模：年产1</w:t>
            </w:r>
            <w:r>
              <w:rPr>
                <w:rFonts w:hint="eastAsia"/>
                <w:sz w:val="24"/>
                <w:lang w:val="en-US" w:eastAsia="zh-CN"/>
              </w:rPr>
              <w:t>800吨机制竹炭</w:t>
            </w:r>
          </w:p>
          <w:p>
            <w:pPr>
              <w:adjustRightInd w:val="0"/>
              <w:snapToGrid w:val="0"/>
              <w:spacing w:line="360" w:lineRule="auto"/>
              <w:rPr>
                <w:sz w:val="24"/>
              </w:rPr>
            </w:pPr>
            <w:r>
              <w:rPr>
                <w:rFonts w:hint="eastAsia"/>
                <w:b/>
                <w:bCs/>
                <w:sz w:val="24"/>
              </w:rPr>
              <w:t>1、主要产品及产能</w:t>
            </w:r>
          </w:p>
          <w:p>
            <w:pPr>
              <w:keepNext/>
              <w:keepLines/>
              <w:widowControl/>
              <w:spacing w:line="360" w:lineRule="auto"/>
              <w:ind w:firstLine="480" w:firstLineChars="200"/>
              <w:rPr>
                <w:sz w:val="24"/>
              </w:rPr>
            </w:pPr>
            <w:r>
              <w:rPr>
                <w:rFonts w:hint="eastAsia"/>
                <w:sz w:val="24"/>
              </w:rPr>
              <w:t>本项目为</w:t>
            </w:r>
            <w:r>
              <w:rPr>
                <w:rFonts w:hint="eastAsia"/>
                <w:sz w:val="24"/>
                <w:lang w:val="en-US" w:eastAsia="zh-CN"/>
              </w:rPr>
              <w:t>竹炭和竹制半成品生产</w:t>
            </w:r>
            <w:r>
              <w:rPr>
                <w:rFonts w:hint="eastAsia"/>
                <w:sz w:val="24"/>
              </w:rPr>
              <w:t>项目，主要工艺为</w:t>
            </w:r>
            <w:r>
              <w:rPr>
                <w:rFonts w:hint="eastAsia"/>
                <w:sz w:val="24"/>
                <w:lang w:val="en-US" w:eastAsia="zh-CN"/>
              </w:rPr>
              <w:t>破碎、烘干、制棒、炭化、冷却</w:t>
            </w:r>
            <w:r>
              <w:rPr>
                <w:rFonts w:hint="eastAsia"/>
                <w:sz w:val="24"/>
              </w:rPr>
              <w:t>等内容，项目建成后产品方案详见表2-1。</w:t>
            </w:r>
          </w:p>
          <w:p>
            <w:pPr>
              <w:keepNext/>
              <w:keepLines/>
              <w:widowControl/>
              <w:ind w:firstLine="422" w:firstLineChars="200"/>
              <w:jc w:val="center"/>
              <w:rPr>
                <w:sz w:val="24"/>
              </w:rPr>
            </w:pPr>
            <w:r>
              <w:rPr>
                <w:rFonts w:hint="eastAsia"/>
                <w:b/>
                <w:bCs/>
                <w:szCs w:val="21"/>
              </w:rPr>
              <w:t>表2-1 产品方案一览表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590"/>
              <w:gridCol w:w="1393"/>
              <w:gridCol w:w="4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04" w:type="pct"/>
                  <w:vAlign w:val="center"/>
                </w:tcPr>
                <w:p>
                  <w:pPr>
                    <w:keepNext/>
                    <w:keepLines/>
                    <w:widowControl/>
                    <w:jc w:val="center"/>
                    <w:rPr>
                      <w:b/>
                      <w:bCs/>
                      <w:szCs w:val="21"/>
                    </w:rPr>
                  </w:pPr>
                  <w:r>
                    <w:rPr>
                      <w:rFonts w:hint="eastAsia"/>
                      <w:b/>
                      <w:bCs/>
                      <w:szCs w:val="21"/>
                    </w:rPr>
                    <w:t>序号</w:t>
                  </w:r>
                </w:p>
              </w:tc>
              <w:tc>
                <w:tcPr>
                  <w:tcW w:w="969" w:type="pct"/>
                  <w:vAlign w:val="center"/>
                </w:tcPr>
                <w:p>
                  <w:pPr>
                    <w:keepNext/>
                    <w:keepLines/>
                    <w:widowControl/>
                    <w:jc w:val="center"/>
                    <w:rPr>
                      <w:b/>
                      <w:bCs/>
                      <w:szCs w:val="21"/>
                    </w:rPr>
                  </w:pPr>
                  <w:r>
                    <w:rPr>
                      <w:rFonts w:hint="eastAsia"/>
                      <w:b/>
                      <w:bCs/>
                      <w:szCs w:val="21"/>
                    </w:rPr>
                    <w:t>产品名称</w:t>
                  </w:r>
                </w:p>
              </w:tc>
              <w:tc>
                <w:tcPr>
                  <w:tcW w:w="849" w:type="pct"/>
                  <w:vAlign w:val="center"/>
                </w:tcPr>
                <w:p>
                  <w:pPr>
                    <w:keepNext/>
                    <w:keepLines/>
                    <w:widowControl/>
                    <w:jc w:val="center"/>
                    <w:rPr>
                      <w:b/>
                      <w:bCs/>
                      <w:szCs w:val="21"/>
                    </w:rPr>
                  </w:pPr>
                  <w:r>
                    <w:rPr>
                      <w:rFonts w:hint="eastAsia"/>
                      <w:b/>
                      <w:bCs/>
                      <w:szCs w:val="21"/>
                      <w:lang w:eastAsia="zh-CN"/>
                    </w:rPr>
                    <w:t>年</w:t>
                  </w:r>
                  <w:r>
                    <w:rPr>
                      <w:rFonts w:hint="eastAsia"/>
                      <w:b/>
                      <w:bCs/>
                      <w:szCs w:val="21"/>
                    </w:rPr>
                    <w:t>产量（t/a）</w:t>
                  </w:r>
                </w:p>
              </w:tc>
              <w:tc>
                <w:tcPr>
                  <w:tcW w:w="2777" w:type="pct"/>
                  <w:vAlign w:val="center"/>
                </w:tcPr>
                <w:p>
                  <w:pPr>
                    <w:keepNext/>
                    <w:keepLines/>
                    <w:widowControl/>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keepNext/>
                    <w:keepLines/>
                    <w:widowControl/>
                    <w:jc w:val="center"/>
                    <w:rPr>
                      <w:szCs w:val="21"/>
                    </w:rPr>
                  </w:pPr>
                  <w:r>
                    <w:rPr>
                      <w:rFonts w:hint="eastAsia"/>
                      <w:szCs w:val="21"/>
                    </w:rPr>
                    <w:t>1</w:t>
                  </w:r>
                </w:p>
              </w:tc>
              <w:tc>
                <w:tcPr>
                  <w:tcW w:w="969" w:type="pct"/>
                  <w:vAlign w:val="center"/>
                </w:tcPr>
                <w:p>
                  <w:pPr>
                    <w:keepNext/>
                    <w:keepLines/>
                    <w:widowControl/>
                    <w:jc w:val="center"/>
                    <w:rPr>
                      <w:rFonts w:hint="eastAsia" w:eastAsia="宋体"/>
                      <w:szCs w:val="21"/>
                      <w:lang w:eastAsia="zh-CN"/>
                    </w:rPr>
                  </w:pPr>
                  <w:r>
                    <w:rPr>
                      <w:rFonts w:hint="eastAsia"/>
                      <w:szCs w:val="21"/>
                      <w:lang w:val="en-US" w:eastAsia="zh-CN"/>
                    </w:rPr>
                    <w:t>竹炭</w:t>
                  </w:r>
                </w:p>
              </w:tc>
              <w:tc>
                <w:tcPr>
                  <w:tcW w:w="849" w:type="pct"/>
                  <w:vAlign w:val="center"/>
                </w:tcPr>
                <w:p>
                  <w:pPr>
                    <w:keepNext/>
                    <w:keepLines/>
                    <w:widowControl/>
                    <w:jc w:val="center"/>
                    <w:rPr>
                      <w:rFonts w:hint="default" w:eastAsia="宋体"/>
                      <w:szCs w:val="21"/>
                      <w:lang w:val="en-US" w:eastAsia="zh-CN"/>
                    </w:rPr>
                  </w:pPr>
                  <w:r>
                    <w:rPr>
                      <w:rFonts w:hint="eastAsia"/>
                      <w:szCs w:val="21"/>
                    </w:rPr>
                    <w:t>1</w:t>
                  </w:r>
                  <w:r>
                    <w:rPr>
                      <w:rFonts w:hint="eastAsia"/>
                      <w:szCs w:val="21"/>
                      <w:lang w:val="en-US" w:eastAsia="zh-CN"/>
                    </w:rPr>
                    <w:t>800</w:t>
                  </w:r>
                </w:p>
              </w:tc>
              <w:tc>
                <w:tcPr>
                  <w:tcW w:w="2777" w:type="pct"/>
                  <w:vAlign w:val="center"/>
                </w:tcPr>
                <w:p>
                  <w:pPr>
                    <w:shd w:val="clear"/>
                    <w:adjustRightInd w:val="0"/>
                    <w:snapToGrid w:val="0"/>
                    <w:jc w:val="center"/>
                    <w:rPr>
                      <w:rFonts w:hint="eastAsia"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主要用</w:t>
                  </w:r>
                  <w:r>
                    <w:rPr>
                      <w:rFonts w:hint="eastAsia" w:cs="Times New Roman"/>
                      <w:color w:val="000000" w:themeColor="text1"/>
                      <w:szCs w:val="21"/>
                      <w:highlight w:val="none"/>
                      <w:lang w:val="en-US" w:eastAsia="zh-CN"/>
                      <w14:textFill>
                        <w14:solidFill>
                          <w14:schemeClr w14:val="tx1"/>
                        </w14:solidFill>
                      </w14:textFill>
                    </w:rPr>
                    <w:t>于</w:t>
                  </w:r>
                  <w:r>
                    <w:rPr>
                      <w:rFonts w:hint="default" w:ascii="Times New Roman" w:hAnsi="Times New Roman" w:cs="Times New Roman"/>
                      <w:color w:val="000000" w:themeColor="text1"/>
                      <w:szCs w:val="21"/>
                      <w:highlight w:val="none"/>
                      <w14:textFill>
                        <w14:solidFill>
                          <w14:schemeClr w14:val="tx1"/>
                        </w14:solidFill>
                      </w14:textFill>
                    </w:rPr>
                    <w:t>材料工业及环保等行业</w:t>
                  </w:r>
                </w:p>
                <w:p>
                  <w:pPr>
                    <w:shd w:val="clear"/>
                    <w:adjustRightInd w:val="0"/>
                    <w:snapToGrid w:val="0"/>
                    <w:jc w:val="center"/>
                    <w:rPr>
                      <w:rFonts w:hint="default" w:eastAsia="宋体"/>
                      <w:szCs w:val="21"/>
                      <w:lang w:val="en-US" w:eastAsia="zh-CN"/>
                    </w:rPr>
                  </w:pPr>
                  <w:r>
                    <w:rPr>
                      <w:rFonts w:hint="default" w:ascii="Times New Roman" w:hAnsi="Times New Roman" w:cs="Times New Roman"/>
                      <w:color w:val="000000" w:themeColor="text1"/>
                      <w:szCs w:val="21"/>
                      <w:highlight w:val="none"/>
                      <w14:textFill>
                        <w14:solidFill>
                          <w14:schemeClr w14:val="tx1"/>
                        </w14:solidFill>
                      </w14:textFill>
                    </w:rPr>
                    <w:t>直径：40~50mm</w:t>
                  </w:r>
                  <w:r>
                    <w:rPr>
                      <w:rFonts w:hint="eastAsia"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长度：300~400mm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keepNext/>
                    <w:keepLines/>
                    <w:widowControl/>
                    <w:jc w:val="center"/>
                    <w:rPr>
                      <w:rFonts w:hint="eastAsia" w:eastAsia="宋体"/>
                      <w:color w:val="FF0000"/>
                      <w:szCs w:val="21"/>
                      <w:lang w:val="en-US" w:eastAsia="zh-CN"/>
                    </w:rPr>
                  </w:pPr>
                  <w:r>
                    <w:rPr>
                      <w:rFonts w:hint="eastAsia"/>
                      <w:color w:val="FF0000"/>
                      <w:szCs w:val="21"/>
                      <w:lang w:val="en-US" w:eastAsia="zh-CN"/>
                    </w:rPr>
                    <w:t>2</w:t>
                  </w:r>
                </w:p>
              </w:tc>
              <w:tc>
                <w:tcPr>
                  <w:tcW w:w="969" w:type="pct"/>
                  <w:vAlign w:val="center"/>
                </w:tcPr>
                <w:p>
                  <w:pPr>
                    <w:keepNext/>
                    <w:keepLines/>
                    <w:widowControl/>
                    <w:jc w:val="center"/>
                    <w:rPr>
                      <w:rFonts w:hint="eastAsia"/>
                      <w:color w:val="FF0000"/>
                      <w:szCs w:val="21"/>
                      <w:lang w:val="en-US" w:eastAsia="zh-CN"/>
                    </w:rPr>
                  </w:pPr>
                  <w:r>
                    <w:rPr>
                      <w:rFonts w:hint="eastAsia"/>
                      <w:color w:val="FF0000"/>
                      <w:szCs w:val="21"/>
                      <w:lang w:val="en-US" w:eastAsia="zh-CN"/>
                    </w:rPr>
                    <w:t>竹制半成品</w:t>
                  </w:r>
                </w:p>
              </w:tc>
              <w:tc>
                <w:tcPr>
                  <w:tcW w:w="849" w:type="pct"/>
                  <w:vAlign w:val="center"/>
                </w:tcPr>
                <w:p>
                  <w:pPr>
                    <w:keepNext/>
                    <w:keepLines/>
                    <w:widowControl/>
                    <w:jc w:val="center"/>
                    <w:rPr>
                      <w:rFonts w:hint="default" w:eastAsia="宋体"/>
                      <w:color w:val="FF0000"/>
                      <w:szCs w:val="21"/>
                      <w:lang w:val="en-US" w:eastAsia="zh-CN"/>
                    </w:rPr>
                  </w:pPr>
                  <w:r>
                    <w:rPr>
                      <w:rFonts w:hint="eastAsia"/>
                      <w:color w:val="FF0000"/>
                      <w:szCs w:val="21"/>
                      <w:lang w:val="en-US" w:eastAsia="zh-CN"/>
                    </w:rPr>
                    <w:t>10000</w:t>
                  </w:r>
                </w:p>
              </w:tc>
              <w:tc>
                <w:tcPr>
                  <w:tcW w:w="2777" w:type="pct"/>
                  <w:vAlign w:val="center"/>
                </w:tcPr>
                <w:p>
                  <w:pPr>
                    <w:shd w:val="clear"/>
                    <w:adjustRightInd w:val="0"/>
                    <w:snapToGrid w:val="0"/>
                    <w:jc w:val="center"/>
                    <w:rPr>
                      <w:rFonts w:hint="default"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用于其他竹制品企业加工，根据业主提供的资料，10000t的年产量预计有50%需要进行烘干加热后售出</w:t>
                  </w:r>
                </w:p>
              </w:tc>
            </w:tr>
          </w:tbl>
          <w:p>
            <w:pPr>
              <w:keepNext/>
              <w:keepLines/>
              <w:widowControl/>
              <w:spacing w:line="360" w:lineRule="auto"/>
              <w:rPr>
                <w:rFonts w:hint="default" w:eastAsia="宋体"/>
                <w:b/>
                <w:bCs/>
                <w:sz w:val="21"/>
                <w:szCs w:val="21"/>
                <w:lang w:val="en-US" w:eastAsia="zh-CN"/>
              </w:rPr>
            </w:pPr>
            <w:r>
              <w:rPr>
                <w:rFonts w:hint="eastAsia"/>
                <w:b/>
                <w:bCs/>
                <w:sz w:val="21"/>
                <w:szCs w:val="21"/>
                <w:lang w:val="en-US" w:eastAsia="zh-CN"/>
              </w:rPr>
              <w:t>注：产品质量应满足《竹炭》（GB/T26913-2011）中相关要求。</w:t>
            </w:r>
          </w:p>
          <w:p>
            <w:pPr>
              <w:keepNext/>
              <w:keepLines/>
              <w:widowControl/>
              <w:spacing w:line="360" w:lineRule="auto"/>
              <w:rPr>
                <w:sz w:val="24"/>
              </w:rPr>
            </w:pPr>
            <w:r>
              <w:rPr>
                <w:rFonts w:hint="eastAsia"/>
                <w:b/>
                <w:bCs/>
                <w:sz w:val="24"/>
              </w:rPr>
              <w:t>2、项目组成</w:t>
            </w:r>
          </w:p>
          <w:p>
            <w:pPr>
              <w:keepNext/>
              <w:keepLines/>
              <w:widowControl/>
              <w:spacing w:line="360" w:lineRule="auto"/>
              <w:ind w:firstLine="480" w:firstLineChars="200"/>
              <w:rPr>
                <w:sz w:val="24"/>
              </w:rPr>
            </w:pPr>
            <w:r>
              <w:rPr>
                <w:rFonts w:hint="eastAsia"/>
                <w:sz w:val="24"/>
                <w:lang w:val="en-US" w:eastAsia="zh-CN"/>
              </w:rPr>
              <w:t>项目</w:t>
            </w:r>
            <w:r>
              <w:rPr>
                <w:rFonts w:hint="eastAsia"/>
                <w:sz w:val="24"/>
              </w:rPr>
              <w:t>所</w:t>
            </w:r>
            <w:r>
              <w:rPr>
                <w:rFonts w:hint="eastAsia"/>
                <w:sz w:val="24"/>
                <w:lang w:val="en-US" w:eastAsia="zh-CN"/>
              </w:rPr>
              <w:t>在地目前为一片空地，</w:t>
            </w:r>
            <w:r>
              <w:rPr>
                <w:rFonts w:hint="eastAsia"/>
                <w:color w:val="000000"/>
                <w:sz w:val="24"/>
              </w:rPr>
              <w:t>总占地面积为</w:t>
            </w:r>
            <w:r>
              <w:rPr>
                <w:rFonts w:hint="eastAsia"/>
                <w:color w:val="000000"/>
                <w:sz w:val="24"/>
                <w:lang w:val="en-US" w:eastAsia="zh-CN"/>
              </w:rPr>
              <w:t>6944.5</w:t>
            </w:r>
            <w:r>
              <w:rPr>
                <w:rFonts w:hint="eastAsia"/>
                <w:color w:val="000000"/>
                <w:sz w:val="24"/>
              </w:rPr>
              <w:t>m</w:t>
            </w:r>
            <w:r>
              <w:rPr>
                <w:rFonts w:hint="eastAsia"/>
                <w:color w:val="000000"/>
                <w:sz w:val="24"/>
                <w:vertAlign w:val="superscript"/>
              </w:rPr>
              <w:t>2</w:t>
            </w:r>
            <w:r>
              <w:rPr>
                <w:rFonts w:hint="eastAsia"/>
                <w:color w:val="000000"/>
                <w:sz w:val="24"/>
              </w:rPr>
              <w:t>，总建筑面积50</w:t>
            </w:r>
            <w:r>
              <w:rPr>
                <w:rFonts w:hint="eastAsia"/>
                <w:color w:val="000000"/>
                <w:sz w:val="24"/>
                <w:lang w:val="en-US" w:eastAsia="zh-CN"/>
              </w:rPr>
              <w:t>00</w:t>
            </w:r>
            <w:r>
              <w:rPr>
                <w:rFonts w:hint="eastAsia"/>
                <w:color w:val="000000"/>
                <w:sz w:val="24"/>
              </w:rPr>
              <w:t>m</w:t>
            </w:r>
            <w:r>
              <w:rPr>
                <w:rFonts w:hint="eastAsia"/>
                <w:color w:val="000000"/>
                <w:sz w:val="24"/>
                <w:vertAlign w:val="superscript"/>
              </w:rPr>
              <w:t>2</w:t>
            </w:r>
            <w:r>
              <w:rPr>
                <w:rFonts w:hint="eastAsia"/>
                <w:color w:val="000000"/>
                <w:sz w:val="24"/>
              </w:rPr>
              <w:t>。</w:t>
            </w:r>
            <w:r>
              <w:rPr>
                <w:rFonts w:hint="eastAsia"/>
                <w:sz w:val="24"/>
              </w:rPr>
              <w:t>项目组成详见下表。</w:t>
            </w:r>
          </w:p>
          <w:p>
            <w:pPr>
              <w:keepNext/>
              <w:keepLines/>
              <w:widowControl/>
              <w:tabs>
                <w:tab w:val="left" w:pos="2367"/>
              </w:tabs>
              <w:ind w:firstLine="422" w:firstLineChars="200"/>
              <w:jc w:val="left"/>
              <w:rPr>
                <w:rFonts w:hint="eastAsia" w:eastAsia="宋体"/>
                <w:b/>
                <w:bCs/>
                <w:szCs w:val="21"/>
                <w:lang w:eastAsia="zh-CN"/>
              </w:rPr>
            </w:pPr>
            <w:r>
              <w:rPr>
                <w:rFonts w:hint="eastAsia"/>
                <w:b/>
                <w:bCs/>
                <w:szCs w:val="21"/>
                <w:lang w:eastAsia="zh-CN"/>
              </w:rPr>
              <w:tab/>
            </w:r>
          </w:p>
          <w:p>
            <w:pPr>
              <w:keepNext/>
              <w:keepLines/>
              <w:widowControl/>
              <w:ind w:firstLine="422" w:firstLineChars="200"/>
              <w:jc w:val="center"/>
              <w:rPr>
                <w:rFonts w:hint="eastAsia"/>
                <w:b/>
                <w:bCs/>
                <w:szCs w:val="21"/>
              </w:rPr>
            </w:pPr>
          </w:p>
          <w:p>
            <w:pPr>
              <w:keepNext/>
              <w:keepLines/>
              <w:widowControl/>
              <w:ind w:firstLine="422" w:firstLineChars="200"/>
              <w:jc w:val="center"/>
              <w:rPr>
                <w:sz w:val="24"/>
              </w:rPr>
            </w:pPr>
            <w:r>
              <w:rPr>
                <w:rFonts w:hint="eastAsia"/>
                <w:b/>
                <w:bCs/>
                <w:szCs w:val="21"/>
              </w:rPr>
              <w:t>表2-2  项目组成一览表</w:t>
            </w:r>
          </w:p>
          <w:tbl>
            <w:tblPr>
              <w:tblStyle w:val="22"/>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21"/>
              <w:gridCol w:w="731"/>
              <w:gridCol w:w="1453"/>
              <w:gridCol w:w="2753"/>
              <w:gridCol w:w="1296"/>
              <w:gridCol w:w="13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 w:hRule="atLeast"/>
                <w:jc w:val="center"/>
              </w:trPr>
              <w:tc>
                <w:tcPr>
                  <w:tcW w:w="379" w:type="pct"/>
                  <w:vAlign w:val="center"/>
                </w:tcPr>
                <w:p>
                  <w:pPr>
                    <w:jc w:val="center"/>
                    <w:rPr>
                      <w:b/>
                      <w:bCs/>
                      <w:szCs w:val="21"/>
                    </w:rPr>
                  </w:pPr>
                  <w:r>
                    <w:rPr>
                      <w:szCs w:val="21"/>
                    </w:rPr>
                    <w:t>序号</w:t>
                  </w:r>
                </w:p>
              </w:tc>
              <w:tc>
                <w:tcPr>
                  <w:tcW w:w="1333" w:type="pct"/>
                  <w:gridSpan w:val="2"/>
                  <w:vAlign w:val="center"/>
                </w:tcPr>
                <w:p>
                  <w:pPr>
                    <w:jc w:val="center"/>
                    <w:rPr>
                      <w:b/>
                      <w:bCs/>
                      <w:szCs w:val="21"/>
                    </w:rPr>
                  </w:pPr>
                  <w:r>
                    <w:rPr>
                      <w:szCs w:val="21"/>
                    </w:rPr>
                    <w:t>项目类型</w:t>
                  </w:r>
                </w:p>
              </w:tc>
              <w:tc>
                <w:tcPr>
                  <w:tcW w:w="1680" w:type="pct"/>
                  <w:vAlign w:val="center"/>
                </w:tcPr>
                <w:p>
                  <w:pPr>
                    <w:jc w:val="center"/>
                    <w:rPr>
                      <w:b/>
                      <w:bCs/>
                      <w:szCs w:val="21"/>
                    </w:rPr>
                  </w:pPr>
                  <w:r>
                    <w:rPr>
                      <w:szCs w:val="21"/>
                    </w:rPr>
                    <w:t>内容</w:t>
                  </w:r>
                  <w:r>
                    <w:rPr>
                      <w:rFonts w:hint="eastAsia"/>
                      <w:szCs w:val="21"/>
                    </w:rPr>
                    <w:t>、规模</w:t>
                  </w:r>
                </w:p>
              </w:tc>
              <w:tc>
                <w:tcPr>
                  <w:tcW w:w="791" w:type="pct"/>
                  <w:vAlign w:val="center"/>
                </w:tcPr>
                <w:p>
                  <w:pPr>
                    <w:jc w:val="center"/>
                    <w:rPr>
                      <w:szCs w:val="21"/>
                    </w:rPr>
                  </w:pPr>
                  <w:r>
                    <w:rPr>
                      <w:rFonts w:hint="eastAsia"/>
                      <w:szCs w:val="21"/>
                    </w:rPr>
                    <w:t>功能</w:t>
                  </w:r>
                </w:p>
              </w:tc>
              <w:tc>
                <w:tcPr>
                  <w:tcW w:w="816" w:type="pct"/>
                  <w:vAlign w:val="center"/>
                </w:tcPr>
                <w:p>
                  <w:pPr>
                    <w:jc w:val="center"/>
                    <w:rPr>
                      <w:szCs w:val="21"/>
                    </w:rPr>
                  </w:pPr>
                  <w:r>
                    <w:rPr>
                      <w:rFonts w:hint="eastAsia"/>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379" w:type="pct"/>
                  <w:vAlign w:val="center"/>
                </w:tcPr>
                <w:p>
                  <w:pPr>
                    <w:autoSpaceDE w:val="0"/>
                    <w:autoSpaceDN w:val="0"/>
                    <w:jc w:val="center"/>
                    <w:rPr>
                      <w:bCs/>
                      <w:szCs w:val="21"/>
                    </w:rPr>
                  </w:pPr>
                  <w:r>
                    <w:rPr>
                      <w:bCs/>
                      <w:szCs w:val="21"/>
                    </w:rPr>
                    <w:t>1</w:t>
                  </w:r>
                </w:p>
              </w:tc>
              <w:tc>
                <w:tcPr>
                  <w:tcW w:w="446" w:type="pct"/>
                  <w:vAlign w:val="center"/>
                </w:tcPr>
                <w:p>
                  <w:pPr>
                    <w:autoSpaceDE w:val="0"/>
                    <w:autoSpaceDN w:val="0"/>
                    <w:jc w:val="center"/>
                    <w:rPr>
                      <w:bCs/>
                      <w:szCs w:val="21"/>
                    </w:rPr>
                  </w:pPr>
                  <w:r>
                    <w:rPr>
                      <w:bCs/>
                      <w:szCs w:val="21"/>
                    </w:rPr>
                    <w:t>主体工程</w:t>
                  </w:r>
                </w:p>
              </w:tc>
              <w:tc>
                <w:tcPr>
                  <w:tcW w:w="886" w:type="pct"/>
                  <w:vAlign w:val="center"/>
                </w:tcPr>
                <w:p>
                  <w:pPr>
                    <w:autoSpaceDE w:val="0"/>
                    <w:autoSpaceDN w:val="0"/>
                    <w:jc w:val="center"/>
                    <w:rPr>
                      <w:rFonts w:hint="default" w:eastAsia="宋体"/>
                      <w:bCs/>
                      <w:szCs w:val="21"/>
                      <w:lang w:val="en-US" w:eastAsia="zh-CN"/>
                    </w:rPr>
                  </w:pPr>
                  <w:r>
                    <w:rPr>
                      <w:rFonts w:hint="eastAsia"/>
                      <w:bCs/>
                      <w:szCs w:val="21"/>
                      <w:lang w:val="en-US" w:eastAsia="zh-CN"/>
                    </w:rPr>
                    <w:t>生产区</w:t>
                  </w:r>
                </w:p>
              </w:tc>
              <w:tc>
                <w:tcPr>
                  <w:tcW w:w="1680" w:type="pct"/>
                  <w:vAlign w:val="center"/>
                </w:tcPr>
                <w:p>
                  <w:pPr>
                    <w:autoSpaceDE w:val="0"/>
                    <w:autoSpaceDN w:val="0"/>
                    <w:jc w:val="center"/>
                    <w:rPr>
                      <w:rFonts w:hint="default" w:eastAsia="宋体"/>
                      <w:bCs/>
                      <w:szCs w:val="21"/>
                      <w:vertAlign w:val="baseline"/>
                      <w:lang w:val="en-US" w:eastAsia="zh-CN"/>
                    </w:rPr>
                  </w:pPr>
                  <w:r>
                    <w:rPr>
                      <w:rFonts w:hint="eastAsia"/>
                      <w:bCs/>
                      <w:color w:val="000000"/>
                      <w:szCs w:val="21"/>
                      <w:lang w:val="en-US" w:eastAsia="zh-CN"/>
                    </w:rPr>
                    <w:t>建筑</w:t>
                  </w:r>
                  <w:r>
                    <w:rPr>
                      <w:rFonts w:hint="eastAsia"/>
                      <w:bCs/>
                      <w:szCs w:val="21"/>
                      <w:lang w:val="en-US" w:eastAsia="zh-CN"/>
                    </w:rPr>
                    <w:t>面积4000m</w:t>
                  </w:r>
                  <w:r>
                    <w:rPr>
                      <w:rFonts w:hint="eastAsia"/>
                      <w:bCs/>
                      <w:szCs w:val="21"/>
                      <w:vertAlign w:val="superscript"/>
                      <w:lang w:val="en-US" w:eastAsia="zh-CN"/>
                    </w:rPr>
                    <w:t>2</w:t>
                  </w:r>
                  <w:r>
                    <w:rPr>
                      <w:rFonts w:hint="eastAsia"/>
                      <w:bCs/>
                      <w:szCs w:val="21"/>
                      <w:vertAlign w:val="baseline"/>
                      <w:lang w:val="en-US" w:eastAsia="zh-CN"/>
                    </w:rPr>
                    <w:t>，封闭式车间</w:t>
                  </w:r>
                </w:p>
              </w:tc>
              <w:tc>
                <w:tcPr>
                  <w:tcW w:w="791" w:type="pct"/>
                  <w:vAlign w:val="center"/>
                </w:tcPr>
                <w:p>
                  <w:pPr>
                    <w:autoSpaceDE w:val="0"/>
                    <w:autoSpaceDN w:val="0"/>
                    <w:jc w:val="center"/>
                    <w:rPr>
                      <w:rFonts w:hint="default" w:eastAsia="宋体"/>
                      <w:bCs/>
                      <w:szCs w:val="21"/>
                      <w:lang w:val="en-US" w:eastAsia="zh-CN"/>
                    </w:rPr>
                  </w:pPr>
                  <w:r>
                    <w:rPr>
                      <w:rFonts w:hint="eastAsia"/>
                      <w:bCs/>
                      <w:szCs w:val="21"/>
                      <w:vertAlign w:val="baseline"/>
                      <w:lang w:val="en-US" w:eastAsia="zh-CN"/>
                    </w:rPr>
                    <w:t>主要加工内容为破碎、烘干、制棒、炭化</w:t>
                  </w:r>
                </w:p>
              </w:tc>
              <w:tc>
                <w:tcPr>
                  <w:tcW w:w="816" w:type="pct"/>
                  <w:vAlign w:val="center"/>
                </w:tcPr>
                <w:p>
                  <w:pPr>
                    <w:autoSpaceDE w:val="0"/>
                    <w:autoSpaceDN w:val="0"/>
                    <w:jc w:val="center"/>
                    <w:rPr>
                      <w:rFonts w:hint="eastAsia" w:eastAsia="宋体"/>
                      <w:bCs/>
                      <w:szCs w:val="21"/>
                      <w:lang w:eastAsia="zh-CN"/>
                    </w:rPr>
                  </w:pPr>
                  <w:r>
                    <w:rPr>
                      <w:rFonts w:hint="eastAsia"/>
                      <w:bCs/>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Align w:val="center"/>
                </w:tcPr>
                <w:p>
                  <w:pPr>
                    <w:autoSpaceDE w:val="0"/>
                    <w:autoSpaceDN w:val="0"/>
                    <w:jc w:val="center"/>
                    <w:rPr>
                      <w:bCs/>
                      <w:szCs w:val="21"/>
                    </w:rPr>
                  </w:pPr>
                  <w:r>
                    <w:rPr>
                      <w:rFonts w:hint="eastAsia"/>
                      <w:bCs/>
                      <w:szCs w:val="21"/>
                    </w:rPr>
                    <w:t>2</w:t>
                  </w:r>
                </w:p>
              </w:tc>
              <w:tc>
                <w:tcPr>
                  <w:tcW w:w="446" w:type="pct"/>
                  <w:vAlign w:val="center"/>
                </w:tcPr>
                <w:p>
                  <w:pPr>
                    <w:autoSpaceDE w:val="0"/>
                    <w:autoSpaceDN w:val="0"/>
                    <w:jc w:val="center"/>
                    <w:rPr>
                      <w:bCs/>
                      <w:szCs w:val="21"/>
                    </w:rPr>
                  </w:pPr>
                  <w:r>
                    <w:rPr>
                      <w:rFonts w:hint="eastAsia"/>
                      <w:bCs/>
                      <w:szCs w:val="21"/>
                    </w:rPr>
                    <w:t>辅助工程</w:t>
                  </w:r>
                </w:p>
              </w:tc>
              <w:tc>
                <w:tcPr>
                  <w:tcW w:w="886" w:type="pct"/>
                  <w:vAlign w:val="center"/>
                </w:tcPr>
                <w:p>
                  <w:pPr>
                    <w:autoSpaceDE w:val="0"/>
                    <w:autoSpaceDN w:val="0"/>
                    <w:jc w:val="center"/>
                    <w:rPr>
                      <w:rFonts w:hint="eastAsia" w:eastAsia="宋体"/>
                      <w:bCs/>
                      <w:color w:val="000000"/>
                      <w:szCs w:val="21"/>
                      <w:lang w:eastAsia="zh-CN"/>
                    </w:rPr>
                  </w:pPr>
                  <w:r>
                    <w:rPr>
                      <w:rFonts w:hint="eastAsia"/>
                      <w:bCs/>
                      <w:color w:val="000000"/>
                      <w:szCs w:val="21"/>
                    </w:rPr>
                    <w:t>综合房</w:t>
                  </w:r>
                </w:p>
              </w:tc>
              <w:tc>
                <w:tcPr>
                  <w:tcW w:w="1680" w:type="pct"/>
                  <w:vAlign w:val="center"/>
                </w:tcPr>
                <w:p>
                  <w:pPr>
                    <w:autoSpaceDE w:val="0"/>
                    <w:autoSpaceDN w:val="0"/>
                    <w:jc w:val="center"/>
                    <w:rPr>
                      <w:bCs/>
                      <w:color w:val="000000"/>
                      <w:szCs w:val="21"/>
                    </w:rPr>
                  </w:pPr>
                  <w:r>
                    <w:rPr>
                      <w:rFonts w:hint="eastAsia"/>
                      <w:bCs/>
                      <w:color w:val="000000"/>
                      <w:szCs w:val="21"/>
                    </w:rPr>
                    <w:t>1栋1F，层高3m，占地面积50m</w:t>
                  </w:r>
                  <w:r>
                    <w:rPr>
                      <w:rFonts w:hint="eastAsia"/>
                      <w:bCs/>
                      <w:color w:val="000000"/>
                      <w:szCs w:val="21"/>
                      <w:vertAlign w:val="superscript"/>
                    </w:rPr>
                    <w:t>2</w:t>
                  </w:r>
                  <w:r>
                    <w:rPr>
                      <w:rFonts w:hint="eastAsia"/>
                      <w:bCs/>
                      <w:color w:val="000000"/>
                      <w:szCs w:val="21"/>
                    </w:rPr>
                    <w:t>，建筑面积50m</w:t>
                  </w:r>
                  <w:r>
                    <w:rPr>
                      <w:rFonts w:hint="eastAsia"/>
                      <w:bCs/>
                      <w:color w:val="000000"/>
                      <w:szCs w:val="21"/>
                      <w:vertAlign w:val="superscript"/>
                    </w:rPr>
                    <w:t>2</w:t>
                  </w:r>
                </w:p>
              </w:tc>
              <w:tc>
                <w:tcPr>
                  <w:tcW w:w="791" w:type="pct"/>
                  <w:vAlign w:val="center"/>
                </w:tcPr>
                <w:p>
                  <w:pPr>
                    <w:autoSpaceDE w:val="0"/>
                    <w:autoSpaceDN w:val="0"/>
                    <w:jc w:val="center"/>
                    <w:rPr>
                      <w:bCs/>
                      <w:color w:val="000000"/>
                      <w:szCs w:val="21"/>
                    </w:rPr>
                  </w:pPr>
                  <w:r>
                    <w:rPr>
                      <w:rFonts w:hint="eastAsia"/>
                      <w:bCs/>
                      <w:color w:val="000000"/>
                      <w:szCs w:val="21"/>
                    </w:rPr>
                    <w:t>办公、食堂</w:t>
                  </w:r>
                </w:p>
              </w:tc>
              <w:tc>
                <w:tcPr>
                  <w:tcW w:w="816" w:type="pct"/>
                  <w:vAlign w:val="center"/>
                </w:tcPr>
                <w:p>
                  <w:pPr>
                    <w:autoSpaceDE w:val="0"/>
                    <w:autoSpaceDN w:val="0"/>
                    <w:jc w:val="center"/>
                    <w:rPr>
                      <w:rFonts w:hint="eastAsia" w:eastAsia="宋体"/>
                      <w:bCs/>
                      <w:color w:val="000000"/>
                      <w:szCs w:val="21"/>
                      <w:lang w:val="en-US" w:eastAsia="zh-CN"/>
                    </w:rPr>
                  </w:pPr>
                  <w:r>
                    <w:rPr>
                      <w:rFonts w:hint="eastAsia"/>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restart"/>
                  <w:vAlign w:val="center"/>
                </w:tcPr>
                <w:p>
                  <w:pPr>
                    <w:autoSpaceDE w:val="0"/>
                    <w:autoSpaceDN w:val="0"/>
                    <w:jc w:val="center"/>
                    <w:rPr>
                      <w:bCs/>
                      <w:szCs w:val="21"/>
                    </w:rPr>
                  </w:pPr>
                  <w:r>
                    <w:rPr>
                      <w:rFonts w:hint="eastAsia"/>
                      <w:bCs/>
                      <w:szCs w:val="21"/>
                    </w:rPr>
                    <w:t>3</w:t>
                  </w:r>
                </w:p>
              </w:tc>
              <w:tc>
                <w:tcPr>
                  <w:tcW w:w="446" w:type="pct"/>
                  <w:vMerge w:val="restart"/>
                  <w:vAlign w:val="center"/>
                </w:tcPr>
                <w:p>
                  <w:pPr>
                    <w:autoSpaceDE w:val="0"/>
                    <w:autoSpaceDN w:val="0"/>
                    <w:jc w:val="center"/>
                    <w:rPr>
                      <w:bCs/>
                      <w:szCs w:val="21"/>
                    </w:rPr>
                  </w:pPr>
                  <w:r>
                    <w:rPr>
                      <w:rFonts w:hint="eastAsia"/>
                      <w:bCs/>
                      <w:szCs w:val="21"/>
                    </w:rPr>
                    <w:t>储运工程</w:t>
                  </w:r>
                </w:p>
              </w:tc>
              <w:tc>
                <w:tcPr>
                  <w:tcW w:w="886" w:type="pct"/>
                  <w:vAlign w:val="center"/>
                </w:tcPr>
                <w:p>
                  <w:pPr>
                    <w:autoSpaceDE w:val="0"/>
                    <w:autoSpaceDN w:val="0"/>
                    <w:jc w:val="center"/>
                    <w:rPr>
                      <w:bCs/>
                      <w:szCs w:val="21"/>
                    </w:rPr>
                  </w:pPr>
                  <w:r>
                    <w:rPr>
                      <w:rFonts w:hint="eastAsia"/>
                      <w:bCs/>
                      <w:szCs w:val="21"/>
                    </w:rPr>
                    <w:t>原料仓库</w:t>
                  </w:r>
                </w:p>
              </w:tc>
              <w:tc>
                <w:tcPr>
                  <w:tcW w:w="1680" w:type="pct"/>
                  <w:vAlign w:val="center"/>
                </w:tcPr>
                <w:p>
                  <w:pPr>
                    <w:autoSpaceDE w:val="0"/>
                    <w:autoSpaceDN w:val="0"/>
                    <w:jc w:val="center"/>
                    <w:rPr>
                      <w:bCs/>
                      <w:szCs w:val="21"/>
                    </w:rPr>
                  </w:pPr>
                  <w:r>
                    <w:rPr>
                      <w:rFonts w:hint="eastAsia"/>
                      <w:bCs/>
                      <w:szCs w:val="21"/>
                    </w:rPr>
                    <w:t>位于生产车间，建筑面积</w:t>
                  </w:r>
                  <w:r>
                    <w:rPr>
                      <w:rFonts w:hint="eastAsia"/>
                      <w:bCs/>
                      <w:szCs w:val="21"/>
                      <w:lang w:val="en-US" w:eastAsia="zh-CN"/>
                    </w:rPr>
                    <w:t>300</w:t>
                  </w:r>
                  <w:r>
                    <w:rPr>
                      <w:rFonts w:hint="eastAsia"/>
                      <w:bCs/>
                      <w:szCs w:val="21"/>
                    </w:rPr>
                    <w:t>m</w:t>
                  </w:r>
                  <w:r>
                    <w:rPr>
                      <w:rFonts w:hint="eastAsia"/>
                      <w:bCs/>
                      <w:szCs w:val="21"/>
                      <w:vertAlign w:val="superscript"/>
                    </w:rPr>
                    <w:t>2</w:t>
                  </w:r>
                </w:p>
              </w:tc>
              <w:tc>
                <w:tcPr>
                  <w:tcW w:w="791" w:type="pct"/>
                  <w:vAlign w:val="center"/>
                </w:tcPr>
                <w:p>
                  <w:pPr>
                    <w:autoSpaceDE w:val="0"/>
                    <w:autoSpaceDN w:val="0"/>
                    <w:jc w:val="center"/>
                    <w:rPr>
                      <w:rFonts w:hint="default" w:eastAsia="宋体"/>
                      <w:bCs/>
                      <w:szCs w:val="21"/>
                      <w:lang w:val="en-US" w:eastAsia="zh-CN"/>
                    </w:rPr>
                  </w:pPr>
                  <w:r>
                    <w:rPr>
                      <w:rFonts w:hint="eastAsia"/>
                      <w:bCs/>
                      <w:szCs w:val="21"/>
                      <w:lang w:val="en-US" w:eastAsia="zh-CN"/>
                    </w:rPr>
                    <w:t>原料储存</w:t>
                  </w:r>
                </w:p>
              </w:tc>
              <w:tc>
                <w:tcPr>
                  <w:tcW w:w="816" w:type="pct"/>
                  <w:vMerge w:val="restart"/>
                  <w:vAlign w:val="center"/>
                </w:tcPr>
                <w:p>
                  <w:pPr>
                    <w:autoSpaceDE w:val="0"/>
                    <w:autoSpaceDN w:val="0"/>
                    <w:jc w:val="center"/>
                    <w:rPr>
                      <w:bCs/>
                      <w:szCs w:val="21"/>
                    </w:rPr>
                  </w:pPr>
                </w:p>
                <w:p>
                  <w:pPr>
                    <w:autoSpaceDE w:val="0"/>
                    <w:autoSpaceDN w:val="0"/>
                    <w:jc w:val="center"/>
                    <w:rPr>
                      <w:bCs/>
                      <w:szCs w:val="21"/>
                    </w:rPr>
                  </w:pPr>
                  <w:r>
                    <w:rPr>
                      <w:rFonts w:hint="eastAsia"/>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Align w:val="center"/>
                </w:tcPr>
                <w:p>
                  <w:pPr>
                    <w:autoSpaceDE w:val="0"/>
                    <w:autoSpaceDN w:val="0"/>
                    <w:jc w:val="center"/>
                    <w:rPr>
                      <w:bCs/>
                      <w:szCs w:val="21"/>
                    </w:rPr>
                  </w:pPr>
                  <w:r>
                    <w:rPr>
                      <w:rFonts w:hint="eastAsia"/>
                      <w:bCs/>
                      <w:szCs w:val="21"/>
                    </w:rPr>
                    <w:t>成品仓库</w:t>
                  </w:r>
                </w:p>
              </w:tc>
              <w:tc>
                <w:tcPr>
                  <w:tcW w:w="1680" w:type="pct"/>
                  <w:vAlign w:val="center"/>
                </w:tcPr>
                <w:p>
                  <w:pPr>
                    <w:autoSpaceDE w:val="0"/>
                    <w:autoSpaceDN w:val="0"/>
                    <w:jc w:val="center"/>
                    <w:rPr>
                      <w:bCs/>
                      <w:szCs w:val="21"/>
                    </w:rPr>
                  </w:pPr>
                  <w:r>
                    <w:rPr>
                      <w:rFonts w:hint="eastAsia"/>
                      <w:bCs/>
                      <w:szCs w:val="21"/>
                    </w:rPr>
                    <w:t>位于生产车间，建筑面积</w:t>
                  </w:r>
                  <w:r>
                    <w:rPr>
                      <w:rFonts w:hint="eastAsia"/>
                      <w:bCs/>
                      <w:szCs w:val="21"/>
                      <w:lang w:val="en-US" w:eastAsia="zh-CN"/>
                    </w:rPr>
                    <w:t>300</w:t>
                  </w:r>
                  <w:r>
                    <w:rPr>
                      <w:rFonts w:hint="eastAsia"/>
                      <w:bCs/>
                      <w:szCs w:val="21"/>
                    </w:rPr>
                    <w:t>m</w:t>
                  </w:r>
                  <w:r>
                    <w:rPr>
                      <w:rFonts w:hint="eastAsia"/>
                      <w:bCs/>
                      <w:szCs w:val="21"/>
                      <w:vertAlign w:val="superscript"/>
                    </w:rPr>
                    <w:t>2</w:t>
                  </w:r>
                </w:p>
              </w:tc>
              <w:tc>
                <w:tcPr>
                  <w:tcW w:w="791" w:type="pct"/>
                  <w:vAlign w:val="center"/>
                </w:tcPr>
                <w:p>
                  <w:pPr>
                    <w:autoSpaceDE w:val="0"/>
                    <w:autoSpaceDN w:val="0"/>
                    <w:jc w:val="center"/>
                    <w:rPr>
                      <w:bCs/>
                      <w:szCs w:val="21"/>
                    </w:rPr>
                  </w:pPr>
                  <w:r>
                    <w:rPr>
                      <w:rFonts w:hint="eastAsia"/>
                      <w:bCs/>
                      <w:szCs w:val="21"/>
                    </w:rPr>
                    <w:t>成品储存，箱装封闭储存</w:t>
                  </w:r>
                </w:p>
              </w:tc>
              <w:tc>
                <w:tcPr>
                  <w:tcW w:w="816" w:type="pct"/>
                  <w:vMerge w:val="continue"/>
                  <w:vAlign w:val="center"/>
                </w:tcPr>
                <w:p>
                  <w:pPr>
                    <w:autoSpaceDE w:val="0"/>
                    <w:autoSpaceDN w:val="0"/>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restart"/>
                  <w:vAlign w:val="center"/>
                </w:tcPr>
                <w:p>
                  <w:pPr>
                    <w:autoSpaceDE w:val="0"/>
                    <w:autoSpaceDN w:val="0"/>
                    <w:jc w:val="center"/>
                    <w:rPr>
                      <w:bCs/>
                      <w:szCs w:val="21"/>
                    </w:rPr>
                  </w:pPr>
                  <w:r>
                    <w:rPr>
                      <w:rFonts w:hint="eastAsia"/>
                      <w:bCs/>
                      <w:szCs w:val="21"/>
                    </w:rPr>
                    <w:t>4</w:t>
                  </w:r>
                </w:p>
              </w:tc>
              <w:tc>
                <w:tcPr>
                  <w:tcW w:w="446" w:type="pct"/>
                  <w:vMerge w:val="restart"/>
                  <w:vAlign w:val="center"/>
                </w:tcPr>
                <w:p>
                  <w:pPr>
                    <w:autoSpaceDE w:val="0"/>
                    <w:autoSpaceDN w:val="0"/>
                    <w:jc w:val="center"/>
                    <w:rPr>
                      <w:bCs/>
                      <w:szCs w:val="21"/>
                    </w:rPr>
                  </w:pPr>
                  <w:r>
                    <w:rPr>
                      <w:rFonts w:hint="eastAsia"/>
                      <w:bCs/>
                      <w:szCs w:val="21"/>
                    </w:rPr>
                    <w:t>环保工程</w:t>
                  </w:r>
                </w:p>
              </w:tc>
              <w:tc>
                <w:tcPr>
                  <w:tcW w:w="886" w:type="pct"/>
                  <w:vMerge w:val="restart"/>
                  <w:vAlign w:val="center"/>
                </w:tcPr>
                <w:p>
                  <w:pPr>
                    <w:autoSpaceDE w:val="0"/>
                    <w:autoSpaceDN w:val="0"/>
                    <w:jc w:val="center"/>
                    <w:rPr>
                      <w:bCs/>
                      <w:szCs w:val="21"/>
                    </w:rPr>
                  </w:pPr>
                  <w:r>
                    <w:rPr>
                      <w:rFonts w:hint="eastAsia"/>
                      <w:bCs/>
                      <w:szCs w:val="21"/>
                    </w:rPr>
                    <w:t>废气处理</w:t>
                  </w:r>
                </w:p>
              </w:tc>
              <w:tc>
                <w:tcPr>
                  <w:tcW w:w="3287" w:type="pct"/>
                  <w:gridSpan w:val="3"/>
                  <w:vAlign w:val="center"/>
                </w:tcPr>
                <w:p>
                  <w:pPr>
                    <w:autoSpaceDE w:val="0"/>
                    <w:autoSpaceDN w:val="0"/>
                    <w:jc w:val="both"/>
                    <w:rPr>
                      <w:rFonts w:hint="eastAsia"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①</w:t>
                  </w:r>
                  <w:r>
                    <w:rPr>
                      <w:rFonts w:hint="default" w:ascii="Times New Roman" w:hAnsi="Times New Roman" w:cs="Times New Roman"/>
                      <w:color w:val="000000" w:themeColor="text1"/>
                      <w:szCs w:val="21"/>
                      <w:highlight w:val="none"/>
                      <w14:textFill>
                        <w14:solidFill>
                          <w14:schemeClr w14:val="tx1"/>
                        </w14:solidFill>
                      </w14:textFill>
                    </w:rPr>
                    <w:t>堆场粉尘：堆场采取车间密闭</w:t>
                  </w:r>
                </w:p>
                <w:p>
                  <w:pPr>
                    <w:autoSpaceDE w:val="0"/>
                    <w:autoSpaceDN w:val="0"/>
                    <w:jc w:val="both"/>
                    <w:rPr>
                      <w:rFonts w:hint="default" w:eastAsia="宋体"/>
                      <w:bCs/>
                      <w:szCs w:val="21"/>
                      <w:lang w:val="en-US" w:eastAsia="zh-CN"/>
                    </w:rPr>
                  </w:pPr>
                  <w:r>
                    <w:rPr>
                      <w:rFonts w:hint="eastAsia" w:cs="Times New Roman"/>
                      <w:color w:val="000000" w:themeColor="text1"/>
                      <w:szCs w:val="21"/>
                      <w:highlight w:val="none"/>
                      <w:lang w:val="en-US" w:eastAsia="zh-CN"/>
                      <w14:textFill>
                        <w14:solidFill>
                          <w14:schemeClr w14:val="tx1"/>
                        </w14:solidFill>
                      </w14:textFill>
                    </w:rPr>
                    <w:t>②破碎粉尘、制棒粉尘：制棒粉尘通过管道一同破碎工序产生的粉尘经过破碎机设备配套布袋除尘器处理后无组织排放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rFonts w:hint="eastAsia"/>
                      <w:bCs/>
                      <w:szCs w:val="21"/>
                    </w:rPr>
                  </w:pPr>
                </w:p>
              </w:tc>
              <w:tc>
                <w:tcPr>
                  <w:tcW w:w="446" w:type="pct"/>
                  <w:vMerge w:val="continue"/>
                  <w:vAlign w:val="center"/>
                </w:tcPr>
                <w:p>
                  <w:pPr>
                    <w:autoSpaceDE w:val="0"/>
                    <w:autoSpaceDN w:val="0"/>
                    <w:jc w:val="center"/>
                    <w:rPr>
                      <w:rFonts w:hint="eastAsia"/>
                      <w:bCs/>
                      <w:szCs w:val="21"/>
                    </w:rPr>
                  </w:pPr>
                </w:p>
              </w:tc>
              <w:tc>
                <w:tcPr>
                  <w:tcW w:w="886" w:type="pct"/>
                  <w:vMerge w:val="continue"/>
                  <w:vAlign w:val="center"/>
                </w:tcPr>
                <w:p>
                  <w:pPr>
                    <w:autoSpaceDE w:val="0"/>
                    <w:autoSpaceDN w:val="0"/>
                    <w:jc w:val="center"/>
                    <w:rPr>
                      <w:rFonts w:hint="eastAsia"/>
                      <w:bCs/>
                      <w:szCs w:val="21"/>
                    </w:rPr>
                  </w:pPr>
                </w:p>
              </w:tc>
              <w:tc>
                <w:tcPr>
                  <w:tcW w:w="3287" w:type="pct"/>
                  <w:gridSpan w:val="3"/>
                  <w:vAlign w:val="center"/>
                </w:tcPr>
                <w:p>
                  <w:pPr>
                    <w:autoSpaceDE w:val="0"/>
                    <w:autoSpaceDN w:val="0"/>
                    <w:jc w:val="both"/>
                    <w:rPr>
                      <w:rFonts w:hint="eastAsia" w:ascii="Times New Roman" w:hAnsi="Times New Roman" w:eastAsia="宋体" w:cs="Times New Roman"/>
                      <w:color w:val="FF0000"/>
                      <w:szCs w:val="21"/>
                      <w:highlight w:val="none"/>
                      <w:lang w:val="en-US" w:eastAsia="zh-CN"/>
                    </w:rPr>
                  </w:pPr>
                  <w:r>
                    <w:rPr>
                      <w:rFonts w:hint="default" w:ascii="Times New Roman" w:hAnsi="Times New Roman" w:cs="Times New Roman"/>
                      <w:color w:val="FF0000"/>
                      <w:szCs w:val="21"/>
                      <w:highlight w:val="none"/>
                    </w:rPr>
                    <w:t>炭化窑废气：</w:t>
                  </w:r>
                  <w:r>
                    <w:rPr>
                      <w:rFonts w:hint="eastAsia" w:cs="Times New Roman"/>
                      <w:color w:val="FF0000"/>
                      <w:szCs w:val="21"/>
                      <w:highlight w:val="none"/>
                      <w:lang w:eastAsia="zh-CN"/>
                    </w:rPr>
                    <w:t>（烘干机工作时）</w:t>
                  </w:r>
                  <w:r>
                    <w:rPr>
                      <w:rFonts w:hint="default" w:ascii="Times New Roman" w:hAnsi="Times New Roman" w:cs="Times New Roman"/>
                      <w:color w:val="FF0000"/>
                      <w:szCs w:val="21"/>
                      <w:highlight w:val="none"/>
                    </w:rPr>
                    <w:t>炭化废气通过风机和管道直接将其引入</w:t>
                  </w:r>
                  <w:r>
                    <w:rPr>
                      <w:rFonts w:hint="eastAsia" w:ascii="Times New Roman" w:hAnsi="Times New Roman" w:cs="Times New Roman"/>
                      <w:color w:val="FF0000"/>
                      <w:szCs w:val="21"/>
                      <w:highlight w:val="none"/>
                      <w:lang w:eastAsia="zh-CN"/>
                    </w:rPr>
                    <w:t>烘干</w:t>
                  </w:r>
                  <w:r>
                    <w:rPr>
                      <w:rFonts w:hint="eastAsia" w:cs="Times New Roman"/>
                      <w:color w:val="FF0000"/>
                      <w:szCs w:val="21"/>
                      <w:highlight w:val="none"/>
                      <w:lang w:val="en-US" w:eastAsia="zh-CN"/>
                    </w:rPr>
                    <w:t>房进行烘干（间接加热）</w:t>
                  </w:r>
                  <w:r>
                    <w:rPr>
                      <w:rFonts w:hint="default" w:ascii="Times New Roman" w:hAnsi="Times New Roman" w:cs="Times New Roman"/>
                      <w:color w:val="FF0000"/>
                      <w:szCs w:val="21"/>
                      <w:highlight w:val="none"/>
                    </w:rPr>
                    <w:t>，燃烧产物为CO</w:t>
                  </w:r>
                  <w:r>
                    <w:rPr>
                      <w:rFonts w:hint="default" w:ascii="Times New Roman" w:hAnsi="Times New Roman" w:cs="Times New Roman"/>
                      <w:color w:val="FF0000"/>
                      <w:szCs w:val="21"/>
                      <w:highlight w:val="none"/>
                      <w:vertAlign w:val="subscript"/>
                    </w:rPr>
                    <w:t>2</w:t>
                  </w:r>
                  <w:r>
                    <w:rPr>
                      <w:rFonts w:hint="default" w:ascii="Times New Roman" w:hAnsi="Times New Roman" w:cs="Times New Roman"/>
                      <w:color w:val="FF0000"/>
                      <w:szCs w:val="21"/>
                      <w:highlight w:val="none"/>
                    </w:rPr>
                    <w:t>和H</w:t>
                  </w:r>
                  <w:r>
                    <w:rPr>
                      <w:rFonts w:hint="default" w:ascii="Times New Roman" w:hAnsi="Times New Roman" w:cs="Times New Roman"/>
                      <w:color w:val="FF0000"/>
                      <w:szCs w:val="21"/>
                      <w:highlight w:val="none"/>
                      <w:vertAlign w:val="subscript"/>
                    </w:rPr>
                    <w:t>2</w:t>
                  </w:r>
                  <w:r>
                    <w:rPr>
                      <w:rFonts w:hint="default" w:ascii="Times New Roman" w:hAnsi="Times New Roman" w:cs="Times New Roman"/>
                      <w:color w:val="FF0000"/>
                      <w:szCs w:val="21"/>
                      <w:highlight w:val="none"/>
                    </w:rPr>
                    <w:t>O。</w:t>
                  </w:r>
                  <w:r>
                    <w:rPr>
                      <w:rFonts w:hint="eastAsia" w:cs="Times New Roman"/>
                      <w:color w:val="FF0000"/>
                      <w:szCs w:val="21"/>
                      <w:highlight w:val="none"/>
                      <w:lang w:val="en-US" w:eastAsia="zh-CN"/>
                    </w:rPr>
                    <w:t>烘干结束后供热</w:t>
                  </w:r>
                  <w:r>
                    <w:rPr>
                      <w:rFonts w:hint="default" w:ascii="Times New Roman" w:hAnsi="Times New Roman" w:cs="Times New Roman"/>
                      <w:color w:val="FF0000"/>
                      <w:szCs w:val="21"/>
                      <w:highlight w:val="none"/>
                    </w:rPr>
                    <w:t>尾气</w:t>
                  </w:r>
                  <w:r>
                    <w:rPr>
                      <w:rFonts w:hint="eastAsia" w:cs="Times New Roman"/>
                      <w:color w:val="FF0000"/>
                      <w:szCs w:val="21"/>
                      <w:highlight w:val="none"/>
                      <w:lang w:val="en-US" w:eastAsia="zh-CN"/>
                    </w:rPr>
                    <w:t>返回至一体化</w:t>
                  </w:r>
                  <w:r>
                    <w:rPr>
                      <w:rFonts w:hint="eastAsia" w:ascii="Times New Roman" w:hAnsi="Times New Roman" w:cs="Times New Roman"/>
                      <w:color w:val="FF0000"/>
                      <w:szCs w:val="21"/>
                      <w:highlight w:val="none"/>
                      <w:lang w:eastAsia="zh-CN"/>
                    </w:rPr>
                    <w:t>烘干</w:t>
                  </w:r>
                  <w:r>
                    <w:rPr>
                      <w:rFonts w:hint="eastAsia" w:cs="Times New Roman"/>
                      <w:color w:val="FF0000"/>
                      <w:szCs w:val="21"/>
                      <w:highlight w:val="none"/>
                      <w:lang w:val="en-US" w:eastAsia="zh-CN"/>
                    </w:rPr>
                    <w:t>炭化设备</w:t>
                  </w:r>
                  <w:r>
                    <w:rPr>
                      <w:rFonts w:hint="eastAsia" w:ascii="Times New Roman" w:hAnsi="Times New Roman" w:cs="Times New Roman"/>
                      <w:color w:val="FF0000"/>
                      <w:szCs w:val="21"/>
                      <w:highlight w:val="none"/>
                      <w:lang w:eastAsia="zh-CN"/>
                    </w:rPr>
                    <w:t>后</w:t>
                  </w:r>
                  <w:r>
                    <w:rPr>
                      <w:rFonts w:hint="default" w:ascii="Times New Roman" w:hAnsi="Times New Roman" w:cs="Times New Roman"/>
                      <w:color w:val="FF0000"/>
                      <w:szCs w:val="21"/>
                      <w:highlight w:val="none"/>
                    </w:rPr>
                    <w:t>经</w:t>
                  </w:r>
                  <w:r>
                    <w:rPr>
                      <w:rFonts w:hint="default" w:ascii="Times New Roman" w:hAnsi="Times New Roman" w:cs="Times New Roman"/>
                      <w:color w:val="FF0000"/>
                      <w:szCs w:val="21"/>
                      <w:highlight w:val="none"/>
                      <w:lang w:val="en-US" w:eastAsia="zh-CN"/>
                    </w:rPr>
                    <w:t>静电除尘</w:t>
                  </w:r>
                  <w:r>
                    <w:rPr>
                      <w:rFonts w:hint="eastAsia" w:cs="Times New Roman"/>
                      <w:color w:val="FF0000"/>
                      <w:szCs w:val="21"/>
                      <w:highlight w:val="none"/>
                      <w:lang w:val="en-US" w:eastAsia="zh-CN"/>
                    </w:rPr>
                    <w:t>+布袋除尘</w:t>
                  </w:r>
                  <w:r>
                    <w:rPr>
                      <w:rFonts w:hint="default" w:ascii="Times New Roman" w:hAnsi="Times New Roman" w:cs="Times New Roman"/>
                      <w:color w:val="FF0000"/>
                      <w:szCs w:val="21"/>
                      <w:highlight w:val="none"/>
                    </w:rPr>
                    <w:t>器处理，最后通过15m排气筒高空排放</w:t>
                  </w:r>
                  <w:r>
                    <w:rPr>
                      <w:rFonts w:hint="eastAsia" w:cs="Times New Roman"/>
                      <w:color w:val="FF0000"/>
                      <w:szCs w:val="21"/>
                      <w:highlight w:val="none"/>
                      <w:lang w:eastAsia="zh-CN"/>
                    </w:rPr>
                    <w:t>；（烘干</w:t>
                  </w:r>
                  <w:r>
                    <w:rPr>
                      <w:rFonts w:hint="eastAsia" w:cs="Times New Roman"/>
                      <w:color w:val="FF0000"/>
                      <w:szCs w:val="21"/>
                      <w:highlight w:val="none"/>
                      <w:lang w:val="en-US" w:eastAsia="zh-CN"/>
                    </w:rPr>
                    <w:t>房</w:t>
                  </w:r>
                  <w:r>
                    <w:rPr>
                      <w:rFonts w:hint="eastAsia" w:cs="Times New Roman"/>
                      <w:color w:val="FF0000"/>
                      <w:szCs w:val="21"/>
                      <w:highlight w:val="none"/>
                      <w:lang w:eastAsia="zh-CN"/>
                    </w:rPr>
                    <w:t>不工作时）</w:t>
                  </w:r>
                  <w:r>
                    <w:rPr>
                      <w:rFonts w:hint="eastAsia" w:cs="Times New Roman"/>
                      <w:color w:val="FF0000"/>
                      <w:szCs w:val="21"/>
                      <w:highlight w:val="none"/>
                      <w:lang w:val="en-US" w:eastAsia="zh-CN"/>
                    </w:rPr>
                    <w:t>炭化工序不停止运行，炭化废气仍在炭化窑内燃烧，其废气</w:t>
                  </w:r>
                  <w:r>
                    <w:rPr>
                      <w:rFonts w:hint="default" w:ascii="Times New Roman" w:hAnsi="Times New Roman" w:cs="Times New Roman"/>
                      <w:color w:val="FF0000"/>
                      <w:szCs w:val="21"/>
                      <w:highlight w:val="none"/>
                    </w:rPr>
                    <w:t>经</w:t>
                  </w:r>
                  <w:r>
                    <w:rPr>
                      <w:rFonts w:hint="default" w:ascii="Times New Roman" w:hAnsi="Times New Roman" w:cs="Times New Roman"/>
                      <w:color w:val="FF0000"/>
                      <w:szCs w:val="21"/>
                      <w:highlight w:val="none"/>
                      <w:lang w:val="en-US" w:eastAsia="zh-CN"/>
                    </w:rPr>
                    <w:t>静电除尘</w:t>
                  </w:r>
                  <w:r>
                    <w:rPr>
                      <w:rFonts w:hint="eastAsia" w:cs="Times New Roman"/>
                      <w:color w:val="FF0000"/>
                      <w:szCs w:val="21"/>
                      <w:highlight w:val="none"/>
                      <w:lang w:val="en-US" w:eastAsia="zh-CN"/>
                    </w:rPr>
                    <w:t>+布袋除尘</w:t>
                  </w:r>
                  <w:r>
                    <w:rPr>
                      <w:rFonts w:hint="default" w:ascii="Times New Roman" w:hAnsi="Times New Roman" w:cs="Times New Roman"/>
                      <w:color w:val="FF0000"/>
                      <w:szCs w:val="21"/>
                      <w:highlight w:val="none"/>
                    </w:rPr>
                    <w:t>器处理，最后通过15m排气筒高空排放</w:t>
                  </w:r>
                  <w:r>
                    <w:rPr>
                      <w:rFonts w:hint="eastAsia" w:cs="Times New Roman"/>
                      <w:color w:val="FF000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Merge w:val="continue"/>
                  <w:vAlign w:val="center"/>
                </w:tcPr>
                <w:p>
                  <w:pPr>
                    <w:autoSpaceDE w:val="0"/>
                    <w:autoSpaceDN w:val="0"/>
                    <w:jc w:val="center"/>
                    <w:rPr>
                      <w:bCs/>
                      <w:szCs w:val="21"/>
                    </w:rPr>
                  </w:pPr>
                </w:p>
              </w:tc>
              <w:tc>
                <w:tcPr>
                  <w:tcW w:w="3287" w:type="pct"/>
                  <w:gridSpan w:val="3"/>
                  <w:vAlign w:val="center"/>
                </w:tcPr>
                <w:p>
                  <w:pPr>
                    <w:autoSpaceDE w:val="0"/>
                    <w:autoSpaceDN w:val="0"/>
                    <w:jc w:val="both"/>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食堂油烟废气：油烟净化器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Align w:val="center"/>
                </w:tcPr>
                <w:p>
                  <w:pPr>
                    <w:autoSpaceDE w:val="0"/>
                    <w:autoSpaceDN w:val="0"/>
                    <w:jc w:val="center"/>
                    <w:rPr>
                      <w:bCs/>
                      <w:szCs w:val="21"/>
                    </w:rPr>
                  </w:pPr>
                  <w:r>
                    <w:rPr>
                      <w:bCs/>
                      <w:szCs w:val="21"/>
                    </w:rPr>
                    <w:t>噪声处理</w:t>
                  </w:r>
                </w:p>
              </w:tc>
              <w:tc>
                <w:tcPr>
                  <w:tcW w:w="3287" w:type="pct"/>
                  <w:gridSpan w:val="3"/>
                  <w:vAlign w:val="center"/>
                </w:tcPr>
                <w:p>
                  <w:pPr>
                    <w:autoSpaceDE w:val="0"/>
                    <w:autoSpaceDN w:val="0"/>
                    <w:jc w:val="center"/>
                    <w:rPr>
                      <w:bCs/>
                      <w:color w:val="000000" w:themeColor="text1"/>
                      <w:szCs w:val="21"/>
                      <w14:textFill>
                        <w14:solidFill>
                          <w14:schemeClr w14:val="tx1"/>
                        </w14:solidFill>
                      </w14:textFill>
                    </w:rPr>
                  </w:pPr>
                  <w:r>
                    <w:rPr>
                      <w:color w:val="000000" w:themeColor="text1"/>
                      <w14:textFill>
                        <w14:solidFill>
                          <w14:schemeClr w14:val="tx1"/>
                        </w14:solidFill>
                      </w14:textFill>
                    </w:rPr>
                    <w:t>消声器、减振垫、</w:t>
                  </w:r>
                  <w:r>
                    <w:rPr>
                      <w:rFonts w:hint="eastAsia"/>
                      <w:color w:val="000000" w:themeColor="text1"/>
                      <w14:textFill>
                        <w14:solidFill>
                          <w14:schemeClr w14:val="tx1"/>
                        </w14:solidFill>
                      </w14:textFill>
                    </w:rPr>
                    <w:t>厂房隔声</w:t>
                  </w:r>
                  <w:r>
                    <w:rPr>
                      <w:color w:val="000000" w:themeColor="text1"/>
                      <w14:textFill>
                        <w14:solidFill>
                          <w14:schemeClr w14:val="tx1"/>
                        </w14:solidFill>
                      </w14:textFill>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Align w:val="center"/>
                </w:tcPr>
                <w:p>
                  <w:pPr>
                    <w:autoSpaceDE w:val="0"/>
                    <w:autoSpaceDN w:val="0"/>
                    <w:jc w:val="center"/>
                    <w:rPr>
                      <w:bCs/>
                      <w:szCs w:val="21"/>
                    </w:rPr>
                  </w:pPr>
                  <w:r>
                    <w:rPr>
                      <w:bCs/>
                      <w:szCs w:val="21"/>
                    </w:rPr>
                    <w:t>固废处理</w:t>
                  </w:r>
                </w:p>
              </w:tc>
              <w:tc>
                <w:tcPr>
                  <w:tcW w:w="3287" w:type="pct"/>
                  <w:gridSpan w:val="3"/>
                  <w:vAlign w:val="center"/>
                </w:tcPr>
                <w:p>
                  <w:pPr>
                    <w:autoSpaceDE w:val="0"/>
                    <w:autoSpaceDN w:val="0"/>
                    <w:jc w:val="center"/>
                    <w:rPr>
                      <w:rFonts w:hint="default" w:eastAsia="宋体"/>
                      <w:color w:val="000000" w:themeColor="text1"/>
                      <w:lang w:val="en-US" w:eastAsia="zh-CN"/>
                      <w14:textFill>
                        <w14:solidFill>
                          <w14:schemeClr w14:val="tx1"/>
                        </w14:solidFill>
                      </w14:textFill>
                    </w:rPr>
                  </w:pPr>
                  <w:r>
                    <w:rPr>
                      <w:bCs/>
                      <w:color w:val="000000" w:themeColor="text1"/>
                      <w:szCs w:val="21"/>
                      <w14:textFill>
                        <w14:solidFill>
                          <w14:schemeClr w14:val="tx1"/>
                        </w14:solidFill>
                      </w14:textFill>
                    </w:rPr>
                    <w:t>垃圾桶</w:t>
                  </w:r>
                  <w:r>
                    <w:rPr>
                      <w:rFonts w:hint="eastAsia"/>
                      <w:bCs/>
                      <w:color w:val="000000" w:themeColor="text1"/>
                      <w:szCs w:val="21"/>
                      <w14:textFill>
                        <w14:solidFill>
                          <w14:schemeClr w14:val="tx1"/>
                        </w14:solidFill>
                      </w14:textFill>
                    </w:rPr>
                    <w:t>、一般固废暂存区</w:t>
                  </w:r>
                  <w:r>
                    <w:rPr>
                      <w:rFonts w:hint="eastAsia"/>
                      <w:bCs/>
                      <w:color w:val="000000" w:themeColor="text1"/>
                      <w:szCs w:val="21"/>
                      <w:lang w:eastAsia="zh-CN"/>
                      <w14:textFill>
                        <w14:solidFill>
                          <w14:schemeClr w14:val="tx1"/>
                        </w14:solidFill>
                      </w14:textFill>
                    </w:rPr>
                    <w:t>、</w:t>
                  </w:r>
                  <w:r>
                    <w:rPr>
                      <w:rFonts w:hint="eastAsia"/>
                      <w:bCs/>
                      <w:color w:val="000000" w:themeColor="text1"/>
                      <w:szCs w:val="21"/>
                      <w:lang w:val="en-US" w:eastAsia="zh-CN"/>
                      <w14:textFill>
                        <w14:solidFill>
                          <w14:schemeClr w14:val="tx1"/>
                        </w14:solidFill>
                      </w14:textFill>
                    </w:rPr>
                    <w:t>危废暂存间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Align w:val="center"/>
                </w:tcPr>
                <w:p>
                  <w:pPr>
                    <w:autoSpaceDE w:val="0"/>
                    <w:autoSpaceDN w:val="0"/>
                    <w:jc w:val="center"/>
                    <w:rPr>
                      <w:bCs/>
                      <w:szCs w:val="21"/>
                    </w:rPr>
                  </w:pPr>
                  <w:r>
                    <w:rPr>
                      <w:rFonts w:hint="eastAsia"/>
                      <w:bCs/>
                      <w:szCs w:val="21"/>
                    </w:rPr>
                    <w:t>废水处理</w:t>
                  </w:r>
                </w:p>
              </w:tc>
              <w:tc>
                <w:tcPr>
                  <w:tcW w:w="3287" w:type="pct"/>
                  <w:gridSpan w:val="3"/>
                  <w:vAlign w:val="center"/>
                </w:tcPr>
                <w:p>
                  <w:pPr>
                    <w:autoSpaceDE w:val="0"/>
                    <w:autoSpaceDN w:val="0"/>
                    <w:jc w:val="center"/>
                    <w:rPr>
                      <w:rFonts w:hint="default"/>
                      <w:bCs/>
                      <w:color w:val="000000" w:themeColor="text1"/>
                      <w:szCs w:val="21"/>
                      <w:lang w:val="en-US"/>
                      <w14:textFill>
                        <w14:solidFill>
                          <w14:schemeClr w14:val="tx1"/>
                        </w14:solidFill>
                      </w14:textFill>
                    </w:rPr>
                  </w:pPr>
                  <w:r>
                    <w:rPr>
                      <w:rFonts w:hint="eastAsia"/>
                      <w:bCs/>
                      <w:color w:val="000000" w:themeColor="text1"/>
                      <w:szCs w:val="21"/>
                      <w14:textFill>
                        <w14:solidFill>
                          <w14:schemeClr w14:val="tx1"/>
                        </w14:solidFill>
                      </w14:textFill>
                    </w:rPr>
                    <w:t>生活</w:t>
                  </w:r>
                  <w:r>
                    <w:rPr>
                      <w:rFonts w:hint="eastAsia"/>
                      <w:bCs/>
                      <w:color w:val="000000" w:themeColor="text1"/>
                      <w:szCs w:val="21"/>
                      <w:lang w:val="en-US" w:eastAsia="zh-CN"/>
                      <w14:textFill>
                        <w14:solidFill>
                          <w14:schemeClr w14:val="tx1"/>
                        </w14:solidFill>
                      </w14:textFill>
                    </w:rPr>
                    <w:t>污水</w:t>
                  </w:r>
                  <w:r>
                    <w:rPr>
                      <w:rFonts w:hint="eastAsia"/>
                      <w:bCs/>
                      <w:color w:val="000000" w:themeColor="text1"/>
                      <w:szCs w:val="21"/>
                      <w14:textFill>
                        <w14:solidFill>
                          <w14:schemeClr w14:val="tx1"/>
                        </w14:solidFill>
                      </w14:textFill>
                    </w:rPr>
                    <w:t>：隔油池、化粪池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restart"/>
                  <w:vAlign w:val="center"/>
                </w:tcPr>
                <w:p>
                  <w:pPr>
                    <w:autoSpaceDE w:val="0"/>
                    <w:autoSpaceDN w:val="0"/>
                    <w:jc w:val="center"/>
                    <w:rPr>
                      <w:bCs/>
                      <w:szCs w:val="21"/>
                    </w:rPr>
                  </w:pPr>
                  <w:r>
                    <w:rPr>
                      <w:rFonts w:hint="eastAsia"/>
                      <w:bCs/>
                      <w:szCs w:val="21"/>
                    </w:rPr>
                    <w:t>5</w:t>
                  </w:r>
                </w:p>
              </w:tc>
              <w:tc>
                <w:tcPr>
                  <w:tcW w:w="446" w:type="pct"/>
                  <w:vMerge w:val="restart"/>
                  <w:vAlign w:val="center"/>
                </w:tcPr>
                <w:p>
                  <w:pPr>
                    <w:autoSpaceDE w:val="0"/>
                    <w:autoSpaceDN w:val="0"/>
                    <w:jc w:val="center"/>
                    <w:rPr>
                      <w:bCs/>
                      <w:szCs w:val="21"/>
                    </w:rPr>
                  </w:pPr>
                  <w:r>
                    <w:rPr>
                      <w:rFonts w:hint="eastAsia"/>
                      <w:bCs/>
                      <w:szCs w:val="21"/>
                    </w:rPr>
                    <w:t>公用工程</w:t>
                  </w:r>
                </w:p>
              </w:tc>
              <w:tc>
                <w:tcPr>
                  <w:tcW w:w="886" w:type="pct"/>
                  <w:vAlign w:val="center"/>
                </w:tcPr>
                <w:p>
                  <w:pPr>
                    <w:autoSpaceDE w:val="0"/>
                    <w:autoSpaceDN w:val="0"/>
                    <w:jc w:val="center"/>
                    <w:rPr>
                      <w:bCs/>
                      <w:szCs w:val="21"/>
                    </w:rPr>
                  </w:pPr>
                  <w:r>
                    <w:rPr>
                      <w:bCs/>
                      <w:szCs w:val="21"/>
                    </w:rPr>
                    <w:t>供电工程</w:t>
                  </w:r>
                </w:p>
              </w:tc>
              <w:tc>
                <w:tcPr>
                  <w:tcW w:w="3287" w:type="pct"/>
                  <w:gridSpan w:val="3"/>
                  <w:vAlign w:val="center"/>
                </w:tcPr>
                <w:p>
                  <w:pPr>
                    <w:autoSpaceDE w:val="0"/>
                    <w:autoSpaceDN w:val="0"/>
                    <w:jc w:val="center"/>
                    <w:rPr>
                      <w:bCs/>
                      <w:szCs w:val="21"/>
                    </w:rPr>
                  </w:pPr>
                  <w:r>
                    <w:rPr>
                      <w:szCs w:val="21"/>
                    </w:rPr>
                    <w:t>周边变电站引入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Align w:val="center"/>
                </w:tcPr>
                <w:p>
                  <w:pPr>
                    <w:autoSpaceDE w:val="0"/>
                    <w:autoSpaceDN w:val="0"/>
                    <w:jc w:val="center"/>
                    <w:rPr>
                      <w:bCs/>
                      <w:szCs w:val="21"/>
                    </w:rPr>
                  </w:pPr>
                  <w:r>
                    <w:rPr>
                      <w:bCs/>
                      <w:szCs w:val="21"/>
                    </w:rPr>
                    <w:t>给水工程</w:t>
                  </w:r>
                </w:p>
              </w:tc>
              <w:tc>
                <w:tcPr>
                  <w:tcW w:w="3287" w:type="pct"/>
                  <w:gridSpan w:val="3"/>
                  <w:vAlign w:val="center"/>
                </w:tcPr>
                <w:p>
                  <w:pPr>
                    <w:autoSpaceDE w:val="0"/>
                    <w:autoSpaceDN w:val="0"/>
                    <w:jc w:val="center"/>
                    <w:rPr>
                      <w:bCs/>
                      <w:szCs w:val="21"/>
                    </w:rPr>
                  </w:pPr>
                  <w:r>
                    <w:rPr>
                      <w:rFonts w:hint="eastAsia"/>
                      <w:bCs/>
                      <w:szCs w:val="21"/>
                    </w:rPr>
                    <w:t>生产用水、生活用水为市政自来水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Merge w:val="restart"/>
                  <w:vAlign w:val="center"/>
                </w:tcPr>
                <w:p>
                  <w:pPr>
                    <w:autoSpaceDE w:val="0"/>
                    <w:autoSpaceDN w:val="0"/>
                    <w:jc w:val="center"/>
                    <w:rPr>
                      <w:bCs/>
                      <w:szCs w:val="21"/>
                    </w:rPr>
                  </w:pPr>
                  <w:r>
                    <w:rPr>
                      <w:bCs/>
                      <w:szCs w:val="21"/>
                    </w:rPr>
                    <w:t>排水工程</w:t>
                  </w:r>
                </w:p>
              </w:tc>
              <w:tc>
                <w:tcPr>
                  <w:tcW w:w="3287" w:type="pct"/>
                  <w:gridSpan w:val="3"/>
                  <w:vAlign w:val="center"/>
                </w:tcPr>
                <w:p>
                  <w:pPr>
                    <w:autoSpaceDE w:val="0"/>
                    <w:autoSpaceDN w:val="0"/>
                    <w:jc w:val="center"/>
                    <w:rPr>
                      <w:bCs/>
                      <w:szCs w:val="21"/>
                    </w:rPr>
                  </w:pPr>
                  <w:r>
                    <w:rPr>
                      <w:rFonts w:hint="eastAsia"/>
                      <w:bCs/>
                      <w:szCs w:val="21"/>
                    </w:rPr>
                    <w:t>雨水：雨污分流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Merge w:val="continue"/>
                  <w:vAlign w:val="center"/>
                </w:tcPr>
                <w:p>
                  <w:pPr>
                    <w:autoSpaceDE w:val="0"/>
                    <w:autoSpaceDN w:val="0"/>
                    <w:jc w:val="center"/>
                    <w:rPr>
                      <w:bCs/>
                      <w:szCs w:val="21"/>
                    </w:rPr>
                  </w:pPr>
                </w:p>
              </w:tc>
              <w:tc>
                <w:tcPr>
                  <w:tcW w:w="3287" w:type="pct"/>
                  <w:gridSpan w:val="3"/>
                  <w:vAlign w:val="center"/>
                </w:tcPr>
                <w:p>
                  <w:pPr>
                    <w:autoSpaceDE w:val="0"/>
                    <w:autoSpaceDN w:val="0"/>
                    <w:jc w:val="center"/>
                    <w:rPr>
                      <w:rFonts w:hint="default" w:eastAsia="宋体"/>
                      <w:bCs/>
                      <w:szCs w:val="21"/>
                      <w:lang w:val="en-US" w:eastAsia="zh-CN"/>
                    </w:rPr>
                  </w:pPr>
                  <w:r>
                    <w:rPr>
                      <w:rFonts w:hint="eastAsia"/>
                      <w:bCs/>
                      <w:szCs w:val="21"/>
                    </w:rPr>
                    <w:t>生活污水：生活污水经隔油池、化粪池处理后</w:t>
                  </w:r>
                  <w:r>
                    <w:rPr>
                      <w:rFonts w:hint="eastAsia"/>
                      <w:bCs/>
                      <w:szCs w:val="21"/>
                      <w:lang w:val="en-US" w:eastAsia="zh-CN"/>
                    </w:rPr>
                    <w:t>用作农肥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79" w:type="pct"/>
                  <w:vMerge w:val="continue"/>
                  <w:vAlign w:val="center"/>
                </w:tcPr>
                <w:p>
                  <w:pPr>
                    <w:autoSpaceDE w:val="0"/>
                    <w:autoSpaceDN w:val="0"/>
                    <w:jc w:val="center"/>
                    <w:rPr>
                      <w:bCs/>
                      <w:szCs w:val="21"/>
                    </w:rPr>
                  </w:pPr>
                </w:p>
              </w:tc>
              <w:tc>
                <w:tcPr>
                  <w:tcW w:w="446" w:type="pct"/>
                  <w:vMerge w:val="continue"/>
                  <w:vAlign w:val="center"/>
                </w:tcPr>
                <w:p>
                  <w:pPr>
                    <w:autoSpaceDE w:val="0"/>
                    <w:autoSpaceDN w:val="0"/>
                    <w:jc w:val="center"/>
                    <w:rPr>
                      <w:bCs/>
                      <w:szCs w:val="21"/>
                    </w:rPr>
                  </w:pPr>
                </w:p>
              </w:tc>
              <w:tc>
                <w:tcPr>
                  <w:tcW w:w="886" w:type="pct"/>
                  <w:vAlign w:val="center"/>
                </w:tcPr>
                <w:p>
                  <w:pPr>
                    <w:autoSpaceDE w:val="0"/>
                    <w:autoSpaceDN w:val="0"/>
                    <w:jc w:val="center"/>
                    <w:rPr>
                      <w:bCs/>
                      <w:szCs w:val="21"/>
                    </w:rPr>
                  </w:pPr>
                  <w:r>
                    <w:rPr>
                      <w:bCs/>
                      <w:szCs w:val="21"/>
                    </w:rPr>
                    <w:t>消防工程</w:t>
                  </w:r>
                </w:p>
              </w:tc>
              <w:tc>
                <w:tcPr>
                  <w:tcW w:w="3287" w:type="pct"/>
                  <w:gridSpan w:val="3"/>
                  <w:vAlign w:val="center"/>
                </w:tcPr>
                <w:p>
                  <w:pPr>
                    <w:autoSpaceDE w:val="0"/>
                    <w:autoSpaceDN w:val="0"/>
                    <w:jc w:val="center"/>
                    <w:rPr>
                      <w:bCs/>
                      <w:szCs w:val="21"/>
                    </w:rPr>
                  </w:pPr>
                  <w:r>
                    <w:rPr>
                      <w:rFonts w:hint="eastAsia"/>
                      <w:bCs/>
                      <w:szCs w:val="21"/>
                      <w:lang w:val="en-US" w:eastAsia="zh-CN"/>
                    </w:rPr>
                    <w:t>办公室</w:t>
                  </w:r>
                  <w:r>
                    <w:rPr>
                      <w:rFonts w:hint="eastAsia"/>
                      <w:bCs/>
                      <w:szCs w:val="21"/>
                    </w:rPr>
                    <w:t>、生产车间内配置干粉灭火器</w:t>
                  </w:r>
                </w:p>
              </w:tc>
            </w:tr>
          </w:tbl>
          <w:p>
            <w:pPr>
              <w:keepNext/>
              <w:keepLines/>
              <w:widowControl/>
              <w:spacing w:line="360" w:lineRule="auto"/>
              <w:ind w:firstLine="480" w:firstLineChars="200"/>
              <w:rPr>
                <w:sz w:val="24"/>
              </w:rPr>
            </w:pPr>
          </w:p>
          <w:p>
            <w:pPr>
              <w:keepNext/>
              <w:keepLines/>
              <w:widowControl/>
              <w:spacing w:line="360" w:lineRule="auto"/>
              <w:rPr>
                <w:sz w:val="24"/>
              </w:rPr>
            </w:pPr>
            <w:r>
              <w:rPr>
                <w:rFonts w:hint="eastAsia"/>
                <w:b/>
                <w:bCs/>
                <w:sz w:val="24"/>
              </w:rPr>
              <w:t>3、设备清单</w:t>
            </w:r>
          </w:p>
          <w:p>
            <w:pPr>
              <w:keepNext/>
              <w:keepLines/>
              <w:widowControl/>
              <w:spacing w:line="360" w:lineRule="auto"/>
              <w:ind w:firstLine="480" w:firstLineChars="200"/>
              <w:rPr>
                <w:sz w:val="24"/>
              </w:rPr>
            </w:pPr>
            <w:r>
              <w:rPr>
                <w:rFonts w:hint="eastAsia"/>
                <w:sz w:val="24"/>
              </w:rPr>
              <w:t>本项目主要生产设备见表2-3。</w:t>
            </w:r>
          </w:p>
          <w:p>
            <w:pPr>
              <w:keepNext/>
              <w:keepLines/>
              <w:widowControl/>
              <w:ind w:firstLine="422" w:firstLineChars="200"/>
              <w:jc w:val="center"/>
              <w:rPr>
                <w:sz w:val="24"/>
              </w:rPr>
            </w:pPr>
            <w:r>
              <w:rPr>
                <w:rFonts w:hint="eastAsia"/>
                <w:b/>
                <w:bCs/>
                <w:szCs w:val="21"/>
              </w:rPr>
              <w:t>表2-3  项目主要生产设备一览表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94"/>
              <w:gridCol w:w="846"/>
              <w:gridCol w:w="783"/>
              <w:gridCol w:w="205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b/>
                      <w:bCs/>
                      <w:szCs w:val="21"/>
                    </w:rPr>
                  </w:pPr>
                  <w:r>
                    <w:rPr>
                      <w:rFonts w:hint="eastAsia"/>
                      <w:b/>
                      <w:bCs/>
                      <w:szCs w:val="21"/>
                    </w:rPr>
                    <w:t>序号</w:t>
                  </w:r>
                </w:p>
              </w:tc>
              <w:tc>
                <w:tcPr>
                  <w:tcW w:w="1032" w:type="pct"/>
                  <w:vAlign w:val="center"/>
                </w:tcPr>
                <w:p>
                  <w:pPr>
                    <w:keepNext/>
                    <w:keepLines/>
                    <w:widowControl/>
                    <w:jc w:val="center"/>
                    <w:rPr>
                      <w:b/>
                      <w:bCs/>
                      <w:szCs w:val="21"/>
                    </w:rPr>
                  </w:pPr>
                  <w:r>
                    <w:rPr>
                      <w:rFonts w:hint="eastAsia"/>
                      <w:b/>
                      <w:bCs/>
                      <w:szCs w:val="21"/>
                    </w:rPr>
                    <w:t>设备名称</w:t>
                  </w:r>
                </w:p>
              </w:tc>
              <w:tc>
                <w:tcPr>
                  <w:tcW w:w="515" w:type="pct"/>
                  <w:vAlign w:val="center"/>
                </w:tcPr>
                <w:p>
                  <w:pPr>
                    <w:keepNext/>
                    <w:keepLines/>
                    <w:widowControl/>
                    <w:jc w:val="center"/>
                    <w:rPr>
                      <w:b/>
                      <w:bCs/>
                      <w:szCs w:val="21"/>
                    </w:rPr>
                  </w:pPr>
                  <w:r>
                    <w:rPr>
                      <w:rFonts w:hint="eastAsia"/>
                      <w:b/>
                      <w:bCs/>
                      <w:szCs w:val="21"/>
                    </w:rPr>
                    <w:t>单位</w:t>
                  </w:r>
                </w:p>
              </w:tc>
              <w:tc>
                <w:tcPr>
                  <w:tcW w:w="477" w:type="pct"/>
                  <w:vAlign w:val="center"/>
                </w:tcPr>
                <w:p>
                  <w:pPr>
                    <w:keepNext/>
                    <w:keepLines/>
                    <w:widowControl/>
                    <w:jc w:val="center"/>
                    <w:rPr>
                      <w:b/>
                      <w:bCs/>
                      <w:szCs w:val="21"/>
                    </w:rPr>
                  </w:pPr>
                  <w:r>
                    <w:rPr>
                      <w:rFonts w:hint="eastAsia"/>
                      <w:b/>
                      <w:bCs/>
                      <w:szCs w:val="21"/>
                    </w:rPr>
                    <w:t>数量</w:t>
                  </w:r>
                </w:p>
              </w:tc>
              <w:tc>
                <w:tcPr>
                  <w:tcW w:w="1254" w:type="pct"/>
                  <w:vAlign w:val="center"/>
                </w:tcPr>
                <w:p>
                  <w:pPr>
                    <w:keepNext/>
                    <w:keepLines/>
                    <w:widowControl/>
                    <w:jc w:val="center"/>
                    <w:rPr>
                      <w:b/>
                      <w:bCs/>
                      <w:szCs w:val="21"/>
                    </w:rPr>
                  </w:pPr>
                  <w:r>
                    <w:rPr>
                      <w:rFonts w:hint="eastAsia"/>
                      <w:b/>
                      <w:bCs/>
                      <w:szCs w:val="21"/>
                    </w:rPr>
                    <w:t>用途</w:t>
                  </w:r>
                </w:p>
              </w:tc>
              <w:tc>
                <w:tcPr>
                  <w:tcW w:w="1286" w:type="pct"/>
                  <w:vAlign w:val="center"/>
                </w:tcPr>
                <w:p>
                  <w:pPr>
                    <w:keepNext/>
                    <w:keepLines/>
                    <w:widowControl/>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1</w:t>
                  </w:r>
                </w:p>
              </w:tc>
              <w:tc>
                <w:tcPr>
                  <w:tcW w:w="1032" w:type="pct"/>
                  <w:vAlign w:val="center"/>
                </w:tcPr>
                <w:p>
                  <w:pPr>
                    <w:shd w:val="clear"/>
                    <w:adjustRightInd w:val="0"/>
                    <w:snapToGrid w:val="0"/>
                    <w:jc w:val="center"/>
                    <w:rPr>
                      <w:szCs w:val="21"/>
                    </w:rPr>
                  </w:pPr>
                  <w:r>
                    <w:rPr>
                      <w:rFonts w:hint="eastAsia" w:cs="Times New Roman"/>
                      <w:color w:val="000000" w:themeColor="text1"/>
                      <w:szCs w:val="21"/>
                      <w:highlight w:val="none"/>
                      <w:lang w:val="en-US" w:eastAsia="zh-CN"/>
                      <w14:textFill>
                        <w14:solidFill>
                          <w14:schemeClr w14:val="tx1"/>
                        </w14:solidFill>
                      </w14:textFill>
                    </w:rPr>
                    <w:t>破</w:t>
                  </w:r>
                  <w:r>
                    <w:rPr>
                      <w:rFonts w:hint="default" w:ascii="Times New Roman" w:hAnsi="Times New Roman" w:cs="Times New Roman"/>
                      <w:color w:val="000000" w:themeColor="text1"/>
                      <w:szCs w:val="21"/>
                      <w:highlight w:val="none"/>
                      <w:lang w:eastAsia="zh-CN"/>
                      <w14:textFill>
                        <w14:solidFill>
                          <w14:schemeClr w14:val="tx1"/>
                        </w14:solidFill>
                      </w14:textFill>
                    </w:rPr>
                    <w:t>碎机</w:t>
                  </w:r>
                </w:p>
              </w:tc>
              <w:tc>
                <w:tcPr>
                  <w:tcW w:w="515" w:type="pct"/>
                  <w:vAlign w:val="center"/>
                </w:tcPr>
                <w:p>
                  <w:pPr>
                    <w:keepNext/>
                    <w:keepLines/>
                    <w:widowControl/>
                    <w:jc w:val="center"/>
                    <w:rPr>
                      <w:szCs w:val="21"/>
                    </w:rPr>
                  </w:pPr>
                  <w:r>
                    <w:rPr>
                      <w:rFonts w:hint="eastAsia"/>
                      <w:szCs w:val="21"/>
                    </w:rPr>
                    <w:t>台</w:t>
                  </w:r>
                </w:p>
              </w:tc>
              <w:tc>
                <w:tcPr>
                  <w:tcW w:w="477" w:type="pct"/>
                  <w:vAlign w:val="center"/>
                </w:tcPr>
                <w:p>
                  <w:pPr>
                    <w:keepNext/>
                    <w:keepLines/>
                    <w:widowControl/>
                    <w:jc w:val="center"/>
                    <w:rPr>
                      <w:rFonts w:hint="eastAsia" w:eastAsia="宋体"/>
                      <w:szCs w:val="21"/>
                      <w:lang w:eastAsia="zh-CN"/>
                    </w:rPr>
                  </w:pPr>
                  <w:r>
                    <w:rPr>
                      <w:rFonts w:hint="eastAsia"/>
                      <w:szCs w:val="21"/>
                      <w:lang w:val="en-US" w:eastAsia="zh-CN"/>
                    </w:rPr>
                    <w:t>2</w:t>
                  </w:r>
                </w:p>
              </w:tc>
              <w:tc>
                <w:tcPr>
                  <w:tcW w:w="1254" w:type="pct"/>
                  <w:vAlign w:val="center"/>
                </w:tcPr>
                <w:p>
                  <w:pPr>
                    <w:keepNext/>
                    <w:keepLines/>
                    <w:widowControl/>
                    <w:jc w:val="center"/>
                    <w:rPr>
                      <w:szCs w:val="21"/>
                    </w:rPr>
                  </w:pPr>
                  <w:r>
                    <w:rPr>
                      <w:rFonts w:hint="eastAsia"/>
                      <w:szCs w:val="21"/>
                      <w:lang w:val="en-US" w:eastAsia="zh-CN"/>
                    </w:rPr>
                    <w:t>破碎</w:t>
                  </w:r>
                  <w:r>
                    <w:rPr>
                      <w:rFonts w:hint="eastAsia"/>
                      <w:szCs w:val="21"/>
                    </w:rPr>
                    <w:t>工序</w:t>
                  </w:r>
                </w:p>
              </w:tc>
              <w:tc>
                <w:tcPr>
                  <w:tcW w:w="1286" w:type="pct"/>
                  <w:vAlign w:val="center"/>
                </w:tcPr>
                <w:p>
                  <w:pPr>
                    <w:keepNext/>
                    <w:keepLines/>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2</w:t>
                  </w:r>
                </w:p>
              </w:tc>
              <w:tc>
                <w:tcPr>
                  <w:tcW w:w="1032" w:type="pct"/>
                  <w:vAlign w:val="center"/>
                </w:tcPr>
                <w:p>
                  <w:pPr>
                    <w:shd w:val="clear"/>
                    <w:adjustRightInd w:val="0"/>
                    <w:snapToGrid w:val="0"/>
                    <w:jc w:val="center"/>
                    <w:rPr>
                      <w:szCs w:val="21"/>
                    </w:rPr>
                  </w:pPr>
                  <w:r>
                    <w:rPr>
                      <w:rFonts w:hint="eastAsia" w:cs="Times New Roman"/>
                      <w:color w:val="000000" w:themeColor="text1"/>
                      <w:szCs w:val="21"/>
                      <w:highlight w:val="none"/>
                      <w:lang w:val="en-US" w:eastAsia="zh-CN"/>
                      <w14:textFill>
                        <w14:solidFill>
                          <w14:schemeClr w14:val="tx1"/>
                        </w14:solidFill>
                      </w14:textFill>
                    </w:rPr>
                    <w:t>分选机</w:t>
                  </w:r>
                </w:p>
              </w:tc>
              <w:tc>
                <w:tcPr>
                  <w:tcW w:w="515" w:type="pct"/>
                  <w:vAlign w:val="center"/>
                </w:tcPr>
                <w:p>
                  <w:pPr>
                    <w:keepNext/>
                    <w:keepLines/>
                    <w:widowControl/>
                    <w:jc w:val="center"/>
                    <w:rPr>
                      <w:rFonts w:hint="eastAsia" w:eastAsia="宋体"/>
                      <w:szCs w:val="21"/>
                      <w:lang w:eastAsia="zh-CN"/>
                    </w:rPr>
                  </w:pPr>
                  <w:r>
                    <w:rPr>
                      <w:rFonts w:hint="eastAsia"/>
                      <w:szCs w:val="21"/>
                      <w:lang w:val="en-US" w:eastAsia="zh-CN"/>
                    </w:rPr>
                    <w:t>台</w:t>
                  </w:r>
                </w:p>
              </w:tc>
              <w:tc>
                <w:tcPr>
                  <w:tcW w:w="477" w:type="pct"/>
                  <w:vAlign w:val="center"/>
                </w:tcPr>
                <w:p>
                  <w:pPr>
                    <w:keepNext/>
                    <w:keepLines/>
                    <w:widowControl/>
                    <w:jc w:val="center"/>
                    <w:rPr>
                      <w:rFonts w:hint="eastAsia" w:eastAsia="宋体"/>
                      <w:szCs w:val="21"/>
                      <w:lang w:eastAsia="zh-CN"/>
                    </w:rPr>
                  </w:pPr>
                  <w:r>
                    <w:rPr>
                      <w:rFonts w:hint="eastAsia"/>
                      <w:szCs w:val="21"/>
                      <w:lang w:val="en-US" w:eastAsia="zh-CN"/>
                    </w:rPr>
                    <w:t>2</w:t>
                  </w:r>
                </w:p>
              </w:tc>
              <w:tc>
                <w:tcPr>
                  <w:tcW w:w="1254" w:type="pct"/>
                  <w:vAlign w:val="center"/>
                </w:tcPr>
                <w:p>
                  <w:pPr>
                    <w:keepNext/>
                    <w:keepLines/>
                    <w:widowControl/>
                    <w:jc w:val="center"/>
                    <w:rPr>
                      <w:rFonts w:hint="default" w:eastAsia="宋体"/>
                      <w:szCs w:val="21"/>
                      <w:lang w:val="en-US" w:eastAsia="zh-CN"/>
                    </w:rPr>
                  </w:pPr>
                  <w:r>
                    <w:rPr>
                      <w:rFonts w:hint="eastAsia"/>
                      <w:szCs w:val="21"/>
                      <w:lang w:val="en-US" w:eastAsia="zh-CN"/>
                    </w:rPr>
                    <w:t>分选工序</w:t>
                  </w:r>
                </w:p>
              </w:tc>
              <w:tc>
                <w:tcPr>
                  <w:tcW w:w="1286" w:type="pct"/>
                  <w:vAlign w:val="center"/>
                </w:tcPr>
                <w:p>
                  <w:pPr>
                    <w:keepNext/>
                    <w:keepLines/>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3</w:t>
                  </w:r>
                </w:p>
              </w:tc>
              <w:tc>
                <w:tcPr>
                  <w:tcW w:w="1032" w:type="pct"/>
                  <w:vAlign w:val="center"/>
                </w:tcPr>
                <w:p>
                  <w:pPr>
                    <w:shd w:val="clear"/>
                    <w:adjustRightInd w:val="0"/>
                    <w:snapToGrid w:val="0"/>
                    <w:jc w:val="center"/>
                    <w:rPr>
                      <w:rFonts w:hint="eastAsia" w:eastAsia="宋体"/>
                      <w:szCs w:val="21"/>
                      <w:lang w:val="en-US" w:eastAsia="zh-CN"/>
                    </w:rPr>
                  </w:pPr>
                  <w:r>
                    <w:rPr>
                      <w:rFonts w:hint="default" w:ascii="Times New Roman" w:hAnsi="Times New Roman" w:cs="Times New Roman"/>
                      <w:color w:val="000000" w:themeColor="text1"/>
                      <w:szCs w:val="21"/>
                      <w:highlight w:val="none"/>
                      <w14:textFill>
                        <w14:solidFill>
                          <w14:schemeClr w14:val="tx1"/>
                        </w14:solidFill>
                      </w14:textFill>
                    </w:rPr>
                    <w:t>烘干</w:t>
                  </w:r>
                  <w:r>
                    <w:rPr>
                      <w:rFonts w:hint="eastAsia" w:cs="Times New Roman"/>
                      <w:color w:val="000000" w:themeColor="text1"/>
                      <w:szCs w:val="21"/>
                      <w:highlight w:val="none"/>
                      <w:lang w:val="en-US" w:eastAsia="zh-CN"/>
                      <w14:textFill>
                        <w14:solidFill>
                          <w14:schemeClr w14:val="tx1"/>
                        </w14:solidFill>
                      </w14:textFill>
                    </w:rPr>
                    <w:t>房</w:t>
                  </w:r>
                </w:p>
              </w:tc>
              <w:tc>
                <w:tcPr>
                  <w:tcW w:w="515" w:type="pct"/>
                  <w:vAlign w:val="center"/>
                </w:tcPr>
                <w:p>
                  <w:pPr>
                    <w:keepNext/>
                    <w:keepLines/>
                    <w:widowControl/>
                    <w:jc w:val="center"/>
                    <w:rPr>
                      <w:rFonts w:hint="default" w:eastAsia="宋体"/>
                      <w:szCs w:val="21"/>
                      <w:lang w:val="en-US" w:eastAsia="zh-CN"/>
                    </w:rPr>
                  </w:pPr>
                  <w:r>
                    <w:rPr>
                      <w:rFonts w:hint="eastAsia"/>
                      <w:szCs w:val="21"/>
                      <w:lang w:val="en-US" w:eastAsia="zh-CN"/>
                    </w:rPr>
                    <w:t>间</w:t>
                  </w:r>
                </w:p>
              </w:tc>
              <w:tc>
                <w:tcPr>
                  <w:tcW w:w="477" w:type="pct"/>
                  <w:vAlign w:val="center"/>
                </w:tcPr>
                <w:p>
                  <w:pPr>
                    <w:keepNext/>
                    <w:keepLines/>
                    <w:widowControl/>
                    <w:jc w:val="center"/>
                    <w:rPr>
                      <w:szCs w:val="21"/>
                    </w:rPr>
                  </w:pPr>
                  <w:r>
                    <w:rPr>
                      <w:rFonts w:hint="eastAsia"/>
                      <w:szCs w:val="21"/>
                    </w:rPr>
                    <w:t>1</w:t>
                  </w:r>
                </w:p>
              </w:tc>
              <w:tc>
                <w:tcPr>
                  <w:tcW w:w="1254" w:type="pct"/>
                  <w:vAlign w:val="center"/>
                </w:tcPr>
                <w:p>
                  <w:pPr>
                    <w:keepNext/>
                    <w:keepLines/>
                    <w:widowControl/>
                    <w:jc w:val="center"/>
                    <w:rPr>
                      <w:szCs w:val="21"/>
                    </w:rPr>
                  </w:pPr>
                  <w:r>
                    <w:rPr>
                      <w:rFonts w:hint="eastAsia"/>
                      <w:szCs w:val="21"/>
                      <w:lang w:val="en-US" w:eastAsia="zh-CN"/>
                    </w:rPr>
                    <w:t>烘干</w:t>
                  </w:r>
                  <w:r>
                    <w:rPr>
                      <w:rFonts w:hint="eastAsia"/>
                      <w:szCs w:val="21"/>
                    </w:rPr>
                    <w:t>工序</w:t>
                  </w:r>
                </w:p>
              </w:tc>
              <w:tc>
                <w:tcPr>
                  <w:tcW w:w="1286" w:type="pct"/>
                  <w:vAlign w:val="center"/>
                </w:tcPr>
                <w:p>
                  <w:pPr>
                    <w:keepNext/>
                    <w:keepLines/>
                    <w:widowControl/>
                    <w:jc w:val="center"/>
                    <w:rPr>
                      <w:rFonts w:hint="default" w:eastAsia="宋体"/>
                      <w:szCs w:val="21"/>
                      <w:lang w:val="en-US" w:eastAsia="zh-CN"/>
                    </w:rPr>
                  </w:pPr>
                  <w:r>
                    <w:rPr>
                      <w:rFonts w:hint="eastAsia"/>
                      <w:szCs w:val="21"/>
                      <w:lang w:val="en-US" w:eastAsia="zh-CN"/>
                    </w:rPr>
                    <w:t>用于竹制半成品烘干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4</w:t>
                  </w:r>
                </w:p>
              </w:tc>
              <w:tc>
                <w:tcPr>
                  <w:tcW w:w="1032" w:type="pct"/>
                  <w:vAlign w:val="center"/>
                </w:tcPr>
                <w:p>
                  <w:pPr>
                    <w:shd w:val="clear"/>
                    <w:adjustRightInd w:val="0"/>
                    <w:snapToGrid w:val="0"/>
                    <w:jc w:val="center"/>
                    <w:rPr>
                      <w:rFonts w:hint="default"/>
                      <w:szCs w:val="21"/>
                      <w:lang w:val="en-US"/>
                    </w:rPr>
                  </w:pPr>
                  <w:r>
                    <w:rPr>
                      <w:rFonts w:hint="eastAsia" w:cs="Times New Roman"/>
                      <w:color w:val="000000" w:themeColor="text1"/>
                      <w:szCs w:val="21"/>
                      <w:highlight w:val="none"/>
                      <w:lang w:val="en-US" w:eastAsia="zh-CN"/>
                      <w14:textFill>
                        <w14:solidFill>
                          <w14:schemeClr w14:val="tx1"/>
                        </w14:solidFill>
                      </w14:textFill>
                    </w:rPr>
                    <w:t>水喷淋设备</w:t>
                  </w:r>
                </w:p>
              </w:tc>
              <w:tc>
                <w:tcPr>
                  <w:tcW w:w="515" w:type="pct"/>
                  <w:vAlign w:val="center"/>
                </w:tcPr>
                <w:p>
                  <w:pPr>
                    <w:keepNext/>
                    <w:keepLines/>
                    <w:widowControl/>
                    <w:jc w:val="center"/>
                    <w:rPr>
                      <w:szCs w:val="21"/>
                    </w:rPr>
                  </w:pPr>
                  <w:r>
                    <w:rPr>
                      <w:rFonts w:hint="eastAsia"/>
                      <w:szCs w:val="21"/>
                    </w:rPr>
                    <w:t>套</w:t>
                  </w:r>
                </w:p>
              </w:tc>
              <w:tc>
                <w:tcPr>
                  <w:tcW w:w="477" w:type="pct"/>
                  <w:vAlign w:val="center"/>
                </w:tcPr>
                <w:p>
                  <w:pPr>
                    <w:keepNext/>
                    <w:keepLines/>
                    <w:widowControl/>
                    <w:jc w:val="center"/>
                    <w:rPr>
                      <w:szCs w:val="21"/>
                    </w:rPr>
                  </w:pPr>
                  <w:r>
                    <w:rPr>
                      <w:rFonts w:hint="eastAsia"/>
                      <w:szCs w:val="21"/>
                    </w:rPr>
                    <w:t>1</w:t>
                  </w:r>
                </w:p>
              </w:tc>
              <w:tc>
                <w:tcPr>
                  <w:tcW w:w="1254" w:type="pct"/>
                  <w:vAlign w:val="center"/>
                </w:tcPr>
                <w:p>
                  <w:pPr>
                    <w:keepNext/>
                    <w:keepLines/>
                    <w:widowControl/>
                    <w:jc w:val="center"/>
                    <w:rPr>
                      <w:rFonts w:hint="default" w:eastAsia="宋体"/>
                      <w:szCs w:val="21"/>
                      <w:lang w:val="en-US" w:eastAsia="zh-CN"/>
                    </w:rPr>
                  </w:pPr>
                  <w:r>
                    <w:rPr>
                      <w:rFonts w:hint="eastAsia"/>
                      <w:szCs w:val="21"/>
                      <w:lang w:val="en-US" w:eastAsia="zh-CN"/>
                    </w:rPr>
                    <w:t>喷淋工序</w:t>
                  </w:r>
                </w:p>
              </w:tc>
              <w:tc>
                <w:tcPr>
                  <w:tcW w:w="1286" w:type="pct"/>
                  <w:vAlign w:val="center"/>
                </w:tcPr>
                <w:p>
                  <w:pPr>
                    <w:keepNext/>
                    <w:keepLines/>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5</w:t>
                  </w:r>
                </w:p>
              </w:tc>
              <w:tc>
                <w:tcPr>
                  <w:tcW w:w="1032" w:type="pct"/>
                  <w:vAlign w:val="center"/>
                </w:tcPr>
                <w:p>
                  <w:pPr>
                    <w:shd w:val="clear"/>
                    <w:adjustRightInd w:val="0"/>
                    <w:snapToGrid w:val="0"/>
                    <w:jc w:val="center"/>
                    <w:rPr>
                      <w:szCs w:val="21"/>
                    </w:rPr>
                  </w:pPr>
                  <w:r>
                    <w:rPr>
                      <w:rFonts w:hint="default" w:ascii="Times New Roman" w:hAnsi="Times New Roman" w:cs="Times New Roman"/>
                      <w:color w:val="000000" w:themeColor="text1"/>
                      <w:szCs w:val="21"/>
                      <w:highlight w:val="none"/>
                      <w14:textFill>
                        <w14:solidFill>
                          <w14:schemeClr w14:val="tx1"/>
                        </w14:solidFill>
                      </w14:textFill>
                    </w:rPr>
                    <w:t>制棒机</w:t>
                  </w:r>
                </w:p>
              </w:tc>
              <w:tc>
                <w:tcPr>
                  <w:tcW w:w="515" w:type="pct"/>
                  <w:vAlign w:val="center"/>
                </w:tcPr>
                <w:p>
                  <w:pPr>
                    <w:keepNext/>
                    <w:keepLines/>
                    <w:widowControl/>
                    <w:jc w:val="center"/>
                    <w:rPr>
                      <w:szCs w:val="21"/>
                    </w:rPr>
                  </w:pPr>
                  <w:r>
                    <w:rPr>
                      <w:rFonts w:hint="eastAsia"/>
                      <w:szCs w:val="21"/>
                    </w:rPr>
                    <w:t>台</w:t>
                  </w:r>
                </w:p>
              </w:tc>
              <w:tc>
                <w:tcPr>
                  <w:tcW w:w="477" w:type="pct"/>
                  <w:vAlign w:val="center"/>
                </w:tcPr>
                <w:p>
                  <w:pPr>
                    <w:keepNext/>
                    <w:keepLines/>
                    <w:widowControl/>
                    <w:jc w:val="center"/>
                    <w:rPr>
                      <w:szCs w:val="21"/>
                    </w:rPr>
                  </w:pPr>
                  <w:r>
                    <w:rPr>
                      <w:rFonts w:hint="eastAsia"/>
                      <w:szCs w:val="21"/>
                    </w:rPr>
                    <w:t>1</w:t>
                  </w:r>
                </w:p>
              </w:tc>
              <w:tc>
                <w:tcPr>
                  <w:tcW w:w="1254" w:type="pct"/>
                  <w:vAlign w:val="center"/>
                </w:tcPr>
                <w:p>
                  <w:pPr>
                    <w:keepNext/>
                    <w:keepLines/>
                    <w:widowControl/>
                    <w:jc w:val="center"/>
                    <w:rPr>
                      <w:szCs w:val="21"/>
                    </w:rPr>
                  </w:pPr>
                  <w:r>
                    <w:rPr>
                      <w:rFonts w:hint="eastAsia"/>
                      <w:szCs w:val="21"/>
                      <w:lang w:val="en-US" w:eastAsia="zh-CN"/>
                    </w:rPr>
                    <w:t>制棒</w:t>
                  </w:r>
                  <w:r>
                    <w:rPr>
                      <w:rFonts w:hint="eastAsia"/>
                      <w:szCs w:val="21"/>
                    </w:rPr>
                    <w:t>工序</w:t>
                  </w:r>
                </w:p>
              </w:tc>
              <w:tc>
                <w:tcPr>
                  <w:tcW w:w="1286" w:type="pct"/>
                  <w:vAlign w:val="center"/>
                </w:tcPr>
                <w:p>
                  <w:pPr>
                    <w:keepNext/>
                    <w:keepLines/>
                    <w:widowControl/>
                    <w:jc w:val="center"/>
                    <w:rPr>
                      <w:rFonts w:hint="eastAsia" w:eastAsia="宋体"/>
                      <w:szCs w:val="21"/>
                      <w:lang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2" w:type="pct"/>
                  <w:vAlign w:val="center"/>
                </w:tcPr>
                <w:p>
                  <w:pPr>
                    <w:keepNext/>
                    <w:keepLines/>
                    <w:widowControl/>
                    <w:jc w:val="center"/>
                    <w:rPr>
                      <w:szCs w:val="21"/>
                    </w:rPr>
                  </w:pPr>
                  <w:r>
                    <w:rPr>
                      <w:rFonts w:hint="eastAsia"/>
                      <w:szCs w:val="21"/>
                    </w:rPr>
                    <w:t>6</w:t>
                  </w:r>
                </w:p>
              </w:tc>
              <w:tc>
                <w:tcPr>
                  <w:tcW w:w="1032" w:type="pct"/>
                  <w:vAlign w:val="center"/>
                </w:tcPr>
                <w:p>
                  <w:pPr>
                    <w:shd w:val="clear"/>
                    <w:adjustRightInd w:val="0"/>
                    <w:snapToGrid w:val="0"/>
                    <w:jc w:val="center"/>
                    <w:rPr>
                      <w:szCs w:val="21"/>
                    </w:rPr>
                  </w:pPr>
                  <w:r>
                    <w:rPr>
                      <w:rFonts w:hint="default" w:ascii="Times New Roman" w:hAnsi="Times New Roman" w:cs="Times New Roman"/>
                      <w:color w:val="000000" w:themeColor="text1"/>
                      <w:szCs w:val="21"/>
                      <w:highlight w:val="none"/>
                      <w14:textFill>
                        <w14:solidFill>
                          <w14:schemeClr w14:val="tx1"/>
                        </w14:solidFill>
                      </w14:textFill>
                    </w:rPr>
                    <w:t>炭化窑</w:t>
                  </w:r>
                </w:p>
              </w:tc>
              <w:tc>
                <w:tcPr>
                  <w:tcW w:w="515" w:type="pct"/>
                  <w:vAlign w:val="center"/>
                </w:tcPr>
                <w:p>
                  <w:pPr>
                    <w:keepNext/>
                    <w:keepLines/>
                    <w:widowControl/>
                    <w:jc w:val="center"/>
                    <w:rPr>
                      <w:szCs w:val="21"/>
                    </w:rPr>
                  </w:pPr>
                  <w:r>
                    <w:rPr>
                      <w:rFonts w:hint="eastAsia"/>
                      <w:szCs w:val="21"/>
                    </w:rPr>
                    <w:t>台</w:t>
                  </w:r>
                </w:p>
              </w:tc>
              <w:tc>
                <w:tcPr>
                  <w:tcW w:w="477" w:type="pct"/>
                  <w:vAlign w:val="center"/>
                </w:tcPr>
                <w:p>
                  <w:pPr>
                    <w:keepNext/>
                    <w:keepLines/>
                    <w:widowControl/>
                    <w:jc w:val="center"/>
                    <w:rPr>
                      <w:rFonts w:hint="eastAsia" w:eastAsia="宋体"/>
                      <w:szCs w:val="21"/>
                      <w:lang w:eastAsia="zh-CN"/>
                    </w:rPr>
                  </w:pPr>
                  <w:r>
                    <w:rPr>
                      <w:rFonts w:hint="eastAsia"/>
                      <w:szCs w:val="21"/>
                      <w:lang w:val="en-US" w:eastAsia="zh-CN"/>
                    </w:rPr>
                    <w:t>2</w:t>
                  </w:r>
                </w:p>
              </w:tc>
              <w:tc>
                <w:tcPr>
                  <w:tcW w:w="1254" w:type="pct"/>
                  <w:vAlign w:val="center"/>
                </w:tcPr>
                <w:p>
                  <w:pPr>
                    <w:keepNext/>
                    <w:keepLines/>
                    <w:widowControl/>
                    <w:jc w:val="center"/>
                    <w:rPr>
                      <w:szCs w:val="21"/>
                    </w:rPr>
                  </w:pPr>
                  <w:r>
                    <w:rPr>
                      <w:rFonts w:hint="eastAsia"/>
                      <w:szCs w:val="21"/>
                      <w:lang w:val="en-US" w:eastAsia="zh-CN"/>
                    </w:rPr>
                    <w:t>炭化</w:t>
                  </w:r>
                  <w:r>
                    <w:rPr>
                      <w:rFonts w:hint="eastAsia"/>
                      <w:szCs w:val="21"/>
                    </w:rPr>
                    <w:t>工序</w:t>
                  </w:r>
                </w:p>
              </w:tc>
              <w:tc>
                <w:tcPr>
                  <w:tcW w:w="1286" w:type="pct"/>
                  <w:vAlign w:val="center"/>
                </w:tcPr>
                <w:p>
                  <w:pPr>
                    <w:keepNext/>
                    <w:keepLines/>
                    <w:widowControl/>
                    <w:jc w:val="center"/>
                    <w:rPr>
                      <w:rFonts w:hint="default" w:eastAsia="宋体"/>
                      <w:szCs w:val="21"/>
                      <w:lang w:val="en-US" w:eastAsia="zh-CN"/>
                    </w:rPr>
                  </w:pPr>
                  <w:r>
                    <w:rPr>
                      <w:rFonts w:hint="eastAsia"/>
                      <w:bCs/>
                      <w:color w:val="FF0000"/>
                      <w:kern w:val="44"/>
                      <w:szCs w:val="21"/>
                    </w:rPr>
                    <w:t>3.3m×2m×2.2m，</w:t>
                  </w:r>
                  <w:r>
                    <w:rPr>
                      <w:rFonts w:hint="eastAsia"/>
                      <w:bCs/>
                      <w:color w:val="FF0000"/>
                      <w:kern w:val="44"/>
                      <w:szCs w:val="21"/>
                      <w:lang w:val="en-US" w:eastAsia="zh-CN"/>
                    </w:rPr>
                    <w:t>1</w:t>
                  </w:r>
                  <w:r>
                    <w:rPr>
                      <w:rFonts w:hint="eastAsia"/>
                      <w:bCs/>
                      <w:color w:val="FF0000"/>
                      <w:kern w:val="44"/>
                      <w:szCs w:val="21"/>
                    </w:rPr>
                    <w:t>t/h</w:t>
                  </w:r>
                  <w:r>
                    <w:rPr>
                      <w:rFonts w:hint="eastAsia"/>
                      <w:bCs/>
                      <w:color w:val="FF0000"/>
                      <w:kern w:val="44"/>
                      <w:szCs w:val="21"/>
                      <w:lang w:eastAsia="zh-CN"/>
                    </w:rPr>
                    <w:t>，</w:t>
                  </w:r>
                  <w:r>
                    <w:rPr>
                      <w:rFonts w:hint="eastAsia"/>
                      <w:color w:val="FF0000"/>
                      <w:szCs w:val="21"/>
                      <w:lang w:val="en-US" w:eastAsia="zh-CN"/>
                    </w:rPr>
                    <w:t>每台10门，全年工作时间不停歇使用，</w:t>
                  </w:r>
                  <w:r>
                    <w:rPr>
                      <w:rFonts w:hint="eastAsia"/>
                      <w:color w:val="FF0000"/>
                      <w:szCs w:val="21"/>
                      <w:lang w:eastAsia="zh-CN"/>
                    </w:rPr>
                    <w:t>使用时长</w:t>
                  </w:r>
                  <w:r>
                    <w:rPr>
                      <w:rFonts w:hint="eastAsia"/>
                      <w:color w:val="FF0000"/>
                      <w:szCs w:val="21"/>
                      <w:lang w:val="en-US" w:eastAsia="zh-CN"/>
                    </w:rPr>
                    <w:t>7200小时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7</w:t>
                  </w:r>
                </w:p>
              </w:tc>
              <w:tc>
                <w:tcPr>
                  <w:tcW w:w="1032" w:type="pct"/>
                  <w:vAlign w:val="center"/>
                </w:tcPr>
                <w:p>
                  <w:pPr>
                    <w:shd w:val="clear"/>
                    <w:adjustRightInd w:val="0"/>
                    <w:snapToGrid w:val="0"/>
                    <w:jc w:val="center"/>
                    <w:rPr>
                      <w:szCs w:val="21"/>
                    </w:rPr>
                  </w:pPr>
                  <w:r>
                    <w:rPr>
                      <w:rFonts w:hint="eastAsia" w:ascii="Times New Roman" w:hAnsi="Times New Roman" w:cs="Times New Roman"/>
                      <w:color w:val="000000" w:themeColor="text1"/>
                      <w:szCs w:val="21"/>
                      <w:highlight w:val="none"/>
                      <w:lang w:eastAsia="zh-CN"/>
                      <w14:textFill>
                        <w14:solidFill>
                          <w14:schemeClr w14:val="tx1"/>
                        </w14:solidFill>
                      </w14:textFill>
                    </w:rPr>
                    <w:t>烘干炉</w:t>
                  </w:r>
                </w:p>
              </w:tc>
              <w:tc>
                <w:tcPr>
                  <w:tcW w:w="515" w:type="pct"/>
                  <w:vAlign w:val="center"/>
                </w:tcPr>
                <w:p>
                  <w:pPr>
                    <w:keepNext/>
                    <w:keepLines/>
                    <w:widowControl/>
                    <w:jc w:val="center"/>
                    <w:rPr>
                      <w:szCs w:val="21"/>
                    </w:rPr>
                  </w:pPr>
                  <w:r>
                    <w:rPr>
                      <w:rFonts w:hint="eastAsia"/>
                      <w:szCs w:val="21"/>
                    </w:rPr>
                    <w:t>台（套）</w:t>
                  </w:r>
                </w:p>
              </w:tc>
              <w:tc>
                <w:tcPr>
                  <w:tcW w:w="477" w:type="pct"/>
                  <w:vAlign w:val="center"/>
                </w:tcPr>
                <w:p>
                  <w:pPr>
                    <w:keepNext/>
                    <w:keepLines/>
                    <w:widowControl/>
                    <w:jc w:val="center"/>
                    <w:rPr>
                      <w:szCs w:val="21"/>
                    </w:rPr>
                  </w:pPr>
                  <w:r>
                    <w:rPr>
                      <w:rFonts w:hint="eastAsia"/>
                      <w:szCs w:val="21"/>
                    </w:rPr>
                    <w:t>1</w:t>
                  </w:r>
                </w:p>
              </w:tc>
              <w:tc>
                <w:tcPr>
                  <w:tcW w:w="1254" w:type="pct"/>
                  <w:vAlign w:val="center"/>
                </w:tcPr>
                <w:p>
                  <w:pPr>
                    <w:keepNext/>
                    <w:keepLines/>
                    <w:widowControl/>
                    <w:jc w:val="center"/>
                    <w:rPr>
                      <w:szCs w:val="21"/>
                    </w:rPr>
                  </w:pPr>
                  <w:r>
                    <w:rPr>
                      <w:rFonts w:hint="eastAsia"/>
                      <w:szCs w:val="21"/>
                      <w:lang w:val="en-US" w:eastAsia="zh-CN"/>
                    </w:rPr>
                    <w:t>烘干</w:t>
                  </w:r>
                  <w:r>
                    <w:rPr>
                      <w:rFonts w:hint="eastAsia"/>
                      <w:szCs w:val="21"/>
                    </w:rPr>
                    <w:t>工序</w:t>
                  </w:r>
                </w:p>
              </w:tc>
              <w:tc>
                <w:tcPr>
                  <w:tcW w:w="1286" w:type="pct"/>
                  <w:vAlign w:val="center"/>
                </w:tcPr>
                <w:p>
                  <w:pPr>
                    <w:keepNext/>
                    <w:keepLines/>
                    <w:widowControl/>
                    <w:jc w:val="center"/>
                    <w:rPr>
                      <w:rFonts w:hint="default" w:eastAsia="宋体"/>
                      <w:szCs w:val="21"/>
                      <w:lang w:val="en-US" w:eastAsia="zh-CN"/>
                    </w:rPr>
                  </w:pPr>
                  <w:r>
                    <w:rPr>
                      <w:rFonts w:hint="eastAsia"/>
                      <w:color w:val="FF0000"/>
                      <w:szCs w:val="21"/>
                      <w:lang w:eastAsia="zh-CN"/>
                    </w:rPr>
                    <w:t>每日平均使用时长</w:t>
                  </w:r>
                  <w:r>
                    <w:rPr>
                      <w:rFonts w:hint="eastAsia"/>
                      <w:color w:val="FF0000"/>
                      <w:szCs w:val="21"/>
                      <w:lang w:val="en-US" w:eastAsia="zh-CN"/>
                    </w:rPr>
                    <w:t>6小时，用电作为热源，对机制炭进行烘干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8</w:t>
                  </w:r>
                </w:p>
              </w:tc>
              <w:tc>
                <w:tcPr>
                  <w:tcW w:w="1032" w:type="pct"/>
                  <w:vAlign w:val="center"/>
                </w:tcPr>
                <w:p>
                  <w:pPr>
                    <w:shd w:val="clear"/>
                    <w:adjustRightInd w:val="0"/>
                    <w:snapToGrid w:val="0"/>
                    <w:jc w:val="center"/>
                    <w:rPr>
                      <w:szCs w:val="21"/>
                    </w:rPr>
                  </w:pPr>
                  <w:r>
                    <w:rPr>
                      <w:rFonts w:hint="default" w:ascii="Times New Roman" w:hAnsi="Times New Roman" w:cs="Times New Roman"/>
                      <w:color w:val="000000" w:themeColor="text1"/>
                      <w:szCs w:val="21"/>
                      <w:highlight w:val="none"/>
                      <w:lang w:eastAsia="zh-CN"/>
                      <w14:textFill>
                        <w14:solidFill>
                          <w14:schemeClr w14:val="tx1"/>
                        </w14:solidFill>
                      </w14:textFill>
                    </w:rPr>
                    <w:t>风机</w:t>
                  </w:r>
                </w:p>
              </w:tc>
              <w:tc>
                <w:tcPr>
                  <w:tcW w:w="515" w:type="pct"/>
                  <w:vAlign w:val="center"/>
                </w:tcPr>
                <w:p>
                  <w:pPr>
                    <w:keepNext/>
                    <w:keepLines/>
                    <w:widowControl/>
                    <w:jc w:val="center"/>
                    <w:rPr>
                      <w:szCs w:val="21"/>
                    </w:rPr>
                  </w:pPr>
                  <w:r>
                    <w:rPr>
                      <w:rFonts w:hint="eastAsia"/>
                      <w:szCs w:val="21"/>
                    </w:rPr>
                    <w:t>台</w:t>
                  </w:r>
                </w:p>
              </w:tc>
              <w:tc>
                <w:tcPr>
                  <w:tcW w:w="477" w:type="pct"/>
                  <w:vAlign w:val="center"/>
                </w:tcPr>
                <w:p>
                  <w:pPr>
                    <w:keepNext/>
                    <w:keepLines/>
                    <w:widowControl/>
                    <w:jc w:val="center"/>
                    <w:rPr>
                      <w:szCs w:val="21"/>
                    </w:rPr>
                  </w:pPr>
                  <w:r>
                    <w:rPr>
                      <w:rFonts w:hint="eastAsia"/>
                      <w:szCs w:val="21"/>
                    </w:rPr>
                    <w:t>2</w:t>
                  </w:r>
                </w:p>
              </w:tc>
              <w:tc>
                <w:tcPr>
                  <w:tcW w:w="1254" w:type="pct"/>
                  <w:vAlign w:val="center"/>
                </w:tcPr>
                <w:p>
                  <w:pPr>
                    <w:keepNext/>
                    <w:keepLines/>
                    <w:widowControl/>
                    <w:jc w:val="center"/>
                    <w:rPr>
                      <w:rFonts w:hint="default" w:eastAsia="宋体"/>
                      <w:szCs w:val="21"/>
                      <w:lang w:val="en-US" w:eastAsia="zh-CN"/>
                    </w:rPr>
                  </w:pPr>
                  <w:r>
                    <w:rPr>
                      <w:rFonts w:hint="eastAsia"/>
                      <w:szCs w:val="21"/>
                      <w:lang w:val="en-US" w:eastAsia="zh-CN"/>
                    </w:rPr>
                    <w:t>辅助设备</w:t>
                  </w:r>
                </w:p>
              </w:tc>
              <w:tc>
                <w:tcPr>
                  <w:tcW w:w="1286" w:type="pct"/>
                  <w:vAlign w:val="center"/>
                </w:tcPr>
                <w:p>
                  <w:pPr>
                    <w:keepNext/>
                    <w:keepLines/>
                    <w:widowControl/>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pPr>
                    <w:keepNext/>
                    <w:keepLines/>
                    <w:widowControl/>
                    <w:jc w:val="center"/>
                    <w:rPr>
                      <w:szCs w:val="21"/>
                    </w:rPr>
                  </w:pPr>
                  <w:r>
                    <w:rPr>
                      <w:rFonts w:hint="eastAsia"/>
                      <w:szCs w:val="21"/>
                    </w:rPr>
                    <w:t>9</w:t>
                  </w:r>
                </w:p>
              </w:tc>
              <w:tc>
                <w:tcPr>
                  <w:tcW w:w="1032" w:type="pct"/>
                  <w:vAlign w:val="center"/>
                </w:tcPr>
                <w:p>
                  <w:pPr>
                    <w:keepNext/>
                    <w:keepLines/>
                    <w:widowControl/>
                    <w:jc w:val="center"/>
                    <w:rPr>
                      <w:rFonts w:hint="eastAsia" w:eastAsia="宋体"/>
                      <w:szCs w:val="21"/>
                      <w:lang w:val="en-US" w:eastAsia="zh-CN"/>
                    </w:rPr>
                  </w:pPr>
                  <w:r>
                    <w:rPr>
                      <w:rFonts w:hint="eastAsia"/>
                      <w:szCs w:val="21"/>
                      <w:lang w:val="en-US" w:eastAsia="zh-CN"/>
                    </w:rPr>
                    <w:t>包装机</w:t>
                  </w:r>
                </w:p>
              </w:tc>
              <w:tc>
                <w:tcPr>
                  <w:tcW w:w="515" w:type="pct"/>
                  <w:vAlign w:val="center"/>
                </w:tcPr>
                <w:p>
                  <w:pPr>
                    <w:keepNext/>
                    <w:keepLines/>
                    <w:widowControl/>
                    <w:jc w:val="center"/>
                    <w:rPr>
                      <w:szCs w:val="21"/>
                    </w:rPr>
                  </w:pPr>
                  <w:r>
                    <w:rPr>
                      <w:rFonts w:hint="eastAsia"/>
                      <w:szCs w:val="21"/>
                    </w:rPr>
                    <w:t>台</w:t>
                  </w:r>
                </w:p>
              </w:tc>
              <w:tc>
                <w:tcPr>
                  <w:tcW w:w="477" w:type="pct"/>
                  <w:vAlign w:val="center"/>
                </w:tcPr>
                <w:p>
                  <w:pPr>
                    <w:keepNext/>
                    <w:keepLines/>
                    <w:widowControl/>
                    <w:jc w:val="center"/>
                    <w:rPr>
                      <w:rFonts w:hint="eastAsia" w:eastAsia="宋体"/>
                      <w:szCs w:val="21"/>
                      <w:lang w:eastAsia="zh-CN"/>
                    </w:rPr>
                  </w:pPr>
                  <w:r>
                    <w:rPr>
                      <w:rFonts w:hint="eastAsia"/>
                      <w:szCs w:val="21"/>
                      <w:lang w:val="en-US" w:eastAsia="zh-CN"/>
                    </w:rPr>
                    <w:t>3</w:t>
                  </w:r>
                </w:p>
              </w:tc>
              <w:tc>
                <w:tcPr>
                  <w:tcW w:w="1254" w:type="pct"/>
                  <w:vAlign w:val="center"/>
                </w:tcPr>
                <w:p>
                  <w:pPr>
                    <w:keepNext/>
                    <w:keepLines/>
                    <w:widowControl/>
                    <w:jc w:val="center"/>
                    <w:rPr>
                      <w:rFonts w:hint="default" w:eastAsia="宋体"/>
                      <w:szCs w:val="21"/>
                      <w:lang w:val="en-US" w:eastAsia="zh-CN"/>
                    </w:rPr>
                  </w:pPr>
                  <w:r>
                    <w:rPr>
                      <w:rFonts w:hint="eastAsia"/>
                      <w:szCs w:val="21"/>
                      <w:lang w:val="en-US" w:eastAsia="zh-CN"/>
                    </w:rPr>
                    <w:t>包装工序</w:t>
                  </w:r>
                </w:p>
              </w:tc>
              <w:tc>
                <w:tcPr>
                  <w:tcW w:w="1286" w:type="pct"/>
                  <w:vAlign w:val="center"/>
                </w:tcPr>
                <w:p>
                  <w:pPr>
                    <w:keepNext/>
                    <w:keepLines/>
                    <w:widowControl/>
                    <w:jc w:val="center"/>
                    <w:rPr>
                      <w:rFonts w:hint="eastAsia" w:eastAsia="宋体"/>
                      <w:szCs w:val="21"/>
                      <w:lang w:val="en-US" w:eastAsia="zh-CN"/>
                    </w:rPr>
                  </w:pPr>
                  <w:r>
                    <w:rPr>
                      <w:rFonts w:hint="eastAsia"/>
                      <w:szCs w:val="21"/>
                      <w:lang w:val="en-US" w:eastAsia="zh-CN"/>
                    </w:rPr>
                    <w:t>/</w:t>
                  </w:r>
                </w:p>
              </w:tc>
            </w:tr>
          </w:tbl>
          <w:p>
            <w:pPr>
              <w:keepNext/>
              <w:keepLines/>
              <w:widowControl/>
              <w:spacing w:line="360" w:lineRule="auto"/>
              <w:rPr>
                <w:rFonts w:hint="default" w:eastAsia="宋体"/>
                <w:b/>
                <w:bCs/>
                <w:color w:val="FF0000"/>
                <w:sz w:val="21"/>
                <w:szCs w:val="21"/>
                <w:u w:val="single"/>
                <w:lang w:val="en-US" w:eastAsia="zh-CN"/>
              </w:rPr>
            </w:pPr>
            <w:r>
              <w:rPr>
                <w:rFonts w:hint="eastAsia"/>
                <w:b/>
                <w:bCs/>
                <w:color w:val="FF0000"/>
                <w:sz w:val="21"/>
                <w:szCs w:val="21"/>
                <w:u w:val="single"/>
                <w:lang w:val="en-US" w:eastAsia="zh-CN"/>
              </w:rPr>
              <w:t>注：本项目采用先进式设备，烘干、炭化工作采用一体化设施。</w:t>
            </w:r>
          </w:p>
          <w:p>
            <w:pPr>
              <w:keepNext/>
              <w:keepLines/>
              <w:widowControl/>
              <w:spacing w:line="360" w:lineRule="auto"/>
              <w:rPr>
                <w:sz w:val="24"/>
              </w:rPr>
            </w:pPr>
            <w:r>
              <w:rPr>
                <w:rFonts w:hint="eastAsia"/>
                <w:b/>
                <w:bCs/>
                <w:sz w:val="24"/>
              </w:rPr>
              <w:t>4、主要原辅材料及能源消耗</w:t>
            </w:r>
          </w:p>
          <w:p>
            <w:pPr>
              <w:keepNext/>
              <w:keepLines/>
              <w:widowControl/>
              <w:spacing w:line="360" w:lineRule="auto"/>
              <w:ind w:firstLine="480" w:firstLineChars="200"/>
              <w:rPr>
                <w:sz w:val="24"/>
              </w:rPr>
            </w:pPr>
            <w:r>
              <w:rPr>
                <w:rFonts w:hint="eastAsia"/>
                <w:sz w:val="24"/>
              </w:rPr>
              <w:t>本项目主要原辅材料及能源年用量见表2-4。</w:t>
            </w:r>
          </w:p>
          <w:p>
            <w:pPr>
              <w:keepNext/>
              <w:keepLines/>
              <w:widowControl/>
              <w:ind w:firstLine="422" w:firstLineChars="200"/>
              <w:jc w:val="center"/>
              <w:rPr>
                <w:szCs w:val="21"/>
              </w:rPr>
            </w:pPr>
            <w:r>
              <w:rPr>
                <w:rFonts w:hint="eastAsia"/>
                <w:b/>
                <w:bCs/>
                <w:szCs w:val="21"/>
              </w:rPr>
              <w:t>表2-4  原辅材料一览表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278"/>
              <w:gridCol w:w="1321"/>
              <w:gridCol w:w="2043"/>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pPr>
                    <w:keepNext/>
                    <w:keepLines/>
                    <w:widowControl/>
                    <w:jc w:val="center"/>
                    <w:rPr>
                      <w:b/>
                      <w:bCs/>
                      <w:szCs w:val="21"/>
                    </w:rPr>
                  </w:pPr>
                  <w:r>
                    <w:rPr>
                      <w:rFonts w:hint="eastAsia"/>
                      <w:b/>
                      <w:bCs/>
                      <w:szCs w:val="21"/>
                    </w:rPr>
                    <w:t>名称</w:t>
                  </w:r>
                </w:p>
              </w:tc>
              <w:tc>
                <w:tcPr>
                  <w:tcW w:w="779" w:type="pct"/>
                  <w:vAlign w:val="center"/>
                </w:tcPr>
                <w:p>
                  <w:pPr>
                    <w:keepNext/>
                    <w:keepLines/>
                    <w:widowControl/>
                    <w:jc w:val="center"/>
                    <w:rPr>
                      <w:b/>
                      <w:bCs/>
                      <w:szCs w:val="21"/>
                    </w:rPr>
                  </w:pPr>
                  <w:r>
                    <w:rPr>
                      <w:rFonts w:hint="eastAsia"/>
                      <w:b/>
                      <w:bCs/>
                      <w:szCs w:val="21"/>
                    </w:rPr>
                    <w:t>用量</w:t>
                  </w:r>
                </w:p>
              </w:tc>
              <w:tc>
                <w:tcPr>
                  <w:tcW w:w="805" w:type="pct"/>
                  <w:vAlign w:val="center"/>
                </w:tcPr>
                <w:p>
                  <w:pPr>
                    <w:keepNext/>
                    <w:keepLines/>
                    <w:widowControl/>
                    <w:jc w:val="center"/>
                    <w:rPr>
                      <w:b/>
                      <w:bCs/>
                      <w:szCs w:val="21"/>
                    </w:rPr>
                  </w:pPr>
                  <w:r>
                    <w:rPr>
                      <w:rFonts w:hint="eastAsia"/>
                      <w:b/>
                      <w:bCs/>
                      <w:szCs w:val="21"/>
                    </w:rPr>
                    <w:t>最大储存量</w:t>
                  </w:r>
                </w:p>
              </w:tc>
              <w:tc>
                <w:tcPr>
                  <w:tcW w:w="1245" w:type="pct"/>
                  <w:vAlign w:val="center"/>
                </w:tcPr>
                <w:p>
                  <w:pPr>
                    <w:keepNext/>
                    <w:keepLines/>
                    <w:widowControl/>
                    <w:jc w:val="center"/>
                    <w:rPr>
                      <w:b/>
                      <w:bCs/>
                      <w:szCs w:val="21"/>
                    </w:rPr>
                  </w:pPr>
                  <w:r>
                    <w:rPr>
                      <w:rFonts w:hint="eastAsia"/>
                      <w:b/>
                      <w:bCs/>
                      <w:szCs w:val="21"/>
                    </w:rPr>
                    <w:t>来源</w:t>
                  </w:r>
                </w:p>
              </w:tc>
              <w:tc>
                <w:tcPr>
                  <w:tcW w:w="1368" w:type="pct"/>
                  <w:vAlign w:val="center"/>
                </w:tcPr>
                <w:p>
                  <w:pPr>
                    <w:keepNext/>
                    <w:keepLines/>
                    <w:widowControl/>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pPr>
                    <w:keepNext/>
                    <w:keepLines/>
                    <w:widowControl/>
                    <w:jc w:val="center"/>
                    <w:rPr>
                      <w:rFonts w:hint="default" w:eastAsia="宋体"/>
                      <w:color w:val="FF0000"/>
                      <w:szCs w:val="21"/>
                      <w:lang w:val="en-US" w:eastAsia="zh-CN"/>
                    </w:rPr>
                  </w:pPr>
                  <w:r>
                    <w:rPr>
                      <w:rFonts w:hint="eastAsia"/>
                      <w:color w:val="FF0000"/>
                      <w:szCs w:val="21"/>
                      <w:lang w:val="en-US" w:eastAsia="zh-CN"/>
                    </w:rPr>
                    <w:t>废竹料（竹屑、竹片）</w:t>
                  </w:r>
                </w:p>
              </w:tc>
              <w:tc>
                <w:tcPr>
                  <w:tcW w:w="779" w:type="pct"/>
                  <w:vAlign w:val="center"/>
                </w:tcPr>
                <w:p>
                  <w:pPr>
                    <w:keepNext/>
                    <w:keepLines/>
                    <w:widowControl/>
                    <w:jc w:val="center"/>
                    <w:rPr>
                      <w:color w:val="FF0000"/>
                      <w:szCs w:val="21"/>
                    </w:rPr>
                  </w:pPr>
                  <w:r>
                    <w:rPr>
                      <w:rFonts w:hint="eastAsia"/>
                      <w:color w:val="FF0000"/>
                      <w:szCs w:val="21"/>
                      <w:lang w:val="en-US" w:eastAsia="zh-CN"/>
                    </w:rPr>
                    <w:t>20530</w:t>
                  </w:r>
                  <w:r>
                    <w:rPr>
                      <w:rFonts w:hint="eastAsia"/>
                      <w:color w:val="FF0000"/>
                      <w:szCs w:val="21"/>
                    </w:rPr>
                    <w:t>t/a</w:t>
                  </w:r>
                </w:p>
              </w:tc>
              <w:tc>
                <w:tcPr>
                  <w:tcW w:w="805" w:type="pct"/>
                  <w:vAlign w:val="center"/>
                </w:tcPr>
                <w:p>
                  <w:pPr>
                    <w:keepNext/>
                    <w:keepLines/>
                    <w:widowControl/>
                    <w:jc w:val="center"/>
                    <w:rPr>
                      <w:rFonts w:hint="default" w:eastAsia="宋体"/>
                      <w:color w:val="FF0000"/>
                      <w:szCs w:val="21"/>
                      <w:lang w:val="en-US" w:eastAsia="zh-CN"/>
                    </w:rPr>
                  </w:pPr>
                  <w:r>
                    <w:rPr>
                      <w:rFonts w:hint="eastAsia"/>
                      <w:color w:val="FF0000"/>
                      <w:szCs w:val="21"/>
                      <w:lang w:val="en-US" w:eastAsia="zh-CN"/>
                    </w:rPr>
                    <w:t>800t</w:t>
                  </w:r>
                </w:p>
              </w:tc>
              <w:tc>
                <w:tcPr>
                  <w:tcW w:w="1245" w:type="pct"/>
                  <w:vAlign w:val="center"/>
                </w:tcPr>
                <w:p>
                  <w:pPr>
                    <w:keepNext/>
                    <w:keepLines/>
                    <w:widowControl/>
                    <w:jc w:val="center"/>
                    <w:rPr>
                      <w:color w:val="FF0000"/>
                      <w:szCs w:val="21"/>
                    </w:rPr>
                  </w:pPr>
                  <w:r>
                    <w:rPr>
                      <w:rFonts w:hint="eastAsia"/>
                      <w:color w:val="FF0000"/>
                      <w:szCs w:val="21"/>
                    </w:rPr>
                    <w:t>外购</w:t>
                  </w:r>
                </w:p>
              </w:tc>
              <w:tc>
                <w:tcPr>
                  <w:tcW w:w="1368" w:type="pct"/>
                  <w:vAlign w:val="center"/>
                </w:tcPr>
                <w:p>
                  <w:pPr>
                    <w:keepNext/>
                    <w:keepLines/>
                    <w:widowControl/>
                    <w:jc w:val="center"/>
                    <w:rPr>
                      <w:rFonts w:hint="default" w:eastAsia="宋体"/>
                      <w:color w:val="FF0000"/>
                      <w:szCs w:val="21"/>
                      <w:lang w:val="en-US" w:eastAsia="zh-CN"/>
                    </w:rPr>
                  </w:pPr>
                  <w:r>
                    <w:rPr>
                      <w:rFonts w:hint="eastAsia"/>
                      <w:color w:val="FF0000"/>
                      <w:szCs w:val="21"/>
                      <w:lang w:val="en-US" w:eastAsia="zh-CN"/>
                    </w:rPr>
                    <w:t>袋装或堆放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pct"/>
                  <w:vAlign w:val="center"/>
                </w:tcPr>
                <w:p>
                  <w:pPr>
                    <w:keepNext/>
                    <w:keepLines/>
                    <w:widowControl/>
                    <w:jc w:val="center"/>
                    <w:rPr>
                      <w:szCs w:val="21"/>
                    </w:rPr>
                  </w:pPr>
                  <w:r>
                    <w:rPr>
                      <w:rFonts w:hint="eastAsia"/>
                      <w:szCs w:val="21"/>
                    </w:rPr>
                    <w:t>水</w:t>
                  </w:r>
                </w:p>
              </w:tc>
              <w:tc>
                <w:tcPr>
                  <w:tcW w:w="779" w:type="pct"/>
                  <w:vAlign w:val="center"/>
                </w:tcPr>
                <w:p>
                  <w:pPr>
                    <w:keepNext/>
                    <w:keepLines/>
                    <w:widowControl/>
                    <w:jc w:val="center"/>
                    <w:rPr>
                      <w:color w:val="000000" w:themeColor="text1"/>
                      <w:szCs w:val="21"/>
                      <w:shd w:val="clear" w:color="auto" w:fill="auto"/>
                      <w14:textFill>
                        <w14:solidFill>
                          <w14:schemeClr w14:val="tx1"/>
                        </w14:solidFill>
                      </w14:textFill>
                    </w:rPr>
                  </w:pPr>
                  <w:r>
                    <w:rPr>
                      <w:rFonts w:hint="eastAsia"/>
                      <w:color w:val="000000" w:themeColor="text1"/>
                      <w:szCs w:val="21"/>
                      <w:shd w:val="clear" w:color="auto" w:fill="auto"/>
                      <w:lang w:val="en-US" w:eastAsia="zh-CN"/>
                      <w14:textFill>
                        <w14:solidFill>
                          <w14:schemeClr w14:val="tx1"/>
                        </w14:solidFill>
                      </w14:textFill>
                    </w:rPr>
                    <w:t>424</w:t>
                  </w:r>
                  <w:r>
                    <w:rPr>
                      <w:rFonts w:hint="eastAsia"/>
                      <w:color w:val="000000" w:themeColor="text1"/>
                      <w:szCs w:val="21"/>
                      <w:shd w:val="clear" w:color="auto" w:fill="auto"/>
                      <w14:textFill>
                        <w14:solidFill>
                          <w14:schemeClr w14:val="tx1"/>
                        </w14:solidFill>
                      </w14:textFill>
                    </w:rPr>
                    <w:t>t/a</w:t>
                  </w:r>
                </w:p>
              </w:tc>
              <w:tc>
                <w:tcPr>
                  <w:tcW w:w="805" w:type="pct"/>
                  <w:vAlign w:val="center"/>
                </w:tcPr>
                <w:p>
                  <w:pPr>
                    <w:keepNext/>
                    <w:keepLines/>
                    <w:widowControl/>
                    <w:jc w:val="center"/>
                    <w:rPr>
                      <w:color w:val="000000" w:themeColor="text1"/>
                      <w:szCs w:val="21"/>
                      <w:shd w:val="clear" w:color="auto" w:fill="auto"/>
                      <w14:textFill>
                        <w14:solidFill>
                          <w14:schemeClr w14:val="tx1"/>
                        </w14:solidFill>
                      </w14:textFill>
                    </w:rPr>
                  </w:pPr>
                  <w:r>
                    <w:rPr>
                      <w:rFonts w:hint="eastAsia"/>
                      <w:color w:val="000000" w:themeColor="text1"/>
                      <w:szCs w:val="21"/>
                      <w:shd w:val="clear" w:color="auto" w:fill="auto"/>
                      <w14:textFill>
                        <w14:solidFill>
                          <w14:schemeClr w14:val="tx1"/>
                        </w14:solidFill>
                      </w14:textFill>
                    </w:rPr>
                    <w:t>/</w:t>
                  </w:r>
                </w:p>
              </w:tc>
              <w:tc>
                <w:tcPr>
                  <w:tcW w:w="1245" w:type="pct"/>
                  <w:vAlign w:val="center"/>
                </w:tcPr>
                <w:p>
                  <w:pPr>
                    <w:keepNext/>
                    <w:keepLines/>
                    <w:widowControl/>
                    <w:jc w:val="center"/>
                    <w:rPr>
                      <w:color w:val="000000" w:themeColor="text1"/>
                      <w:szCs w:val="21"/>
                      <w:shd w:val="clear" w:color="auto" w:fill="auto"/>
                      <w14:textFill>
                        <w14:solidFill>
                          <w14:schemeClr w14:val="tx1"/>
                        </w14:solidFill>
                      </w14:textFill>
                    </w:rPr>
                  </w:pPr>
                  <w:r>
                    <w:rPr>
                      <w:rFonts w:hint="eastAsia"/>
                      <w:color w:val="000000" w:themeColor="text1"/>
                      <w:szCs w:val="21"/>
                      <w:shd w:val="clear" w:color="auto" w:fill="auto"/>
                      <w14:textFill>
                        <w14:solidFill>
                          <w14:schemeClr w14:val="tx1"/>
                        </w14:solidFill>
                      </w14:textFill>
                    </w:rPr>
                    <w:t>自来水公司</w:t>
                  </w:r>
                </w:p>
              </w:tc>
              <w:tc>
                <w:tcPr>
                  <w:tcW w:w="1368" w:type="pct"/>
                  <w:vAlign w:val="center"/>
                </w:tcPr>
                <w:p>
                  <w:pPr>
                    <w:keepNext/>
                    <w:keepLines/>
                    <w:widowControl/>
                    <w:jc w:val="center"/>
                    <w:rPr>
                      <w:rFonts w:hint="default" w:eastAsia="宋体"/>
                      <w:color w:val="000000" w:themeColor="text1"/>
                      <w:szCs w:val="21"/>
                      <w:shd w:val="clear" w:color="auto" w:fill="auto"/>
                      <w:lang w:val="en-US" w:eastAsia="zh-CN"/>
                      <w14:textFill>
                        <w14:solidFill>
                          <w14:schemeClr w14:val="tx1"/>
                        </w14:solidFill>
                      </w14:textFill>
                    </w:rPr>
                  </w:pPr>
                  <w:r>
                    <w:rPr>
                      <w:rFonts w:hint="eastAsia"/>
                      <w:color w:val="000000" w:themeColor="text1"/>
                      <w:szCs w:val="21"/>
                      <w:shd w:val="clear" w:color="auto" w:fill="auto"/>
                      <w14:textFill>
                        <w14:solidFill>
                          <w14:schemeClr w14:val="tx1"/>
                        </w14:solidFill>
                      </w14:textFill>
                    </w:rPr>
                    <w:t>生活用水：</w:t>
                  </w:r>
                  <w:r>
                    <w:rPr>
                      <w:rFonts w:hint="eastAsia"/>
                      <w:color w:val="000000" w:themeColor="text1"/>
                      <w:szCs w:val="21"/>
                      <w:shd w:val="clear" w:color="auto" w:fill="auto"/>
                      <w:lang w:val="en-US" w:eastAsia="zh-CN"/>
                      <w14:textFill>
                        <w14:solidFill>
                          <w14:schemeClr w14:val="tx1"/>
                        </w14:solidFill>
                      </w14:textFill>
                    </w:rPr>
                    <w:t>324</w:t>
                  </w:r>
                  <w:r>
                    <w:rPr>
                      <w:rFonts w:hint="eastAsia"/>
                      <w:color w:val="000000" w:themeColor="text1"/>
                      <w:szCs w:val="21"/>
                      <w:shd w:val="clear" w:color="auto" w:fill="auto"/>
                      <w14:textFill>
                        <w14:solidFill>
                          <w14:schemeClr w14:val="tx1"/>
                        </w14:solidFill>
                      </w14:textFill>
                    </w:rPr>
                    <w:t>t/a，生产用水</w:t>
                  </w:r>
                  <w:r>
                    <w:rPr>
                      <w:rFonts w:hint="eastAsia"/>
                      <w:color w:val="000000" w:themeColor="text1"/>
                      <w:szCs w:val="21"/>
                      <w:shd w:val="clear" w:color="auto" w:fill="auto"/>
                      <w:lang w:val="en-US" w:eastAsia="zh-CN"/>
                      <w14:textFill>
                        <w14:solidFill>
                          <w14:schemeClr w14:val="tx1"/>
                        </w14:solidFill>
                      </w14:textFill>
                    </w:rPr>
                    <w:t>100t/a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pPr>
                    <w:keepNext/>
                    <w:keepLines/>
                    <w:widowControl/>
                    <w:jc w:val="center"/>
                    <w:rPr>
                      <w:szCs w:val="21"/>
                    </w:rPr>
                  </w:pPr>
                  <w:r>
                    <w:rPr>
                      <w:rFonts w:hint="eastAsia"/>
                      <w:szCs w:val="21"/>
                    </w:rPr>
                    <w:t>电</w:t>
                  </w:r>
                </w:p>
              </w:tc>
              <w:tc>
                <w:tcPr>
                  <w:tcW w:w="779" w:type="pct"/>
                  <w:vAlign w:val="center"/>
                </w:tcPr>
                <w:p>
                  <w:pPr>
                    <w:keepNext/>
                    <w:keepLines/>
                    <w:widowControl/>
                    <w:jc w:val="center"/>
                    <w:rPr>
                      <w:szCs w:val="21"/>
                    </w:rPr>
                  </w:pPr>
                  <w:r>
                    <w:rPr>
                      <w:rFonts w:hint="eastAsia"/>
                      <w:szCs w:val="21"/>
                      <w:lang w:val="en-US" w:eastAsia="zh-CN"/>
                    </w:rPr>
                    <w:t>9</w:t>
                  </w:r>
                  <w:r>
                    <w:rPr>
                      <w:rFonts w:hint="eastAsia"/>
                      <w:szCs w:val="21"/>
                    </w:rPr>
                    <w:t>万度/a</w:t>
                  </w:r>
                </w:p>
              </w:tc>
              <w:tc>
                <w:tcPr>
                  <w:tcW w:w="805" w:type="pct"/>
                  <w:vAlign w:val="center"/>
                </w:tcPr>
                <w:p>
                  <w:pPr>
                    <w:keepNext/>
                    <w:keepLines/>
                    <w:widowControl/>
                    <w:jc w:val="center"/>
                    <w:rPr>
                      <w:szCs w:val="21"/>
                    </w:rPr>
                  </w:pPr>
                  <w:r>
                    <w:rPr>
                      <w:rFonts w:hint="eastAsia"/>
                      <w:szCs w:val="21"/>
                    </w:rPr>
                    <w:t>/</w:t>
                  </w:r>
                </w:p>
              </w:tc>
              <w:tc>
                <w:tcPr>
                  <w:tcW w:w="1245" w:type="pct"/>
                  <w:vAlign w:val="center"/>
                </w:tcPr>
                <w:p>
                  <w:pPr>
                    <w:keepNext/>
                    <w:keepLines/>
                    <w:widowControl/>
                    <w:jc w:val="center"/>
                    <w:rPr>
                      <w:szCs w:val="21"/>
                    </w:rPr>
                  </w:pPr>
                  <w:r>
                    <w:rPr>
                      <w:rFonts w:hint="eastAsia"/>
                      <w:szCs w:val="21"/>
                    </w:rPr>
                    <w:t>市政供电</w:t>
                  </w:r>
                </w:p>
              </w:tc>
              <w:tc>
                <w:tcPr>
                  <w:tcW w:w="1368" w:type="pct"/>
                  <w:vAlign w:val="center"/>
                </w:tcPr>
                <w:p>
                  <w:pPr>
                    <w:keepNext/>
                    <w:keepLines/>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pPr>
                    <w:keepNext/>
                    <w:keepLines/>
                    <w:widowControl/>
                    <w:jc w:val="center"/>
                    <w:rPr>
                      <w:rFonts w:hint="eastAsia" w:eastAsia="宋体"/>
                      <w:color w:val="FF0000"/>
                      <w:szCs w:val="21"/>
                      <w:lang w:eastAsia="zh-CN"/>
                    </w:rPr>
                  </w:pPr>
                  <w:r>
                    <w:rPr>
                      <w:rFonts w:hint="eastAsia"/>
                      <w:color w:val="FF0000"/>
                      <w:szCs w:val="21"/>
                      <w:lang w:eastAsia="zh-CN"/>
                    </w:rPr>
                    <w:t>竹条、竹片</w:t>
                  </w:r>
                </w:p>
              </w:tc>
              <w:tc>
                <w:tcPr>
                  <w:tcW w:w="779" w:type="pct"/>
                  <w:vAlign w:val="center"/>
                </w:tcPr>
                <w:p>
                  <w:pPr>
                    <w:keepNext/>
                    <w:keepLines/>
                    <w:widowControl/>
                    <w:jc w:val="center"/>
                    <w:rPr>
                      <w:rFonts w:hint="default"/>
                      <w:color w:val="FF0000"/>
                      <w:szCs w:val="21"/>
                      <w:lang w:val="en-US" w:eastAsia="zh-CN"/>
                    </w:rPr>
                  </w:pPr>
                  <w:r>
                    <w:rPr>
                      <w:rFonts w:hint="eastAsia"/>
                      <w:color w:val="FF0000"/>
                      <w:szCs w:val="21"/>
                      <w:lang w:val="en-US" w:eastAsia="zh-CN"/>
                    </w:rPr>
                    <w:t>20t/a</w:t>
                  </w:r>
                </w:p>
              </w:tc>
              <w:tc>
                <w:tcPr>
                  <w:tcW w:w="805" w:type="pct"/>
                  <w:vAlign w:val="center"/>
                </w:tcPr>
                <w:p>
                  <w:pPr>
                    <w:keepNext/>
                    <w:keepLines/>
                    <w:widowControl/>
                    <w:jc w:val="center"/>
                    <w:rPr>
                      <w:rFonts w:hint="default" w:eastAsia="宋体"/>
                      <w:color w:val="FF0000"/>
                      <w:szCs w:val="21"/>
                      <w:lang w:val="en-US" w:eastAsia="zh-CN"/>
                    </w:rPr>
                  </w:pPr>
                  <w:r>
                    <w:rPr>
                      <w:rFonts w:hint="eastAsia"/>
                      <w:color w:val="FF0000"/>
                      <w:szCs w:val="21"/>
                      <w:lang w:val="en-US" w:eastAsia="zh-CN"/>
                    </w:rPr>
                    <w:t>5t</w:t>
                  </w:r>
                </w:p>
              </w:tc>
              <w:tc>
                <w:tcPr>
                  <w:tcW w:w="1245" w:type="pct"/>
                  <w:vAlign w:val="center"/>
                </w:tcPr>
                <w:p>
                  <w:pPr>
                    <w:keepNext/>
                    <w:keepLines/>
                    <w:widowControl/>
                    <w:jc w:val="center"/>
                    <w:rPr>
                      <w:rFonts w:hint="eastAsia" w:eastAsia="宋体"/>
                      <w:color w:val="FF0000"/>
                      <w:szCs w:val="21"/>
                      <w:lang w:eastAsia="zh-CN"/>
                    </w:rPr>
                  </w:pPr>
                  <w:r>
                    <w:rPr>
                      <w:rFonts w:hint="eastAsia"/>
                      <w:color w:val="FF0000"/>
                      <w:szCs w:val="21"/>
                      <w:lang w:eastAsia="zh-CN"/>
                    </w:rPr>
                    <w:t>自产</w:t>
                  </w:r>
                </w:p>
              </w:tc>
              <w:tc>
                <w:tcPr>
                  <w:tcW w:w="1368" w:type="pct"/>
                  <w:vAlign w:val="center"/>
                </w:tcPr>
                <w:p>
                  <w:pPr>
                    <w:keepNext/>
                    <w:keepLines/>
                    <w:widowControl/>
                    <w:jc w:val="center"/>
                    <w:rPr>
                      <w:rFonts w:hint="eastAsia" w:eastAsia="宋体"/>
                      <w:color w:val="FF0000"/>
                      <w:szCs w:val="21"/>
                      <w:lang w:eastAsia="zh-CN"/>
                    </w:rPr>
                  </w:pPr>
                  <w:r>
                    <w:rPr>
                      <w:rFonts w:hint="eastAsia"/>
                      <w:color w:val="FF0000"/>
                      <w:szCs w:val="21"/>
                      <w:lang w:eastAsia="zh-CN"/>
                    </w:rPr>
                    <w:t>用于作为烘干的辅助燃料，主要燃料为炭化废气</w:t>
                  </w:r>
                </w:p>
              </w:tc>
            </w:tr>
          </w:tbl>
          <w:p>
            <w:pPr>
              <w:keepNext/>
              <w:keepLines/>
              <w:widowControl/>
              <w:spacing w:line="360" w:lineRule="auto"/>
              <w:rPr>
                <w:rFonts w:hint="default" w:eastAsia="宋体"/>
                <w:b/>
                <w:bCs/>
                <w:sz w:val="21"/>
                <w:szCs w:val="21"/>
                <w:lang w:val="en-US" w:eastAsia="zh-CN"/>
              </w:rPr>
            </w:pPr>
            <w:r>
              <w:rPr>
                <w:rFonts w:hint="eastAsia"/>
                <w:b/>
                <w:bCs/>
                <w:sz w:val="21"/>
                <w:szCs w:val="21"/>
                <w:lang w:val="en-US" w:eastAsia="zh-CN"/>
              </w:rPr>
              <w:t>注：原料源于主要为衡山县及周边竹产品加工企业产生的废竹料，不涉及有害有毒物质。</w:t>
            </w:r>
          </w:p>
          <w:p>
            <w:pPr>
              <w:keepNext/>
              <w:keepLines/>
              <w:widowControl/>
              <w:spacing w:line="360" w:lineRule="auto"/>
              <w:rPr>
                <w:b/>
                <w:bCs/>
                <w:sz w:val="24"/>
              </w:rPr>
            </w:pPr>
            <w:r>
              <w:rPr>
                <w:rFonts w:hint="eastAsia"/>
                <w:b/>
                <w:bCs/>
                <w:sz w:val="24"/>
              </w:rPr>
              <w:t>5、项目投资估算</w:t>
            </w:r>
          </w:p>
          <w:p>
            <w:pPr>
              <w:widowControl/>
              <w:spacing w:line="360" w:lineRule="auto"/>
              <w:ind w:firstLine="480" w:firstLineChars="200"/>
              <w:jc w:val="left"/>
              <w:rPr>
                <w:szCs w:val="21"/>
              </w:rPr>
            </w:pPr>
            <w:r>
              <w:rPr>
                <w:sz w:val="24"/>
              </w:rPr>
              <w:t>项目总投资</w:t>
            </w:r>
            <w:r>
              <w:rPr>
                <w:rFonts w:hint="eastAsia"/>
                <w:color w:val="000000"/>
                <w:sz w:val="24"/>
                <w:lang w:val="en-US" w:eastAsia="zh-CN"/>
              </w:rPr>
              <w:t>2680</w:t>
            </w:r>
            <w:r>
              <w:rPr>
                <w:color w:val="000000"/>
                <w:sz w:val="24"/>
              </w:rPr>
              <w:t>万元，其中环保投资</w:t>
            </w:r>
            <w:r>
              <w:rPr>
                <w:rFonts w:hint="eastAsia"/>
                <w:color w:val="000000"/>
                <w:sz w:val="24"/>
                <w:lang w:val="en-US" w:eastAsia="zh-CN"/>
              </w:rPr>
              <w:t>30</w:t>
            </w:r>
            <w:r>
              <w:rPr>
                <w:color w:val="000000"/>
                <w:sz w:val="24"/>
              </w:rPr>
              <w:t>万元</w:t>
            </w:r>
            <w:r>
              <w:rPr>
                <w:sz w:val="24"/>
              </w:rPr>
              <w:t>（</w:t>
            </w:r>
            <w:r>
              <w:rPr>
                <w:rFonts w:hint="eastAsia"/>
                <w:sz w:val="24"/>
              </w:rPr>
              <w:t>约</w:t>
            </w:r>
            <w:r>
              <w:rPr>
                <w:sz w:val="24"/>
              </w:rPr>
              <w:t>占总投资比例的</w:t>
            </w:r>
            <w:r>
              <w:rPr>
                <w:rFonts w:hint="eastAsia"/>
                <w:sz w:val="24"/>
                <w:lang w:val="en-US" w:eastAsia="zh-CN"/>
              </w:rPr>
              <w:t>1.12</w:t>
            </w:r>
            <w:r>
              <w:rPr>
                <w:sz w:val="24"/>
              </w:rPr>
              <w:t>%）。投资构成见表2-</w:t>
            </w:r>
            <w:r>
              <w:rPr>
                <w:rFonts w:hint="eastAsia"/>
                <w:sz w:val="24"/>
              </w:rPr>
              <w:t>5</w:t>
            </w:r>
            <w:r>
              <w:rPr>
                <w:sz w:val="24"/>
              </w:rPr>
              <w:t>，环保投资具体内容见表2-</w:t>
            </w:r>
            <w:r>
              <w:rPr>
                <w:rFonts w:hint="eastAsia"/>
                <w:sz w:val="24"/>
              </w:rPr>
              <w:t>6</w:t>
            </w:r>
            <w:r>
              <w:rPr>
                <w:sz w:val="24"/>
              </w:rPr>
              <w:t>。</w:t>
            </w:r>
          </w:p>
          <w:p>
            <w:pPr>
              <w:widowControl/>
              <w:jc w:val="center"/>
              <w:rPr>
                <w:b/>
                <w:szCs w:val="21"/>
              </w:rPr>
            </w:pPr>
            <w:r>
              <w:rPr>
                <w:b/>
                <w:szCs w:val="21"/>
              </w:rPr>
              <w:t>表2-</w:t>
            </w:r>
            <w:r>
              <w:rPr>
                <w:rFonts w:hint="eastAsia"/>
                <w:b/>
                <w:szCs w:val="21"/>
              </w:rPr>
              <w:t>5</w:t>
            </w:r>
            <w:r>
              <w:rPr>
                <w:b/>
                <w:szCs w:val="21"/>
              </w:rPr>
              <w:t xml:space="preserve">  投资具体构成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95"/>
              <w:gridCol w:w="3251"/>
              <w:gridCol w:w="326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32" w:type="pct"/>
                  <w:noWrap/>
                  <w:vAlign w:val="center"/>
                </w:tcPr>
                <w:p>
                  <w:pPr>
                    <w:autoSpaceDE w:val="0"/>
                    <w:autoSpaceDN w:val="0"/>
                    <w:adjustRightInd w:val="0"/>
                    <w:spacing w:line="340" w:lineRule="exact"/>
                    <w:jc w:val="center"/>
                    <w:rPr>
                      <w:b/>
                      <w:szCs w:val="21"/>
                    </w:rPr>
                  </w:pPr>
                  <w:r>
                    <w:rPr>
                      <w:b/>
                      <w:szCs w:val="21"/>
                    </w:rPr>
                    <w:t>序 号</w:t>
                  </w:r>
                </w:p>
              </w:tc>
              <w:tc>
                <w:tcPr>
                  <w:tcW w:w="1979" w:type="pct"/>
                  <w:noWrap/>
                  <w:vAlign w:val="center"/>
                </w:tcPr>
                <w:p>
                  <w:pPr>
                    <w:autoSpaceDE w:val="0"/>
                    <w:autoSpaceDN w:val="0"/>
                    <w:adjustRightInd w:val="0"/>
                    <w:spacing w:line="340" w:lineRule="exact"/>
                    <w:jc w:val="center"/>
                    <w:rPr>
                      <w:b/>
                      <w:szCs w:val="21"/>
                    </w:rPr>
                  </w:pPr>
                  <w:r>
                    <w:rPr>
                      <w:b/>
                      <w:szCs w:val="21"/>
                    </w:rPr>
                    <w:t>项目名称</w:t>
                  </w:r>
                </w:p>
              </w:tc>
              <w:tc>
                <w:tcPr>
                  <w:tcW w:w="1987" w:type="pct"/>
                  <w:noWrap/>
                  <w:vAlign w:val="center"/>
                </w:tcPr>
                <w:p>
                  <w:pPr>
                    <w:autoSpaceDE w:val="0"/>
                    <w:autoSpaceDN w:val="0"/>
                    <w:adjustRightInd w:val="0"/>
                    <w:spacing w:line="340" w:lineRule="exact"/>
                    <w:jc w:val="center"/>
                    <w:rPr>
                      <w:b/>
                      <w:szCs w:val="21"/>
                    </w:rPr>
                  </w:pPr>
                  <w:r>
                    <w:rPr>
                      <w:b/>
                      <w:szCs w:val="21"/>
                    </w:rPr>
                    <w:t>投资金额（万元）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32" w:type="pct"/>
                  <w:noWrap/>
                  <w:vAlign w:val="center"/>
                </w:tcPr>
                <w:p>
                  <w:pPr>
                    <w:autoSpaceDE w:val="0"/>
                    <w:autoSpaceDN w:val="0"/>
                    <w:adjustRightInd w:val="0"/>
                    <w:spacing w:line="340" w:lineRule="exact"/>
                    <w:jc w:val="center"/>
                    <w:rPr>
                      <w:szCs w:val="21"/>
                    </w:rPr>
                  </w:pPr>
                  <w:r>
                    <w:rPr>
                      <w:szCs w:val="21"/>
                    </w:rPr>
                    <w:t>1</w:t>
                  </w:r>
                </w:p>
              </w:tc>
              <w:tc>
                <w:tcPr>
                  <w:tcW w:w="1979" w:type="pct"/>
                  <w:noWrap/>
                  <w:vAlign w:val="center"/>
                </w:tcPr>
                <w:p>
                  <w:pPr>
                    <w:autoSpaceDE w:val="0"/>
                    <w:autoSpaceDN w:val="0"/>
                    <w:adjustRightInd w:val="0"/>
                    <w:spacing w:line="340" w:lineRule="exact"/>
                    <w:jc w:val="center"/>
                    <w:rPr>
                      <w:szCs w:val="21"/>
                    </w:rPr>
                  </w:pPr>
                  <w:r>
                    <w:rPr>
                      <w:rFonts w:hint="eastAsia"/>
                      <w:szCs w:val="21"/>
                      <w:lang w:val="en-US" w:eastAsia="zh-CN"/>
                    </w:rPr>
                    <w:t>土地</w:t>
                  </w:r>
                  <w:r>
                    <w:rPr>
                      <w:szCs w:val="21"/>
                    </w:rPr>
                    <w:t>费</w:t>
                  </w:r>
                </w:p>
              </w:tc>
              <w:tc>
                <w:tcPr>
                  <w:tcW w:w="1987" w:type="pct"/>
                  <w:noWrap/>
                  <w:vAlign w:val="center"/>
                </w:tcPr>
                <w:p>
                  <w:pPr>
                    <w:autoSpaceDE w:val="0"/>
                    <w:autoSpaceDN w:val="0"/>
                    <w:adjustRightInd w:val="0"/>
                    <w:spacing w:line="340" w:lineRule="exact"/>
                    <w:jc w:val="center"/>
                    <w:rPr>
                      <w:rFonts w:hint="default" w:eastAsia="宋体"/>
                      <w:szCs w:val="21"/>
                      <w:lang w:val="en-US" w:eastAsia="zh-CN"/>
                    </w:rPr>
                  </w:pPr>
                  <w:r>
                    <w:rPr>
                      <w:rFonts w:hint="eastAsia"/>
                      <w:szCs w:val="21"/>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32" w:type="pct"/>
                  <w:noWrap/>
                  <w:vAlign w:val="center"/>
                </w:tcPr>
                <w:p>
                  <w:pPr>
                    <w:autoSpaceDE w:val="0"/>
                    <w:autoSpaceDN w:val="0"/>
                    <w:adjustRightInd w:val="0"/>
                    <w:spacing w:line="340" w:lineRule="exact"/>
                    <w:jc w:val="center"/>
                    <w:rPr>
                      <w:szCs w:val="21"/>
                    </w:rPr>
                  </w:pPr>
                  <w:r>
                    <w:rPr>
                      <w:szCs w:val="21"/>
                    </w:rPr>
                    <w:t>2</w:t>
                  </w:r>
                </w:p>
              </w:tc>
              <w:tc>
                <w:tcPr>
                  <w:tcW w:w="1979" w:type="pct"/>
                  <w:noWrap/>
                  <w:vAlign w:val="center"/>
                </w:tcPr>
                <w:p>
                  <w:pPr>
                    <w:autoSpaceDE w:val="0"/>
                    <w:autoSpaceDN w:val="0"/>
                    <w:adjustRightInd w:val="0"/>
                    <w:spacing w:line="340" w:lineRule="exact"/>
                    <w:jc w:val="center"/>
                    <w:rPr>
                      <w:szCs w:val="21"/>
                    </w:rPr>
                  </w:pPr>
                  <w:r>
                    <w:rPr>
                      <w:szCs w:val="21"/>
                    </w:rPr>
                    <w:t>设备购置安装费</w:t>
                  </w:r>
                </w:p>
              </w:tc>
              <w:tc>
                <w:tcPr>
                  <w:tcW w:w="1987" w:type="pct"/>
                  <w:noWrap/>
                  <w:vAlign w:val="center"/>
                </w:tcPr>
                <w:p>
                  <w:pPr>
                    <w:autoSpaceDE w:val="0"/>
                    <w:autoSpaceDN w:val="0"/>
                    <w:adjustRightInd w:val="0"/>
                    <w:spacing w:line="340" w:lineRule="exact"/>
                    <w:jc w:val="center"/>
                    <w:rPr>
                      <w:rFonts w:hint="default" w:eastAsia="宋体"/>
                      <w:szCs w:val="21"/>
                      <w:lang w:val="en-US" w:eastAsia="zh-CN"/>
                    </w:rPr>
                  </w:pPr>
                  <w:r>
                    <w:rPr>
                      <w:rFonts w:hint="eastAsia"/>
                      <w:szCs w:val="21"/>
                      <w:lang w:val="en-US" w:eastAsia="zh-CN"/>
                    </w:rPr>
                    <w:t>2200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32" w:type="pct"/>
                  <w:noWrap/>
                  <w:vAlign w:val="center"/>
                </w:tcPr>
                <w:p>
                  <w:pPr>
                    <w:autoSpaceDE w:val="0"/>
                    <w:autoSpaceDN w:val="0"/>
                    <w:adjustRightInd w:val="0"/>
                    <w:spacing w:line="340" w:lineRule="exact"/>
                    <w:jc w:val="center"/>
                    <w:rPr>
                      <w:szCs w:val="21"/>
                    </w:rPr>
                  </w:pPr>
                  <w:r>
                    <w:rPr>
                      <w:szCs w:val="21"/>
                    </w:rPr>
                    <w:t>3</w:t>
                  </w:r>
                </w:p>
              </w:tc>
              <w:tc>
                <w:tcPr>
                  <w:tcW w:w="1979" w:type="pct"/>
                  <w:noWrap/>
                  <w:vAlign w:val="center"/>
                </w:tcPr>
                <w:p>
                  <w:pPr>
                    <w:autoSpaceDE w:val="0"/>
                    <w:autoSpaceDN w:val="0"/>
                    <w:adjustRightInd w:val="0"/>
                    <w:spacing w:line="340" w:lineRule="exact"/>
                    <w:jc w:val="center"/>
                    <w:rPr>
                      <w:szCs w:val="21"/>
                    </w:rPr>
                  </w:pPr>
                  <w:r>
                    <w:rPr>
                      <w:szCs w:val="21"/>
                    </w:rPr>
                    <w:t>环保投资费</w:t>
                  </w:r>
                </w:p>
              </w:tc>
              <w:tc>
                <w:tcPr>
                  <w:tcW w:w="1987" w:type="pct"/>
                  <w:noWrap/>
                  <w:vAlign w:val="center"/>
                </w:tcPr>
                <w:p>
                  <w:pPr>
                    <w:autoSpaceDE w:val="0"/>
                    <w:autoSpaceDN w:val="0"/>
                    <w:adjustRightInd w:val="0"/>
                    <w:spacing w:line="340" w:lineRule="exact"/>
                    <w:jc w:val="center"/>
                    <w:rPr>
                      <w:rFonts w:hint="default" w:eastAsia="宋体"/>
                      <w:szCs w:val="21"/>
                      <w:lang w:val="en-US" w:eastAsia="zh-CN"/>
                    </w:rPr>
                  </w:pPr>
                  <w:r>
                    <w:rPr>
                      <w:rFonts w:hint="eastAsia"/>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32" w:type="pct"/>
                  <w:noWrap/>
                  <w:vAlign w:val="center"/>
                </w:tcPr>
                <w:p>
                  <w:pPr>
                    <w:autoSpaceDE w:val="0"/>
                    <w:autoSpaceDN w:val="0"/>
                    <w:adjustRightInd w:val="0"/>
                    <w:spacing w:line="340" w:lineRule="exact"/>
                    <w:jc w:val="center"/>
                    <w:rPr>
                      <w:szCs w:val="21"/>
                    </w:rPr>
                  </w:pPr>
                  <w:r>
                    <w:rPr>
                      <w:szCs w:val="21"/>
                    </w:rPr>
                    <w:t>4</w:t>
                  </w:r>
                </w:p>
              </w:tc>
              <w:tc>
                <w:tcPr>
                  <w:tcW w:w="1979" w:type="pct"/>
                  <w:noWrap/>
                  <w:vAlign w:val="center"/>
                </w:tcPr>
                <w:p>
                  <w:pPr>
                    <w:autoSpaceDE w:val="0"/>
                    <w:autoSpaceDN w:val="0"/>
                    <w:adjustRightInd w:val="0"/>
                    <w:spacing w:line="340" w:lineRule="exact"/>
                    <w:jc w:val="center"/>
                    <w:rPr>
                      <w:szCs w:val="21"/>
                    </w:rPr>
                  </w:pPr>
                  <w:r>
                    <w:rPr>
                      <w:szCs w:val="21"/>
                    </w:rPr>
                    <w:t>其他费用</w:t>
                  </w:r>
                </w:p>
              </w:tc>
              <w:tc>
                <w:tcPr>
                  <w:tcW w:w="1987" w:type="pct"/>
                  <w:noWrap/>
                  <w:vAlign w:val="center"/>
                </w:tcPr>
                <w:p>
                  <w:pPr>
                    <w:autoSpaceDE w:val="0"/>
                    <w:autoSpaceDN w:val="0"/>
                    <w:adjustRightInd w:val="0"/>
                    <w:spacing w:line="340" w:lineRule="exact"/>
                    <w:jc w:val="center"/>
                    <w:rPr>
                      <w:rFonts w:hint="default" w:eastAsia="宋体"/>
                      <w:szCs w:val="21"/>
                      <w:lang w:val="en-US" w:eastAsia="zh-CN"/>
                    </w:rPr>
                  </w:pPr>
                  <w:r>
                    <w:rPr>
                      <w:rFonts w:hint="eastAsia"/>
                      <w:szCs w:val="21"/>
                      <w:lang w:val="en-US" w:eastAsia="zh-CN"/>
                    </w:rPr>
                    <w:t>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1032" w:type="pct"/>
                  <w:noWrap/>
                  <w:vAlign w:val="center"/>
                </w:tcPr>
                <w:p>
                  <w:pPr>
                    <w:autoSpaceDE w:val="0"/>
                    <w:autoSpaceDN w:val="0"/>
                    <w:adjustRightInd w:val="0"/>
                    <w:spacing w:line="340" w:lineRule="exact"/>
                    <w:jc w:val="center"/>
                    <w:rPr>
                      <w:szCs w:val="21"/>
                    </w:rPr>
                  </w:pPr>
                  <w:r>
                    <w:rPr>
                      <w:szCs w:val="21"/>
                    </w:rPr>
                    <w:t>合 计</w:t>
                  </w:r>
                </w:p>
              </w:tc>
              <w:tc>
                <w:tcPr>
                  <w:tcW w:w="1979" w:type="pct"/>
                  <w:noWrap/>
                  <w:vAlign w:val="center"/>
                </w:tcPr>
                <w:p>
                  <w:pPr>
                    <w:autoSpaceDE w:val="0"/>
                    <w:autoSpaceDN w:val="0"/>
                    <w:adjustRightInd w:val="0"/>
                    <w:spacing w:line="340" w:lineRule="exact"/>
                    <w:jc w:val="center"/>
                    <w:rPr>
                      <w:szCs w:val="21"/>
                    </w:rPr>
                  </w:pPr>
                </w:p>
              </w:tc>
              <w:tc>
                <w:tcPr>
                  <w:tcW w:w="1987" w:type="pct"/>
                  <w:noWrap/>
                  <w:vAlign w:val="center"/>
                </w:tcPr>
                <w:p>
                  <w:pPr>
                    <w:autoSpaceDE w:val="0"/>
                    <w:autoSpaceDN w:val="0"/>
                    <w:adjustRightInd w:val="0"/>
                    <w:spacing w:line="340" w:lineRule="exact"/>
                    <w:jc w:val="center"/>
                    <w:rPr>
                      <w:rFonts w:hint="default" w:eastAsia="宋体"/>
                      <w:szCs w:val="21"/>
                      <w:lang w:val="en-US" w:eastAsia="zh-CN"/>
                    </w:rPr>
                  </w:pPr>
                  <w:r>
                    <w:rPr>
                      <w:rFonts w:hint="eastAsia"/>
                      <w:szCs w:val="21"/>
                      <w:lang w:val="en-US" w:eastAsia="zh-CN"/>
                    </w:rPr>
                    <w:t>2680</w:t>
                  </w:r>
                </w:p>
              </w:tc>
            </w:tr>
          </w:tbl>
          <w:p>
            <w:pPr>
              <w:adjustRightInd w:val="0"/>
              <w:snapToGrid w:val="0"/>
              <w:jc w:val="left"/>
              <w:rPr>
                <w:szCs w:val="21"/>
              </w:rPr>
            </w:pPr>
          </w:p>
          <w:p>
            <w:pPr>
              <w:widowControl/>
              <w:jc w:val="center"/>
              <w:rPr>
                <w:rFonts w:hint="default" w:eastAsia="宋体"/>
                <w:b/>
                <w:szCs w:val="21"/>
                <w:lang w:val="en-US" w:eastAsia="zh-CN"/>
              </w:rPr>
            </w:pPr>
          </w:p>
          <w:p>
            <w:pPr>
              <w:widowControl/>
              <w:jc w:val="center"/>
              <w:rPr>
                <w:b/>
                <w:szCs w:val="21"/>
              </w:rPr>
            </w:pPr>
            <w:r>
              <w:rPr>
                <w:b/>
                <w:szCs w:val="21"/>
              </w:rPr>
              <w:t>表2-</w:t>
            </w:r>
            <w:r>
              <w:rPr>
                <w:rFonts w:hint="eastAsia"/>
                <w:b/>
                <w:szCs w:val="21"/>
              </w:rPr>
              <w:t>6</w:t>
            </w:r>
            <w:r>
              <w:rPr>
                <w:b/>
                <w:szCs w:val="21"/>
              </w:rPr>
              <w:t xml:space="preserve">  环保投资内容</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6"/>
              <w:gridCol w:w="636"/>
              <w:gridCol w:w="5031"/>
              <w:gridCol w:w="10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noWrap/>
                  <w:vAlign w:val="center"/>
                </w:tcPr>
                <w:p>
                  <w:pPr>
                    <w:adjustRightInd w:val="0"/>
                    <w:snapToGrid w:val="0"/>
                    <w:jc w:val="center"/>
                    <w:rPr>
                      <w:b/>
                      <w:szCs w:val="21"/>
                    </w:rPr>
                  </w:pPr>
                  <w:r>
                    <w:rPr>
                      <w:b/>
                      <w:szCs w:val="21"/>
                    </w:rPr>
                    <w:t>序号</w:t>
                  </w:r>
                </w:p>
              </w:tc>
              <w:tc>
                <w:tcPr>
                  <w:tcW w:w="693" w:type="pct"/>
                  <w:gridSpan w:val="2"/>
                  <w:noWrap/>
                  <w:vAlign w:val="center"/>
                </w:tcPr>
                <w:p>
                  <w:pPr>
                    <w:adjustRightInd w:val="0"/>
                    <w:snapToGrid w:val="0"/>
                    <w:jc w:val="center"/>
                    <w:rPr>
                      <w:b/>
                      <w:szCs w:val="21"/>
                    </w:rPr>
                  </w:pPr>
                  <w:r>
                    <w:rPr>
                      <w:b/>
                      <w:szCs w:val="21"/>
                    </w:rPr>
                    <w:t>污染类</w:t>
                  </w:r>
                </w:p>
              </w:tc>
              <w:tc>
                <w:tcPr>
                  <w:tcW w:w="3523" w:type="pct"/>
                  <w:noWrap/>
                  <w:vAlign w:val="center"/>
                </w:tcPr>
                <w:p>
                  <w:pPr>
                    <w:adjustRightInd w:val="0"/>
                    <w:snapToGrid w:val="0"/>
                    <w:jc w:val="center"/>
                    <w:rPr>
                      <w:b/>
                      <w:szCs w:val="21"/>
                    </w:rPr>
                  </w:pPr>
                  <w:r>
                    <w:rPr>
                      <w:b/>
                      <w:szCs w:val="21"/>
                    </w:rPr>
                    <w:t>防治措施</w:t>
                  </w:r>
                </w:p>
              </w:tc>
              <w:tc>
                <w:tcPr>
                  <w:tcW w:w="479" w:type="pct"/>
                  <w:noWrap/>
                  <w:vAlign w:val="center"/>
                </w:tcPr>
                <w:p>
                  <w:pPr>
                    <w:adjustRightInd w:val="0"/>
                    <w:snapToGrid w:val="0"/>
                    <w:jc w:val="center"/>
                    <w:rPr>
                      <w:b/>
                      <w:szCs w:val="21"/>
                    </w:rPr>
                  </w:pPr>
                  <w:r>
                    <w:rPr>
                      <w:b/>
                      <w:szCs w:val="21"/>
                    </w:rPr>
                    <w:t>预计投资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04" w:type="pct"/>
                  <w:vMerge w:val="restart"/>
                  <w:noWrap/>
                  <w:vAlign w:val="center"/>
                </w:tcPr>
                <w:p>
                  <w:pPr>
                    <w:adjustRightInd w:val="0"/>
                    <w:snapToGrid w:val="0"/>
                    <w:jc w:val="center"/>
                    <w:rPr>
                      <w:szCs w:val="21"/>
                    </w:rPr>
                  </w:pPr>
                  <w:r>
                    <w:rPr>
                      <w:szCs w:val="21"/>
                    </w:rPr>
                    <w:t>1</w:t>
                  </w:r>
                </w:p>
              </w:tc>
              <w:tc>
                <w:tcPr>
                  <w:tcW w:w="390" w:type="pct"/>
                  <w:vMerge w:val="restart"/>
                  <w:noWrap/>
                  <w:vAlign w:val="center"/>
                </w:tcPr>
                <w:p>
                  <w:pPr>
                    <w:adjustRightInd w:val="0"/>
                    <w:snapToGrid w:val="0"/>
                    <w:jc w:val="center"/>
                    <w:rPr>
                      <w:szCs w:val="21"/>
                    </w:rPr>
                  </w:pPr>
                  <w:r>
                    <w:rPr>
                      <w:szCs w:val="21"/>
                    </w:rPr>
                    <w:t>营运期</w:t>
                  </w:r>
                </w:p>
              </w:tc>
              <w:tc>
                <w:tcPr>
                  <w:tcW w:w="302" w:type="pct"/>
                  <w:noWrap/>
                  <w:vAlign w:val="center"/>
                </w:tcPr>
                <w:p>
                  <w:pPr>
                    <w:adjustRightInd w:val="0"/>
                    <w:snapToGrid w:val="0"/>
                    <w:jc w:val="center"/>
                    <w:rPr>
                      <w:szCs w:val="21"/>
                    </w:rPr>
                  </w:pPr>
                  <w:r>
                    <w:rPr>
                      <w:szCs w:val="21"/>
                    </w:rPr>
                    <w:t>废气</w:t>
                  </w:r>
                </w:p>
              </w:tc>
              <w:tc>
                <w:tcPr>
                  <w:tcW w:w="3523" w:type="pct"/>
                  <w:noWrap/>
                  <w:vAlign w:val="center"/>
                </w:tcPr>
                <w:p>
                  <w:pPr>
                    <w:adjustRightInd w:val="0"/>
                    <w:snapToGrid w:val="0"/>
                    <w:jc w:val="center"/>
                    <w:rPr>
                      <w:szCs w:val="21"/>
                    </w:rPr>
                  </w:pPr>
                  <w:r>
                    <w:rPr>
                      <w:rFonts w:hint="eastAsia"/>
                      <w:szCs w:val="21"/>
                    </w:rPr>
                    <w:t>①</w:t>
                  </w:r>
                  <w:r>
                    <w:rPr>
                      <w:rFonts w:hint="eastAsia"/>
                      <w:szCs w:val="21"/>
                      <w:lang w:val="en-US" w:eastAsia="zh-CN"/>
                    </w:rPr>
                    <w:t>破碎、制棒</w:t>
                  </w:r>
                  <w:r>
                    <w:rPr>
                      <w:rFonts w:hint="eastAsia"/>
                      <w:szCs w:val="21"/>
                    </w:rPr>
                    <w:t>废气：布袋除尘器</w:t>
                  </w:r>
                </w:p>
                <w:p>
                  <w:pPr>
                    <w:adjustRightInd w:val="0"/>
                    <w:snapToGrid w:val="0"/>
                    <w:jc w:val="center"/>
                    <w:rPr>
                      <w:rFonts w:hint="eastAsia"/>
                      <w:szCs w:val="21"/>
                    </w:rPr>
                  </w:pPr>
                  <w:r>
                    <w:rPr>
                      <w:rFonts w:hint="eastAsia"/>
                      <w:szCs w:val="21"/>
                    </w:rPr>
                    <w:t>②食堂油烟废气：油烟净化器</w:t>
                  </w:r>
                </w:p>
                <w:p>
                  <w:pPr>
                    <w:adjustRightInd w:val="0"/>
                    <w:snapToGrid w:val="0"/>
                    <w:jc w:val="center"/>
                    <w:rPr>
                      <w:rFonts w:hint="default" w:eastAsia="宋体"/>
                      <w:szCs w:val="21"/>
                      <w:lang w:val="en-US" w:eastAsia="zh-CN"/>
                    </w:rPr>
                  </w:pPr>
                  <w:r>
                    <w:rPr>
                      <w:rFonts w:hint="eastAsia"/>
                      <w:szCs w:val="21"/>
                      <w:lang w:val="en-US" w:eastAsia="zh-CN"/>
                    </w:rPr>
                    <w:t>③混合废气：</w:t>
                  </w:r>
                  <w:r>
                    <w:rPr>
                      <w:rFonts w:hint="default" w:ascii="Times New Roman" w:hAnsi="Times New Roman" w:cs="Times New Roman"/>
                      <w:color w:val="000000" w:themeColor="text1"/>
                      <w:szCs w:val="21"/>
                      <w:highlight w:val="none"/>
                      <w:lang w:val="en-US" w:eastAsia="zh-CN"/>
                      <w14:textFill>
                        <w14:solidFill>
                          <w14:schemeClr w14:val="tx1"/>
                        </w14:solidFill>
                      </w14:textFill>
                    </w:rPr>
                    <w:t>静电除尘</w:t>
                  </w:r>
                  <w:r>
                    <w:rPr>
                      <w:rFonts w:hint="eastAsia" w:cs="Times New Roman"/>
                      <w:color w:val="000000" w:themeColor="text1"/>
                      <w:szCs w:val="21"/>
                      <w:highlight w:val="none"/>
                      <w:lang w:val="en-US" w:eastAsia="zh-CN"/>
                      <w14:textFill>
                        <w14:solidFill>
                          <w14:schemeClr w14:val="tx1"/>
                        </w14:solidFill>
                      </w14:textFill>
                    </w:rPr>
                    <w:t>+布袋除尘</w:t>
                  </w:r>
                  <w:r>
                    <w:rPr>
                      <w:rFonts w:hint="default" w:ascii="Times New Roman" w:hAnsi="Times New Roman" w:cs="Times New Roman"/>
                      <w:color w:val="000000" w:themeColor="text1"/>
                      <w:szCs w:val="21"/>
                      <w:highlight w:val="none"/>
                      <w14:textFill>
                        <w14:solidFill>
                          <w14:schemeClr w14:val="tx1"/>
                        </w14:solidFill>
                      </w14:textFill>
                    </w:rPr>
                    <w:t>器</w:t>
                  </w:r>
                </w:p>
              </w:tc>
              <w:tc>
                <w:tcPr>
                  <w:tcW w:w="479" w:type="pct"/>
                  <w:noWrap/>
                  <w:vAlign w:val="center"/>
                </w:tcPr>
                <w:p>
                  <w:pPr>
                    <w:adjustRightInd w:val="0"/>
                    <w:snapToGrid w:val="0"/>
                    <w:jc w:val="center"/>
                    <w:rPr>
                      <w:rFonts w:hint="eastAsia" w:eastAsia="宋体"/>
                      <w:szCs w:val="21"/>
                      <w:lang w:eastAsia="zh-CN"/>
                    </w:rPr>
                  </w:pPr>
                  <w:r>
                    <w:rPr>
                      <w:rFonts w:hint="eastAsia"/>
                      <w:szCs w:val="21"/>
                    </w:rPr>
                    <w:t>1</w:t>
                  </w:r>
                  <w:r>
                    <w:rPr>
                      <w:rFonts w:hint="eastAsia"/>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vMerge w:val="continue"/>
                  <w:noWrap/>
                  <w:vAlign w:val="center"/>
                </w:tcPr>
                <w:p>
                  <w:pPr>
                    <w:adjustRightInd w:val="0"/>
                    <w:snapToGrid w:val="0"/>
                    <w:jc w:val="center"/>
                    <w:rPr>
                      <w:szCs w:val="21"/>
                    </w:rPr>
                  </w:pPr>
                </w:p>
              </w:tc>
              <w:tc>
                <w:tcPr>
                  <w:tcW w:w="390" w:type="pct"/>
                  <w:vMerge w:val="continue"/>
                  <w:noWrap/>
                  <w:vAlign w:val="center"/>
                </w:tcPr>
                <w:p>
                  <w:pPr>
                    <w:adjustRightInd w:val="0"/>
                    <w:snapToGrid w:val="0"/>
                    <w:jc w:val="center"/>
                    <w:rPr>
                      <w:szCs w:val="21"/>
                    </w:rPr>
                  </w:pPr>
                </w:p>
              </w:tc>
              <w:tc>
                <w:tcPr>
                  <w:tcW w:w="302" w:type="pct"/>
                  <w:noWrap/>
                  <w:vAlign w:val="center"/>
                </w:tcPr>
                <w:p>
                  <w:pPr>
                    <w:adjustRightInd w:val="0"/>
                    <w:snapToGrid w:val="0"/>
                    <w:jc w:val="center"/>
                    <w:rPr>
                      <w:szCs w:val="21"/>
                    </w:rPr>
                  </w:pPr>
                  <w:r>
                    <w:rPr>
                      <w:szCs w:val="21"/>
                    </w:rPr>
                    <w:t>废水</w:t>
                  </w:r>
                </w:p>
              </w:tc>
              <w:tc>
                <w:tcPr>
                  <w:tcW w:w="3523" w:type="pct"/>
                  <w:noWrap/>
                  <w:vAlign w:val="center"/>
                </w:tcPr>
                <w:p>
                  <w:pPr>
                    <w:adjustRightInd w:val="0"/>
                    <w:snapToGrid w:val="0"/>
                    <w:jc w:val="center"/>
                    <w:rPr>
                      <w:rFonts w:hint="eastAsia" w:eastAsia="宋体"/>
                      <w:szCs w:val="21"/>
                      <w:lang w:eastAsia="zh-CN"/>
                    </w:rPr>
                  </w:pPr>
                  <w:r>
                    <w:rPr>
                      <w:rFonts w:hint="eastAsia"/>
                      <w:szCs w:val="21"/>
                    </w:rPr>
                    <w:t>生活污水：隔油池、化粪池</w:t>
                  </w:r>
                </w:p>
              </w:tc>
              <w:tc>
                <w:tcPr>
                  <w:tcW w:w="479" w:type="pct"/>
                  <w:noWrap/>
                  <w:vAlign w:val="center"/>
                </w:tcPr>
                <w:p>
                  <w:pPr>
                    <w:adjustRightInd w:val="0"/>
                    <w:snapToGrid w:val="0"/>
                    <w:jc w:val="center"/>
                    <w:rPr>
                      <w:rFonts w:hint="eastAsia" w:eastAsia="宋体"/>
                      <w:szCs w:val="21"/>
                      <w:lang w:eastAsia="zh-CN"/>
                    </w:rPr>
                  </w:pPr>
                  <w:r>
                    <w:rPr>
                      <w:rFonts w:hint="eastAsia"/>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vMerge w:val="continue"/>
                  <w:noWrap/>
                  <w:vAlign w:val="center"/>
                </w:tcPr>
                <w:p>
                  <w:pPr>
                    <w:adjustRightInd w:val="0"/>
                    <w:snapToGrid w:val="0"/>
                    <w:jc w:val="center"/>
                    <w:rPr>
                      <w:szCs w:val="21"/>
                    </w:rPr>
                  </w:pPr>
                </w:p>
              </w:tc>
              <w:tc>
                <w:tcPr>
                  <w:tcW w:w="390" w:type="pct"/>
                  <w:vMerge w:val="continue"/>
                  <w:noWrap/>
                  <w:vAlign w:val="center"/>
                </w:tcPr>
                <w:p>
                  <w:pPr>
                    <w:adjustRightInd w:val="0"/>
                    <w:snapToGrid w:val="0"/>
                    <w:jc w:val="center"/>
                    <w:rPr>
                      <w:szCs w:val="21"/>
                    </w:rPr>
                  </w:pPr>
                </w:p>
              </w:tc>
              <w:tc>
                <w:tcPr>
                  <w:tcW w:w="302" w:type="pct"/>
                  <w:noWrap/>
                  <w:vAlign w:val="center"/>
                </w:tcPr>
                <w:p>
                  <w:pPr>
                    <w:adjustRightInd w:val="0"/>
                    <w:snapToGrid w:val="0"/>
                    <w:jc w:val="center"/>
                    <w:rPr>
                      <w:szCs w:val="21"/>
                    </w:rPr>
                  </w:pPr>
                  <w:r>
                    <w:rPr>
                      <w:szCs w:val="21"/>
                    </w:rPr>
                    <w:t>噪声</w:t>
                  </w:r>
                </w:p>
              </w:tc>
              <w:tc>
                <w:tcPr>
                  <w:tcW w:w="3523" w:type="pct"/>
                  <w:noWrap/>
                  <w:vAlign w:val="center"/>
                </w:tcPr>
                <w:p>
                  <w:pPr>
                    <w:adjustRightInd w:val="0"/>
                    <w:snapToGrid w:val="0"/>
                    <w:jc w:val="center"/>
                    <w:rPr>
                      <w:szCs w:val="21"/>
                    </w:rPr>
                  </w:pPr>
                  <w:r>
                    <w:rPr>
                      <w:szCs w:val="21"/>
                    </w:rPr>
                    <w:t>厂房隔声、减震基座</w:t>
                  </w:r>
                </w:p>
              </w:tc>
              <w:tc>
                <w:tcPr>
                  <w:tcW w:w="479" w:type="pct"/>
                  <w:noWrap/>
                  <w:vAlign w:val="center"/>
                </w:tcPr>
                <w:p>
                  <w:pPr>
                    <w:adjustRightInd w:val="0"/>
                    <w:snapToGrid w:val="0"/>
                    <w:jc w:val="center"/>
                    <w:rPr>
                      <w:rFonts w:hint="default" w:eastAsia="宋体"/>
                      <w:szCs w:val="21"/>
                      <w:lang w:val="en-US" w:eastAsia="zh-CN"/>
                    </w:rPr>
                  </w:pPr>
                  <w:r>
                    <w:rPr>
                      <w:rFonts w:hint="eastAsia"/>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04" w:type="pct"/>
                  <w:vMerge w:val="continue"/>
                  <w:noWrap/>
                  <w:vAlign w:val="center"/>
                </w:tcPr>
                <w:p>
                  <w:pPr>
                    <w:adjustRightInd w:val="0"/>
                    <w:snapToGrid w:val="0"/>
                    <w:jc w:val="center"/>
                    <w:rPr>
                      <w:szCs w:val="21"/>
                    </w:rPr>
                  </w:pPr>
                </w:p>
              </w:tc>
              <w:tc>
                <w:tcPr>
                  <w:tcW w:w="390" w:type="pct"/>
                  <w:vMerge w:val="continue"/>
                  <w:noWrap/>
                  <w:vAlign w:val="center"/>
                </w:tcPr>
                <w:p>
                  <w:pPr>
                    <w:adjustRightInd w:val="0"/>
                    <w:snapToGrid w:val="0"/>
                    <w:jc w:val="center"/>
                    <w:rPr>
                      <w:szCs w:val="21"/>
                    </w:rPr>
                  </w:pPr>
                </w:p>
              </w:tc>
              <w:tc>
                <w:tcPr>
                  <w:tcW w:w="302" w:type="pct"/>
                  <w:noWrap/>
                  <w:vAlign w:val="center"/>
                </w:tcPr>
                <w:p>
                  <w:pPr>
                    <w:adjustRightInd w:val="0"/>
                    <w:snapToGrid w:val="0"/>
                    <w:jc w:val="center"/>
                    <w:rPr>
                      <w:szCs w:val="21"/>
                    </w:rPr>
                  </w:pPr>
                  <w:r>
                    <w:rPr>
                      <w:szCs w:val="21"/>
                    </w:rPr>
                    <w:t>固废</w:t>
                  </w:r>
                </w:p>
              </w:tc>
              <w:tc>
                <w:tcPr>
                  <w:tcW w:w="3523" w:type="pct"/>
                  <w:noWrap/>
                  <w:vAlign w:val="center"/>
                </w:tcPr>
                <w:p>
                  <w:pPr>
                    <w:adjustRightInd w:val="0"/>
                    <w:snapToGrid w:val="0"/>
                    <w:jc w:val="center"/>
                    <w:rPr>
                      <w:rFonts w:hint="default" w:eastAsia="宋体"/>
                      <w:szCs w:val="21"/>
                      <w:lang w:val="en-US" w:eastAsia="zh-CN"/>
                    </w:rPr>
                  </w:pPr>
                  <w:r>
                    <w:rPr>
                      <w:rFonts w:hint="eastAsia"/>
                      <w:szCs w:val="21"/>
                    </w:rPr>
                    <w:t>一般固废暂存间、</w:t>
                  </w:r>
                  <w:r>
                    <w:rPr>
                      <w:szCs w:val="21"/>
                    </w:rPr>
                    <w:t>垃圾收集桶</w:t>
                  </w:r>
                  <w:r>
                    <w:rPr>
                      <w:rFonts w:hint="eastAsia"/>
                      <w:szCs w:val="21"/>
                      <w:lang w:eastAsia="zh-CN"/>
                    </w:rPr>
                    <w:t>、</w:t>
                  </w:r>
                  <w:r>
                    <w:rPr>
                      <w:rFonts w:hint="eastAsia"/>
                      <w:szCs w:val="21"/>
                      <w:lang w:val="en-US" w:eastAsia="zh-CN"/>
                    </w:rPr>
                    <w:t>危废暂存间</w:t>
                  </w:r>
                </w:p>
              </w:tc>
              <w:tc>
                <w:tcPr>
                  <w:tcW w:w="479" w:type="pct"/>
                  <w:noWrap/>
                  <w:vAlign w:val="center"/>
                </w:tcPr>
                <w:p>
                  <w:pPr>
                    <w:adjustRightInd w:val="0"/>
                    <w:snapToGrid w:val="0"/>
                    <w:jc w:val="center"/>
                    <w:rPr>
                      <w:rFonts w:hint="eastAsia" w:eastAsia="宋体"/>
                      <w:szCs w:val="21"/>
                      <w:lang w:eastAsia="zh-CN"/>
                    </w:rPr>
                  </w:pPr>
                  <w:r>
                    <w:rPr>
                      <w:rFonts w:hint="eastAsia"/>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noWrap/>
                  <w:vAlign w:val="center"/>
                </w:tcPr>
                <w:p>
                  <w:pPr>
                    <w:adjustRightInd w:val="0"/>
                    <w:snapToGrid w:val="0"/>
                    <w:jc w:val="center"/>
                    <w:rPr>
                      <w:szCs w:val="21"/>
                    </w:rPr>
                  </w:pPr>
                  <w:r>
                    <w:rPr>
                      <w:szCs w:val="21"/>
                    </w:rPr>
                    <w:t>2</w:t>
                  </w:r>
                </w:p>
              </w:tc>
              <w:tc>
                <w:tcPr>
                  <w:tcW w:w="4216" w:type="pct"/>
                  <w:gridSpan w:val="3"/>
                  <w:noWrap/>
                  <w:vAlign w:val="center"/>
                </w:tcPr>
                <w:p>
                  <w:pPr>
                    <w:adjustRightInd w:val="0"/>
                    <w:snapToGrid w:val="0"/>
                    <w:jc w:val="center"/>
                    <w:rPr>
                      <w:szCs w:val="21"/>
                    </w:rPr>
                  </w:pPr>
                  <w:r>
                    <w:rPr>
                      <w:szCs w:val="21"/>
                    </w:rPr>
                    <w:t>合计</w:t>
                  </w:r>
                </w:p>
              </w:tc>
              <w:tc>
                <w:tcPr>
                  <w:tcW w:w="479" w:type="pct"/>
                  <w:noWrap/>
                  <w:vAlign w:val="center"/>
                </w:tcPr>
                <w:p>
                  <w:pPr>
                    <w:adjustRightInd w:val="0"/>
                    <w:snapToGrid w:val="0"/>
                    <w:jc w:val="center"/>
                    <w:rPr>
                      <w:rFonts w:hint="default" w:eastAsia="宋体"/>
                      <w:szCs w:val="21"/>
                      <w:lang w:val="en-US" w:eastAsia="zh-CN"/>
                    </w:rPr>
                  </w:pPr>
                  <w:r>
                    <w:rPr>
                      <w:rFonts w:hint="eastAsia"/>
                      <w:szCs w:val="21"/>
                      <w:lang w:val="en-US" w:eastAsia="zh-CN"/>
                    </w:rPr>
                    <w:t>30</w:t>
                  </w:r>
                </w:p>
              </w:tc>
            </w:tr>
          </w:tbl>
          <w:p>
            <w:pPr>
              <w:keepNext/>
              <w:keepLines/>
              <w:widowControl/>
              <w:rPr>
                <w:b/>
                <w:bCs/>
                <w:sz w:val="24"/>
              </w:rPr>
            </w:pPr>
          </w:p>
          <w:p>
            <w:pPr>
              <w:keepNext/>
              <w:keepLines/>
              <w:widowControl/>
              <w:spacing w:line="360" w:lineRule="auto"/>
              <w:rPr>
                <w:b/>
                <w:bCs/>
                <w:sz w:val="24"/>
              </w:rPr>
            </w:pPr>
          </w:p>
          <w:p>
            <w:pPr>
              <w:keepNext/>
              <w:keepLines/>
              <w:widowControl/>
              <w:spacing w:line="360" w:lineRule="auto"/>
              <w:rPr>
                <w:b/>
                <w:bCs/>
                <w:sz w:val="24"/>
              </w:rPr>
            </w:pPr>
            <w:r>
              <w:rPr>
                <w:rFonts w:hint="eastAsia"/>
                <w:b/>
                <w:bCs/>
                <w:sz w:val="24"/>
              </w:rPr>
              <w:t>6、公用工程</w:t>
            </w:r>
          </w:p>
          <w:p>
            <w:pPr>
              <w:keepNext/>
              <w:keepLines/>
              <w:widowControl/>
              <w:spacing w:line="360" w:lineRule="auto"/>
              <w:ind w:firstLine="480" w:firstLineChars="200"/>
              <w:rPr>
                <w:sz w:val="24"/>
              </w:rPr>
            </w:pPr>
            <w:r>
              <w:rPr>
                <w:rFonts w:hint="eastAsia"/>
                <w:sz w:val="24"/>
              </w:rPr>
              <w:t>（1）给水：项目生活用水由自来水公司供给。</w:t>
            </w:r>
          </w:p>
          <w:p>
            <w:pPr>
              <w:pStyle w:val="2"/>
              <w:spacing w:after="0"/>
              <w:ind w:left="0" w:leftChars="0" w:firstLine="480"/>
              <w:rPr>
                <w:color w:val="FF0000"/>
                <w:szCs w:val="24"/>
                <w:u w:val="none"/>
                <w:lang w:val="en-US" w:eastAsia="zh-CN"/>
              </w:rPr>
            </w:pPr>
            <w:r>
              <w:rPr>
                <w:rFonts w:hint="eastAsia"/>
                <w:szCs w:val="24"/>
                <w:u w:val="none"/>
                <w:lang w:val="en-US" w:eastAsia="zh-CN"/>
              </w:rPr>
              <w:t>（2）排水：</w:t>
            </w:r>
            <w:r>
              <w:rPr>
                <w:rFonts w:hint="eastAsia"/>
                <w:color w:val="000000"/>
                <w:szCs w:val="24"/>
                <w:u w:val="none"/>
                <w:lang w:val="en-US" w:eastAsia="zh-CN"/>
              </w:rPr>
              <w:t>项目生活污水经隔油池、化粪池处理后用作农肥</w:t>
            </w:r>
            <w:r>
              <w:rPr>
                <w:color w:val="000000" w:themeColor="text1"/>
                <w:szCs w:val="24"/>
                <w:u w:val="none"/>
                <w:lang w:val="en-US" w:eastAsia="zh-CN"/>
                <w14:textFill>
                  <w14:solidFill>
                    <w14:schemeClr w14:val="tx1"/>
                  </w14:solidFill>
                </w14:textFill>
              </w:rPr>
              <w:t>。</w:t>
            </w:r>
          </w:p>
          <w:p>
            <w:pPr>
              <w:keepNext/>
              <w:keepLines/>
              <w:widowControl/>
              <w:spacing w:line="360" w:lineRule="auto"/>
              <w:ind w:firstLine="480" w:firstLineChars="200"/>
              <w:rPr>
                <w:color w:val="000000"/>
                <w:sz w:val="24"/>
              </w:rPr>
            </w:pPr>
            <w:r>
              <w:rPr>
                <w:rFonts w:hint="eastAsia"/>
                <w:color w:val="000000"/>
                <w:sz w:val="24"/>
              </w:rPr>
              <w:t>（3）供电：市政管网供电。</w:t>
            </w:r>
          </w:p>
          <w:p>
            <w:pPr>
              <w:keepNext/>
              <w:keepLines/>
              <w:widowControl/>
              <w:spacing w:line="360" w:lineRule="auto"/>
              <w:ind w:firstLine="480" w:firstLineChars="200"/>
              <w:rPr>
                <w:rFonts w:hint="eastAsia"/>
                <w:color w:val="000000"/>
                <w:sz w:val="24"/>
              </w:rPr>
            </w:pPr>
            <w:r>
              <w:rPr>
                <w:rFonts w:hint="eastAsia"/>
                <w:color w:val="000000"/>
                <w:sz w:val="24"/>
              </w:rPr>
              <w:t>（4）供热：</w:t>
            </w:r>
            <w:r>
              <w:rPr>
                <w:rFonts w:hint="eastAsia"/>
                <w:color w:val="000000"/>
                <w:sz w:val="24"/>
                <w:lang w:val="en-US" w:eastAsia="zh-CN"/>
              </w:rPr>
              <w:t>烘干</w:t>
            </w:r>
            <w:r>
              <w:rPr>
                <w:rFonts w:hint="eastAsia"/>
                <w:color w:val="000000"/>
                <w:sz w:val="24"/>
              </w:rPr>
              <w:t>燃料</w:t>
            </w:r>
            <w:r>
              <w:rPr>
                <w:rFonts w:hint="eastAsia"/>
                <w:color w:val="000000"/>
                <w:sz w:val="24"/>
                <w:lang w:val="en-US" w:eastAsia="zh-CN"/>
              </w:rPr>
              <w:t>主要为竹条、竹片和炭化废气</w:t>
            </w:r>
            <w:r>
              <w:rPr>
                <w:rFonts w:hint="eastAsia"/>
                <w:color w:val="000000"/>
                <w:sz w:val="24"/>
              </w:rPr>
              <w:t>。</w:t>
            </w:r>
          </w:p>
          <w:p>
            <w:pPr>
              <w:keepNext/>
              <w:keepLines/>
              <w:widowControl/>
              <w:spacing w:line="360" w:lineRule="auto"/>
              <w:rPr>
                <w:color w:val="000000"/>
                <w:sz w:val="24"/>
              </w:rPr>
            </w:pPr>
            <w:r>
              <w:rPr>
                <w:rFonts w:hint="eastAsia"/>
                <w:b/>
                <w:bCs/>
                <w:color w:val="000000"/>
                <w:sz w:val="24"/>
              </w:rPr>
              <w:t>7、劳动定员及工作制度</w:t>
            </w:r>
          </w:p>
          <w:p>
            <w:pPr>
              <w:keepNext/>
              <w:keepLines/>
              <w:widowControl/>
              <w:spacing w:line="360" w:lineRule="auto"/>
              <w:ind w:firstLine="480" w:firstLineChars="200"/>
              <w:rPr>
                <w:color w:val="000000"/>
                <w:sz w:val="24"/>
              </w:rPr>
            </w:pPr>
            <w:r>
              <w:rPr>
                <w:rFonts w:hint="eastAsia"/>
                <w:color w:val="000000"/>
                <w:sz w:val="24"/>
              </w:rPr>
              <w:t>本项目员工共计1</w:t>
            </w:r>
            <w:r>
              <w:rPr>
                <w:rFonts w:hint="eastAsia"/>
                <w:color w:val="000000"/>
                <w:sz w:val="24"/>
                <w:lang w:val="en-US" w:eastAsia="zh-CN"/>
              </w:rPr>
              <w:t>2</w:t>
            </w:r>
            <w:r>
              <w:rPr>
                <w:rFonts w:hint="eastAsia"/>
                <w:color w:val="000000"/>
                <w:sz w:val="24"/>
              </w:rPr>
              <w:t>人，1班制（8:00-18:00，中间休息2小时，夜间不生产），工作时长8小时，年工作</w:t>
            </w:r>
            <w:r>
              <w:rPr>
                <w:rFonts w:hint="eastAsia"/>
                <w:color w:val="000000"/>
                <w:sz w:val="24"/>
                <w:lang w:val="en-US" w:eastAsia="zh-CN"/>
              </w:rPr>
              <w:t>30</w:t>
            </w:r>
            <w:r>
              <w:rPr>
                <w:rFonts w:hint="eastAsia"/>
                <w:color w:val="000000"/>
                <w:sz w:val="24"/>
              </w:rPr>
              <w:t>0天。员工均在厂内吃中餐，不在厂内住宿。</w:t>
            </w:r>
          </w:p>
          <w:p>
            <w:pPr>
              <w:keepNext/>
              <w:keepLines/>
              <w:widowControl/>
              <w:spacing w:line="360" w:lineRule="auto"/>
              <w:rPr>
                <w:color w:val="000000"/>
                <w:sz w:val="24"/>
              </w:rPr>
            </w:pPr>
            <w:r>
              <w:rPr>
                <w:rFonts w:hint="eastAsia"/>
                <w:b/>
                <w:bCs/>
                <w:color w:val="000000"/>
                <w:sz w:val="24"/>
              </w:rPr>
              <w:t>8、厂区平面布置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进场道路北面连接县道X009，生产线呈长方形分布，自东南向西北方向分别为进料区、分选区、破碎区、烘干区和炭化区等。综合楼办公用房位于生产线的西侧。</w:t>
            </w:r>
          </w:p>
          <w:p>
            <w:pPr>
              <w:keepNext/>
              <w:keepLines/>
              <w:widowControl/>
              <w:spacing w:line="360" w:lineRule="auto"/>
              <w:rPr>
                <w:color w:val="000000"/>
                <w:sz w:val="24"/>
              </w:rPr>
            </w:pPr>
            <w:r>
              <w:rPr>
                <w:rFonts w:hint="eastAsia"/>
                <w:b/>
                <w:bCs/>
                <w:color w:val="000000"/>
                <w:sz w:val="24"/>
              </w:rPr>
              <w:t>9、项目四周情况</w:t>
            </w:r>
          </w:p>
          <w:p>
            <w:pPr>
              <w:pStyle w:val="2"/>
              <w:spacing w:after="0"/>
              <w:ind w:left="0" w:leftChars="0" w:firstLine="480"/>
              <w:rPr>
                <w:rFonts w:hint="default"/>
                <w:color w:val="000000" w:themeColor="text1"/>
                <w:u w:val="single"/>
                <w:lang w:val="en-US" w:eastAsia="zh-CN"/>
                <w14:textFill>
                  <w14:solidFill>
                    <w14:schemeClr w14:val="tx1"/>
                  </w14:solidFill>
                </w14:textFill>
              </w:rPr>
            </w:pPr>
            <w:r>
              <w:rPr>
                <w:rFonts w:hint="eastAsia"/>
                <w:lang w:val="en-US" w:eastAsia="zh-CN"/>
              </w:rPr>
              <w:t>根据现场勘查情况可知，本项目四周500m范围分布居民点较少。</w:t>
            </w:r>
            <w:r>
              <w:rPr>
                <w:rFonts w:hint="eastAsia"/>
                <w:color w:val="000000" w:themeColor="text1"/>
                <w:lang w:val="en-US" w:eastAsia="zh-CN"/>
                <w14:textFill>
                  <w14:solidFill>
                    <w14:schemeClr w14:val="tx1"/>
                  </w14:solidFill>
                </w14:textFill>
              </w:rPr>
              <w:t>本项目附近西南侧约10m有一处搅拌站（衡山惠民建筑材料有限公司），东北侧20m处有居民点。</w:t>
            </w:r>
          </w:p>
          <w:p>
            <w:pPr>
              <w:keepNext/>
              <w:keepLines/>
              <w:widowControl/>
              <w:tabs>
                <w:tab w:val="left" w:pos="420"/>
              </w:tabs>
              <w:spacing w:line="360" w:lineRule="auto"/>
              <w:rPr>
                <w:color w:val="000000"/>
                <w:sz w:val="24"/>
              </w:rPr>
            </w:pPr>
            <w:r>
              <w:rPr>
                <w:rFonts w:hint="eastAsia"/>
                <w:b/>
                <w:bCs/>
                <w:color w:val="000000"/>
                <w:sz w:val="24"/>
              </w:rPr>
              <w:t>10、建设周期</w:t>
            </w:r>
          </w:p>
          <w:p>
            <w:pPr>
              <w:keepNext/>
              <w:keepLines/>
              <w:widowControl/>
              <w:tabs>
                <w:tab w:val="left" w:pos="420"/>
              </w:tabs>
              <w:spacing w:line="360" w:lineRule="auto"/>
              <w:ind w:firstLine="480" w:firstLineChars="200"/>
              <w:rPr>
                <w:rFonts w:hint="eastAsia"/>
                <w:color w:val="000000"/>
                <w:sz w:val="24"/>
              </w:rPr>
            </w:pPr>
            <w:r>
              <w:rPr>
                <w:rFonts w:hint="eastAsia"/>
                <w:color w:val="000000"/>
                <w:sz w:val="24"/>
              </w:rPr>
              <w:t>本项目计划202</w:t>
            </w:r>
            <w:r>
              <w:rPr>
                <w:rFonts w:hint="eastAsia"/>
                <w:color w:val="000000"/>
                <w:sz w:val="24"/>
                <w:lang w:val="en-US" w:eastAsia="zh-CN"/>
              </w:rPr>
              <w:t>2</w:t>
            </w:r>
            <w:r>
              <w:rPr>
                <w:rFonts w:hint="eastAsia"/>
                <w:color w:val="000000"/>
                <w:sz w:val="24"/>
              </w:rPr>
              <w:t>年</w:t>
            </w:r>
            <w:r>
              <w:rPr>
                <w:rFonts w:hint="eastAsia"/>
                <w:color w:val="000000"/>
                <w:sz w:val="24"/>
                <w:lang w:val="en-US" w:eastAsia="zh-CN"/>
              </w:rPr>
              <w:t>3</w:t>
            </w:r>
            <w:r>
              <w:rPr>
                <w:rFonts w:hint="eastAsia"/>
                <w:color w:val="000000"/>
                <w:sz w:val="24"/>
              </w:rPr>
              <w:t>月开工建设，施工期</w:t>
            </w:r>
            <w:r>
              <w:rPr>
                <w:rFonts w:hint="eastAsia"/>
                <w:color w:val="000000"/>
                <w:sz w:val="24"/>
                <w:lang w:val="en-US" w:eastAsia="zh-CN"/>
              </w:rPr>
              <w:t>3</w:t>
            </w:r>
            <w:r>
              <w:rPr>
                <w:rFonts w:hint="eastAsia"/>
                <w:color w:val="000000"/>
                <w:sz w:val="24"/>
              </w:rPr>
              <w:t>个月，预计202</w:t>
            </w:r>
            <w:r>
              <w:rPr>
                <w:rFonts w:hint="eastAsia"/>
                <w:color w:val="000000"/>
                <w:sz w:val="24"/>
                <w:lang w:val="en-US" w:eastAsia="zh-CN"/>
              </w:rPr>
              <w:t>2</w:t>
            </w:r>
            <w:r>
              <w:rPr>
                <w:rFonts w:hint="eastAsia"/>
                <w:color w:val="000000"/>
                <w:sz w:val="24"/>
              </w:rPr>
              <w:t>年</w:t>
            </w:r>
            <w:r>
              <w:rPr>
                <w:rFonts w:hint="eastAsia"/>
                <w:color w:val="000000"/>
                <w:sz w:val="24"/>
                <w:lang w:val="en-US" w:eastAsia="zh-CN"/>
              </w:rPr>
              <w:t>6</w:t>
            </w:r>
            <w:r>
              <w:rPr>
                <w:rFonts w:hint="eastAsia"/>
                <w:color w:val="000000"/>
                <w:sz w:val="24"/>
              </w:rPr>
              <w:t>月建成投产。</w:t>
            </w:r>
          </w:p>
          <w:p>
            <w:pPr>
              <w:keepNext/>
              <w:keepLines/>
              <w:widowControl/>
              <w:numPr>
                <w:ilvl w:val="0"/>
                <w:numId w:val="0"/>
              </w:numPr>
              <w:tabs>
                <w:tab w:val="left" w:pos="420"/>
              </w:tabs>
              <w:spacing w:line="360" w:lineRule="auto"/>
              <w:rPr>
                <w:rFonts w:hint="eastAsia"/>
                <w:b/>
                <w:bCs/>
                <w:color w:val="FF0000"/>
                <w:sz w:val="24"/>
                <w:lang w:val="en-US" w:eastAsia="zh-CN"/>
              </w:rPr>
            </w:pPr>
            <w:r>
              <w:rPr>
                <w:rFonts w:hint="eastAsia"/>
                <w:b/>
                <w:bCs/>
                <w:color w:val="FF0000"/>
                <w:sz w:val="24"/>
                <w:lang w:val="en-US" w:eastAsia="zh-CN"/>
              </w:rPr>
              <w:t>11、物料平衡</w:t>
            </w:r>
          </w:p>
          <w:p>
            <w:pPr>
              <w:pStyle w:val="27"/>
              <w:spacing w:line="360" w:lineRule="auto"/>
              <w:ind w:firstLine="480" w:firstLineChars="200"/>
              <w:rPr>
                <w:rFonts w:hint="eastAsia" w:ascii="Times New Roman" w:cs="Times New Roman"/>
                <w:color w:val="FF0000"/>
                <w:u w:val="single"/>
                <w:lang w:val="en-US" w:eastAsia="zh-CN"/>
              </w:rPr>
            </w:pPr>
            <w:r>
              <w:rPr>
                <w:rFonts w:hint="eastAsia" w:ascii="Times New Roman" w:cs="Times New Roman"/>
                <w:color w:val="FF0000"/>
                <w:u w:val="single"/>
                <w:lang w:val="en-US" w:eastAsia="zh-CN"/>
              </w:rPr>
              <w:t>根据《生物质热解气化原理与技术》（化学工业出版社 2013 年 4 月出版）中典型的热解产物试验数据，木材热解产物的大致产率，其产物质量分数对应于绝干木材：木炭33~38%，澄清醋液和沉积焦油45~50%，煤气16~18%。另外损耗约为0.3~1.0%。</w:t>
            </w:r>
          </w:p>
          <w:p>
            <w:pPr>
              <w:pStyle w:val="27"/>
              <w:spacing w:line="360" w:lineRule="auto"/>
              <w:ind w:firstLine="480" w:firstLineChars="200"/>
              <w:rPr>
                <w:rFonts w:hint="eastAsia" w:ascii="Times New Roman" w:cs="Times New Roman"/>
                <w:color w:val="FF0000"/>
                <w:u w:val="single"/>
                <w:lang w:val="en-US" w:eastAsia="zh-CN"/>
              </w:rPr>
            </w:pPr>
            <w:r>
              <w:rPr>
                <w:rFonts w:hint="eastAsia" w:ascii="Times New Roman" w:cs="Times New Roman"/>
                <w:color w:val="FF0000"/>
                <w:u w:val="single"/>
                <w:lang w:val="en-US" w:eastAsia="zh-CN"/>
              </w:rPr>
              <w:t>本项目机制竹炭使用的原料用量8380t/a，含水量按40%计，则绝干原料量为5028t/a，竹炭产量为1800t/a（产量系数35.8%）、焦油和醋液产量为2363.16t/a（产量系数47%）、竹煤气产量为854.76t/a（产量系数35.8%），损耗15.08t/a（产量系数0.3%）。</w:t>
            </w:r>
          </w:p>
          <w:p>
            <w:pPr>
              <w:spacing w:line="360" w:lineRule="auto"/>
              <w:ind w:firstLine="480" w:firstLineChars="200"/>
              <w:rPr>
                <w:rFonts w:hint="default"/>
                <w:color w:val="FF0000"/>
                <w:sz w:val="24"/>
                <w:szCs w:val="24"/>
                <w:u w:val="single"/>
                <w:lang w:val="en-US" w:eastAsia="zh-CN"/>
              </w:rPr>
            </w:pPr>
            <w:r>
              <w:rPr>
                <w:rFonts w:hint="eastAsia" w:ascii="Times New Roman" w:cs="Times New Roman"/>
                <w:color w:val="FF0000"/>
                <w:sz w:val="24"/>
                <w:szCs w:val="24"/>
                <w:u w:val="single"/>
                <w:lang w:val="en-US" w:eastAsia="zh-CN"/>
              </w:rPr>
              <w:t>热值：</w:t>
            </w:r>
            <w:r>
              <w:rPr>
                <w:rFonts w:hint="eastAsia" w:hAnsi="宋体"/>
                <w:color w:val="FF0000"/>
                <w:sz w:val="24"/>
                <w:szCs w:val="24"/>
                <w:u w:val="single"/>
              </w:rPr>
              <w:t>炭化过程产生的气体产物含有</w:t>
            </w:r>
            <w:r>
              <w:rPr>
                <w:rFonts w:hAnsi="宋体"/>
                <w:color w:val="FF0000"/>
                <w:sz w:val="24"/>
                <w:szCs w:val="24"/>
                <w:u w:val="single"/>
              </w:rPr>
              <w:t>CO</w:t>
            </w:r>
            <w:r>
              <w:rPr>
                <w:rFonts w:hAnsi="宋体"/>
                <w:color w:val="FF0000"/>
                <w:sz w:val="24"/>
                <w:szCs w:val="24"/>
                <w:u w:val="single"/>
                <w:vertAlign w:val="subscript"/>
              </w:rPr>
              <w:t>2</w:t>
            </w:r>
            <w:r>
              <w:rPr>
                <w:rFonts w:hint="eastAsia" w:hAnsi="宋体"/>
                <w:color w:val="FF0000"/>
                <w:sz w:val="24"/>
                <w:szCs w:val="24"/>
                <w:u w:val="single"/>
              </w:rPr>
              <w:t>、</w:t>
            </w:r>
            <w:r>
              <w:rPr>
                <w:rFonts w:hAnsi="宋体"/>
                <w:color w:val="FF0000"/>
                <w:sz w:val="24"/>
                <w:szCs w:val="24"/>
                <w:u w:val="single"/>
              </w:rPr>
              <w:t>CO</w:t>
            </w:r>
            <w:r>
              <w:rPr>
                <w:rFonts w:hint="eastAsia" w:hAnsi="宋体"/>
                <w:color w:val="FF0000"/>
                <w:sz w:val="24"/>
                <w:szCs w:val="24"/>
                <w:u w:val="single"/>
              </w:rPr>
              <w:t>、甲烷等物质的不能冷凝的气体，热值为</w:t>
            </w:r>
            <w:r>
              <w:rPr>
                <w:rFonts w:hAnsi="宋体"/>
                <w:color w:val="FF0000"/>
                <w:sz w:val="24"/>
                <w:szCs w:val="24"/>
                <w:u w:val="single"/>
              </w:rPr>
              <w:t>15</w:t>
            </w:r>
            <w:r>
              <w:rPr>
                <w:rFonts w:hint="eastAsia" w:hAnsi="宋体"/>
                <w:color w:val="FF0000"/>
                <w:sz w:val="24"/>
                <w:szCs w:val="24"/>
                <w:u w:val="single"/>
              </w:rPr>
              <w:t>～</w:t>
            </w:r>
            <w:r>
              <w:rPr>
                <w:rFonts w:hAnsi="宋体"/>
                <w:color w:val="FF0000"/>
                <w:sz w:val="24"/>
                <w:szCs w:val="24"/>
                <w:u w:val="single"/>
              </w:rPr>
              <w:t>20MJ/m</w:t>
            </w:r>
            <w:r>
              <w:rPr>
                <w:rFonts w:hAnsi="宋体"/>
                <w:color w:val="FF0000"/>
                <w:sz w:val="24"/>
                <w:szCs w:val="24"/>
                <w:u w:val="single"/>
                <w:vertAlign w:val="superscript"/>
              </w:rPr>
              <w:t>3</w:t>
            </w:r>
            <w:r>
              <w:rPr>
                <w:rFonts w:hint="eastAsia" w:hAnsi="宋体"/>
                <w:color w:val="FF0000"/>
                <w:sz w:val="24"/>
                <w:szCs w:val="24"/>
                <w:u w:val="single"/>
              </w:rPr>
              <w:t>，属于中热值可燃气，其成分、热值都与城市人工煤气相似，故称为</w:t>
            </w:r>
            <w:r>
              <w:rPr>
                <w:rFonts w:hint="eastAsia" w:hAnsi="宋体"/>
                <w:color w:val="FF0000"/>
                <w:sz w:val="24"/>
                <w:szCs w:val="24"/>
                <w:u w:val="single"/>
                <w:lang w:eastAsia="zh-CN"/>
              </w:rPr>
              <w:t>竹</w:t>
            </w:r>
            <w:r>
              <w:rPr>
                <w:rFonts w:hint="eastAsia" w:hAnsi="宋体"/>
                <w:color w:val="FF0000"/>
                <w:sz w:val="24"/>
                <w:szCs w:val="24"/>
                <w:u w:val="single"/>
              </w:rPr>
              <w:t>煤气，是一种可燃气体</w:t>
            </w:r>
            <w:r>
              <w:rPr>
                <w:rFonts w:hint="eastAsia"/>
                <w:color w:val="FF0000"/>
                <w:sz w:val="24"/>
                <w:szCs w:val="24"/>
                <w:u w:val="single"/>
              </w:rPr>
              <w:t>，</w:t>
            </w:r>
            <w:r>
              <w:rPr>
                <w:rFonts w:hint="eastAsia"/>
                <w:color w:val="FF0000"/>
                <w:sz w:val="24"/>
                <w:szCs w:val="24"/>
                <w:u w:val="single"/>
                <w:lang w:eastAsia="zh-CN"/>
              </w:rPr>
              <w:t>根据上述物料平衡</w:t>
            </w:r>
            <w:r>
              <w:rPr>
                <w:rFonts w:hint="eastAsia"/>
                <w:color w:val="FF0000"/>
                <w:sz w:val="24"/>
                <w:szCs w:val="24"/>
                <w:u w:val="single"/>
              </w:rPr>
              <w:t>，炭化过程中</w:t>
            </w:r>
            <w:r>
              <w:rPr>
                <w:rFonts w:hint="eastAsia"/>
                <w:color w:val="FF0000"/>
                <w:sz w:val="24"/>
                <w:szCs w:val="24"/>
                <w:u w:val="single"/>
                <w:lang w:val="en-US" w:eastAsia="zh-CN"/>
              </w:rPr>
              <w:t>竹</w:t>
            </w:r>
            <w:r>
              <w:rPr>
                <w:rFonts w:hint="eastAsia"/>
                <w:color w:val="FF0000"/>
                <w:sz w:val="24"/>
                <w:szCs w:val="24"/>
                <w:u w:val="single"/>
              </w:rPr>
              <w:t>煤气</w:t>
            </w:r>
            <w:r>
              <w:rPr>
                <w:rFonts w:hint="eastAsia"/>
                <w:color w:val="FF0000"/>
                <w:sz w:val="24"/>
                <w:szCs w:val="24"/>
                <w:u w:val="single"/>
                <w:lang w:eastAsia="zh-CN"/>
              </w:rPr>
              <w:t>、</w:t>
            </w:r>
            <w:r>
              <w:rPr>
                <w:rFonts w:hint="eastAsia"/>
                <w:color w:val="FF0000"/>
                <w:sz w:val="24"/>
                <w:szCs w:val="24"/>
                <w:u w:val="single"/>
                <w:lang w:val="en-US" w:eastAsia="zh-CN"/>
              </w:rPr>
              <w:t>焦油和醋液的总</w:t>
            </w:r>
            <w:r>
              <w:rPr>
                <w:rFonts w:hint="eastAsia"/>
                <w:color w:val="FF0000"/>
                <w:sz w:val="24"/>
                <w:szCs w:val="24"/>
                <w:u w:val="single"/>
              </w:rPr>
              <w:t>产生量为</w:t>
            </w:r>
            <w:r>
              <w:rPr>
                <w:rFonts w:hint="eastAsia"/>
                <w:color w:val="FF0000"/>
                <w:sz w:val="24"/>
                <w:szCs w:val="24"/>
                <w:u w:val="single"/>
                <w:lang w:val="en-US" w:eastAsia="zh-CN"/>
              </w:rPr>
              <w:t>3217.92</w:t>
            </w:r>
            <w:r>
              <w:rPr>
                <w:rFonts w:hint="eastAsia"/>
                <w:color w:val="FF0000"/>
                <w:sz w:val="24"/>
                <w:szCs w:val="24"/>
                <w:u w:val="single"/>
              </w:rPr>
              <w:t>t/a，</w:t>
            </w:r>
            <w:r>
              <w:rPr>
                <w:rFonts w:hint="eastAsia"/>
                <w:color w:val="FF0000"/>
                <w:sz w:val="24"/>
                <w:szCs w:val="24"/>
                <w:u w:val="single"/>
                <w:lang w:val="en-US" w:eastAsia="zh-CN"/>
              </w:rPr>
              <w:t>考虑到极少部分焦油和醋液会冷凝成液体（在炭化过程中会以气态形式存在，大部分在炭化炉中消耗，去除水分后冷凝收集的醋液及焦油混合物占比约1%，水分含量40%），其液体产生量约为14.18t/a，总气体量为3203.74t/a。</w:t>
            </w:r>
          </w:p>
          <w:p>
            <w:pPr>
              <w:spacing w:line="360" w:lineRule="auto"/>
              <w:ind w:firstLine="480" w:firstLineChars="200"/>
              <w:rPr>
                <w:rFonts w:hint="eastAsia"/>
                <w:color w:val="FF0000"/>
                <w:sz w:val="24"/>
                <w:szCs w:val="24"/>
                <w:u w:val="single"/>
              </w:rPr>
            </w:pPr>
            <w:r>
              <w:rPr>
                <w:rFonts w:hint="eastAsia"/>
                <w:color w:val="FF0000"/>
                <w:sz w:val="24"/>
                <w:szCs w:val="24"/>
                <w:u w:val="single"/>
              </w:rPr>
              <w:t>气体密度按0.5kg/Nm</w:t>
            </w:r>
            <w:r>
              <w:rPr>
                <w:rFonts w:hint="eastAsia"/>
                <w:color w:val="FF0000"/>
                <w:sz w:val="24"/>
                <w:szCs w:val="24"/>
                <w:u w:val="single"/>
                <w:vertAlign w:val="superscript"/>
              </w:rPr>
              <w:t>3</w:t>
            </w:r>
            <w:r>
              <w:rPr>
                <w:rFonts w:hint="eastAsia"/>
                <w:color w:val="FF0000"/>
                <w:sz w:val="24"/>
                <w:szCs w:val="24"/>
                <w:u w:val="single"/>
              </w:rPr>
              <w:t>计，则</w:t>
            </w:r>
            <w:r>
              <w:rPr>
                <w:rFonts w:hint="eastAsia"/>
                <w:color w:val="FF0000"/>
                <w:sz w:val="24"/>
                <w:szCs w:val="24"/>
                <w:u w:val="single"/>
                <w:lang w:val="en-US" w:eastAsia="zh-CN"/>
              </w:rPr>
              <w:t>竹</w:t>
            </w:r>
            <w:r>
              <w:rPr>
                <w:rFonts w:hint="eastAsia" w:hAnsi="宋体"/>
                <w:color w:val="FF0000"/>
                <w:sz w:val="24"/>
                <w:szCs w:val="24"/>
                <w:u w:val="single"/>
              </w:rPr>
              <w:t>煤气</w:t>
            </w:r>
            <w:r>
              <w:rPr>
                <w:rFonts w:hint="eastAsia" w:hAnsi="宋体"/>
                <w:color w:val="FF0000"/>
                <w:sz w:val="24"/>
                <w:szCs w:val="24"/>
                <w:u w:val="single"/>
                <w:lang w:eastAsia="zh-CN"/>
              </w:rPr>
              <w:t>、</w:t>
            </w:r>
            <w:r>
              <w:rPr>
                <w:rFonts w:hint="eastAsia" w:hAnsi="宋体"/>
                <w:color w:val="FF0000"/>
                <w:sz w:val="24"/>
                <w:szCs w:val="24"/>
                <w:u w:val="single"/>
                <w:lang w:val="en-US" w:eastAsia="zh-CN"/>
              </w:rPr>
              <w:t>醋液和焦油的</w:t>
            </w:r>
            <w:r>
              <w:rPr>
                <w:rFonts w:hint="eastAsia" w:hAnsi="宋体"/>
                <w:color w:val="FF0000"/>
                <w:sz w:val="24"/>
                <w:szCs w:val="24"/>
                <w:u w:val="single"/>
              </w:rPr>
              <w:t>年产生量约为</w:t>
            </w:r>
            <w:r>
              <w:rPr>
                <w:rFonts w:hint="eastAsia" w:hAnsi="宋体"/>
                <w:color w:val="FF0000"/>
                <w:sz w:val="24"/>
                <w:szCs w:val="24"/>
                <w:u w:val="single"/>
                <w:lang w:val="en-US" w:eastAsia="zh-CN"/>
              </w:rPr>
              <w:t>6.41</w:t>
            </w:r>
            <w:r>
              <w:rPr>
                <w:rFonts w:hint="eastAsia" w:hAnsi="宋体"/>
                <w:color w:val="FF0000"/>
                <w:sz w:val="24"/>
                <w:szCs w:val="24"/>
                <w:u w:val="single"/>
              </w:rPr>
              <w:t>×</w:t>
            </w:r>
            <w:r>
              <w:rPr>
                <w:rFonts w:hAnsi="宋体"/>
                <w:color w:val="FF0000"/>
                <w:sz w:val="24"/>
                <w:szCs w:val="24"/>
                <w:u w:val="single"/>
              </w:rPr>
              <w:t>10</w:t>
            </w:r>
            <w:r>
              <w:rPr>
                <w:rFonts w:hint="eastAsia" w:hAnsi="宋体"/>
                <w:color w:val="FF0000"/>
                <w:sz w:val="24"/>
                <w:szCs w:val="24"/>
                <w:u w:val="single"/>
                <w:vertAlign w:val="superscript"/>
                <w:lang w:val="en-US" w:eastAsia="zh-CN"/>
              </w:rPr>
              <w:t>6</w:t>
            </w:r>
            <w:r>
              <w:rPr>
                <w:rFonts w:hint="eastAsia" w:hAnsi="宋体"/>
                <w:color w:val="FF0000"/>
                <w:sz w:val="24"/>
                <w:szCs w:val="24"/>
                <w:u w:val="single"/>
              </w:rPr>
              <w:t>N</w:t>
            </w:r>
            <w:r>
              <w:rPr>
                <w:rFonts w:hAnsi="宋体"/>
                <w:color w:val="FF0000"/>
                <w:sz w:val="24"/>
                <w:szCs w:val="24"/>
                <w:u w:val="single"/>
              </w:rPr>
              <w:t>m</w:t>
            </w:r>
            <w:r>
              <w:rPr>
                <w:rFonts w:hAnsi="宋体"/>
                <w:color w:val="FF0000"/>
                <w:sz w:val="24"/>
                <w:szCs w:val="24"/>
                <w:u w:val="single"/>
                <w:vertAlign w:val="superscript"/>
              </w:rPr>
              <w:t>3</w:t>
            </w:r>
            <w:r>
              <w:rPr>
                <w:rFonts w:hint="eastAsia" w:hAnsi="宋体"/>
                <w:color w:val="FF0000"/>
                <w:sz w:val="24"/>
                <w:szCs w:val="24"/>
                <w:u w:val="single"/>
              </w:rPr>
              <w:t>；</w:t>
            </w:r>
            <w:r>
              <w:rPr>
                <w:rFonts w:hint="eastAsia"/>
                <w:color w:val="FF0000"/>
                <w:sz w:val="24"/>
                <w:szCs w:val="24"/>
                <w:u w:val="single"/>
              </w:rPr>
              <w:t>本次取热值15MJ/Nm</w:t>
            </w:r>
            <w:r>
              <w:rPr>
                <w:rFonts w:hint="eastAsia"/>
                <w:color w:val="FF0000"/>
                <w:sz w:val="24"/>
                <w:szCs w:val="24"/>
                <w:u w:val="single"/>
                <w:vertAlign w:val="superscript"/>
              </w:rPr>
              <w:t>3</w:t>
            </w:r>
            <w:r>
              <w:rPr>
                <w:rFonts w:hint="eastAsia"/>
                <w:color w:val="FF0000"/>
                <w:sz w:val="24"/>
                <w:szCs w:val="24"/>
                <w:u w:val="single"/>
              </w:rPr>
              <w:t>，产生热量</w:t>
            </w:r>
            <w:r>
              <w:rPr>
                <w:rFonts w:hint="eastAsia"/>
                <w:color w:val="FF0000"/>
                <w:sz w:val="24"/>
                <w:szCs w:val="24"/>
                <w:u w:val="single"/>
                <w:lang w:eastAsia="zh-CN"/>
              </w:rPr>
              <w:t>约</w:t>
            </w:r>
            <w:r>
              <w:rPr>
                <w:rFonts w:hint="eastAsia"/>
                <w:color w:val="FF0000"/>
                <w:sz w:val="24"/>
                <w:szCs w:val="24"/>
                <w:u w:val="single"/>
              </w:rPr>
              <w:t>为</w:t>
            </w:r>
            <w:r>
              <w:rPr>
                <w:rFonts w:hint="eastAsia"/>
                <w:color w:val="FF0000"/>
                <w:sz w:val="24"/>
                <w:szCs w:val="24"/>
                <w:u w:val="single"/>
                <w:lang w:val="en-US" w:eastAsia="zh-CN"/>
              </w:rPr>
              <w:t>9.62</w:t>
            </w:r>
            <w:r>
              <w:rPr>
                <w:rFonts w:hint="eastAsia"/>
                <w:color w:val="FF0000"/>
                <w:sz w:val="24"/>
                <w:szCs w:val="24"/>
                <w:u w:val="single"/>
              </w:rPr>
              <w:t>×10</w:t>
            </w:r>
            <w:r>
              <w:rPr>
                <w:rFonts w:hint="eastAsia"/>
                <w:color w:val="FF0000"/>
                <w:sz w:val="24"/>
                <w:szCs w:val="24"/>
                <w:u w:val="single"/>
                <w:vertAlign w:val="superscript"/>
                <w:lang w:val="en-US" w:eastAsia="zh-CN"/>
              </w:rPr>
              <w:t>13</w:t>
            </w:r>
            <w:r>
              <w:rPr>
                <w:rFonts w:hint="eastAsia"/>
                <w:color w:val="FF0000"/>
                <w:sz w:val="24"/>
                <w:szCs w:val="24"/>
                <w:u w:val="single"/>
              </w:rPr>
              <w:t>J（</w:t>
            </w:r>
            <w:r>
              <w:rPr>
                <w:rFonts w:hint="eastAsia"/>
                <w:color w:val="FF0000"/>
                <w:sz w:val="24"/>
                <w:szCs w:val="24"/>
                <w:u w:val="single"/>
                <w:lang w:val="en-US" w:eastAsia="zh-CN"/>
              </w:rPr>
              <w:t>2.29</w:t>
            </w:r>
            <w:r>
              <w:rPr>
                <w:rFonts w:hint="eastAsia"/>
                <w:color w:val="FF0000"/>
                <w:sz w:val="24"/>
                <w:szCs w:val="24"/>
                <w:u w:val="single"/>
              </w:rPr>
              <w:t>×</w:t>
            </w:r>
            <w:r>
              <w:rPr>
                <w:color w:val="FF0000"/>
                <w:sz w:val="24"/>
                <w:szCs w:val="24"/>
                <w:u w:val="single"/>
              </w:rPr>
              <w:t>10</w:t>
            </w:r>
            <w:r>
              <w:rPr>
                <w:rFonts w:hint="eastAsia"/>
                <w:color w:val="FF0000"/>
                <w:sz w:val="24"/>
                <w:szCs w:val="24"/>
                <w:u w:val="single"/>
                <w:vertAlign w:val="superscript"/>
                <w:lang w:val="en-US" w:eastAsia="zh-CN"/>
              </w:rPr>
              <w:t>10</w:t>
            </w:r>
            <w:r>
              <w:rPr>
                <w:color w:val="FF0000"/>
                <w:sz w:val="24"/>
                <w:szCs w:val="24"/>
                <w:u w:val="single"/>
              </w:rPr>
              <w:t>kcal/a</w:t>
            </w:r>
            <w:r>
              <w:rPr>
                <w:rFonts w:hint="eastAsia"/>
                <w:color w:val="FF0000"/>
                <w:sz w:val="24"/>
                <w:szCs w:val="24"/>
                <w:u w:val="single"/>
              </w:rPr>
              <w:t>）。</w:t>
            </w:r>
          </w:p>
          <w:p>
            <w:pPr>
              <w:pStyle w:val="27"/>
              <w:spacing w:line="360" w:lineRule="auto"/>
              <w:ind w:firstLine="480" w:firstLineChars="200"/>
              <w:rPr>
                <w:rFonts w:hint="eastAsia" w:ascii="Times New Roman" w:cs="Times New Roman"/>
                <w:color w:val="FF0000"/>
                <w:u w:val="single"/>
                <w:lang w:val="en-US" w:eastAsia="zh-CN"/>
              </w:rPr>
            </w:pPr>
            <w:r>
              <w:rPr>
                <w:rFonts w:hint="eastAsia" w:ascii="Times New Roman" w:cs="Times New Roman"/>
                <w:color w:val="FF0000"/>
                <w:u w:val="single"/>
                <w:lang w:val="en-US" w:eastAsia="zh-CN"/>
              </w:rPr>
              <w:t>本项目竹制半成品使用的原料用量约为12150t/a，含水率按40%计，不需烘干的产量为5000t/a（含水率40%），烘干的产量为5000t/a（含水率10%）。</w:t>
            </w:r>
          </w:p>
          <w:p>
            <w:pPr>
              <w:spacing w:line="360" w:lineRule="auto"/>
              <w:ind w:firstLine="480" w:firstLineChars="200"/>
              <w:rPr>
                <w:rFonts w:hint="eastAsia" w:eastAsia="宋体"/>
                <w:color w:val="FF0000"/>
                <w:sz w:val="24"/>
                <w:szCs w:val="24"/>
                <w:u w:val="single"/>
                <w:lang w:eastAsia="zh-CN"/>
              </w:rPr>
            </w:pPr>
            <w:r>
              <w:rPr>
                <w:rFonts w:hint="eastAsia"/>
                <w:bCs/>
                <w:color w:val="FF0000"/>
                <w:sz w:val="24"/>
                <w:szCs w:val="24"/>
                <w:u w:val="single"/>
              </w:rPr>
              <w:t>故需烘干的水分约</w:t>
            </w:r>
            <w:r>
              <w:rPr>
                <w:rFonts w:hint="eastAsia"/>
                <w:bCs/>
                <w:color w:val="FF0000"/>
                <w:sz w:val="24"/>
                <w:szCs w:val="24"/>
                <w:u w:val="single"/>
                <w:lang w:val="en-US" w:eastAsia="zh-CN"/>
              </w:rPr>
              <w:t>2360</w:t>
            </w:r>
            <w:r>
              <w:rPr>
                <w:rFonts w:hint="eastAsia"/>
                <w:bCs/>
                <w:color w:val="FF0000"/>
                <w:sz w:val="24"/>
                <w:szCs w:val="24"/>
                <w:u w:val="single"/>
              </w:rPr>
              <w:t>t</w:t>
            </w:r>
            <w:r>
              <w:rPr>
                <w:rFonts w:hint="eastAsia"/>
                <w:bCs/>
                <w:color w:val="FF0000"/>
                <w:sz w:val="24"/>
                <w:szCs w:val="24"/>
                <w:u w:val="single"/>
                <w:lang w:val="en-US" w:eastAsia="zh-CN"/>
              </w:rPr>
              <w:t>/a</w:t>
            </w:r>
            <w:r>
              <w:rPr>
                <w:rFonts w:hint="eastAsia"/>
                <w:bCs/>
                <w:color w:val="FF0000"/>
                <w:sz w:val="24"/>
                <w:szCs w:val="24"/>
                <w:u w:val="single"/>
              </w:rPr>
              <w:t>，本项目取烘干每公斤水约消耗800大卡热量值进行计算，则烘干所需要的热量值约为</w:t>
            </w:r>
            <w:r>
              <w:rPr>
                <w:rFonts w:hint="eastAsia"/>
                <w:bCs/>
                <w:color w:val="FF0000"/>
                <w:sz w:val="24"/>
                <w:szCs w:val="24"/>
                <w:u w:val="single"/>
                <w:lang w:val="en-US" w:eastAsia="zh-CN"/>
              </w:rPr>
              <w:t>1.89</w:t>
            </w:r>
            <w:r>
              <w:rPr>
                <w:rFonts w:hint="eastAsia"/>
                <w:color w:val="FF0000"/>
                <w:kern w:val="0"/>
                <w:sz w:val="24"/>
                <w:szCs w:val="24"/>
                <w:u w:val="single"/>
              </w:rPr>
              <w:t>×</w:t>
            </w:r>
            <w:r>
              <w:rPr>
                <w:color w:val="FF0000"/>
                <w:kern w:val="0"/>
                <w:sz w:val="24"/>
                <w:szCs w:val="24"/>
                <w:u w:val="single"/>
              </w:rPr>
              <w:t>10</w:t>
            </w:r>
            <w:r>
              <w:rPr>
                <w:rFonts w:hint="eastAsia"/>
                <w:color w:val="FF0000"/>
                <w:kern w:val="0"/>
                <w:sz w:val="24"/>
                <w:szCs w:val="24"/>
                <w:u w:val="single"/>
                <w:vertAlign w:val="superscript"/>
                <w:lang w:val="en-US" w:eastAsia="zh-CN"/>
              </w:rPr>
              <w:t>9</w:t>
            </w:r>
            <w:r>
              <w:rPr>
                <w:color w:val="FF0000"/>
                <w:kern w:val="0"/>
                <w:sz w:val="24"/>
                <w:szCs w:val="24"/>
                <w:u w:val="single"/>
              </w:rPr>
              <w:t>kcal</w:t>
            </w:r>
            <w:r>
              <w:rPr>
                <w:rFonts w:hint="eastAsia"/>
                <w:bCs/>
                <w:color w:val="FF0000"/>
                <w:sz w:val="24"/>
                <w:szCs w:val="24"/>
                <w:u w:val="single"/>
              </w:rPr>
              <w:t>。根据前文分析可燃气体总热值为</w:t>
            </w:r>
            <w:r>
              <w:rPr>
                <w:rFonts w:hint="eastAsia"/>
                <w:bCs/>
                <w:color w:val="FF0000"/>
                <w:sz w:val="24"/>
                <w:szCs w:val="24"/>
                <w:u w:val="single"/>
                <w:lang w:val="en-US" w:eastAsia="zh-CN"/>
              </w:rPr>
              <w:t>2.29</w:t>
            </w:r>
            <w:r>
              <w:rPr>
                <w:rFonts w:hint="eastAsia"/>
                <w:bCs/>
                <w:color w:val="FF0000"/>
                <w:sz w:val="24"/>
                <w:szCs w:val="24"/>
                <w:u w:val="single"/>
              </w:rPr>
              <w:t>×</w:t>
            </w:r>
            <w:r>
              <w:rPr>
                <w:bCs/>
                <w:color w:val="FF0000"/>
                <w:sz w:val="24"/>
                <w:szCs w:val="24"/>
                <w:u w:val="single"/>
              </w:rPr>
              <w:t>10</w:t>
            </w:r>
            <w:r>
              <w:rPr>
                <w:rFonts w:hint="eastAsia"/>
                <w:bCs/>
                <w:color w:val="FF0000"/>
                <w:sz w:val="24"/>
                <w:szCs w:val="24"/>
                <w:u w:val="single"/>
                <w:vertAlign w:val="superscript"/>
                <w:lang w:val="en-US" w:eastAsia="zh-CN"/>
              </w:rPr>
              <w:t>10</w:t>
            </w:r>
            <w:r>
              <w:rPr>
                <w:bCs/>
                <w:color w:val="FF0000"/>
                <w:sz w:val="24"/>
                <w:szCs w:val="24"/>
                <w:u w:val="single"/>
              </w:rPr>
              <w:t>kcal/a</w:t>
            </w:r>
            <w:r>
              <w:rPr>
                <w:rFonts w:hint="eastAsia"/>
                <w:bCs/>
                <w:color w:val="FF0000"/>
                <w:sz w:val="24"/>
                <w:szCs w:val="24"/>
                <w:u w:val="single"/>
              </w:rPr>
              <w:t>，</w:t>
            </w:r>
            <w:r>
              <w:rPr>
                <w:rFonts w:hint="eastAsia"/>
                <w:bCs/>
                <w:color w:val="FF0000"/>
                <w:sz w:val="24"/>
                <w:szCs w:val="24"/>
                <w:u w:val="single"/>
                <w:lang w:eastAsia="zh-CN"/>
              </w:rPr>
              <w:t>每日</w:t>
            </w:r>
            <w:r>
              <w:rPr>
                <w:rFonts w:hint="eastAsia"/>
                <w:bCs/>
                <w:color w:val="FF0000"/>
                <w:sz w:val="24"/>
                <w:szCs w:val="24"/>
                <w:u w:val="single"/>
                <w:lang w:val="en-US" w:eastAsia="zh-CN"/>
              </w:rPr>
              <w:t>炭化</w:t>
            </w:r>
            <w:r>
              <w:rPr>
                <w:rFonts w:hint="eastAsia"/>
                <w:bCs/>
                <w:color w:val="FF0000"/>
                <w:sz w:val="24"/>
                <w:szCs w:val="24"/>
                <w:u w:val="single"/>
              </w:rPr>
              <w:t>工序</w:t>
            </w:r>
            <w:r>
              <w:rPr>
                <w:rFonts w:hint="eastAsia"/>
                <w:bCs/>
                <w:color w:val="FF0000"/>
                <w:sz w:val="24"/>
                <w:szCs w:val="24"/>
                <w:u w:val="single"/>
                <w:lang w:val="en-US" w:eastAsia="zh-CN"/>
              </w:rPr>
              <w:t>时长24</w:t>
            </w:r>
            <w:r>
              <w:rPr>
                <w:rFonts w:hint="eastAsia"/>
                <w:bCs/>
                <w:color w:val="FF0000"/>
                <w:sz w:val="24"/>
                <w:szCs w:val="24"/>
                <w:u w:val="single"/>
              </w:rPr>
              <w:t>小时，该时段能提供的最大热值为</w:t>
            </w:r>
            <w:r>
              <w:rPr>
                <w:rFonts w:hint="eastAsia"/>
                <w:bCs/>
                <w:color w:val="FF0000"/>
                <w:sz w:val="24"/>
                <w:szCs w:val="24"/>
                <w:u w:val="single"/>
                <w:lang w:val="en-US" w:eastAsia="zh-CN"/>
              </w:rPr>
              <w:t>2.29</w:t>
            </w:r>
            <w:r>
              <w:rPr>
                <w:rFonts w:hint="eastAsia"/>
                <w:color w:val="FF0000"/>
                <w:kern w:val="0"/>
                <w:sz w:val="24"/>
                <w:szCs w:val="24"/>
                <w:u w:val="single"/>
              </w:rPr>
              <w:t>×</w:t>
            </w:r>
            <w:r>
              <w:rPr>
                <w:color w:val="FF0000"/>
                <w:kern w:val="0"/>
                <w:sz w:val="24"/>
                <w:szCs w:val="24"/>
                <w:u w:val="single"/>
              </w:rPr>
              <w:t>10</w:t>
            </w:r>
            <w:r>
              <w:rPr>
                <w:rFonts w:hint="eastAsia"/>
                <w:color w:val="FF0000"/>
                <w:kern w:val="0"/>
                <w:sz w:val="24"/>
                <w:szCs w:val="24"/>
                <w:u w:val="single"/>
                <w:vertAlign w:val="superscript"/>
                <w:lang w:val="en-US" w:eastAsia="zh-CN"/>
              </w:rPr>
              <w:t>10</w:t>
            </w:r>
            <w:r>
              <w:rPr>
                <w:color w:val="FF0000"/>
                <w:kern w:val="0"/>
                <w:sz w:val="24"/>
                <w:szCs w:val="24"/>
                <w:u w:val="single"/>
              </w:rPr>
              <w:t>kcal</w:t>
            </w:r>
            <w:r>
              <w:rPr>
                <w:rFonts w:hint="eastAsia"/>
                <w:bCs/>
                <w:color w:val="FF0000"/>
                <w:sz w:val="24"/>
                <w:szCs w:val="24"/>
                <w:u w:val="single"/>
              </w:rPr>
              <w:t>（大于</w:t>
            </w:r>
            <w:r>
              <w:rPr>
                <w:rFonts w:hint="eastAsia"/>
                <w:bCs/>
                <w:color w:val="FF0000"/>
                <w:sz w:val="24"/>
                <w:szCs w:val="24"/>
                <w:u w:val="single"/>
                <w:lang w:val="en-US" w:eastAsia="zh-CN"/>
              </w:rPr>
              <w:t>1.89</w:t>
            </w:r>
            <w:r>
              <w:rPr>
                <w:rFonts w:hint="eastAsia"/>
                <w:color w:val="FF0000"/>
                <w:kern w:val="0"/>
                <w:sz w:val="24"/>
                <w:szCs w:val="24"/>
                <w:u w:val="single"/>
              </w:rPr>
              <w:t>×</w:t>
            </w:r>
            <w:r>
              <w:rPr>
                <w:color w:val="FF0000"/>
                <w:kern w:val="0"/>
                <w:sz w:val="24"/>
                <w:szCs w:val="24"/>
                <w:u w:val="single"/>
              </w:rPr>
              <w:t>10</w:t>
            </w:r>
            <w:r>
              <w:rPr>
                <w:rFonts w:hint="eastAsia"/>
                <w:color w:val="FF0000"/>
                <w:kern w:val="0"/>
                <w:sz w:val="24"/>
                <w:szCs w:val="24"/>
                <w:u w:val="single"/>
                <w:vertAlign w:val="superscript"/>
                <w:lang w:val="en-US" w:eastAsia="zh-CN"/>
              </w:rPr>
              <w:t>9</w:t>
            </w:r>
            <w:r>
              <w:rPr>
                <w:color w:val="FF0000"/>
                <w:kern w:val="0"/>
                <w:sz w:val="24"/>
                <w:szCs w:val="24"/>
                <w:u w:val="single"/>
              </w:rPr>
              <w:t>kcal</w:t>
            </w:r>
            <w:r>
              <w:rPr>
                <w:rFonts w:hint="eastAsia"/>
                <w:bCs/>
                <w:color w:val="FF0000"/>
                <w:sz w:val="24"/>
                <w:szCs w:val="24"/>
                <w:u w:val="single"/>
              </w:rPr>
              <w:t>），能够满足项目烘干所需热值要求</w:t>
            </w:r>
            <w:r>
              <w:rPr>
                <w:rFonts w:hint="eastAsia"/>
                <w:color w:val="FF0000"/>
                <w:sz w:val="24"/>
                <w:szCs w:val="24"/>
                <w:u w:val="single"/>
                <w:lang w:eastAsia="zh-CN"/>
              </w:rPr>
              <w:t>。多余的热量经</w:t>
            </w:r>
            <w:r>
              <w:rPr>
                <w:rFonts w:hint="eastAsia"/>
                <w:color w:val="FF0000"/>
                <w:sz w:val="24"/>
                <w:szCs w:val="24"/>
                <w:u w:val="single"/>
                <w:lang w:val="en-US" w:eastAsia="zh-CN"/>
              </w:rPr>
              <w:t>炭化</w:t>
            </w:r>
            <w:r>
              <w:rPr>
                <w:rFonts w:hint="eastAsia"/>
                <w:color w:val="FF0000"/>
                <w:sz w:val="24"/>
                <w:szCs w:val="24"/>
                <w:u w:val="single"/>
                <w:lang w:eastAsia="zh-CN"/>
              </w:rPr>
              <w:t>炉持续燃烧，</w:t>
            </w:r>
            <w:r>
              <w:rPr>
                <w:rFonts w:hint="eastAsia"/>
                <w:color w:val="FF0000"/>
                <w:sz w:val="24"/>
                <w:szCs w:val="24"/>
                <w:u w:val="single"/>
                <w:lang w:val="en-US" w:eastAsia="zh-CN"/>
              </w:rPr>
              <w:t>即便无原料处于炭化加工阶段，其气体仍在炭化窑设备内进行燃烧至耗尽</w:t>
            </w:r>
            <w:r>
              <w:rPr>
                <w:rFonts w:hint="eastAsia"/>
                <w:color w:val="FF0000"/>
                <w:sz w:val="24"/>
                <w:szCs w:val="24"/>
                <w:u w:val="single"/>
                <w:lang w:eastAsia="zh-CN"/>
              </w:rPr>
              <w:t>。</w:t>
            </w:r>
          </w:p>
          <w:p>
            <w:pPr>
              <w:pStyle w:val="27"/>
              <w:spacing w:line="360" w:lineRule="auto"/>
              <w:ind w:firstLine="480" w:firstLineChars="200"/>
              <w:rPr>
                <w:rFonts w:hint="eastAsia" w:eastAsia="宋体"/>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630" w:type="dxa"/>
            <w:vAlign w:val="center"/>
          </w:tcPr>
          <w:p>
            <w:pPr>
              <w:pStyle w:val="20"/>
              <w:adjustRightInd w:val="0"/>
              <w:snapToGrid w:val="0"/>
              <w:spacing w:before="0" w:beforeAutospacing="0" w:after="0" w:afterAutospacing="0"/>
              <w:jc w:val="center"/>
              <w:rPr>
                <w:rFonts w:cs="宋体"/>
                <w:szCs w:val="24"/>
                <w:lang w:val="en-US" w:eastAsia="zh-CN"/>
              </w:rPr>
            </w:pPr>
            <w:r>
              <w:rPr>
                <w:rFonts w:hint="eastAsia" w:cs="宋体"/>
                <w:szCs w:val="24"/>
                <w:lang w:val="en-US" w:eastAsia="zh-CN"/>
              </w:rPr>
              <w:t>工艺流程和产排污环节</w:t>
            </w:r>
          </w:p>
        </w:tc>
        <w:tc>
          <w:tcPr>
            <w:tcW w:w="8430" w:type="dxa"/>
          </w:tcPr>
          <w:p>
            <w:pPr>
              <w:adjustRightInd w:val="0"/>
              <w:snapToGrid w:val="0"/>
              <w:spacing w:line="360" w:lineRule="auto"/>
              <w:ind w:firstLine="480" w:firstLineChars="200"/>
            </w:pPr>
            <w:r>
              <w:rPr>
                <w:rFonts w:hint="eastAsia" w:ascii="宋体" w:hAnsi="宋体"/>
                <w:bCs/>
                <w:sz w:val="24"/>
              </w:rPr>
              <w:t>本项目主要生产</w:t>
            </w:r>
            <w:r>
              <w:rPr>
                <w:rFonts w:hint="eastAsia" w:ascii="宋体" w:hAnsi="宋体"/>
                <w:bCs/>
                <w:sz w:val="24"/>
                <w:lang w:val="en-US" w:eastAsia="zh-CN"/>
              </w:rPr>
              <w:t>环保竹炭</w:t>
            </w:r>
            <w:r>
              <w:rPr>
                <w:rFonts w:hint="eastAsia" w:ascii="宋体" w:hAnsi="宋体"/>
                <w:bCs/>
                <w:sz w:val="24"/>
              </w:rPr>
              <w:t>，生产工艺流程及产污环节见下图。</w:t>
            </w:r>
            <w:commentRangeStart w:id="0"/>
            <w:commentRangeStart w:id="1"/>
            <w:r>
              <w:commentReference w:id="0"/>
            </w:r>
            <w:commentRangeEnd w:id="0"/>
            <w:commentRangeEnd w:id="1"/>
            <w:r>
              <w:commentReference w:id="1"/>
            </w:r>
          </w:p>
          <w:p>
            <w:pPr>
              <w:adjustRightInd w:val="0"/>
              <w:snapToGrid w:val="0"/>
              <w:spacing w:line="360" w:lineRule="auto"/>
              <w:ind w:firstLine="422" w:firstLineChars="200"/>
              <w:jc w:val="center"/>
              <w:rPr>
                <w:rFonts w:hint="eastAsia" w:eastAsia="宋体"/>
                <w:b/>
                <w:sz w:val="24"/>
                <w:lang w:eastAsia="zh-CN"/>
              </w:rPr>
            </w:pPr>
            <w:r>
              <w:rPr>
                <w:rFonts w:hint="eastAsia" w:eastAsia="宋体"/>
                <w:b/>
                <w:szCs w:val="21"/>
                <w:u w:val="single"/>
                <w:lang w:eastAsia="zh-CN"/>
              </w:rPr>
              <w:drawing>
                <wp:anchor distT="0" distB="0" distL="114300" distR="114300" simplePos="0" relativeHeight="251660288" behindDoc="1" locked="0" layoutInCell="1" allowOverlap="1">
                  <wp:simplePos x="0" y="0"/>
                  <wp:positionH relativeFrom="column">
                    <wp:posOffset>476250</wp:posOffset>
                  </wp:positionH>
                  <wp:positionV relativeFrom="paragraph">
                    <wp:posOffset>179070</wp:posOffset>
                  </wp:positionV>
                  <wp:extent cx="4344035" cy="5353685"/>
                  <wp:effectExtent l="0" t="0" r="0" b="0"/>
                  <wp:wrapNone/>
                  <wp:docPr id="2" name="图片 2" descr="竹炭项目生产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竹炭项目生产工艺"/>
                          <pic:cNvPicPr>
                            <a:picLocks noChangeAspect="1"/>
                          </pic:cNvPicPr>
                        </pic:nvPicPr>
                        <pic:blipFill>
                          <a:blip r:embed="rId13"/>
                          <a:stretch>
                            <a:fillRect/>
                          </a:stretch>
                        </pic:blipFill>
                        <pic:spPr>
                          <a:xfrm>
                            <a:off x="0" y="0"/>
                            <a:ext cx="4344035" cy="5353685"/>
                          </a:xfrm>
                          <a:prstGeom prst="rect">
                            <a:avLst/>
                          </a:prstGeom>
                        </pic:spPr>
                      </pic:pic>
                    </a:graphicData>
                  </a:graphic>
                </wp:anchor>
              </w:drawing>
            </w:r>
          </w:p>
          <w:p>
            <w:pPr>
              <w:adjustRightInd w:val="0"/>
              <w:snapToGrid w:val="0"/>
              <w:spacing w:line="360" w:lineRule="auto"/>
              <w:jc w:val="both"/>
              <w:rPr>
                <w:b/>
                <w:sz w:val="24"/>
              </w:rPr>
            </w:pPr>
          </w:p>
          <w:p>
            <w:pPr>
              <w:adjustRightInd w:val="0"/>
              <w:snapToGrid w:val="0"/>
              <w:spacing w:line="360" w:lineRule="auto"/>
              <w:ind w:firstLine="482" w:firstLineChars="200"/>
              <w:jc w:val="center"/>
              <w:rPr>
                <w:b/>
                <w:sz w:val="24"/>
              </w:rPr>
            </w:pPr>
          </w:p>
          <w:p>
            <w:pPr>
              <w:adjustRightInd w:val="0"/>
              <w:snapToGrid w:val="0"/>
              <w:spacing w:line="360" w:lineRule="auto"/>
              <w:ind w:firstLine="482" w:firstLineChars="200"/>
              <w:jc w:val="center"/>
              <w:rPr>
                <w:b/>
                <w:sz w:val="24"/>
              </w:rPr>
            </w:pPr>
          </w:p>
          <w:p>
            <w:pPr>
              <w:adjustRightInd w:val="0"/>
              <w:snapToGrid w:val="0"/>
              <w:spacing w:line="360" w:lineRule="auto"/>
              <w:ind w:firstLine="482" w:firstLineChars="200"/>
              <w:jc w:val="center"/>
              <w:rPr>
                <w:b/>
                <w:sz w:val="24"/>
              </w:rPr>
            </w:pPr>
          </w:p>
          <w:p>
            <w:pPr>
              <w:adjustRightInd w:val="0"/>
              <w:snapToGrid w:val="0"/>
              <w:spacing w:line="360" w:lineRule="auto"/>
              <w:ind w:firstLine="482" w:firstLineChars="200"/>
              <w:jc w:val="center"/>
              <w:rPr>
                <w:b/>
                <w:sz w:val="24"/>
              </w:rPr>
            </w:pPr>
          </w:p>
          <w:p>
            <w:pPr>
              <w:adjustRightInd w:val="0"/>
              <w:snapToGrid w:val="0"/>
              <w:rPr>
                <w:b/>
                <w:szCs w:val="21"/>
              </w:rPr>
            </w:pPr>
          </w:p>
          <w:p>
            <w:pPr>
              <w:adjustRightInd w:val="0"/>
              <w:snapToGrid w:val="0"/>
              <w:ind w:firstLine="422" w:firstLineChars="200"/>
              <w:jc w:val="center"/>
              <w:rPr>
                <w:b/>
                <w:szCs w:val="21"/>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adjustRightInd w:val="0"/>
              <w:snapToGrid w:val="0"/>
              <w:ind w:firstLine="422" w:firstLineChars="200"/>
              <w:jc w:val="center"/>
              <w:rPr>
                <w:b/>
                <w:szCs w:val="21"/>
                <w:u w:val="single"/>
              </w:rPr>
            </w:pPr>
          </w:p>
          <w:p>
            <w:pPr>
              <w:pStyle w:val="2"/>
              <w:rPr>
                <w:rFonts w:hint="eastAsia" w:eastAsia="宋体"/>
                <w:b/>
                <w:szCs w:val="21"/>
                <w:u w:val="single"/>
                <w:lang w:eastAsia="zh-CN"/>
              </w:rPr>
            </w:pPr>
          </w:p>
          <w:p>
            <w:pPr>
              <w:rPr>
                <w:rFonts w:hint="eastAsia" w:eastAsia="宋体"/>
                <w:b/>
                <w:szCs w:val="21"/>
                <w:u w:val="single"/>
                <w:lang w:eastAsia="zh-CN"/>
              </w:rPr>
            </w:pPr>
          </w:p>
          <w:p>
            <w:pPr>
              <w:pStyle w:val="2"/>
              <w:rPr>
                <w:b/>
                <w:szCs w:val="21"/>
                <w:u w:val="single"/>
              </w:rPr>
            </w:pPr>
          </w:p>
          <w:p>
            <w:pPr>
              <w:rPr>
                <w:b/>
                <w:szCs w:val="21"/>
                <w:u w:val="single"/>
              </w:rPr>
            </w:pPr>
          </w:p>
          <w:p>
            <w:pPr>
              <w:pStyle w:val="2"/>
              <w:rPr>
                <w:b/>
                <w:szCs w:val="21"/>
                <w:u w:val="single"/>
              </w:rPr>
            </w:pPr>
          </w:p>
          <w:p>
            <w:pPr>
              <w:rPr>
                <w:b/>
                <w:szCs w:val="21"/>
                <w:u w:val="single"/>
              </w:rPr>
            </w:pPr>
          </w:p>
          <w:p>
            <w:pPr>
              <w:pStyle w:val="2"/>
              <w:rPr>
                <w:b/>
                <w:szCs w:val="21"/>
                <w:u w:val="single"/>
              </w:rPr>
            </w:pPr>
          </w:p>
          <w:p>
            <w:pPr>
              <w:rPr>
                <w:b/>
                <w:szCs w:val="21"/>
                <w:u w:val="single"/>
              </w:rPr>
            </w:pPr>
          </w:p>
          <w:p>
            <w:pPr>
              <w:adjustRightInd w:val="0"/>
              <w:snapToGrid w:val="0"/>
              <w:spacing w:line="360" w:lineRule="auto"/>
              <w:jc w:val="both"/>
              <w:rPr>
                <w:b/>
                <w:color w:val="FF0000"/>
                <w:szCs w:val="21"/>
                <w:u w:val="single"/>
              </w:rPr>
            </w:pPr>
          </w:p>
          <w:p>
            <w:pPr>
              <w:adjustRightInd w:val="0"/>
              <w:snapToGrid w:val="0"/>
              <w:spacing w:line="360" w:lineRule="auto"/>
              <w:ind w:firstLine="422" w:firstLineChars="200"/>
              <w:jc w:val="center"/>
              <w:rPr>
                <w:rFonts w:hint="eastAsia" w:eastAsia="宋体"/>
                <w:b/>
                <w:color w:val="FF0000"/>
                <w:sz w:val="21"/>
                <w:szCs w:val="21"/>
                <w:u w:val="single"/>
                <w:lang w:val="en-US" w:eastAsia="zh-CN"/>
              </w:rPr>
            </w:pPr>
            <w:r>
              <w:rPr>
                <w:b/>
                <w:color w:val="FF0000"/>
                <w:szCs w:val="21"/>
                <w:u w:val="single"/>
              </w:rPr>
              <w:t>图2-</w:t>
            </w:r>
            <w:r>
              <w:rPr>
                <w:rFonts w:hint="eastAsia"/>
                <w:b/>
                <w:color w:val="FF0000"/>
                <w:szCs w:val="21"/>
                <w:u w:val="single"/>
              </w:rPr>
              <w:t xml:space="preserve">2 </w:t>
            </w:r>
            <w:r>
              <w:rPr>
                <w:rFonts w:hint="eastAsia"/>
                <w:b/>
                <w:color w:val="FF0000"/>
                <w:szCs w:val="21"/>
                <w:u w:val="single"/>
                <w:lang w:val="en-US" w:eastAsia="zh-CN"/>
              </w:rPr>
              <w:t>机制竹炭</w:t>
            </w:r>
            <w:r>
              <w:rPr>
                <w:b/>
                <w:color w:val="FF0000"/>
                <w:szCs w:val="21"/>
                <w:u w:val="single"/>
              </w:rPr>
              <w:t>工艺流程</w:t>
            </w:r>
            <w:r>
              <w:rPr>
                <w:rFonts w:hint="eastAsia"/>
                <w:b/>
                <w:color w:val="FF0000"/>
                <w:szCs w:val="21"/>
                <w:u w:val="single"/>
              </w:rPr>
              <w:t>及产污节点</w:t>
            </w:r>
            <w:r>
              <w:rPr>
                <w:b/>
                <w:color w:val="FF0000"/>
                <w:szCs w:val="21"/>
                <w:u w:val="single"/>
              </w:rPr>
              <w:t>图</w:t>
            </w:r>
          </w:p>
          <w:p>
            <w:pPr>
              <w:adjustRightInd w:val="0"/>
              <w:snapToGrid w:val="0"/>
              <w:spacing w:line="360" w:lineRule="auto"/>
              <w:ind w:firstLine="482" w:firstLineChars="200"/>
              <w:rPr>
                <w:b/>
                <w:sz w:val="24"/>
              </w:rPr>
            </w:pPr>
            <w:r>
              <w:rPr>
                <w:rFonts w:hint="eastAsia"/>
                <w:b/>
                <w:sz w:val="24"/>
              </w:rPr>
              <w:t>工艺流程简述：</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采用改进型步进式炭化窑烧制技术，该窑的最大特点在于完成初次烘窑后，以机制棒炭化过程中产生的可燃性气体在窑内的燃烧作为热源，通过控制空气的流入量来控制窑内温度，连续操作不需要添加其它燃料；生产的机制炭质量高、均匀度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commentRangeStart w:id="2"/>
            <w:commentRangeStart w:id="3"/>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1</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分选：</w:t>
            </w:r>
            <w:r>
              <w:rPr>
                <w:rFonts w:hint="default" w:ascii="Times New Roman" w:hAnsi="Times New Roman" w:cs="Times New Roman"/>
                <w:color w:val="000000" w:themeColor="text1"/>
                <w:sz w:val="24"/>
                <w:highlight w:val="none"/>
                <w14:textFill>
                  <w14:solidFill>
                    <w14:schemeClr w14:val="tx1"/>
                  </w14:solidFill>
                </w14:textFill>
              </w:rPr>
              <w:t>本项目原料竹加工剩余物（竹屑</w:t>
            </w:r>
            <w:r>
              <w:rPr>
                <w:rFonts w:hint="eastAsia" w:cs="Times New Roman"/>
                <w:color w:val="000000" w:themeColor="text1"/>
                <w:sz w:val="24"/>
                <w:highlight w:val="none"/>
                <w:lang w:eastAsia="zh-CN"/>
                <w14:textFill>
                  <w14:solidFill>
                    <w14:schemeClr w14:val="tx1"/>
                  </w14:solidFill>
                </w14:textFill>
              </w:rPr>
              <w:t>等</w:t>
            </w:r>
            <w:r>
              <w:rPr>
                <w:rFonts w:hint="default" w:ascii="Times New Roman" w:hAnsi="Times New Roman" w:cs="Times New Roman"/>
                <w:color w:val="000000" w:themeColor="text1"/>
                <w:sz w:val="24"/>
                <w:highlight w:val="none"/>
                <w14:textFill>
                  <w14:solidFill>
                    <w14:schemeClr w14:val="tx1"/>
                  </w14:solidFill>
                </w14:textFill>
              </w:rPr>
              <w:t>）运到企业场地，</w:t>
            </w:r>
            <w:commentRangeEnd w:id="2"/>
            <w:r>
              <w:rPr>
                <w:u w:val="single"/>
              </w:rPr>
              <w:commentReference w:id="2"/>
            </w:r>
            <w:commentRangeEnd w:id="3"/>
            <w:r>
              <w:commentReference w:id="3"/>
            </w:r>
            <w:r>
              <w:rPr>
                <w:rFonts w:hint="eastAsia"/>
                <w:color w:val="FF0000"/>
                <w:sz w:val="24"/>
                <w:szCs w:val="24"/>
                <w:u w:val="single"/>
                <w:lang w:val="en-US" w:eastAsia="zh-CN"/>
              </w:rPr>
              <w:t>先将购入的原料裁断竹头（竹头用作烘干原料），再放入分选机进行分选，选出所需要的拉丝粉料作为竹炭原料</w:t>
            </w:r>
            <w:r>
              <w:rPr>
                <w:rFonts w:hint="eastAsia" w:cs="Times New Roman"/>
                <w:color w:val="FF0000"/>
                <w:sz w:val="24"/>
                <w:highlight w:val="none"/>
                <w:u w:val="single"/>
                <w:lang w:val="en-US" w:eastAsia="zh-CN"/>
              </w:rPr>
              <w:t>和供热使用的燃料竹条、竹片</w:t>
            </w:r>
            <w:r>
              <w:rPr>
                <w:rFonts w:hint="eastAsia"/>
                <w:color w:val="FF0000"/>
                <w:sz w:val="24"/>
                <w:szCs w:val="24"/>
                <w:u w:val="singl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2</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拉丝：将符合条件的半成品进行拉丝加工，</w:t>
            </w:r>
            <w:r>
              <w:rPr>
                <w:rFonts w:hint="eastAsia" w:cs="Times New Roman"/>
                <w:color w:val="FF0000"/>
                <w:sz w:val="24"/>
                <w:highlight w:val="none"/>
                <w:u w:val="single"/>
                <w:lang w:val="en-US" w:eastAsia="zh-CN"/>
              </w:rPr>
              <w:t>根据业主介绍，该工序主要起到初步破碎的作用。</w:t>
            </w:r>
            <w:commentRangeStart w:id="4"/>
            <w:commentRangeStart w:id="5"/>
            <w:r>
              <w:commentReference w:id="4"/>
            </w:r>
            <w:commentRangeEnd w:id="4"/>
            <w:commentRangeEnd w:id="5"/>
            <w:r>
              <w:commentReference w:id="5"/>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破</w:t>
            </w:r>
            <w:r>
              <w:rPr>
                <w:rFonts w:hint="default" w:ascii="Times New Roman" w:hAnsi="Times New Roman" w:cs="Times New Roman"/>
                <w:color w:val="000000" w:themeColor="text1"/>
                <w:sz w:val="24"/>
                <w:highlight w:val="none"/>
                <w14:textFill>
                  <w14:solidFill>
                    <w14:schemeClr w14:val="tx1"/>
                  </w14:solidFill>
                </w14:textFill>
              </w:rPr>
              <w:t>碎：原材料通过全封闭皮带廊道输送至全封闭式粉碎机粉碎。</w:t>
            </w:r>
            <w:r>
              <w:rPr>
                <w:rFonts w:hint="eastAsia" w:cs="Times New Roman"/>
                <w:color w:val="000000" w:themeColor="text1"/>
                <w:sz w:val="24"/>
                <w:highlight w:val="none"/>
                <w:lang w:val="en-US" w:eastAsia="zh-CN"/>
                <w14:textFill>
                  <w14:solidFill>
                    <w14:schemeClr w14:val="tx1"/>
                  </w14:solidFill>
                </w14:textFill>
              </w:rPr>
              <w:t>破碎工序</w:t>
            </w:r>
            <w:r>
              <w:rPr>
                <w:rFonts w:hint="default" w:ascii="Times New Roman" w:hAnsi="Times New Roman" w:cs="Times New Roman"/>
                <w:color w:val="000000" w:themeColor="text1"/>
                <w:sz w:val="24"/>
                <w:highlight w:val="none"/>
                <w14:textFill>
                  <w14:solidFill>
                    <w14:schemeClr w14:val="tx1"/>
                  </w14:solidFill>
                </w14:textFill>
              </w:rPr>
              <w:t>在全封闭的状态下进行，仅在进入下一工序时人工加料会产生少量无组织粉尘，该工序还会产生一定的噪声。</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FF0000"/>
                <w:sz w:val="24"/>
                <w:highlight w:val="none"/>
                <w:u w:val="single"/>
                <w:lang w:val="en-US"/>
              </w:rPr>
            </w:pPr>
            <w:r>
              <w:rPr>
                <w:rFonts w:hint="default" w:ascii="Times New Roman" w:hAnsi="Times New Roman" w:cs="Times New Roman"/>
                <w:color w:val="FF0000"/>
                <w:sz w:val="24"/>
                <w:highlight w:val="none"/>
                <w:u w:val="single"/>
                <w:lang w:eastAsia="zh-CN"/>
              </w:rPr>
              <w:t>（</w:t>
            </w:r>
            <w:r>
              <w:rPr>
                <w:rFonts w:hint="eastAsia" w:cs="Times New Roman"/>
                <w:color w:val="FF0000"/>
                <w:sz w:val="24"/>
                <w:highlight w:val="none"/>
                <w:u w:val="single"/>
                <w:lang w:val="en-US" w:eastAsia="zh-CN"/>
              </w:rPr>
              <w:t>4</w:t>
            </w:r>
            <w:r>
              <w:rPr>
                <w:rFonts w:hint="default" w:ascii="Times New Roman" w:hAnsi="Times New Roman" w:cs="Times New Roman"/>
                <w:color w:val="FF0000"/>
                <w:sz w:val="24"/>
                <w:highlight w:val="none"/>
                <w:u w:val="single"/>
                <w:lang w:eastAsia="zh-CN"/>
              </w:rPr>
              <w:t>）</w:t>
            </w:r>
            <w:r>
              <w:rPr>
                <w:rFonts w:hint="default" w:ascii="Times New Roman" w:hAnsi="Times New Roman" w:cs="Times New Roman"/>
                <w:color w:val="FF0000"/>
                <w:sz w:val="24"/>
                <w:highlight w:val="none"/>
                <w:u w:val="single"/>
              </w:rPr>
              <w:t>烘干：需要将这些颗粒烘干至制棒成型的工艺要求。原料堆场物料通过皮带运输运输至</w:t>
            </w:r>
            <w:r>
              <w:rPr>
                <w:rFonts w:hint="eastAsia" w:cs="Times New Roman"/>
                <w:color w:val="FF0000"/>
                <w:sz w:val="24"/>
                <w:highlight w:val="yellow"/>
                <w:u w:val="single"/>
                <w:lang w:val="en-US" w:eastAsia="zh-CN"/>
              </w:rPr>
              <w:t>烘干炭化一体化设备</w:t>
            </w:r>
            <w:r>
              <w:rPr>
                <w:rFonts w:hint="eastAsia" w:cs="Times New Roman"/>
                <w:color w:val="FF0000"/>
                <w:sz w:val="24"/>
                <w:highlight w:val="none"/>
                <w:u w:val="single"/>
                <w:lang w:val="en-US" w:eastAsia="zh-CN"/>
              </w:rPr>
              <w:t>的烘干区域</w:t>
            </w:r>
            <w:r>
              <w:rPr>
                <w:rFonts w:hint="default" w:ascii="Times New Roman" w:hAnsi="Times New Roman" w:cs="Times New Roman"/>
                <w:color w:val="FF0000"/>
                <w:sz w:val="24"/>
                <w:highlight w:val="none"/>
                <w:u w:val="single"/>
              </w:rPr>
              <w:t>进行烘干，烘干温度为140~200℃，烘干过程会产生一定量的水蒸气和粉尘；</w:t>
            </w:r>
            <w:r>
              <w:rPr>
                <w:rFonts w:hint="eastAsia" w:cs="Times New Roman"/>
                <w:color w:val="FF0000"/>
                <w:sz w:val="24"/>
                <w:highlight w:val="none"/>
                <w:u w:val="single"/>
                <w:lang w:val="en-US" w:eastAsia="zh-CN"/>
              </w:rPr>
              <w:t>该</w:t>
            </w:r>
            <w:r>
              <w:rPr>
                <w:rFonts w:hint="default" w:ascii="Times New Roman" w:hAnsi="Times New Roman" w:cs="Times New Roman"/>
                <w:color w:val="FF0000"/>
                <w:sz w:val="24"/>
                <w:highlight w:val="none"/>
                <w:u w:val="single"/>
              </w:rPr>
              <w:t>烘干燃料来源主要</w:t>
            </w:r>
            <w:r>
              <w:rPr>
                <w:rFonts w:hint="eastAsia" w:cs="Times New Roman"/>
                <w:color w:val="FF0000"/>
                <w:sz w:val="24"/>
                <w:highlight w:val="none"/>
                <w:u w:val="single"/>
                <w:lang w:val="en-US" w:eastAsia="zh-CN"/>
              </w:rPr>
              <w:t>电烘干</w:t>
            </w:r>
            <w:r>
              <w:rPr>
                <w:rFonts w:hint="eastAsia" w:ascii="Times New Roman" w:hAnsi="Times New Roman" w:cs="Times New Roman"/>
                <w:color w:val="FF0000"/>
                <w:sz w:val="24"/>
                <w:highlight w:val="none"/>
                <w:u w:val="single"/>
                <w:lang w:eastAsia="zh-CN"/>
              </w:rPr>
              <w:t>。</w:t>
            </w:r>
            <w:r>
              <w:rPr>
                <w:rFonts w:hint="eastAsia" w:cs="Times New Roman"/>
                <w:color w:val="FF0000"/>
                <w:sz w:val="24"/>
                <w:highlight w:val="none"/>
                <w:u w:val="single"/>
                <w:lang w:val="en-US" w:eastAsia="zh-CN"/>
              </w:rPr>
              <w:t>烘干时长为12小时。</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FF0000"/>
                <w:sz w:val="24"/>
                <w:highlight w:val="none"/>
                <w:u w:val="single"/>
                <w:lang w:eastAsia="zh-CN"/>
              </w:rPr>
            </w:pPr>
            <w:r>
              <w:rPr>
                <w:rFonts w:hint="default" w:ascii="Times New Roman" w:hAnsi="Times New Roman" w:cs="Times New Roman"/>
                <w:color w:val="FF0000"/>
                <w:sz w:val="24"/>
                <w:highlight w:val="none"/>
                <w:u w:val="single"/>
              </w:rPr>
              <w:t>本项目烘干</w:t>
            </w:r>
            <w:r>
              <w:rPr>
                <w:rFonts w:hint="eastAsia" w:cs="Times New Roman"/>
                <w:color w:val="FF0000"/>
                <w:sz w:val="24"/>
                <w:highlight w:val="none"/>
                <w:u w:val="single"/>
                <w:lang w:val="en-US" w:eastAsia="zh-CN"/>
              </w:rPr>
              <w:t>热源</w:t>
            </w:r>
            <w:r>
              <w:rPr>
                <w:rFonts w:hint="default" w:ascii="Times New Roman" w:hAnsi="Times New Roman" w:cs="Times New Roman"/>
                <w:color w:val="FF0000"/>
                <w:sz w:val="24"/>
                <w:highlight w:val="none"/>
                <w:u w:val="single"/>
              </w:rPr>
              <w:t>：</w:t>
            </w:r>
            <w:r>
              <w:rPr>
                <w:rFonts w:hint="eastAsia" w:cs="Times New Roman"/>
                <w:color w:val="FF0000"/>
                <w:sz w:val="24"/>
                <w:highlight w:val="none"/>
                <w:u w:val="single"/>
                <w:lang w:val="en-US" w:eastAsia="zh-CN"/>
              </w:rPr>
              <w:t>电能</w:t>
            </w:r>
            <w:r>
              <w:rPr>
                <w:rFonts w:hint="default" w:ascii="Times New Roman" w:hAnsi="Times New Roman" w:cs="Times New Roman"/>
                <w:color w:val="FF0000"/>
                <w:sz w:val="24"/>
                <w:highlight w:val="none"/>
                <w:u w:val="single"/>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制棒</w:t>
            </w:r>
            <w:r>
              <w:rPr>
                <w:rFonts w:hint="default" w:ascii="Times New Roman" w:hAnsi="Times New Roman" w:cs="Times New Roman"/>
                <w:color w:val="000000" w:themeColor="text1"/>
                <w:sz w:val="24"/>
                <w:highlight w:val="none"/>
                <w14:textFill>
                  <w14:solidFill>
                    <w14:schemeClr w14:val="tx1"/>
                  </w14:solidFill>
                </w14:textFill>
              </w:rPr>
              <w:t>成型：原料</w:t>
            </w:r>
            <w:r>
              <w:rPr>
                <w:rFonts w:hint="eastAsia" w:ascii="Times New Roman" w:hAnsi="Times New Roman" w:cs="Times New Roman"/>
                <w:color w:val="000000" w:themeColor="text1"/>
                <w:sz w:val="24"/>
                <w:highlight w:val="none"/>
                <w:lang w:eastAsia="zh-CN"/>
                <w14:textFill>
                  <w14:solidFill>
                    <w14:schemeClr w14:val="tx1"/>
                  </w14:solidFill>
                </w14:textFill>
              </w:rPr>
              <w:t>从、储料仓</w:t>
            </w:r>
            <w:r>
              <w:rPr>
                <w:rFonts w:hint="default" w:ascii="Times New Roman" w:hAnsi="Times New Roman" w:cs="Times New Roman"/>
                <w:color w:val="000000" w:themeColor="text1"/>
                <w:sz w:val="24"/>
                <w:highlight w:val="none"/>
                <w14:textFill>
                  <w14:solidFill>
                    <w14:schemeClr w14:val="tx1"/>
                  </w14:solidFill>
                </w14:textFill>
              </w:rPr>
              <w:t>通过输送系统送至</w:t>
            </w:r>
            <w:r>
              <w:rPr>
                <w:rFonts w:hint="eastAsia" w:ascii="Times New Roman" w:hAnsi="Times New Roman" w:cs="Times New Roman"/>
                <w:color w:val="000000" w:themeColor="text1"/>
                <w:sz w:val="24"/>
                <w:highlight w:val="none"/>
                <w:lang w:eastAsia="zh-CN"/>
                <w14:textFill>
                  <w14:solidFill>
                    <w14:schemeClr w14:val="tx1"/>
                  </w14:solidFill>
                </w14:textFill>
              </w:rPr>
              <w:t>密闭搅笼搅拌均匀后输送至</w:t>
            </w:r>
            <w:r>
              <w:rPr>
                <w:rFonts w:hint="default" w:ascii="Times New Roman" w:hAnsi="Times New Roman" w:cs="Times New Roman"/>
                <w:color w:val="000000" w:themeColor="text1"/>
                <w:sz w:val="24"/>
                <w:highlight w:val="none"/>
                <w14:textFill>
                  <w14:solidFill>
                    <w14:schemeClr w14:val="tx1"/>
                  </w14:solidFill>
                </w14:textFill>
              </w:rPr>
              <w:t>制棒机料斗，在高压、高温条件下将物料制成棒状固体。其工作原理是利用原料固有的特性，通过螺杆的压力将高温软化的生物质材料，在高温高压下，原料中的木质素、纤维素化使纤维相结合，形成带中心孔的半成品。成型过程会产生少量粉尘，经引风机</w:t>
            </w:r>
            <w:r>
              <w:rPr>
                <w:rFonts w:hint="eastAsia" w:cs="Times New Roman"/>
                <w:color w:val="000000" w:themeColor="text1"/>
                <w:sz w:val="24"/>
                <w:highlight w:val="none"/>
                <w:lang w:val="en-US" w:eastAsia="zh-CN"/>
                <w14:textFill>
                  <w14:solidFill>
                    <w14:schemeClr w14:val="tx1"/>
                  </w14:solidFill>
                </w14:textFill>
              </w:rPr>
              <w:t>通过管道</w:t>
            </w:r>
            <w:r>
              <w:rPr>
                <w:rFonts w:hint="default" w:ascii="Times New Roman" w:hAnsi="Times New Roman" w:cs="Times New Roman"/>
                <w:color w:val="000000" w:themeColor="text1"/>
                <w:sz w:val="24"/>
                <w:highlight w:val="none"/>
                <w14:textFill>
                  <w14:solidFill>
                    <w14:schemeClr w14:val="tx1"/>
                  </w14:solidFill>
                </w14:textFill>
              </w:rPr>
              <w:t>抽至</w:t>
            </w:r>
            <w:r>
              <w:rPr>
                <w:rFonts w:hint="eastAsia" w:cs="Times New Roman"/>
                <w:color w:val="000000" w:themeColor="text1"/>
                <w:sz w:val="24"/>
                <w:highlight w:val="none"/>
                <w:lang w:val="en-US" w:eastAsia="zh-CN"/>
                <w14:textFill>
                  <w14:solidFill>
                    <w14:schemeClr w14:val="tx1"/>
                  </w14:solidFill>
                </w14:textFill>
              </w:rPr>
              <w:t>布袋除尘器</w:t>
            </w:r>
            <w:r>
              <w:rPr>
                <w:rFonts w:hint="default" w:ascii="Times New Roman" w:hAnsi="Times New Roman" w:cs="Times New Roman"/>
                <w:color w:val="000000" w:themeColor="text1"/>
                <w:sz w:val="24"/>
                <w:highlight w:val="none"/>
                <w:lang w:val="en-US" w:eastAsia="zh-CN"/>
                <w14:textFill>
                  <w14:solidFill>
                    <w14:schemeClr w14:val="tx1"/>
                  </w14:solidFill>
                </w14:textFill>
              </w:rPr>
              <w:t>设备</w:t>
            </w:r>
            <w:r>
              <w:rPr>
                <w:rFonts w:hint="default" w:ascii="Times New Roman" w:hAnsi="Times New Roman" w:cs="Times New Roman"/>
                <w:color w:val="000000" w:themeColor="text1"/>
                <w:sz w:val="24"/>
                <w:highlight w:val="none"/>
                <w14:textFill>
                  <w14:solidFill>
                    <w14:schemeClr w14:val="tx1"/>
                  </w14:solidFill>
                </w14:textFill>
              </w:rPr>
              <w:t>与</w:t>
            </w:r>
            <w:r>
              <w:rPr>
                <w:rFonts w:hint="eastAsia" w:cs="Times New Roman"/>
                <w:color w:val="000000" w:themeColor="text1"/>
                <w:sz w:val="24"/>
                <w:highlight w:val="none"/>
                <w:lang w:val="en-US" w:eastAsia="zh-CN"/>
                <w14:textFill>
                  <w14:solidFill>
                    <w14:schemeClr w14:val="tx1"/>
                  </w14:solidFill>
                </w14:textFill>
              </w:rPr>
              <w:t>破碎</w:t>
            </w:r>
            <w:r>
              <w:rPr>
                <w:rFonts w:hint="default" w:ascii="Times New Roman" w:hAnsi="Times New Roman" w:cs="Times New Roman"/>
                <w:color w:val="000000" w:themeColor="text1"/>
                <w:sz w:val="24"/>
                <w:highlight w:val="none"/>
                <w14:textFill>
                  <w14:solidFill>
                    <w14:schemeClr w14:val="tx1"/>
                  </w14:solidFill>
                </w14:textFill>
              </w:rPr>
              <w:t>废气一同处理后外排。</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FF0000"/>
                <w:sz w:val="24"/>
                <w:highlight w:val="none"/>
                <w:u w:val="single"/>
              </w:rPr>
            </w:pPr>
            <w:r>
              <w:rPr>
                <w:rFonts w:hint="default" w:ascii="Times New Roman" w:hAnsi="Times New Roman" w:cs="Times New Roman"/>
                <w:color w:val="FF0000"/>
                <w:sz w:val="24"/>
                <w:highlight w:val="none"/>
                <w:u w:val="single"/>
                <w:lang w:eastAsia="zh-CN"/>
              </w:rPr>
              <w:t>（</w:t>
            </w:r>
            <w:r>
              <w:rPr>
                <w:rFonts w:hint="eastAsia" w:cs="Times New Roman"/>
                <w:color w:val="FF0000"/>
                <w:sz w:val="24"/>
                <w:highlight w:val="none"/>
                <w:u w:val="single"/>
                <w:lang w:val="en-US" w:eastAsia="zh-CN"/>
              </w:rPr>
              <w:t>6</w:t>
            </w:r>
            <w:r>
              <w:rPr>
                <w:rFonts w:hint="default" w:ascii="Times New Roman" w:hAnsi="Times New Roman" w:cs="Times New Roman"/>
                <w:color w:val="FF0000"/>
                <w:sz w:val="24"/>
                <w:highlight w:val="none"/>
                <w:u w:val="single"/>
                <w:lang w:eastAsia="zh-CN"/>
              </w:rPr>
              <w:t>）</w:t>
            </w:r>
            <w:r>
              <w:rPr>
                <w:rFonts w:hint="default" w:ascii="Times New Roman" w:hAnsi="Times New Roman" w:cs="Times New Roman"/>
                <w:color w:val="FF0000"/>
                <w:sz w:val="24"/>
                <w:highlight w:val="none"/>
                <w:u w:val="single"/>
              </w:rPr>
              <w:t>炭化：将半成品在缺氧的条件下干馏成</w:t>
            </w:r>
            <w:r>
              <w:rPr>
                <w:rFonts w:hint="eastAsia" w:cs="Times New Roman"/>
                <w:color w:val="FF0000"/>
                <w:sz w:val="24"/>
                <w:highlight w:val="none"/>
                <w:u w:val="single"/>
                <w:lang w:val="en-US" w:eastAsia="zh-CN"/>
              </w:rPr>
              <w:t>竹炭</w:t>
            </w:r>
            <w:r>
              <w:rPr>
                <w:rFonts w:hint="default" w:ascii="Times New Roman" w:hAnsi="Times New Roman" w:cs="Times New Roman"/>
                <w:color w:val="FF0000"/>
                <w:sz w:val="24"/>
                <w:highlight w:val="none"/>
                <w:u w:val="single"/>
              </w:rPr>
              <w:t>，其工作原理是半成品在缺氧的条件下燃烧而分解生成可燃气体，焦油和黑色物质(木炭)。该阶段产生的废气为</w:t>
            </w:r>
            <w:r>
              <w:rPr>
                <w:rFonts w:hint="eastAsia" w:cs="Times New Roman"/>
                <w:color w:val="FF0000"/>
                <w:sz w:val="24"/>
                <w:highlight w:val="yellow"/>
                <w:u w:val="single"/>
                <w:lang w:val="en-US" w:eastAsia="zh-CN"/>
              </w:rPr>
              <w:t>竹煤气、焦油和醋液等（烘干炭化热源）</w:t>
            </w:r>
            <w:r>
              <w:rPr>
                <w:rFonts w:hint="default" w:ascii="Times New Roman" w:hAnsi="Times New Roman" w:cs="Times New Roman"/>
                <w:color w:val="FF0000"/>
                <w:sz w:val="24"/>
                <w:highlight w:val="none"/>
                <w:u w:val="single"/>
              </w:rPr>
              <w:t>，经收集后送</w:t>
            </w:r>
            <w:r>
              <w:rPr>
                <w:rFonts w:hint="eastAsia" w:cs="Times New Roman"/>
                <w:color w:val="FF0000"/>
                <w:sz w:val="24"/>
                <w:highlight w:val="none"/>
                <w:u w:val="single"/>
                <w:lang w:val="en-US" w:eastAsia="zh-CN"/>
              </w:rPr>
              <w:t>至</w:t>
            </w:r>
            <w:r>
              <w:rPr>
                <w:rFonts w:hint="default" w:ascii="Times New Roman" w:hAnsi="Times New Roman" w:cs="Times New Roman"/>
                <w:color w:val="FF0000"/>
                <w:sz w:val="24"/>
                <w:highlight w:val="none"/>
                <w:u w:val="single"/>
              </w:rPr>
              <w:t>烘干炉</w:t>
            </w:r>
            <w:r>
              <w:rPr>
                <w:rFonts w:hint="eastAsia" w:cs="Times New Roman"/>
                <w:color w:val="FF0000"/>
                <w:sz w:val="24"/>
                <w:highlight w:val="none"/>
                <w:u w:val="single"/>
                <w:lang w:eastAsia="zh-CN"/>
              </w:rPr>
              <w:t>、</w:t>
            </w:r>
            <w:r>
              <w:rPr>
                <w:rFonts w:hint="eastAsia" w:cs="Times New Roman"/>
                <w:color w:val="FF0000"/>
                <w:sz w:val="24"/>
                <w:highlight w:val="none"/>
                <w:u w:val="single"/>
                <w:lang w:val="en-US" w:eastAsia="zh-CN"/>
              </w:rPr>
              <w:t>烘干室及炭化工序</w:t>
            </w:r>
            <w:r>
              <w:rPr>
                <w:rFonts w:hint="default" w:ascii="Times New Roman" w:hAnsi="Times New Roman" w:cs="Times New Roman"/>
                <w:color w:val="FF0000"/>
                <w:sz w:val="24"/>
                <w:highlight w:val="none"/>
                <w:u w:val="single"/>
              </w:rPr>
              <w:t>利用。因炭化工序运行时为24小时，烘干工序运行24小时，</w:t>
            </w:r>
            <w:r>
              <w:rPr>
                <w:rFonts w:hint="eastAsia" w:cs="Times New Roman"/>
                <w:color w:val="FF0000"/>
                <w:sz w:val="24"/>
                <w:highlight w:val="none"/>
                <w:u w:val="single"/>
                <w:lang w:val="en-US" w:eastAsia="zh-CN"/>
              </w:rPr>
              <w:t>当遇到停产，设备检修时，滚动式</w:t>
            </w:r>
            <w:r>
              <w:rPr>
                <w:rFonts w:hint="default" w:ascii="Times New Roman" w:hAnsi="Times New Roman" w:cs="Times New Roman"/>
                <w:color w:val="FF0000"/>
                <w:sz w:val="24"/>
                <w:highlight w:val="none"/>
                <w:u w:val="single"/>
              </w:rPr>
              <w:t>烘干炉不运行时</w:t>
            </w:r>
            <w:r>
              <w:rPr>
                <w:rFonts w:hint="eastAsia" w:cs="Times New Roman"/>
                <w:color w:val="FF0000"/>
                <w:sz w:val="24"/>
                <w:highlight w:val="none"/>
                <w:u w:val="single"/>
                <w:lang w:val="en-US" w:eastAsia="zh-CN"/>
              </w:rPr>
              <w:t>炭化阶段也同时停止运营，不会产生废气</w:t>
            </w:r>
            <w:r>
              <w:rPr>
                <w:rFonts w:hint="default" w:ascii="Times New Roman" w:hAnsi="Times New Roman" w:cs="Times New Roman"/>
                <w:color w:val="FF0000"/>
                <w:sz w:val="24"/>
                <w:highlight w:val="none"/>
                <w:u w:val="single"/>
              </w:rPr>
              <w:t>。</w:t>
            </w:r>
          </w:p>
          <w:p>
            <w:pPr>
              <w:spacing w:line="360" w:lineRule="auto"/>
              <w:ind w:firstLine="480" w:firstLineChars="200"/>
              <w:rPr>
                <w:rFonts w:hint="default" w:ascii="Times New Roman" w:hAnsi="Times New Roman" w:cs="Times New Roman"/>
                <w:color w:val="FF0000"/>
                <w:sz w:val="24"/>
                <w:szCs w:val="24"/>
                <w:highlight w:val="none"/>
                <w:u w:val="single"/>
              </w:rPr>
            </w:pPr>
            <w:r>
              <w:rPr>
                <w:rFonts w:hint="eastAsia"/>
                <w:color w:val="FF0000"/>
                <w:sz w:val="24"/>
                <w:szCs w:val="24"/>
                <w:u w:val="single"/>
              </w:rPr>
              <w:t>将成型炭棒在炭化炉内通过自身缺氧燃烧产生热量，在高温高压环境下进行干馏炭化，炭化室封闭以隔绝空气</w:t>
            </w:r>
            <w:commentRangeStart w:id="6"/>
            <w:commentRangeStart w:id="7"/>
            <w:r>
              <w:rPr>
                <w:rFonts w:hint="eastAsia"/>
                <w:color w:val="FF0000"/>
                <w:sz w:val="24"/>
                <w:szCs w:val="24"/>
                <w:u w:val="single"/>
              </w:rPr>
              <w:t>。</w:t>
            </w:r>
            <w:r>
              <w:rPr>
                <w:rFonts w:hint="eastAsia"/>
                <w:color w:val="FF0000"/>
                <w:sz w:val="24"/>
                <w:szCs w:val="24"/>
                <w:u w:val="single"/>
                <w:lang w:val="en-US" w:eastAsia="zh-CN"/>
              </w:rPr>
              <w:t>一个炭化窑的</w:t>
            </w:r>
            <w:r>
              <w:rPr>
                <w:rFonts w:hint="eastAsia"/>
                <w:color w:val="FF0000"/>
                <w:sz w:val="24"/>
                <w:szCs w:val="24"/>
                <w:u w:val="single"/>
              </w:rPr>
              <w:t>炭化完成的时间一般为</w:t>
            </w:r>
            <w:r>
              <w:rPr>
                <w:rFonts w:hint="eastAsia"/>
                <w:color w:val="FF0000"/>
                <w:sz w:val="24"/>
                <w:szCs w:val="24"/>
                <w:u w:val="single"/>
                <w:lang w:val="en-US" w:eastAsia="zh-CN"/>
              </w:rPr>
              <w:t>12</w:t>
            </w:r>
            <w:r>
              <w:rPr>
                <w:rFonts w:hint="eastAsia"/>
                <w:color w:val="FF0000"/>
                <w:sz w:val="24"/>
                <w:szCs w:val="24"/>
                <w:u w:val="single"/>
              </w:rPr>
              <w:t>个小时</w:t>
            </w:r>
            <w:r>
              <w:rPr>
                <w:rFonts w:hint="eastAsia"/>
                <w:color w:val="FF0000"/>
                <w:sz w:val="24"/>
                <w:szCs w:val="24"/>
                <w:u w:val="single"/>
                <w:lang w:eastAsia="zh-CN"/>
              </w:rPr>
              <w:t>，</w:t>
            </w:r>
            <w:r>
              <w:rPr>
                <w:rFonts w:hint="eastAsia"/>
                <w:color w:val="FF0000"/>
                <w:sz w:val="24"/>
                <w:szCs w:val="24"/>
                <w:u w:val="single"/>
                <w:lang w:val="en-US" w:eastAsia="zh-CN"/>
              </w:rPr>
              <w:t>2个炭化窑轮流工作，一个炭化时，另一个为冷却状态</w:t>
            </w:r>
            <w:r>
              <w:rPr>
                <w:rFonts w:hint="eastAsia"/>
                <w:color w:val="FF0000"/>
                <w:sz w:val="24"/>
                <w:szCs w:val="24"/>
                <w:u w:val="single"/>
              </w:rPr>
              <w:t>。</w:t>
            </w:r>
            <w:commentRangeEnd w:id="6"/>
            <w:r>
              <w:commentReference w:id="6"/>
            </w:r>
            <w:commentRangeEnd w:id="7"/>
            <w:r>
              <w:commentReference w:id="7"/>
            </w:r>
            <w:r>
              <w:rPr>
                <w:rFonts w:hint="eastAsia"/>
                <w:color w:val="FF0000"/>
                <w:sz w:val="24"/>
                <w:szCs w:val="24"/>
                <w:u w:val="single"/>
              </w:rPr>
              <w:t>干馏是一个复杂的化学反应，炭化过程大体上可分为四个阶段。</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炭化过程一般可以分为以下几个阶段。</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FF0000"/>
                <w:sz w:val="24"/>
                <w:highlight w:val="none"/>
                <w:u w:val="single"/>
              </w:rPr>
            </w:pPr>
            <w:r>
              <w:rPr>
                <w:rFonts w:hint="default" w:ascii="Times New Roman" w:hAnsi="Times New Roman" w:cs="Times New Roman"/>
                <w:color w:val="FF0000"/>
                <w:sz w:val="24"/>
                <w:highlight w:val="none"/>
                <w:u w:val="single"/>
              </w:rPr>
              <w:t>①干燥阶段：这个阶段的温度在20-150℃，此阶段棒体基本无化学变化，木屑棒中的水分在外热的条件下被烘干，此过程废气主要产生水蒸气。</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FF0000"/>
                <w:sz w:val="24"/>
                <w:highlight w:val="none"/>
                <w:u w:val="single"/>
              </w:rPr>
            </w:pPr>
            <w:r>
              <w:rPr>
                <w:rFonts w:hint="default" w:ascii="Times New Roman" w:hAnsi="Times New Roman" w:cs="Times New Roman"/>
                <w:color w:val="FF0000"/>
                <w:sz w:val="24"/>
                <w:highlight w:val="none"/>
                <w:u w:val="single"/>
              </w:rPr>
              <w:t>②炭化初始阶段：这个阶段主要靠薪棒自身燃烧产生热量，使炉温上升至 160℃-280℃之间，此时，</w:t>
            </w:r>
            <w:r>
              <w:rPr>
                <w:rFonts w:hint="eastAsia" w:ascii="Times New Roman" w:hAnsi="Times New Roman" w:cs="Times New Roman"/>
                <w:color w:val="FF0000"/>
                <w:sz w:val="24"/>
                <w:highlight w:val="none"/>
                <w:u w:val="single"/>
                <w:lang w:eastAsia="zh-CN"/>
              </w:rPr>
              <w:t>竹</w:t>
            </w:r>
            <w:r>
              <w:rPr>
                <w:rFonts w:hint="default" w:ascii="Times New Roman" w:hAnsi="Times New Roman" w:cs="Times New Roman"/>
                <w:color w:val="FF0000"/>
                <w:sz w:val="24"/>
                <w:highlight w:val="none"/>
                <w:u w:val="single"/>
              </w:rPr>
              <w:t>质材料发生热分解反应，生产大量的</w:t>
            </w:r>
            <w:r>
              <w:rPr>
                <w:rFonts w:hint="eastAsia" w:ascii="Times New Roman" w:hAnsi="Times New Roman" w:cs="Times New Roman"/>
                <w:color w:val="FF0000"/>
                <w:sz w:val="24"/>
                <w:highlight w:val="none"/>
                <w:u w:val="single"/>
                <w:lang w:eastAsia="zh-CN"/>
              </w:rPr>
              <w:t>竹</w:t>
            </w:r>
            <w:r>
              <w:rPr>
                <w:rFonts w:hint="default" w:ascii="Times New Roman" w:hAnsi="Times New Roman" w:cs="Times New Roman"/>
                <w:color w:val="FF0000"/>
                <w:sz w:val="24"/>
                <w:highlight w:val="none"/>
                <w:u w:val="single"/>
              </w:rPr>
              <w:t>焦油、</w:t>
            </w:r>
            <w:r>
              <w:rPr>
                <w:rFonts w:hint="eastAsia" w:ascii="Times New Roman" w:hAnsi="Times New Roman" w:cs="Times New Roman"/>
                <w:color w:val="FF0000"/>
                <w:sz w:val="24"/>
                <w:highlight w:val="none"/>
                <w:u w:val="single"/>
                <w:lang w:eastAsia="zh-CN"/>
              </w:rPr>
              <w:t>竹</w:t>
            </w:r>
            <w:r>
              <w:rPr>
                <w:rFonts w:hint="default" w:ascii="Times New Roman" w:hAnsi="Times New Roman" w:cs="Times New Roman"/>
                <w:color w:val="FF0000"/>
                <w:sz w:val="24"/>
                <w:highlight w:val="none"/>
                <w:u w:val="single"/>
              </w:rPr>
              <w:t>煤气。</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以上两个阶段都要外界供给热量来保证热解温度的上升，所以又称为吸热分解阶段。</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③全面炭化阶段：这个阶段的温度为</w:t>
            </w:r>
            <w:r>
              <w:rPr>
                <w:rFonts w:hint="eastAsia" w:cs="Times New Roman"/>
                <w:color w:val="000000" w:themeColor="text1"/>
                <w:sz w:val="24"/>
                <w:highlight w:val="none"/>
                <w:lang w:val="en-US" w:eastAsia="zh-CN"/>
                <w14:textFill>
                  <w14:solidFill>
                    <w14:schemeClr w14:val="tx1"/>
                  </w14:solidFill>
                </w14:textFill>
              </w:rPr>
              <w:t>65</w:t>
            </w:r>
            <w:r>
              <w:rPr>
                <w:rFonts w:hint="default" w:ascii="Times New Roman" w:hAnsi="Times New Roman" w:cs="Times New Roman"/>
                <w:color w:val="000000" w:themeColor="text1"/>
                <w:sz w:val="24"/>
                <w:highlight w:val="none"/>
                <w14:textFill>
                  <w14:solidFill>
                    <w14:schemeClr w14:val="tx1"/>
                  </w14:solidFill>
                </w14:textFill>
              </w:rPr>
              <w:t>0℃-</w:t>
            </w:r>
            <w:r>
              <w:rPr>
                <w:rFonts w:hint="eastAsia" w:cs="Times New Roman"/>
                <w:color w:val="000000" w:themeColor="text1"/>
                <w:sz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highlight w:val="none"/>
                <w14:textFill>
                  <w14:solidFill>
                    <w14:schemeClr w14:val="tx1"/>
                  </w14:solidFill>
                </w14:textFill>
              </w:rPr>
              <w:t>00℃，在这阶段中，随着水和有机物蒸汽的析出，剩余物资受热缩合成胶体，同时析出的挥发物减少，胶体逐渐固化和炭化。随着时间延长，碳含量增多，其余元素减少。此过程会产生机</w:t>
            </w:r>
            <w:commentRangeStart w:id="8"/>
            <w:r>
              <w:rPr>
                <w:rFonts w:hint="default" w:ascii="Times New Roman" w:hAnsi="Times New Roman" w:cs="Times New Roman"/>
                <w:color w:val="000000" w:themeColor="text1"/>
                <w:sz w:val="24"/>
                <w:highlight w:val="none"/>
                <w14:textFill>
                  <w14:solidFill>
                    <w14:schemeClr w14:val="tx1"/>
                  </w14:solidFill>
                </w14:textFill>
              </w:rPr>
              <w:t>制竹炭、</w:t>
            </w:r>
            <w:r>
              <w:rPr>
                <w:rFonts w:hint="eastAsia" w:ascii="Times New Roman" w:hAnsi="Times New Roman" w:cs="Times New Roman"/>
                <w:color w:val="000000" w:themeColor="text1"/>
                <w:sz w:val="24"/>
                <w:highlight w:val="none"/>
                <w:lang w:eastAsia="zh-CN"/>
                <w14:textFill>
                  <w14:solidFill>
                    <w14:schemeClr w14:val="tx1"/>
                  </w14:solidFill>
                </w14:textFill>
              </w:rPr>
              <w:t>竹</w:t>
            </w:r>
            <w:r>
              <w:rPr>
                <w:rFonts w:hint="default" w:ascii="Times New Roman" w:hAnsi="Times New Roman" w:cs="Times New Roman"/>
                <w:color w:val="000000" w:themeColor="text1"/>
                <w:sz w:val="24"/>
                <w:highlight w:val="none"/>
                <w14:textFill>
                  <w14:solidFill>
                    <w14:schemeClr w14:val="tx1"/>
                  </w14:solidFill>
                </w14:textFill>
              </w:rPr>
              <w:t>焦油、</w:t>
            </w:r>
            <w:r>
              <w:rPr>
                <w:rFonts w:hint="eastAsia" w:ascii="Times New Roman" w:hAnsi="Times New Roman" w:cs="Times New Roman"/>
                <w:color w:val="000000" w:themeColor="text1"/>
                <w:sz w:val="24"/>
                <w:highlight w:val="none"/>
                <w:lang w:eastAsia="zh-CN"/>
                <w14:textFill>
                  <w14:solidFill>
                    <w14:schemeClr w14:val="tx1"/>
                  </w14:solidFill>
                </w14:textFill>
              </w:rPr>
              <w:t>竹</w:t>
            </w:r>
            <w:r>
              <w:rPr>
                <w:rFonts w:hint="default" w:ascii="Times New Roman" w:hAnsi="Times New Roman" w:cs="Times New Roman"/>
                <w:color w:val="000000" w:themeColor="text1"/>
                <w:sz w:val="24"/>
                <w:highlight w:val="none"/>
                <w14:textFill>
                  <w14:solidFill>
                    <w14:schemeClr w14:val="tx1"/>
                  </w14:solidFill>
                </w14:textFill>
              </w:rPr>
              <w:t>煤气</w:t>
            </w:r>
            <w:commentRangeEnd w:id="8"/>
            <w:r>
              <w:commentReference w:id="8"/>
            </w:r>
            <w:r>
              <w:rPr>
                <w:rFonts w:hint="default" w:ascii="Times New Roman" w:hAnsi="Times New Roman" w:cs="Times New Roman"/>
                <w:color w:val="000000" w:themeColor="text1"/>
                <w:sz w:val="24"/>
                <w:highlight w:val="none"/>
                <w14:textFill>
                  <w14:solidFill>
                    <w14:schemeClr w14:val="tx1"/>
                  </w14:solidFill>
                </w14:textFill>
              </w:rPr>
              <w:t>，机制竹炭是本项目最终产品，</w:t>
            </w:r>
            <w:r>
              <w:rPr>
                <w:rFonts w:hint="eastAsia" w:ascii="Times New Roman" w:hAnsi="Times New Roman" w:cs="Times New Roman"/>
                <w:color w:val="000000" w:themeColor="text1"/>
                <w:sz w:val="24"/>
                <w:highlight w:val="none"/>
                <w:lang w:eastAsia="zh-CN"/>
                <w14:textFill>
                  <w14:solidFill>
                    <w14:schemeClr w14:val="tx1"/>
                  </w14:solidFill>
                </w14:textFill>
              </w:rPr>
              <w:t>竹</w:t>
            </w:r>
            <w:r>
              <w:rPr>
                <w:rFonts w:hint="default" w:ascii="Times New Roman" w:hAnsi="Times New Roman" w:cs="Times New Roman"/>
                <w:color w:val="000000" w:themeColor="text1"/>
                <w:sz w:val="24"/>
                <w:highlight w:val="none"/>
                <w14:textFill>
                  <w14:solidFill>
                    <w14:schemeClr w14:val="tx1"/>
                  </w14:solidFill>
                </w14:textFill>
              </w:rPr>
              <w:t>焦油是一种干烃类、酸类、酯类的复杂混合物，</w:t>
            </w:r>
            <w:r>
              <w:rPr>
                <w:rFonts w:hint="eastAsia" w:ascii="Times New Roman" w:hAnsi="Times New Roman" w:cs="Times New Roman"/>
                <w:color w:val="000000" w:themeColor="text1"/>
                <w:sz w:val="24"/>
                <w:highlight w:val="none"/>
                <w:lang w:eastAsia="zh-CN"/>
                <w14:textFill>
                  <w14:solidFill>
                    <w14:schemeClr w14:val="tx1"/>
                  </w14:solidFill>
                </w14:textFill>
              </w:rPr>
              <w:t>竹</w:t>
            </w:r>
            <w:r>
              <w:rPr>
                <w:rFonts w:hint="default" w:ascii="Times New Roman" w:hAnsi="Times New Roman" w:cs="Times New Roman"/>
                <w:color w:val="000000" w:themeColor="text1"/>
                <w:sz w:val="24"/>
                <w:highlight w:val="none"/>
                <w14:textFill>
                  <w14:solidFill>
                    <w14:schemeClr w14:val="tx1"/>
                  </w14:solidFill>
                </w14:textFill>
              </w:rPr>
              <w:t>煤气主要是一氧化碳、二氧化碳、甲烷、丁烷等。</w:t>
            </w:r>
            <w:r>
              <w:rPr>
                <w:rFonts w:hint="eastAsia" w:cs="Times New Roman"/>
                <w:color w:val="000000" w:themeColor="text1"/>
                <w:sz w:val="24"/>
                <w:highlight w:val="none"/>
                <w:lang w:val="en-US" w:eastAsia="zh-CN"/>
                <w14:textFill>
                  <w14:solidFill>
                    <w14:schemeClr w14:val="tx1"/>
                  </w14:solidFill>
                </w14:textFill>
              </w:rPr>
              <w:t>木焦油沸点为200-220℃，炭化热解温度可达到280-400℃，因此燃烧的主要产物为二氧化碳和水。</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000000" w:themeColor="text1"/>
                <w:sz w:val="24"/>
                <w:highlight w:val="none"/>
                <w:lang w:eastAsia="zh-CN"/>
                <w14:textFill>
                  <w14:solidFill>
                    <w14:schemeClr w14:val="tx1"/>
                  </w14:solidFill>
                </w14:textFill>
              </w:rPr>
            </w:pPr>
            <w:commentRangeStart w:id="9"/>
            <w:commentRangeStart w:id="10"/>
            <w:r>
              <w:rPr>
                <w:rFonts w:hint="default" w:ascii="Times New Roman" w:hAnsi="Times New Roman" w:cs="Times New Roman"/>
                <w:color w:val="FF0000"/>
                <w:sz w:val="24"/>
                <w:highlight w:val="none"/>
                <w:u w:val="single"/>
              </w:rPr>
              <w:t>注：炭化</w:t>
            </w:r>
            <w:r>
              <w:rPr>
                <w:rFonts w:hint="eastAsia" w:ascii="Times New Roman" w:hAnsi="Times New Roman" w:cs="Times New Roman"/>
                <w:color w:val="FF0000"/>
                <w:sz w:val="24"/>
                <w:highlight w:val="none"/>
                <w:u w:val="single"/>
                <w:lang w:eastAsia="zh-CN"/>
              </w:rPr>
              <w:t>窑</w:t>
            </w:r>
            <w:r>
              <w:rPr>
                <w:rFonts w:hint="default" w:ascii="Times New Roman" w:hAnsi="Times New Roman" w:cs="Times New Roman"/>
                <w:color w:val="FF0000"/>
                <w:sz w:val="24"/>
                <w:highlight w:val="none"/>
                <w:u w:val="single"/>
              </w:rPr>
              <w:t>采用小木棒引火，炭化</w:t>
            </w:r>
            <w:r>
              <w:rPr>
                <w:rFonts w:hint="eastAsia" w:ascii="Times New Roman" w:hAnsi="Times New Roman" w:cs="Times New Roman"/>
                <w:color w:val="FF0000"/>
                <w:sz w:val="24"/>
                <w:highlight w:val="none"/>
                <w:u w:val="single"/>
                <w:lang w:eastAsia="zh-CN"/>
              </w:rPr>
              <w:t>窑</w:t>
            </w:r>
            <w:r>
              <w:rPr>
                <w:rFonts w:hint="default" w:ascii="Times New Roman" w:hAnsi="Times New Roman" w:cs="Times New Roman"/>
                <w:color w:val="FF0000"/>
                <w:sz w:val="24"/>
                <w:highlight w:val="none"/>
                <w:u w:val="single"/>
              </w:rPr>
              <w:t>内薪棒会自</w:t>
            </w:r>
            <w:r>
              <w:rPr>
                <w:rFonts w:hint="eastAsia" w:ascii="Times New Roman" w:hAnsi="Times New Roman" w:cs="Times New Roman"/>
                <w:color w:val="FF0000"/>
                <w:sz w:val="24"/>
                <w:highlight w:val="none"/>
                <w:u w:val="single"/>
                <w:lang w:eastAsia="zh-CN"/>
              </w:rPr>
              <w:t>燃</w:t>
            </w:r>
            <w:r>
              <w:rPr>
                <w:rFonts w:hint="default" w:ascii="Times New Roman" w:hAnsi="Times New Roman" w:cs="Times New Roman"/>
                <w:color w:val="FF0000"/>
                <w:sz w:val="24"/>
                <w:highlight w:val="none"/>
                <w:u w:val="single"/>
              </w:rPr>
              <w:t>。本项目不设专用</w:t>
            </w:r>
            <w:r>
              <w:rPr>
                <w:rFonts w:hint="eastAsia" w:ascii="Times New Roman" w:hAnsi="Times New Roman" w:cs="Times New Roman"/>
                <w:color w:val="FF0000"/>
                <w:sz w:val="24"/>
                <w:highlight w:val="none"/>
                <w:u w:val="single"/>
                <w:lang w:eastAsia="zh-CN"/>
              </w:rPr>
              <w:t>竹</w:t>
            </w:r>
            <w:r>
              <w:rPr>
                <w:rFonts w:hint="default" w:ascii="Times New Roman" w:hAnsi="Times New Roman" w:cs="Times New Roman"/>
                <w:color w:val="FF0000"/>
                <w:sz w:val="24"/>
                <w:highlight w:val="none"/>
                <w:u w:val="single"/>
              </w:rPr>
              <w:t>醋液和</w:t>
            </w:r>
            <w:r>
              <w:rPr>
                <w:rFonts w:hint="eastAsia" w:ascii="Times New Roman" w:hAnsi="Times New Roman" w:cs="Times New Roman"/>
                <w:color w:val="FF0000"/>
                <w:sz w:val="24"/>
                <w:highlight w:val="none"/>
                <w:u w:val="single"/>
                <w:lang w:eastAsia="zh-CN"/>
              </w:rPr>
              <w:t>竹</w:t>
            </w:r>
            <w:r>
              <w:rPr>
                <w:rFonts w:hint="default" w:ascii="Times New Roman" w:hAnsi="Times New Roman" w:cs="Times New Roman"/>
                <w:color w:val="FF0000"/>
                <w:sz w:val="24"/>
                <w:highlight w:val="none"/>
                <w:u w:val="single"/>
              </w:rPr>
              <w:t>焦油冷凝回收设施，炭化</w:t>
            </w:r>
            <w:r>
              <w:rPr>
                <w:rFonts w:hint="eastAsia" w:ascii="Times New Roman" w:hAnsi="Times New Roman" w:cs="Times New Roman"/>
                <w:color w:val="FF0000"/>
                <w:sz w:val="24"/>
                <w:highlight w:val="none"/>
                <w:u w:val="single"/>
                <w:lang w:eastAsia="zh-CN"/>
              </w:rPr>
              <w:t>产生</w:t>
            </w:r>
            <w:r>
              <w:rPr>
                <w:rFonts w:hint="default" w:ascii="Times New Roman" w:hAnsi="Times New Roman" w:cs="Times New Roman"/>
                <w:color w:val="FF0000"/>
                <w:sz w:val="24"/>
                <w:highlight w:val="none"/>
                <w:u w:val="single"/>
              </w:rPr>
              <w:t>可燃气直接经管道</w:t>
            </w:r>
            <w:r>
              <w:rPr>
                <w:rFonts w:hint="eastAsia" w:cs="Times New Roman"/>
                <w:color w:val="FF0000"/>
                <w:sz w:val="24"/>
                <w:highlight w:val="none"/>
                <w:u w:val="single"/>
                <w:lang w:val="en-US" w:eastAsia="zh-CN"/>
              </w:rPr>
              <w:t>回用于炭化工序</w:t>
            </w:r>
            <w:r>
              <w:rPr>
                <w:rFonts w:hint="default" w:ascii="Times New Roman" w:hAnsi="Times New Roman" w:cs="Times New Roman"/>
                <w:color w:val="FF0000"/>
                <w:sz w:val="24"/>
                <w:highlight w:val="none"/>
                <w:u w:val="single"/>
              </w:rPr>
              <w:t>，焦油沸点为200~220℃，醋液为低沸点物质，碳化热解过程温度一般为800~900℃，因此碳化过程焦油、醋液等以气态形式存在，</w:t>
            </w:r>
            <w:r>
              <w:rPr>
                <w:rFonts w:hint="eastAsia" w:cs="Times New Roman"/>
                <w:color w:val="FF0000"/>
                <w:sz w:val="24"/>
                <w:highlight w:val="none"/>
                <w:u w:val="single"/>
                <w:lang w:val="en-US" w:eastAsia="zh-CN"/>
              </w:rPr>
              <w:t>竹煤气等（烘干炭化热源）</w:t>
            </w:r>
            <w:r>
              <w:rPr>
                <w:rFonts w:hint="default" w:ascii="Times New Roman" w:hAnsi="Times New Roman" w:cs="Times New Roman"/>
                <w:color w:val="FF0000"/>
                <w:sz w:val="24"/>
                <w:highlight w:val="none"/>
                <w:u w:val="single"/>
              </w:rPr>
              <w:t>经收集后送烘干炉进行高温焚烧，其化学反应式：CnHnOn+O</w:t>
            </w:r>
            <w:r>
              <w:rPr>
                <w:rFonts w:hint="default" w:ascii="Times New Roman" w:hAnsi="Times New Roman" w:cs="Times New Roman"/>
                <w:color w:val="FF0000"/>
                <w:sz w:val="24"/>
                <w:highlight w:val="none"/>
                <w:u w:val="single"/>
                <w:vertAlign w:val="subscript"/>
              </w:rPr>
              <w:t>2</w:t>
            </w:r>
            <w:r>
              <w:rPr>
                <w:rFonts w:hint="default" w:ascii="Times New Roman" w:hAnsi="Times New Roman" w:cs="Times New Roman"/>
                <w:color w:val="FF0000"/>
                <w:sz w:val="24"/>
                <w:highlight w:val="none"/>
                <w:u w:val="single"/>
              </w:rPr>
              <w:t xml:space="preserve"> =CO</w:t>
            </w:r>
            <w:r>
              <w:rPr>
                <w:rFonts w:hint="default" w:ascii="Times New Roman" w:hAnsi="Times New Roman" w:cs="Times New Roman"/>
                <w:color w:val="FF0000"/>
                <w:sz w:val="24"/>
                <w:highlight w:val="none"/>
                <w:u w:val="single"/>
                <w:vertAlign w:val="subscript"/>
              </w:rPr>
              <w:t>2</w:t>
            </w:r>
            <w:r>
              <w:rPr>
                <w:rFonts w:hint="default" w:ascii="Times New Roman" w:hAnsi="Times New Roman" w:cs="Times New Roman"/>
                <w:color w:val="FF0000"/>
                <w:sz w:val="24"/>
                <w:highlight w:val="none"/>
                <w:u w:val="single"/>
              </w:rPr>
              <w:t>+H</w:t>
            </w:r>
            <w:r>
              <w:rPr>
                <w:rFonts w:hint="default" w:ascii="Times New Roman" w:hAnsi="Times New Roman" w:cs="Times New Roman"/>
                <w:color w:val="FF0000"/>
                <w:sz w:val="24"/>
                <w:highlight w:val="none"/>
                <w:u w:val="single"/>
                <w:vertAlign w:val="subscript"/>
              </w:rPr>
              <w:t>2</w:t>
            </w:r>
            <w:r>
              <w:rPr>
                <w:rFonts w:hint="default" w:ascii="Times New Roman" w:hAnsi="Times New Roman" w:cs="Times New Roman"/>
                <w:color w:val="FF0000"/>
                <w:sz w:val="24"/>
                <w:highlight w:val="none"/>
                <w:u w:val="single"/>
              </w:rPr>
              <w:t>O，其生成物为CO</w:t>
            </w:r>
            <w:r>
              <w:rPr>
                <w:rFonts w:hint="default" w:ascii="Times New Roman" w:hAnsi="Times New Roman" w:cs="Times New Roman"/>
                <w:color w:val="FF0000"/>
                <w:sz w:val="24"/>
                <w:highlight w:val="none"/>
                <w:u w:val="single"/>
                <w:vertAlign w:val="subscript"/>
              </w:rPr>
              <w:t>2</w:t>
            </w:r>
            <w:r>
              <w:rPr>
                <w:rFonts w:hint="default" w:ascii="Times New Roman" w:hAnsi="Times New Roman" w:cs="Times New Roman"/>
                <w:color w:val="FF0000"/>
                <w:sz w:val="24"/>
                <w:highlight w:val="none"/>
                <w:u w:val="single"/>
              </w:rPr>
              <w:t>和H</w:t>
            </w:r>
            <w:r>
              <w:rPr>
                <w:rFonts w:hint="default" w:ascii="Times New Roman" w:hAnsi="Times New Roman" w:cs="Times New Roman"/>
                <w:color w:val="FF0000"/>
                <w:sz w:val="24"/>
                <w:highlight w:val="none"/>
                <w:u w:val="single"/>
                <w:vertAlign w:val="subscript"/>
              </w:rPr>
              <w:t>2</w:t>
            </w:r>
            <w:r>
              <w:rPr>
                <w:rFonts w:hint="default" w:ascii="Times New Roman" w:hAnsi="Times New Roman" w:cs="Times New Roman"/>
                <w:color w:val="FF0000"/>
                <w:sz w:val="24"/>
                <w:highlight w:val="none"/>
                <w:u w:val="single"/>
              </w:rPr>
              <w:t>O。所以炭化烟气高温氧化后的碳排放为零，而水蒸汽对环境没有任何污染，所以炭化烟气高温氧化后，其排放的尾气对环境没有污染</w:t>
            </w:r>
            <w:r>
              <w:rPr>
                <w:rFonts w:hint="eastAsia" w:cs="Times New Roman"/>
                <w:color w:val="FF0000"/>
                <w:sz w:val="24"/>
                <w:highlight w:val="none"/>
                <w:u w:val="singl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FF0000"/>
                <w:sz w:val="24"/>
                <w:highlight w:val="none"/>
                <w:u w:val="single"/>
              </w:rPr>
              <w:t>本项目窑内炭化进行全封闭</w:t>
            </w:r>
            <w:r>
              <w:rPr>
                <w:rFonts w:hint="eastAsia" w:cs="Times New Roman"/>
                <w:color w:val="FF0000"/>
                <w:sz w:val="24"/>
                <w:highlight w:val="none"/>
                <w:u w:val="single"/>
                <w:lang w:val="en-US" w:eastAsia="zh-CN"/>
              </w:rPr>
              <w:t>1</w:t>
            </w:r>
            <w:r>
              <w:rPr>
                <w:rFonts w:hint="default" w:ascii="Times New Roman" w:hAnsi="Times New Roman" w:cs="Times New Roman"/>
                <w:color w:val="FF0000"/>
                <w:sz w:val="24"/>
                <w:highlight w:val="none"/>
                <w:u w:val="single"/>
              </w:rPr>
              <w:t>天，冷却</w:t>
            </w:r>
            <w:r>
              <w:rPr>
                <w:rFonts w:hint="eastAsia" w:cs="Times New Roman"/>
                <w:color w:val="FF0000"/>
                <w:sz w:val="24"/>
                <w:highlight w:val="none"/>
                <w:u w:val="single"/>
                <w:lang w:val="en-US" w:eastAsia="zh-CN"/>
              </w:rPr>
              <w:t>8小时</w:t>
            </w:r>
            <w:r>
              <w:rPr>
                <w:rFonts w:hint="default" w:ascii="Times New Roman" w:hAnsi="Times New Roman" w:cs="Times New Roman"/>
                <w:color w:val="FF0000"/>
                <w:sz w:val="24"/>
                <w:highlight w:val="none"/>
                <w:u w:val="single"/>
              </w:rPr>
              <w:t>，</w:t>
            </w:r>
            <w:r>
              <w:rPr>
                <w:rFonts w:hint="eastAsia" w:cs="Times New Roman"/>
                <w:color w:val="FF0000"/>
                <w:sz w:val="24"/>
                <w:highlight w:val="none"/>
                <w:u w:val="single"/>
                <w:lang w:val="en-US" w:eastAsia="zh-CN"/>
              </w:rPr>
              <w:t>一体化设备内设2个炭化窑，当1个窑运行时，另一个窑的产品处于冷却阶段，冷却后随即</w:t>
            </w:r>
            <w:r>
              <w:rPr>
                <w:rFonts w:hint="default" w:ascii="Times New Roman" w:hAnsi="Times New Roman" w:cs="Times New Roman"/>
                <w:color w:val="FF0000"/>
                <w:sz w:val="24"/>
                <w:highlight w:val="none"/>
                <w:u w:val="single"/>
              </w:rPr>
              <w:t>出窑成炭</w:t>
            </w:r>
            <w:r>
              <w:rPr>
                <w:rFonts w:hint="eastAsia" w:cs="Times New Roman"/>
                <w:color w:val="FF0000"/>
                <w:sz w:val="24"/>
                <w:highlight w:val="none"/>
                <w:u w:val="single"/>
                <w:lang w:val="en-US" w:eastAsia="zh-CN"/>
              </w:rPr>
              <w:t>成品</w:t>
            </w:r>
            <w:r>
              <w:rPr>
                <w:rFonts w:hint="default" w:ascii="Times New Roman" w:hAnsi="Times New Roman" w:cs="Times New Roman"/>
                <w:color w:val="FF0000"/>
                <w:sz w:val="24"/>
                <w:highlight w:val="none"/>
                <w:u w:val="single"/>
              </w:rPr>
              <w:t>。</w:t>
            </w:r>
            <w:commentRangeEnd w:id="9"/>
            <w:r>
              <w:commentReference w:id="9"/>
            </w:r>
            <w:commentRangeEnd w:id="10"/>
            <w:r>
              <w:commentReference w:id="10"/>
            </w:r>
          </w:p>
          <w:p>
            <w:pPr>
              <w:adjustRightInd w:val="0"/>
              <w:snapToGrid w:val="0"/>
              <w:spacing w:line="360" w:lineRule="auto"/>
              <w:ind w:firstLine="480" w:firstLineChars="200"/>
              <w:rPr>
                <w:rFonts w:hint="eastAsia" w:ascii="宋体" w:hAnsi="宋体"/>
                <w:bCs/>
                <w:sz w:val="24"/>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7</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包装：成品出窑后包装、出售。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r>
              <w:rPr>
                <w:rFonts w:hint="eastAsia"/>
                <w:color w:val="FF0000"/>
                <w:sz w:val="24"/>
                <w:szCs w:val="24"/>
                <w:u w:val="single"/>
                <w:lang w:val="en-US" w:eastAsia="zh-CN"/>
              </w:rPr>
              <w:drawing>
                <wp:anchor distT="0" distB="0" distL="114300" distR="114300" simplePos="0" relativeHeight="251660288" behindDoc="1" locked="0" layoutInCell="1" allowOverlap="1">
                  <wp:simplePos x="0" y="0"/>
                  <wp:positionH relativeFrom="column">
                    <wp:posOffset>151130</wp:posOffset>
                  </wp:positionH>
                  <wp:positionV relativeFrom="paragraph">
                    <wp:posOffset>-40640</wp:posOffset>
                  </wp:positionV>
                  <wp:extent cx="4843145" cy="2260600"/>
                  <wp:effectExtent l="0" t="0" r="0" b="0"/>
                  <wp:wrapNone/>
                  <wp:docPr id="3" name="图片 3" descr="衡东竹木工艺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衡东竹木工艺流程-2"/>
                          <pic:cNvPicPr>
                            <a:picLocks noChangeAspect="1"/>
                          </pic:cNvPicPr>
                        </pic:nvPicPr>
                        <pic:blipFill>
                          <a:blip r:embed="rId14"/>
                          <a:stretch>
                            <a:fillRect/>
                          </a:stretch>
                        </pic:blipFill>
                        <pic:spPr>
                          <a:xfrm>
                            <a:off x="0" y="0"/>
                            <a:ext cx="4843145" cy="2260600"/>
                          </a:xfrm>
                          <a:prstGeom prst="rect">
                            <a:avLst/>
                          </a:prstGeom>
                        </pic:spPr>
                      </pic:pic>
                    </a:graphicData>
                  </a:graphic>
                </wp:anchor>
              </w:drawing>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jc w:val="center"/>
              <w:textAlignment w:val="auto"/>
              <w:outlineLvl w:val="9"/>
              <w:rPr>
                <w:rFonts w:hint="eastAsia"/>
                <w:b/>
                <w:bCs/>
                <w:color w:val="FF0000"/>
                <w:sz w:val="21"/>
                <w:szCs w:val="21"/>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jc w:val="center"/>
              <w:textAlignment w:val="auto"/>
              <w:outlineLvl w:val="9"/>
              <w:rPr>
                <w:rFonts w:hint="eastAsia"/>
                <w:b/>
                <w:bCs/>
                <w:color w:val="FF0000"/>
                <w:sz w:val="21"/>
                <w:szCs w:val="21"/>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jc w:val="center"/>
              <w:textAlignment w:val="auto"/>
              <w:outlineLvl w:val="9"/>
              <w:rPr>
                <w:rFonts w:hint="eastAsia"/>
                <w:b/>
                <w:bCs/>
                <w:color w:val="FF0000"/>
                <w:sz w:val="21"/>
                <w:szCs w:val="21"/>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jc w:val="center"/>
              <w:textAlignment w:val="auto"/>
              <w:outlineLvl w:val="9"/>
              <w:rPr>
                <w:rFonts w:hint="eastAsia"/>
                <w:b/>
                <w:bCs/>
                <w:color w:val="FF0000"/>
                <w:sz w:val="21"/>
                <w:szCs w:val="21"/>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jc w:val="center"/>
              <w:textAlignment w:val="auto"/>
              <w:outlineLvl w:val="9"/>
              <w:rPr>
                <w:rFonts w:hint="eastAsia"/>
                <w:b/>
                <w:bCs/>
                <w:color w:val="FF0000"/>
                <w:sz w:val="21"/>
                <w:szCs w:val="21"/>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jc w:val="center"/>
              <w:textAlignment w:val="auto"/>
              <w:outlineLvl w:val="9"/>
              <w:rPr>
                <w:rFonts w:hint="default"/>
                <w:b/>
                <w:bCs/>
                <w:color w:val="FF0000"/>
                <w:sz w:val="21"/>
                <w:szCs w:val="21"/>
                <w:u w:val="single"/>
                <w:lang w:val="en-US" w:eastAsia="zh-CN"/>
              </w:rPr>
            </w:pPr>
            <w:r>
              <w:rPr>
                <w:rFonts w:hint="eastAsia"/>
                <w:b/>
                <w:bCs/>
                <w:color w:val="FF0000"/>
                <w:sz w:val="21"/>
                <w:szCs w:val="21"/>
                <w:u w:val="single"/>
                <w:lang w:val="en-US" w:eastAsia="zh-CN"/>
              </w:rPr>
              <w:t>图2-3  竹制半成品工艺流程及产污节点图</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color w:val="FF0000"/>
                <w:sz w:val="24"/>
                <w:szCs w:val="24"/>
                <w:u w:val="single"/>
                <w:lang w:val="en-US" w:eastAsia="zh-CN"/>
              </w:rPr>
            </w:pPr>
            <w:r>
              <w:rPr>
                <w:rFonts w:hint="eastAsia"/>
                <w:color w:val="FF0000"/>
                <w:sz w:val="24"/>
                <w:szCs w:val="24"/>
                <w:u w:val="single"/>
                <w:lang w:val="en-US" w:eastAsia="zh-CN"/>
              </w:rPr>
              <w:t>竹制半成品：</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u w:val="single"/>
                <w:lang w:val="en-US" w:eastAsia="zh-CN"/>
              </w:rPr>
            </w:pPr>
            <w:r>
              <w:rPr>
                <w:rFonts w:hint="eastAsia"/>
                <w:color w:val="FF0000"/>
                <w:sz w:val="24"/>
                <w:szCs w:val="24"/>
                <w:u w:val="single"/>
                <w:lang w:val="en-US" w:eastAsia="zh-CN"/>
              </w:rPr>
              <w:t>原材料进行分选拉丝后，选出的拉丝料作为筷子，牙签的半成品，部分拉丝料根据客户需要进行烘干，其余半成品直接外售。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FF0000"/>
                <w:sz w:val="24"/>
                <w:highlight w:val="yellow"/>
                <w:u w:val="single"/>
                <w:lang w:val="en-US" w:eastAsia="zh-CN"/>
              </w:rPr>
              <w:t>竹煤气等（烘干炭化热源）</w:t>
            </w:r>
            <w:r>
              <w:rPr>
                <w:rFonts w:hint="default" w:ascii="Times New Roman" w:hAnsi="Times New Roman" w:cs="Times New Roman"/>
                <w:color w:val="FF0000"/>
                <w:sz w:val="24"/>
                <w:highlight w:val="none"/>
                <w:u w:val="single"/>
              </w:rPr>
              <w:t>通过</w:t>
            </w:r>
            <w:r>
              <w:rPr>
                <w:rFonts w:hint="eastAsia" w:cs="Times New Roman"/>
                <w:color w:val="FF0000"/>
                <w:sz w:val="24"/>
                <w:highlight w:val="yellow"/>
                <w:u w:val="single"/>
                <w:lang w:val="en-US" w:eastAsia="zh-CN"/>
              </w:rPr>
              <w:t>烘干炭化一体化设备</w:t>
            </w:r>
            <w:r>
              <w:rPr>
                <w:rFonts w:hint="eastAsia" w:cs="Times New Roman"/>
                <w:color w:val="FF0000"/>
                <w:sz w:val="24"/>
                <w:highlight w:val="none"/>
                <w:u w:val="single"/>
                <w:lang w:val="en-US" w:eastAsia="zh-CN"/>
              </w:rPr>
              <w:t>的</w:t>
            </w:r>
            <w:r>
              <w:rPr>
                <w:rFonts w:hint="default" w:ascii="Times New Roman" w:hAnsi="Times New Roman" w:cs="Times New Roman"/>
                <w:color w:val="FF0000"/>
                <w:sz w:val="24"/>
                <w:highlight w:val="none"/>
                <w:u w:val="single"/>
              </w:rPr>
              <w:t>管道进</w:t>
            </w:r>
            <w:r>
              <w:rPr>
                <w:rFonts w:hint="eastAsia" w:cs="Times New Roman"/>
                <w:color w:val="FF0000"/>
                <w:sz w:val="24"/>
                <w:highlight w:val="none"/>
                <w:u w:val="single"/>
                <w:lang w:val="en-US" w:eastAsia="zh-CN"/>
              </w:rPr>
              <w:t>入烘干阶段</w:t>
            </w:r>
            <w:r>
              <w:rPr>
                <w:rFonts w:hint="default" w:ascii="Times New Roman" w:hAnsi="Times New Roman" w:cs="Times New Roman"/>
                <w:color w:val="FF0000"/>
                <w:sz w:val="24"/>
                <w:highlight w:val="none"/>
                <w:u w:val="single"/>
              </w:rPr>
              <w:t>，</w:t>
            </w:r>
            <w:r>
              <w:rPr>
                <w:rFonts w:hint="eastAsia"/>
                <w:color w:val="FF0000"/>
                <w:sz w:val="24"/>
                <w:szCs w:val="24"/>
                <w:u w:val="single"/>
                <w:lang w:val="en-US" w:eastAsia="zh-CN"/>
              </w:rPr>
              <w:t>其通过专用管道进入到烘干房内进行间接加热，</w:t>
            </w:r>
            <w:r>
              <w:rPr>
                <w:rFonts w:hint="default" w:ascii="Times New Roman" w:hAnsi="Times New Roman" w:cs="Times New Roman"/>
                <w:color w:val="FF0000"/>
                <w:sz w:val="24"/>
                <w:highlight w:val="none"/>
                <w:u w:val="single"/>
              </w:rPr>
              <w:t>产生高温气流用于</w:t>
            </w:r>
            <w:r>
              <w:rPr>
                <w:rFonts w:hint="eastAsia" w:cs="Times New Roman"/>
                <w:color w:val="FF0000"/>
                <w:sz w:val="24"/>
                <w:highlight w:val="none"/>
                <w:u w:val="single"/>
                <w:lang w:val="en-US" w:eastAsia="zh-CN"/>
              </w:rPr>
              <w:t>竹制半成品</w:t>
            </w:r>
            <w:r>
              <w:rPr>
                <w:rFonts w:hint="default" w:ascii="Times New Roman" w:hAnsi="Times New Roman" w:cs="Times New Roman"/>
                <w:color w:val="FF0000"/>
                <w:sz w:val="24"/>
                <w:highlight w:val="none"/>
                <w:u w:val="single"/>
              </w:rPr>
              <w:t>的原料烘干</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color w:val="FF0000"/>
                <w:sz w:val="24"/>
                <w:szCs w:val="24"/>
                <w:u w:val="single"/>
                <w:lang w:val="en-US" w:eastAsia="zh-CN"/>
              </w:rPr>
              <w:t>气体经管道循环后回到一体化烘干炭化设备中，再经静电除尘+布袋除尘设备处理后排放。</w:t>
            </w:r>
            <w:r>
              <w:rPr>
                <w:rFonts w:hint="default" w:ascii="Times New Roman" w:hAnsi="Times New Roman" w:cs="Times New Roman"/>
                <w:color w:val="000000" w:themeColor="text1"/>
                <w:sz w:val="24"/>
                <w:highlight w:val="none"/>
                <w14:textFill>
                  <w14:solidFill>
                    <w14:schemeClr w14:val="tx1"/>
                  </w14:solidFill>
                </w14:textFill>
              </w:rPr>
              <w:t>当</w:t>
            </w:r>
            <w:r>
              <w:rPr>
                <w:rFonts w:hint="eastAsia" w:cs="Times New Roman"/>
                <w:color w:val="000000" w:themeColor="text1"/>
                <w:sz w:val="24"/>
                <w:highlight w:val="none"/>
                <w:lang w:val="en-US" w:eastAsia="zh-CN"/>
                <w14:textFill>
                  <w14:solidFill>
                    <w14:schemeClr w14:val="tx1"/>
                  </w14:solidFill>
                </w14:textFill>
              </w:rPr>
              <w:t>炭化废气</w:t>
            </w:r>
            <w:r>
              <w:rPr>
                <w:rFonts w:hint="default" w:ascii="Times New Roman" w:hAnsi="Times New Roman" w:cs="Times New Roman"/>
                <w:color w:val="000000" w:themeColor="text1"/>
                <w:sz w:val="24"/>
                <w:highlight w:val="none"/>
                <w14:textFill>
                  <w14:solidFill>
                    <w14:schemeClr w14:val="tx1"/>
                  </w14:solidFill>
                </w14:textFill>
              </w:rPr>
              <w:t>供应量不够时，</w:t>
            </w:r>
            <w:r>
              <w:rPr>
                <w:rFonts w:hint="eastAsia" w:cs="Times New Roman"/>
                <w:color w:val="000000" w:themeColor="text1"/>
                <w:sz w:val="24"/>
                <w:highlight w:val="none"/>
                <w:lang w:val="en-US" w:eastAsia="zh-CN"/>
                <w14:textFill>
                  <w14:solidFill>
                    <w14:schemeClr w14:val="tx1"/>
                  </w14:solidFill>
                </w14:textFill>
              </w:rPr>
              <w:t>烘干机</w:t>
            </w:r>
            <w:r>
              <w:rPr>
                <w:rFonts w:hint="default" w:ascii="Times New Roman" w:hAnsi="Times New Roman" w:cs="Times New Roman"/>
                <w:color w:val="000000" w:themeColor="text1"/>
                <w:sz w:val="24"/>
                <w:highlight w:val="none"/>
                <w14:textFill>
                  <w14:solidFill>
                    <w14:schemeClr w14:val="tx1"/>
                  </w14:solidFill>
                </w14:textFill>
              </w:rPr>
              <w:t>采用</w:t>
            </w:r>
            <w:r>
              <w:rPr>
                <w:rFonts w:hint="eastAsia" w:cs="Times New Roman"/>
                <w:color w:val="000000" w:themeColor="text1"/>
                <w:sz w:val="24"/>
                <w:highlight w:val="none"/>
                <w:lang w:val="en-US" w:eastAsia="zh-CN"/>
                <w14:textFill>
                  <w14:solidFill>
                    <w14:schemeClr w14:val="tx1"/>
                  </w14:solidFill>
                </w14:textFill>
              </w:rPr>
              <w:t>竹条、竹片等</w:t>
            </w:r>
            <w:r>
              <w:rPr>
                <w:rFonts w:hint="default" w:ascii="Times New Roman" w:hAnsi="Times New Roman" w:cs="Times New Roman"/>
                <w:color w:val="000000" w:themeColor="text1"/>
                <w:sz w:val="24"/>
                <w:highlight w:val="none"/>
                <w14:textFill>
                  <w14:solidFill>
                    <w14:schemeClr w14:val="tx1"/>
                  </w14:solidFill>
                </w14:textFill>
              </w:rPr>
              <w:t>燃料燃烧产生高温气流，用于烘</w:t>
            </w:r>
            <w:r>
              <w:rPr>
                <w:rFonts w:hint="eastAsia" w:cs="Times New Roman"/>
                <w:color w:val="000000" w:themeColor="text1"/>
                <w:sz w:val="24"/>
                <w:highlight w:val="none"/>
                <w:lang w:val="en-US" w:eastAsia="zh-CN"/>
                <w14:textFill>
                  <w14:solidFill>
                    <w14:schemeClr w14:val="tx1"/>
                  </w14:solidFill>
                </w14:textFill>
              </w:rPr>
              <w:t>干</w:t>
            </w:r>
            <w:r>
              <w:rPr>
                <w:rFonts w:hint="default" w:ascii="Times New Roman" w:hAnsi="Times New Roman" w:cs="Times New Roman"/>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bCs/>
                <w:color w:val="FF0000"/>
                <w:sz w:val="24"/>
                <w:highlight w:val="yellow"/>
                <w:u w:val="single"/>
              </w:rPr>
            </w:pPr>
            <w:r>
              <w:rPr>
                <w:rFonts w:hint="eastAsia" w:ascii="宋体" w:hAnsi="宋体"/>
                <w:bCs/>
                <w:color w:val="FF0000"/>
                <w:sz w:val="24"/>
                <w:highlight w:val="yellow"/>
                <w:u w:val="single"/>
                <w:lang w:val="en-US" w:eastAsia="zh-CN"/>
              </w:rPr>
              <w:t>注：本项目使用的一体化烘干炭化设备</w:t>
            </w:r>
            <w:r>
              <w:rPr>
                <w:rFonts w:hint="eastAsia" w:ascii="宋体" w:hAnsi="宋体"/>
                <w:bCs/>
                <w:color w:val="FF0000"/>
                <w:sz w:val="24"/>
                <w:highlight w:val="yellow"/>
                <w:u w:val="single"/>
                <w:lang w:eastAsia="zh-CN"/>
              </w:rPr>
              <w:t>在生产过程中，可能产生泄漏的地方设置通风系统</w:t>
            </w:r>
            <w:r>
              <w:rPr>
                <w:rFonts w:hint="eastAsia" w:ascii="宋体" w:hAnsi="宋体"/>
                <w:bCs/>
                <w:color w:val="FF0000"/>
                <w:sz w:val="24"/>
                <w:highlight w:val="yellow"/>
                <w:u w:val="single"/>
                <w:lang w:val="en-US" w:eastAsia="zh-CN"/>
              </w:rPr>
              <w:t>和自动断电系统（超过设定温度时自动断电）</w:t>
            </w:r>
            <w:r>
              <w:rPr>
                <w:rFonts w:hint="eastAsia" w:ascii="宋体" w:hAnsi="宋体"/>
                <w:bCs/>
                <w:color w:val="FF0000"/>
                <w:sz w:val="24"/>
                <w:highlight w:val="yellow"/>
                <w:u w:val="single"/>
                <w:lang w:eastAsia="zh-CN"/>
              </w:rPr>
              <w:t>，符合安全的要求。同时在</w:t>
            </w:r>
            <w:r>
              <w:rPr>
                <w:rFonts w:hint="eastAsia" w:ascii="宋体" w:hAnsi="宋体"/>
                <w:bCs/>
                <w:color w:val="FF0000"/>
                <w:sz w:val="24"/>
                <w:highlight w:val="yellow"/>
                <w:u w:val="single"/>
                <w:lang w:val="en-US" w:eastAsia="zh-CN"/>
              </w:rPr>
              <w:t>设备的</w:t>
            </w:r>
            <w:r>
              <w:rPr>
                <w:rFonts w:hint="eastAsia" w:ascii="宋体" w:hAnsi="宋体"/>
                <w:bCs/>
                <w:color w:val="FF0000"/>
                <w:sz w:val="24"/>
                <w:highlight w:val="yellow"/>
                <w:u w:val="single"/>
                <w:lang w:eastAsia="zh-CN"/>
              </w:rPr>
              <w:t>总阀门处设置防火安全警示标志，并经常检查阀门的性能，能否灵活开关，保证在发生泄漏事故时能及时截断气源，同时企业应与</w:t>
            </w:r>
            <w:r>
              <w:rPr>
                <w:rFonts w:hint="eastAsia" w:ascii="宋体" w:hAnsi="宋体"/>
                <w:bCs/>
                <w:color w:val="FF0000"/>
                <w:sz w:val="24"/>
                <w:highlight w:val="yellow"/>
                <w:u w:val="single"/>
                <w:lang w:val="en-US" w:eastAsia="zh-CN"/>
              </w:rPr>
              <w:t>设备厂家</w:t>
            </w:r>
            <w:r>
              <w:rPr>
                <w:rFonts w:hint="eastAsia" w:ascii="宋体" w:hAnsi="宋体"/>
                <w:bCs/>
                <w:color w:val="FF0000"/>
                <w:sz w:val="24"/>
                <w:highlight w:val="yellow"/>
                <w:u w:val="single"/>
                <w:lang w:eastAsia="zh-CN"/>
              </w:rPr>
              <w:t>保持通信畅通，一旦发生泄漏可及时联系</w:t>
            </w:r>
            <w:r>
              <w:rPr>
                <w:rFonts w:hint="eastAsia" w:ascii="宋体" w:hAnsi="宋体"/>
                <w:bCs/>
                <w:color w:val="FF0000"/>
                <w:sz w:val="24"/>
                <w:highlight w:val="yellow"/>
                <w:u w:val="single"/>
                <w:lang w:val="en-US" w:eastAsia="zh-CN"/>
              </w:rPr>
              <w:t>设备厂家</w:t>
            </w:r>
            <w:r>
              <w:rPr>
                <w:rFonts w:hint="eastAsia" w:ascii="宋体" w:hAnsi="宋体"/>
                <w:bCs/>
                <w:color w:val="FF0000"/>
                <w:sz w:val="24"/>
                <w:highlight w:val="yellow"/>
                <w:u w:val="single"/>
                <w:lang w:eastAsia="zh-CN"/>
              </w:rPr>
              <w:t>，及时抢修。</w:t>
            </w:r>
          </w:p>
          <w:p>
            <w:pPr>
              <w:adjustRightInd w:val="0"/>
              <w:snapToGrid w:val="0"/>
              <w:spacing w:line="360" w:lineRule="auto"/>
              <w:ind w:firstLine="480" w:firstLineChars="200"/>
            </w:pPr>
            <w:r>
              <w:rPr>
                <w:rFonts w:hint="eastAsia" w:ascii="宋体" w:hAnsi="宋体"/>
                <w:bCs/>
                <w:sz w:val="24"/>
              </w:rPr>
              <w:t>本项目产污情况见下表所示。</w:t>
            </w:r>
          </w:p>
          <w:p>
            <w:pPr>
              <w:adjustRightInd w:val="0"/>
              <w:snapToGrid w:val="0"/>
              <w:ind w:firstLine="422" w:firstLineChars="200"/>
              <w:jc w:val="center"/>
              <w:rPr>
                <w:rFonts w:ascii="宋体" w:hAnsi="宋体"/>
                <w:bCs/>
                <w:color w:val="000000" w:themeColor="text1"/>
                <w:szCs w:val="21"/>
                <w14:textFill>
                  <w14:solidFill>
                    <w14:schemeClr w14:val="tx1"/>
                  </w14:solidFill>
                </w14:textFill>
              </w:rPr>
            </w:pPr>
            <w:r>
              <w:rPr>
                <w:b/>
                <w:color w:val="000000" w:themeColor="text1"/>
                <w:szCs w:val="21"/>
                <w14:textFill>
                  <w14:solidFill>
                    <w14:schemeClr w14:val="tx1"/>
                  </w14:solidFill>
                </w14:textFill>
              </w:rPr>
              <w:t>表2-</w:t>
            </w:r>
            <w:r>
              <w:rPr>
                <w:rFonts w:hint="eastAsia"/>
                <w:b/>
                <w:color w:val="000000" w:themeColor="text1"/>
                <w:szCs w:val="21"/>
                <w14:textFill>
                  <w14:solidFill>
                    <w14:schemeClr w14:val="tx1"/>
                  </w14:solidFill>
                </w14:textFill>
              </w:rPr>
              <w:t>7</w:t>
            </w:r>
            <w:r>
              <w:rPr>
                <w:b/>
                <w:color w:val="000000" w:themeColor="text1"/>
                <w:szCs w:val="21"/>
                <w14:textFill>
                  <w14:solidFill>
                    <w14:schemeClr w14:val="tx1"/>
                  </w14:solidFill>
                </w14:textFill>
              </w:rPr>
              <w:t xml:space="preserve">  项目主要产污工序及污染物一览表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485"/>
              <w:gridCol w:w="2547"/>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adjustRightInd w:val="0"/>
                    <w:snapToGrid w:val="0"/>
                    <w:jc w:val="center"/>
                    <w:rPr>
                      <w:bCs/>
                      <w:szCs w:val="21"/>
                    </w:rPr>
                  </w:pPr>
                  <w:r>
                    <w:rPr>
                      <w:bCs/>
                      <w:szCs w:val="21"/>
                    </w:rPr>
                    <w:t>项目</w:t>
                  </w:r>
                </w:p>
              </w:tc>
              <w:tc>
                <w:tcPr>
                  <w:tcW w:w="905" w:type="pct"/>
                  <w:vAlign w:val="center"/>
                </w:tcPr>
                <w:p>
                  <w:pPr>
                    <w:adjustRightInd w:val="0"/>
                    <w:snapToGrid w:val="0"/>
                    <w:jc w:val="center"/>
                    <w:rPr>
                      <w:bCs/>
                      <w:szCs w:val="21"/>
                    </w:rPr>
                  </w:pPr>
                  <w:r>
                    <w:rPr>
                      <w:bCs/>
                      <w:szCs w:val="21"/>
                    </w:rPr>
                    <w:t>污染物</w:t>
                  </w:r>
                </w:p>
              </w:tc>
              <w:tc>
                <w:tcPr>
                  <w:tcW w:w="1552" w:type="pct"/>
                  <w:vAlign w:val="center"/>
                </w:tcPr>
                <w:p>
                  <w:pPr>
                    <w:adjustRightInd w:val="0"/>
                    <w:snapToGrid w:val="0"/>
                    <w:jc w:val="center"/>
                    <w:rPr>
                      <w:bCs/>
                      <w:szCs w:val="21"/>
                    </w:rPr>
                  </w:pPr>
                  <w:r>
                    <w:rPr>
                      <w:bCs/>
                      <w:szCs w:val="21"/>
                    </w:rPr>
                    <w:t>产污环节</w:t>
                  </w:r>
                </w:p>
              </w:tc>
              <w:tc>
                <w:tcPr>
                  <w:tcW w:w="2154" w:type="pct"/>
                  <w:vAlign w:val="center"/>
                </w:tcPr>
                <w:p>
                  <w:pPr>
                    <w:adjustRightInd w:val="0"/>
                    <w:snapToGrid w:val="0"/>
                    <w:jc w:val="center"/>
                    <w:rPr>
                      <w:bCs/>
                      <w:szCs w:val="21"/>
                    </w:rPr>
                  </w:pPr>
                  <w:r>
                    <w:rPr>
                      <w:bCs/>
                      <w:szCs w:val="21"/>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adjustRightInd w:val="0"/>
                    <w:snapToGrid w:val="0"/>
                    <w:jc w:val="center"/>
                    <w:rPr>
                      <w:bCs/>
                      <w:szCs w:val="21"/>
                    </w:rPr>
                  </w:pPr>
                  <w:r>
                    <w:rPr>
                      <w:bCs/>
                      <w:szCs w:val="21"/>
                    </w:rPr>
                    <w:t>废水</w:t>
                  </w:r>
                </w:p>
              </w:tc>
              <w:tc>
                <w:tcPr>
                  <w:tcW w:w="905" w:type="pct"/>
                  <w:vAlign w:val="center"/>
                </w:tcPr>
                <w:p>
                  <w:pPr>
                    <w:adjustRightInd w:val="0"/>
                    <w:snapToGrid w:val="0"/>
                    <w:jc w:val="center"/>
                    <w:rPr>
                      <w:bCs/>
                      <w:szCs w:val="21"/>
                    </w:rPr>
                  </w:pPr>
                  <w:r>
                    <w:rPr>
                      <w:rFonts w:hint="eastAsia"/>
                      <w:bCs/>
                      <w:szCs w:val="21"/>
                    </w:rPr>
                    <w:t>生活污水</w:t>
                  </w:r>
                </w:p>
              </w:tc>
              <w:tc>
                <w:tcPr>
                  <w:tcW w:w="1552" w:type="pct"/>
                  <w:vAlign w:val="center"/>
                </w:tcPr>
                <w:p>
                  <w:pPr>
                    <w:adjustRightInd w:val="0"/>
                    <w:snapToGrid w:val="0"/>
                    <w:jc w:val="center"/>
                    <w:rPr>
                      <w:rFonts w:hint="default" w:eastAsia="宋体"/>
                      <w:bCs/>
                      <w:szCs w:val="21"/>
                      <w:lang w:val="en-US" w:eastAsia="zh-CN"/>
                    </w:rPr>
                  </w:pPr>
                  <w:r>
                    <w:rPr>
                      <w:rFonts w:hint="eastAsia"/>
                      <w:bCs/>
                      <w:szCs w:val="21"/>
                    </w:rPr>
                    <w:t>员工日常生活</w:t>
                  </w:r>
                  <w:r>
                    <w:rPr>
                      <w:rFonts w:hint="eastAsia"/>
                      <w:bCs/>
                      <w:szCs w:val="21"/>
                      <w:lang w:eastAsia="zh-CN"/>
                    </w:rPr>
                    <w:t>、</w:t>
                  </w:r>
                  <w:r>
                    <w:rPr>
                      <w:rFonts w:hint="eastAsia"/>
                      <w:bCs/>
                      <w:szCs w:val="21"/>
                      <w:lang w:val="en-US" w:eastAsia="zh-CN"/>
                    </w:rPr>
                    <w:t>食堂用餐</w:t>
                  </w:r>
                </w:p>
              </w:tc>
              <w:tc>
                <w:tcPr>
                  <w:tcW w:w="2154" w:type="pct"/>
                  <w:vAlign w:val="center"/>
                </w:tcPr>
                <w:p>
                  <w:pPr>
                    <w:adjustRightInd w:val="0"/>
                    <w:snapToGrid w:val="0"/>
                    <w:jc w:val="center"/>
                    <w:rPr>
                      <w:bCs/>
                      <w:szCs w:val="21"/>
                    </w:rPr>
                  </w:pPr>
                  <w:r>
                    <w:rPr>
                      <w:rFonts w:hint="eastAsia"/>
                      <w:bCs/>
                      <w:szCs w:val="21"/>
                    </w:rPr>
                    <w:t>COD、BOD</w:t>
                  </w:r>
                  <w:r>
                    <w:rPr>
                      <w:rFonts w:hint="eastAsia"/>
                      <w:bCs/>
                      <w:szCs w:val="21"/>
                      <w:vertAlign w:val="subscript"/>
                    </w:rPr>
                    <w:t>5</w:t>
                  </w:r>
                  <w:r>
                    <w:rPr>
                      <w:rFonts w:hint="eastAsia"/>
                      <w:bCs/>
                      <w:szCs w:val="21"/>
                    </w:rPr>
                    <w:t>、氨氮、SS、动植物油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vAlign w:val="center"/>
                </w:tcPr>
                <w:p>
                  <w:pPr>
                    <w:adjustRightInd w:val="0"/>
                    <w:snapToGrid w:val="0"/>
                    <w:jc w:val="center"/>
                    <w:rPr>
                      <w:bCs/>
                      <w:szCs w:val="21"/>
                    </w:rPr>
                  </w:pPr>
                  <w:r>
                    <w:rPr>
                      <w:rFonts w:hint="eastAsia"/>
                      <w:bCs/>
                      <w:szCs w:val="21"/>
                    </w:rPr>
                    <w:t>废气</w:t>
                  </w:r>
                </w:p>
              </w:tc>
              <w:tc>
                <w:tcPr>
                  <w:tcW w:w="905" w:type="pct"/>
                  <w:vAlign w:val="center"/>
                </w:tcPr>
                <w:p>
                  <w:pPr>
                    <w:adjustRightInd w:val="0"/>
                    <w:snapToGrid w:val="0"/>
                    <w:jc w:val="center"/>
                    <w:rPr>
                      <w:bCs/>
                      <w:szCs w:val="21"/>
                    </w:rPr>
                  </w:pPr>
                  <w:r>
                    <w:rPr>
                      <w:rFonts w:hint="eastAsia"/>
                      <w:bCs/>
                      <w:szCs w:val="21"/>
                      <w:lang w:val="en-US" w:eastAsia="zh-CN"/>
                    </w:rPr>
                    <w:t>混合</w:t>
                  </w:r>
                  <w:r>
                    <w:rPr>
                      <w:rFonts w:hint="eastAsia"/>
                      <w:bCs/>
                      <w:szCs w:val="21"/>
                    </w:rPr>
                    <w:t>废气</w:t>
                  </w:r>
                </w:p>
              </w:tc>
              <w:tc>
                <w:tcPr>
                  <w:tcW w:w="1552"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烘干、炭化</w:t>
                  </w:r>
                </w:p>
              </w:tc>
              <w:tc>
                <w:tcPr>
                  <w:tcW w:w="2154" w:type="pct"/>
                  <w:vAlign w:val="center"/>
                </w:tcPr>
                <w:p>
                  <w:pPr>
                    <w:adjustRightInd w:val="0"/>
                    <w:snapToGrid w:val="0"/>
                    <w:jc w:val="center"/>
                    <w:rPr>
                      <w:bCs/>
                      <w:szCs w:val="21"/>
                    </w:rPr>
                  </w:pPr>
                  <w:r>
                    <w:rPr>
                      <w:rFonts w:hint="eastAsia"/>
                      <w:bCs/>
                      <w:szCs w:val="21"/>
                    </w:rPr>
                    <w:t>PM</w:t>
                  </w:r>
                  <w:r>
                    <w:rPr>
                      <w:rFonts w:hint="eastAsia"/>
                      <w:bCs/>
                      <w:szCs w:val="21"/>
                      <w:vertAlign w:val="subscript"/>
                    </w:rPr>
                    <w:t>10</w:t>
                  </w:r>
                  <w:r>
                    <w:rPr>
                      <w:rFonts w:hint="eastAsia"/>
                      <w:bCs/>
                      <w:szCs w:val="21"/>
                    </w:rPr>
                    <w:t>、SO</w:t>
                  </w:r>
                  <w:r>
                    <w:rPr>
                      <w:rFonts w:hint="eastAsia"/>
                      <w:bCs/>
                      <w:szCs w:val="21"/>
                      <w:vertAlign w:val="subscript"/>
                    </w:rPr>
                    <w:t>2</w:t>
                  </w:r>
                  <w:r>
                    <w:rPr>
                      <w:rFonts w:hint="eastAsia"/>
                      <w:bCs/>
                      <w:szCs w:val="21"/>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adjustRightInd w:val="0"/>
                    <w:snapToGrid w:val="0"/>
                    <w:jc w:val="center"/>
                    <w:rPr>
                      <w:bCs/>
                      <w:szCs w:val="21"/>
                    </w:rPr>
                  </w:pPr>
                </w:p>
              </w:tc>
              <w:tc>
                <w:tcPr>
                  <w:tcW w:w="905" w:type="pct"/>
                  <w:vAlign w:val="center"/>
                </w:tcPr>
                <w:p>
                  <w:pPr>
                    <w:adjustRightInd w:val="0"/>
                    <w:snapToGrid w:val="0"/>
                    <w:jc w:val="center"/>
                    <w:rPr>
                      <w:bCs/>
                      <w:szCs w:val="21"/>
                    </w:rPr>
                  </w:pPr>
                  <w:r>
                    <w:rPr>
                      <w:rFonts w:hint="eastAsia"/>
                      <w:bCs/>
                      <w:szCs w:val="21"/>
                    </w:rPr>
                    <w:t>食堂废气</w:t>
                  </w:r>
                </w:p>
              </w:tc>
              <w:tc>
                <w:tcPr>
                  <w:tcW w:w="1552" w:type="pct"/>
                  <w:vAlign w:val="center"/>
                </w:tcPr>
                <w:p>
                  <w:pPr>
                    <w:adjustRightInd w:val="0"/>
                    <w:snapToGrid w:val="0"/>
                    <w:jc w:val="center"/>
                    <w:rPr>
                      <w:bCs/>
                      <w:szCs w:val="21"/>
                    </w:rPr>
                  </w:pPr>
                  <w:r>
                    <w:rPr>
                      <w:rFonts w:hint="eastAsia"/>
                      <w:bCs/>
                      <w:szCs w:val="21"/>
                    </w:rPr>
                    <w:t>食堂</w:t>
                  </w:r>
                </w:p>
              </w:tc>
              <w:tc>
                <w:tcPr>
                  <w:tcW w:w="2154" w:type="pct"/>
                  <w:vAlign w:val="center"/>
                </w:tcPr>
                <w:p>
                  <w:pPr>
                    <w:adjustRightInd w:val="0"/>
                    <w:snapToGrid w:val="0"/>
                    <w:jc w:val="center"/>
                    <w:rPr>
                      <w:bCs/>
                      <w:szCs w:val="21"/>
                    </w:rPr>
                  </w:pPr>
                  <w:r>
                    <w:rPr>
                      <w:rFonts w:hint="eastAsia"/>
                      <w:bCs/>
                      <w:szCs w:val="21"/>
                    </w:rPr>
                    <w:t>食堂油烟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adjustRightInd w:val="0"/>
                    <w:snapToGrid w:val="0"/>
                    <w:jc w:val="center"/>
                    <w:rPr>
                      <w:bCs/>
                      <w:szCs w:val="21"/>
                    </w:rPr>
                  </w:pPr>
                </w:p>
              </w:tc>
              <w:tc>
                <w:tcPr>
                  <w:tcW w:w="905"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拉丝、破碎、装卸、储存</w:t>
                  </w:r>
                </w:p>
              </w:tc>
              <w:tc>
                <w:tcPr>
                  <w:tcW w:w="1552" w:type="pct"/>
                  <w:vAlign w:val="center"/>
                </w:tcPr>
                <w:p>
                  <w:pPr>
                    <w:adjustRightInd w:val="0"/>
                    <w:snapToGrid w:val="0"/>
                    <w:jc w:val="center"/>
                    <w:rPr>
                      <w:rFonts w:hint="default" w:eastAsia="宋体"/>
                      <w:bCs/>
                      <w:szCs w:val="21"/>
                      <w:lang w:val="en-US" w:eastAsia="zh-CN"/>
                    </w:rPr>
                  </w:pPr>
                  <w:r>
                    <w:rPr>
                      <w:rFonts w:hint="eastAsia"/>
                      <w:bCs/>
                      <w:szCs w:val="21"/>
                    </w:rPr>
                    <w:t>生产车间</w:t>
                  </w:r>
                  <w:r>
                    <w:rPr>
                      <w:rFonts w:hint="eastAsia"/>
                      <w:bCs/>
                      <w:szCs w:val="21"/>
                      <w:lang w:eastAsia="zh-CN"/>
                    </w:rPr>
                    <w:t>、</w:t>
                  </w:r>
                  <w:r>
                    <w:rPr>
                      <w:rFonts w:hint="eastAsia"/>
                      <w:bCs/>
                      <w:szCs w:val="21"/>
                      <w:lang w:val="en-US" w:eastAsia="zh-CN"/>
                    </w:rPr>
                    <w:t>物料堆放区</w:t>
                  </w:r>
                </w:p>
              </w:tc>
              <w:tc>
                <w:tcPr>
                  <w:tcW w:w="2154"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adjustRightInd w:val="0"/>
                    <w:snapToGrid w:val="0"/>
                    <w:jc w:val="center"/>
                    <w:rPr>
                      <w:bCs/>
                      <w:szCs w:val="21"/>
                    </w:rPr>
                  </w:pPr>
                  <w:r>
                    <w:rPr>
                      <w:rFonts w:hint="eastAsia"/>
                      <w:bCs/>
                      <w:szCs w:val="21"/>
                    </w:rPr>
                    <w:t>噪声</w:t>
                  </w:r>
                </w:p>
              </w:tc>
              <w:tc>
                <w:tcPr>
                  <w:tcW w:w="905" w:type="pct"/>
                  <w:vAlign w:val="center"/>
                </w:tcPr>
                <w:p>
                  <w:pPr>
                    <w:adjustRightInd w:val="0"/>
                    <w:snapToGrid w:val="0"/>
                    <w:jc w:val="center"/>
                    <w:rPr>
                      <w:bCs/>
                      <w:szCs w:val="21"/>
                    </w:rPr>
                  </w:pPr>
                  <w:r>
                    <w:rPr>
                      <w:rFonts w:hint="eastAsia"/>
                      <w:bCs/>
                      <w:szCs w:val="21"/>
                    </w:rPr>
                    <w:t>设备噪声</w:t>
                  </w:r>
                </w:p>
              </w:tc>
              <w:tc>
                <w:tcPr>
                  <w:tcW w:w="1552" w:type="pct"/>
                  <w:vAlign w:val="center"/>
                </w:tcPr>
                <w:p>
                  <w:pPr>
                    <w:adjustRightInd w:val="0"/>
                    <w:snapToGrid w:val="0"/>
                    <w:jc w:val="center"/>
                    <w:rPr>
                      <w:bCs/>
                      <w:szCs w:val="21"/>
                    </w:rPr>
                  </w:pPr>
                  <w:r>
                    <w:rPr>
                      <w:rFonts w:hint="eastAsia"/>
                      <w:bCs/>
                      <w:szCs w:val="21"/>
                    </w:rPr>
                    <w:t>生产车间的所有生产设备</w:t>
                  </w:r>
                </w:p>
              </w:tc>
              <w:tc>
                <w:tcPr>
                  <w:tcW w:w="2154" w:type="pct"/>
                  <w:vAlign w:val="center"/>
                </w:tcPr>
                <w:p>
                  <w:pPr>
                    <w:adjustRightInd w:val="0"/>
                    <w:snapToGrid w:val="0"/>
                    <w:jc w:val="center"/>
                    <w:rPr>
                      <w:bCs/>
                      <w:szCs w:val="21"/>
                    </w:rPr>
                  </w:pPr>
                  <w:r>
                    <w:rPr>
                      <w:rFonts w:hint="eastAsia"/>
                      <w:bCs/>
                      <w:szCs w:val="21"/>
                    </w:rPr>
                    <w:t>噪声Leq（A）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vAlign w:val="center"/>
                </w:tcPr>
                <w:p>
                  <w:pPr>
                    <w:adjustRightInd w:val="0"/>
                    <w:snapToGrid w:val="0"/>
                    <w:jc w:val="center"/>
                    <w:rPr>
                      <w:bCs/>
                      <w:szCs w:val="21"/>
                    </w:rPr>
                  </w:pPr>
                  <w:r>
                    <w:rPr>
                      <w:rFonts w:hint="eastAsia"/>
                      <w:bCs/>
                      <w:szCs w:val="21"/>
                    </w:rPr>
                    <w:t>固废</w:t>
                  </w:r>
                </w:p>
              </w:tc>
              <w:tc>
                <w:tcPr>
                  <w:tcW w:w="905" w:type="pct"/>
                  <w:vAlign w:val="center"/>
                </w:tcPr>
                <w:p>
                  <w:pPr>
                    <w:adjustRightInd w:val="0"/>
                    <w:snapToGrid w:val="0"/>
                    <w:jc w:val="center"/>
                    <w:rPr>
                      <w:bCs/>
                      <w:szCs w:val="21"/>
                    </w:rPr>
                  </w:pPr>
                  <w:r>
                    <w:rPr>
                      <w:rFonts w:hint="eastAsia"/>
                      <w:bCs/>
                      <w:szCs w:val="21"/>
                    </w:rPr>
                    <w:t>生活垃圾</w:t>
                  </w:r>
                </w:p>
              </w:tc>
              <w:tc>
                <w:tcPr>
                  <w:tcW w:w="1552" w:type="pct"/>
                  <w:vAlign w:val="center"/>
                </w:tcPr>
                <w:p>
                  <w:pPr>
                    <w:adjustRightInd w:val="0"/>
                    <w:snapToGrid w:val="0"/>
                    <w:jc w:val="center"/>
                    <w:rPr>
                      <w:bCs/>
                      <w:szCs w:val="21"/>
                    </w:rPr>
                  </w:pPr>
                  <w:r>
                    <w:rPr>
                      <w:rFonts w:hint="eastAsia"/>
                      <w:bCs/>
                      <w:szCs w:val="21"/>
                    </w:rPr>
                    <w:t>员</w:t>
                  </w:r>
                  <w:r>
                    <w:rPr>
                      <w:rFonts w:hint="eastAsia"/>
                      <w:bCs/>
                      <w:szCs w:val="21"/>
                    </w:rPr>
                    <w:cr/>
                  </w:r>
                  <w:r>
                    <w:rPr>
                      <w:rFonts w:hint="eastAsia"/>
                      <w:bCs/>
                      <w:szCs w:val="21"/>
                    </w:rPr>
                    <w:t>日常生活</w:t>
                  </w:r>
                </w:p>
              </w:tc>
              <w:tc>
                <w:tcPr>
                  <w:tcW w:w="2154" w:type="pct"/>
                  <w:vAlign w:val="center"/>
                </w:tcPr>
                <w:p>
                  <w:pPr>
                    <w:adjustRightInd w:val="0"/>
                    <w:snapToGrid w:val="0"/>
                    <w:jc w:val="center"/>
                    <w:rPr>
                      <w:bCs/>
                      <w:szCs w:val="21"/>
                    </w:rPr>
                  </w:pPr>
                  <w:r>
                    <w:rPr>
                      <w:rFonts w:hint="eastAsia"/>
                      <w:bCs/>
                      <w:szCs w:val="21"/>
                    </w:rPr>
                    <w:t>纸张、塑料袋等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adjustRightInd w:val="0"/>
                    <w:snapToGrid w:val="0"/>
                    <w:jc w:val="center"/>
                    <w:rPr>
                      <w:bCs/>
                      <w:szCs w:val="21"/>
                    </w:rPr>
                  </w:pPr>
                </w:p>
              </w:tc>
              <w:tc>
                <w:tcPr>
                  <w:tcW w:w="905" w:type="pct"/>
                  <w:vAlign w:val="center"/>
                </w:tcPr>
                <w:p>
                  <w:pPr>
                    <w:adjustRightInd w:val="0"/>
                    <w:snapToGrid w:val="0"/>
                    <w:jc w:val="center"/>
                    <w:rPr>
                      <w:rFonts w:hint="eastAsia" w:eastAsia="宋体"/>
                      <w:bCs/>
                      <w:szCs w:val="21"/>
                      <w:lang w:val="en-US" w:eastAsia="zh-CN"/>
                    </w:rPr>
                  </w:pPr>
                  <w:r>
                    <w:rPr>
                      <w:rFonts w:hint="eastAsia"/>
                      <w:bCs/>
                      <w:szCs w:val="21"/>
                      <w:lang w:val="en-US" w:eastAsia="zh-CN"/>
                    </w:rPr>
                    <w:t>炉渣</w:t>
                  </w:r>
                </w:p>
              </w:tc>
              <w:tc>
                <w:tcPr>
                  <w:tcW w:w="1552" w:type="pct"/>
                  <w:vAlign w:val="center"/>
                </w:tcPr>
                <w:p>
                  <w:pPr>
                    <w:adjustRightInd w:val="0"/>
                    <w:snapToGrid w:val="0"/>
                    <w:jc w:val="center"/>
                    <w:rPr>
                      <w:rFonts w:hint="eastAsia" w:eastAsia="宋体"/>
                      <w:bCs/>
                      <w:szCs w:val="21"/>
                      <w:lang w:eastAsia="zh-CN"/>
                    </w:rPr>
                  </w:pPr>
                  <w:r>
                    <w:rPr>
                      <w:rFonts w:hint="eastAsia"/>
                      <w:bCs/>
                      <w:szCs w:val="21"/>
                      <w:lang w:val="en-US" w:eastAsia="zh-CN"/>
                    </w:rPr>
                    <w:t>烘干炉</w:t>
                  </w:r>
                </w:p>
              </w:tc>
              <w:tc>
                <w:tcPr>
                  <w:tcW w:w="2154"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adjustRightInd w:val="0"/>
                    <w:snapToGrid w:val="0"/>
                    <w:jc w:val="center"/>
                    <w:rPr>
                      <w:bCs/>
                      <w:szCs w:val="21"/>
                    </w:rPr>
                  </w:pPr>
                </w:p>
              </w:tc>
              <w:tc>
                <w:tcPr>
                  <w:tcW w:w="905" w:type="pct"/>
                  <w:vAlign w:val="center"/>
                </w:tcPr>
                <w:p>
                  <w:pPr>
                    <w:adjustRightInd w:val="0"/>
                    <w:snapToGrid w:val="0"/>
                    <w:jc w:val="center"/>
                    <w:rPr>
                      <w:rFonts w:hint="eastAsia" w:eastAsia="宋体"/>
                      <w:bCs/>
                      <w:szCs w:val="21"/>
                      <w:lang w:val="en-US" w:eastAsia="zh-CN"/>
                    </w:rPr>
                  </w:pPr>
                  <w:r>
                    <w:rPr>
                      <w:rFonts w:hint="eastAsia"/>
                      <w:bCs/>
                      <w:szCs w:val="21"/>
                      <w:lang w:val="en-US" w:eastAsia="zh-CN"/>
                    </w:rPr>
                    <w:t>粉尘</w:t>
                  </w:r>
                </w:p>
              </w:tc>
              <w:tc>
                <w:tcPr>
                  <w:tcW w:w="1552"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物料堆场、破碎机、布袋除尘器</w:t>
                  </w:r>
                </w:p>
              </w:tc>
              <w:tc>
                <w:tcPr>
                  <w:tcW w:w="2154" w:type="pct"/>
                  <w:vAlign w:val="center"/>
                </w:tcPr>
                <w:p>
                  <w:pPr>
                    <w:adjustRightInd w:val="0"/>
                    <w:snapToGrid w:val="0"/>
                    <w:jc w:val="center"/>
                    <w:rPr>
                      <w:rFonts w:hint="eastAsia" w:eastAsia="宋体"/>
                      <w:bCs/>
                      <w:szCs w:val="21"/>
                      <w:lang w:val="en-US" w:eastAsia="zh-CN"/>
                    </w:rPr>
                  </w:pPr>
                  <w:r>
                    <w:rPr>
                      <w:rFonts w:hint="eastAsia"/>
                      <w:bCs/>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adjustRightInd w:val="0"/>
                    <w:snapToGrid w:val="0"/>
                    <w:jc w:val="center"/>
                    <w:rPr>
                      <w:bCs/>
                      <w:szCs w:val="21"/>
                    </w:rPr>
                  </w:pPr>
                </w:p>
              </w:tc>
              <w:tc>
                <w:tcPr>
                  <w:tcW w:w="905"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废包装材料</w:t>
                  </w:r>
                </w:p>
              </w:tc>
              <w:tc>
                <w:tcPr>
                  <w:tcW w:w="1552"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原料购入</w:t>
                  </w:r>
                </w:p>
              </w:tc>
              <w:tc>
                <w:tcPr>
                  <w:tcW w:w="2154"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纸盒、包装袋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adjustRightInd w:val="0"/>
                    <w:snapToGrid w:val="0"/>
                    <w:jc w:val="center"/>
                    <w:rPr>
                      <w:rFonts w:hint="default" w:eastAsia="宋体"/>
                      <w:bCs/>
                      <w:szCs w:val="21"/>
                      <w:lang w:val="en-US" w:eastAsia="zh-CN"/>
                    </w:rPr>
                  </w:pPr>
                </w:p>
              </w:tc>
              <w:tc>
                <w:tcPr>
                  <w:tcW w:w="905" w:type="pct"/>
                  <w:vAlign w:val="center"/>
                </w:tcPr>
                <w:p>
                  <w:pPr>
                    <w:adjustRightInd w:val="0"/>
                    <w:snapToGrid w:val="0"/>
                    <w:jc w:val="center"/>
                    <w:rPr>
                      <w:rFonts w:hint="default"/>
                      <w:bCs/>
                      <w:szCs w:val="21"/>
                      <w:lang w:val="en-US" w:eastAsia="zh-CN"/>
                    </w:rPr>
                  </w:pPr>
                  <w:r>
                    <w:rPr>
                      <w:rFonts w:hint="eastAsia"/>
                      <w:bCs/>
                      <w:szCs w:val="21"/>
                      <w:lang w:val="en-US" w:eastAsia="zh-CN"/>
                    </w:rPr>
                    <w:t>危险废物</w:t>
                  </w:r>
                </w:p>
              </w:tc>
              <w:tc>
                <w:tcPr>
                  <w:tcW w:w="1552" w:type="pct"/>
                  <w:vAlign w:val="center"/>
                </w:tcPr>
                <w:p>
                  <w:pPr>
                    <w:adjustRightInd w:val="0"/>
                    <w:snapToGrid w:val="0"/>
                    <w:jc w:val="center"/>
                    <w:rPr>
                      <w:rFonts w:hint="default"/>
                      <w:bCs/>
                      <w:szCs w:val="21"/>
                      <w:lang w:val="en-US" w:eastAsia="zh-CN"/>
                    </w:rPr>
                  </w:pPr>
                  <w:r>
                    <w:rPr>
                      <w:rFonts w:hint="eastAsia"/>
                      <w:bCs/>
                      <w:szCs w:val="21"/>
                      <w:lang w:val="en-US" w:eastAsia="zh-CN"/>
                    </w:rPr>
                    <w:t>炭化工序</w:t>
                  </w:r>
                </w:p>
              </w:tc>
              <w:tc>
                <w:tcPr>
                  <w:tcW w:w="2154" w:type="pct"/>
                  <w:vAlign w:val="center"/>
                </w:tcPr>
                <w:p>
                  <w:pPr>
                    <w:adjustRightInd w:val="0"/>
                    <w:snapToGrid w:val="0"/>
                    <w:jc w:val="center"/>
                    <w:rPr>
                      <w:rFonts w:hint="eastAsia"/>
                      <w:bCs/>
                      <w:szCs w:val="21"/>
                      <w:lang w:val="en-US" w:eastAsia="zh-CN"/>
                    </w:rPr>
                  </w:pPr>
                  <w:r>
                    <w:rPr>
                      <w:rFonts w:hint="eastAsia"/>
                      <w:bCs/>
                      <w:szCs w:val="21"/>
                      <w:lang w:val="en-US" w:eastAsia="zh-CN"/>
                    </w:rPr>
                    <w:t>竹焦油、竹醋液</w:t>
                  </w:r>
                </w:p>
              </w:tc>
            </w:tr>
          </w:tbl>
          <w:p>
            <w:pPr>
              <w:adjustRightInd w:val="0"/>
              <w:snapToGrid w:val="0"/>
              <w:spacing w:line="360" w:lineRule="auto"/>
              <w:rPr>
                <w:rFonts w:ascii="宋体" w:hAnsi="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Align w:val="center"/>
          </w:tcPr>
          <w:p>
            <w:pPr>
              <w:pStyle w:val="20"/>
              <w:adjustRightInd w:val="0"/>
              <w:snapToGrid w:val="0"/>
              <w:spacing w:before="0" w:beforeAutospacing="0" w:after="0" w:afterAutospacing="0"/>
              <w:jc w:val="center"/>
              <w:rPr>
                <w:rFonts w:cs="宋体"/>
                <w:szCs w:val="24"/>
                <w:lang w:val="en-US" w:eastAsia="zh-CN"/>
              </w:rPr>
            </w:pPr>
            <w:r>
              <w:rPr>
                <w:rFonts w:hint="eastAsia" w:cs="宋体"/>
                <w:bCs/>
                <w:kern w:val="2"/>
                <w:szCs w:val="24"/>
                <w:lang w:val="en-US" w:eastAsia="zh-CN"/>
              </w:rPr>
              <w:t>与项目有关的原有环境污染问题</w:t>
            </w:r>
          </w:p>
        </w:tc>
        <w:tc>
          <w:tcPr>
            <w:tcW w:w="8430" w:type="dxa"/>
          </w:tcPr>
          <w:p>
            <w:pPr>
              <w:adjustRightInd w:val="0"/>
              <w:snapToGrid w:val="0"/>
              <w:spacing w:line="360" w:lineRule="auto"/>
              <w:ind w:firstLine="480" w:firstLineChars="200"/>
              <w:rPr>
                <w:rFonts w:ascii="宋体" w:hAnsi="宋体"/>
                <w:bCs/>
                <w:sz w:val="24"/>
              </w:rPr>
            </w:pPr>
            <w:r>
              <w:rPr>
                <w:rFonts w:hint="eastAsia" w:ascii="宋体" w:hAnsi="宋体"/>
                <w:bCs/>
                <w:sz w:val="24"/>
                <w:u w:val="none"/>
              </w:rPr>
              <w:t>本项目为新建项目，</w:t>
            </w:r>
            <w:r>
              <w:rPr>
                <w:rFonts w:hint="eastAsia" w:ascii="宋体" w:hAnsi="宋体"/>
                <w:bCs/>
                <w:sz w:val="24"/>
                <w:u w:val="none"/>
                <w:lang w:val="en-US" w:eastAsia="zh-CN"/>
              </w:rPr>
              <w:t>购买一块空地</w:t>
            </w:r>
            <w:r>
              <w:rPr>
                <w:rFonts w:hint="eastAsia" w:ascii="宋体" w:hAnsi="宋体"/>
                <w:bCs/>
                <w:sz w:val="24"/>
                <w:u w:val="none"/>
              </w:rPr>
              <w:t>用于本项目的建设，</w:t>
            </w:r>
            <w:r>
              <w:rPr>
                <w:rFonts w:hint="eastAsia" w:ascii="宋体" w:hAnsi="宋体"/>
                <w:bCs/>
                <w:sz w:val="24"/>
                <w:u w:val="none"/>
                <w:lang w:eastAsia="zh-CN"/>
              </w:rPr>
              <w:t>根据业主提供的资料，</w:t>
            </w:r>
            <w:r>
              <w:rPr>
                <w:rFonts w:hint="eastAsia" w:ascii="宋体" w:hAnsi="宋体"/>
                <w:bCs/>
                <w:sz w:val="24"/>
                <w:u w:val="none"/>
                <w:lang w:val="en-US" w:eastAsia="zh-CN"/>
              </w:rPr>
              <w:t>项目建设前会将厂内土地平整</w:t>
            </w:r>
            <w:r>
              <w:rPr>
                <w:rFonts w:hint="eastAsia" w:ascii="宋体" w:hAnsi="宋体"/>
                <w:bCs/>
                <w:sz w:val="24"/>
                <w:u w:val="none"/>
                <w:lang w:eastAsia="zh-CN"/>
              </w:rPr>
              <w:t>，</w:t>
            </w:r>
            <w:r>
              <w:rPr>
                <w:rFonts w:hint="eastAsia" w:ascii="宋体" w:hAnsi="宋体"/>
                <w:bCs/>
                <w:sz w:val="24"/>
                <w:u w:val="none"/>
              </w:rPr>
              <w:t>不存在</w:t>
            </w:r>
            <w:r>
              <w:rPr>
                <w:rFonts w:hint="eastAsia" w:ascii="宋体" w:hAnsi="宋体"/>
                <w:bCs/>
                <w:sz w:val="24"/>
                <w:u w:val="none"/>
                <w:lang w:eastAsia="zh-CN"/>
              </w:rPr>
              <w:t>遗留问题及</w:t>
            </w:r>
            <w:r>
              <w:rPr>
                <w:rFonts w:hint="eastAsia" w:ascii="宋体" w:hAnsi="宋体"/>
                <w:bCs/>
                <w:sz w:val="24"/>
                <w:u w:val="none"/>
              </w:rPr>
              <w:t>原有环境污染问题。</w:t>
            </w:r>
          </w:p>
        </w:tc>
      </w:tr>
    </w:tbl>
    <w:p>
      <w:pPr>
        <w:pStyle w:val="20"/>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14" w:lineRule="auto"/>
        <w:jc w:val="center"/>
        <w:rPr>
          <w:rFonts w:ascii="黑体" w:hAnsi="黑体" w:eastAsia="黑体"/>
          <w:snapToGrid w:val="0"/>
          <w:sz w:val="30"/>
          <w:szCs w:val="30"/>
        </w:rPr>
      </w:pPr>
    </w:p>
    <w:p>
      <w:pPr>
        <w:pStyle w:val="20"/>
        <w:jc w:val="center"/>
        <w:outlineLvl w:val="0"/>
        <w:rPr>
          <w:rFonts w:ascii="黑体" w:hAnsi="黑体" w:eastAsia="黑体"/>
          <w:snapToGrid w:val="0"/>
          <w:sz w:val="30"/>
          <w:szCs w:val="30"/>
        </w:rPr>
      </w:pPr>
      <w:bookmarkStart w:id="4" w:name="_Toc26667"/>
      <w:r>
        <w:rPr>
          <w:rFonts w:hint="eastAsia" w:ascii="黑体" w:hAnsi="黑体" w:eastAsia="黑体"/>
          <w:snapToGrid w:val="0"/>
          <w:sz w:val="30"/>
          <w:szCs w:val="30"/>
        </w:rPr>
        <w:t>三、区域环境质量现状、环境保护目标及评价标准</w:t>
      </w:r>
      <w:bookmarkEnd w:id="4"/>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86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kern w:val="0"/>
                <w:sz w:val="24"/>
              </w:rPr>
            </w:pPr>
            <w:r>
              <w:rPr>
                <w:kern w:val="0"/>
                <w:sz w:val="24"/>
              </w:rPr>
              <w:t>现状</w:t>
            </w:r>
          </w:p>
        </w:tc>
        <w:tc>
          <w:tcPr>
            <w:tcW w:w="8190" w:type="dxa"/>
            <w:vAlign w:val="center"/>
          </w:tcPr>
          <w:p>
            <w:pPr>
              <w:pStyle w:val="51"/>
              <w:ind w:firstLine="482"/>
              <w:rPr>
                <w:b/>
                <w:bCs/>
              </w:rPr>
            </w:pPr>
            <w:r>
              <w:rPr>
                <w:b/>
                <w:bCs/>
              </w:rPr>
              <w:t>1、环境空气质量现状</w:t>
            </w:r>
          </w:p>
          <w:p>
            <w:pPr>
              <w:spacing w:line="360" w:lineRule="auto"/>
              <w:ind w:firstLine="480" w:firstLineChars="200"/>
              <w:rPr>
                <w:kern w:val="0"/>
                <w:sz w:val="24"/>
                <w:szCs w:val="20"/>
              </w:rPr>
            </w:pPr>
            <w:r>
              <w:rPr>
                <w:rFonts w:hint="eastAsia"/>
                <w:kern w:val="0"/>
                <w:sz w:val="24"/>
                <w:szCs w:val="20"/>
              </w:rPr>
              <w:t>根据衡阳市监测站</w:t>
            </w:r>
            <w:r>
              <w:rPr>
                <w:rFonts w:hint="eastAsia"/>
                <w:kern w:val="0"/>
                <w:sz w:val="24"/>
                <w:szCs w:val="20"/>
                <w:lang w:eastAsia="zh-CN"/>
              </w:rPr>
              <w:t>发布的</w:t>
            </w:r>
            <w:r>
              <w:rPr>
                <w:rFonts w:hint="eastAsia"/>
                <w:kern w:val="0"/>
                <w:sz w:val="24"/>
                <w:szCs w:val="20"/>
              </w:rPr>
              <w:t>《关于202</w:t>
            </w:r>
            <w:r>
              <w:rPr>
                <w:rFonts w:hint="eastAsia"/>
                <w:kern w:val="0"/>
                <w:sz w:val="24"/>
                <w:szCs w:val="20"/>
                <w:lang w:val="en-US" w:eastAsia="zh-CN"/>
              </w:rPr>
              <w:t>1</w:t>
            </w:r>
            <w:r>
              <w:rPr>
                <w:rFonts w:hint="eastAsia"/>
                <w:kern w:val="0"/>
                <w:sz w:val="24"/>
                <w:szCs w:val="20"/>
              </w:rPr>
              <w:t>年</w:t>
            </w:r>
            <w:r>
              <w:rPr>
                <w:rFonts w:hint="eastAsia"/>
                <w:kern w:val="0"/>
                <w:sz w:val="24"/>
                <w:szCs w:val="20"/>
                <w:lang w:val="en-US" w:eastAsia="zh-CN"/>
              </w:rPr>
              <w:t>12月及</w:t>
            </w:r>
            <w:r>
              <w:rPr>
                <w:rFonts w:hint="eastAsia"/>
                <w:kern w:val="0"/>
                <w:sz w:val="24"/>
                <w:szCs w:val="20"/>
              </w:rPr>
              <w:t>1~12月份全市环境质量状况的通报》，衡山县</w:t>
            </w:r>
            <w:r>
              <w:rPr>
                <w:kern w:val="0"/>
                <w:sz w:val="24"/>
                <w:szCs w:val="20"/>
              </w:rPr>
              <w:t>二氧化硫和二氧化氮年平均质量浓度、一氧化碳</w:t>
            </w:r>
            <w:r>
              <w:rPr>
                <w:rFonts w:hint="eastAsia"/>
                <w:kern w:val="0"/>
                <w:sz w:val="24"/>
                <w:szCs w:val="20"/>
              </w:rPr>
              <w:t>年</w:t>
            </w:r>
            <w:r>
              <w:rPr>
                <w:kern w:val="0"/>
                <w:sz w:val="24"/>
                <w:szCs w:val="20"/>
              </w:rPr>
              <w:t>评价浓度（第95百分位数）、臭氧年评价浓度（第90百分位数）</w:t>
            </w:r>
            <w:r>
              <w:rPr>
                <w:rFonts w:hint="eastAsia"/>
                <w:kern w:val="0"/>
                <w:sz w:val="24"/>
                <w:szCs w:val="20"/>
              </w:rPr>
              <w:t>、</w:t>
            </w:r>
            <w:r>
              <w:rPr>
                <w:kern w:val="0"/>
                <w:sz w:val="24"/>
                <w:szCs w:val="20"/>
              </w:rPr>
              <w:t>可吸入颗粒物（</w:t>
            </w:r>
            <w:r>
              <w:rPr>
                <w:rFonts w:hint="eastAsia"/>
                <w:kern w:val="0"/>
                <w:sz w:val="24"/>
                <w:szCs w:val="20"/>
              </w:rPr>
              <w:t>PM</w:t>
            </w:r>
            <w:r>
              <w:rPr>
                <w:rFonts w:hint="eastAsia"/>
                <w:kern w:val="0"/>
                <w:sz w:val="24"/>
                <w:szCs w:val="20"/>
                <w:vertAlign w:val="subscript"/>
              </w:rPr>
              <w:t>10</w:t>
            </w:r>
            <w:r>
              <w:rPr>
                <w:kern w:val="0"/>
                <w:sz w:val="24"/>
                <w:szCs w:val="20"/>
              </w:rPr>
              <w:t>）</w:t>
            </w:r>
            <w:r>
              <w:rPr>
                <w:rFonts w:hint="eastAsia"/>
                <w:kern w:val="0"/>
                <w:sz w:val="24"/>
                <w:szCs w:val="20"/>
              </w:rPr>
              <w:t>和</w:t>
            </w:r>
            <w:r>
              <w:rPr>
                <w:kern w:val="0"/>
                <w:sz w:val="24"/>
                <w:szCs w:val="20"/>
              </w:rPr>
              <w:t>细颗粒物（</w:t>
            </w:r>
            <w:r>
              <w:rPr>
                <w:rFonts w:hint="eastAsia"/>
                <w:kern w:val="0"/>
                <w:sz w:val="24"/>
                <w:szCs w:val="20"/>
              </w:rPr>
              <w:t>PM</w:t>
            </w:r>
            <w:r>
              <w:rPr>
                <w:rFonts w:hint="eastAsia"/>
                <w:kern w:val="0"/>
                <w:sz w:val="24"/>
                <w:szCs w:val="20"/>
                <w:vertAlign w:val="subscript"/>
              </w:rPr>
              <w:t>2.5</w:t>
            </w:r>
            <w:r>
              <w:rPr>
                <w:kern w:val="0"/>
                <w:sz w:val="24"/>
                <w:szCs w:val="20"/>
              </w:rPr>
              <w:t>）年平均质量</w:t>
            </w:r>
            <w:r>
              <w:rPr>
                <w:rFonts w:hint="eastAsia"/>
                <w:kern w:val="0"/>
                <w:sz w:val="24"/>
                <w:szCs w:val="20"/>
              </w:rPr>
              <w:t>浓度</w:t>
            </w:r>
            <w:r>
              <w:rPr>
                <w:kern w:val="0"/>
                <w:sz w:val="24"/>
                <w:szCs w:val="20"/>
              </w:rPr>
              <w:t>均达到《环境空气质量标准》（GB3095-2012）二级标准，具体见</w:t>
            </w:r>
            <w:r>
              <w:rPr>
                <w:rFonts w:hint="eastAsia"/>
                <w:kern w:val="0"/>
                <w:sz w:val="24"/>
                <w:szCs w:val="20"/>
              </w:rPr>
              <w:t>表3-1</w:t>
            </w:r>
            <w:r>
              <w:rPr>
                <w:kern w:val="0"/>
                <w:sz w:val="24"/>
                <w:szCs w:val="20"/>
              </w:rPr>
              <w:t>，项目所在区域为达标区。</w:t>
            </w:r>
          </w:p>
          <w:p>
            <w:pPr>
              <w:autoSpaceDE w:val="0"/>
              <w:autoSpaceDN w:val="0"/>
              <w:jc w:val="center"/>
              <w:rPr>
                <w:b/>
                <w:kern w:val="0"/>
                <w:szCs w:val="21"/>
              </w:rPr>
            </w:pPr>
            <w:bookmarkStart w:id="5" w:name="_Ref528415780"/>
            <w:r>
              <w:rPr>
                <w:b/>
                <w:kern w:val="0"/>
                <w:szCs w:val="21"/>
              </w:rPr>
              <w:t>表</w:t>
            </w:r>
            <w:bookmarkEnd w:id="5"/>
            <w:r>
              <w:rPr>
                <w:rFonts w:hint="eastAsia"/>
                <w:b/>
                <w:kern w:val="0"/>
                <w:szCs w:val="21"/>
              </w:rPr>
              <w:t xml:space="preserve">3-1 </w:t>
            </w:r>
            <w:r>
              <w:rPr>
                <w:b/>
                <w:kern w:val="0"/>
                <w:szCs w:val="21"/>
              </w:rPr>
              <w:t xml:space="preserve"> 区域空气质量现状评价表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2446"/>
              <w:gridCol w:w="1846"/>
              <w:gridCol w:w="1581"/>
              <w:gridCol w:w="909"/>
              <w:gridCol w:w="8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pPr>
                    <w:snapToGrid w:val="0"/>
                    <w:spacing w:line="0" w:lineRule="atLeast"/>
                    <w:jc w:val="center"/>
                    <w:rPr>
                      <w:b/>
                      <w:szCs w:val="21"/>
                    </w:rPr>
                  </w:pPr>
                  <w:r>
                    <w:rPr>
                      <w:b/>
                      <w:szCs w:val="21"/>
                    </w:rPr>
                    <w:t>污染物</w:t>
                  </w:r>
                </w:p>
              </w:tc>
              <w:tc>
                <w:tcPr>
                  <w:tcW w:w="1459" w:type="pct"/>
                  <w:vAlign w:val="center"/>
                </w:tcPr>
                <w:p>
                  <w:pPr>
                    <w:snapToGrid w:val="0"/>
                    <w:spacing w:line="0" w:lineRule="atLeast"/>
                    <w:jc w:val="center"/>
                    <w:rPr>
                      <w:b/>
                      <w:szCs w:val="21"/>
                    </w:rPr>
                  </w:pPr>
                  <w:r>
                    <w:rPr>
                      <w:b/>
                      <w:szCs w:val="21"/>
                    </w:rPr>
                    <w:t>年评价指标</w:t>
                  </w:r>
                </w:p>
              </w:tc>
              <w:tc>
                <w:tcPr>
                  <w:tcW w:w="1101" w:type="pct"/>
                  <w:vAlign w:val="center"/>
                </w:tcPr>
                <w:p>
                  <w:pPr>
                    <w:snapToGrid w:val="0"/>
                    <w:spacing w:line="0" w:lineRule="atLeast"/>
                    <w:jc w:val="center"/>
                    <w:rPr>
                      <w:b/>
                      <w:szCs w:val="21"/>
                    </w:rPr>
                  </w:pPr>
                  <w:r>
                    <w:rPr>
                      <w:b/>
                      <w:szCs w:val="21"/>
                    </w:rPr>
                    <w:t>现状浓度（</w:t>
                  </w:r>
                  <w:r>
                    <w:rPr>
                      <w:b/>
                      <w:szCs w:val="20"/>
                    </w:rPr>
                    <w:t>µg/m</w:t>
                  </w:r>
                  <w:r>
                    <w:rPr>
                      <w:b/>
                      <w:szCs w:val="20"/>
                      <w:vertAlign w:val="superscript"/>
                    </w:rPr>
                    <w:t>3</w:t>
                  </w:r>
                  <w:r>
                    <w:rPr>
                      <w:b/>
                      <w:szCs w:val="21"/>
                    </w:rPr>
                    <w:t>）</w:t>
                  </w:r>
                </w:p>
              </w:tc>
              <w:tc>
                <w:tcPr>
                  <w:tcW w:w="943" w:type="pct"/>
                  <w:vAlign w:val="center"/>
                </w:tcPr>
                <w:p>
                  <w:pPr>
                    <w:snapToGrid w:val="0"/>
                    <w:spacing w:line="0" w:lineRule="atLeast"/>
                    <w:jc w:val="center"/>
                    <w:rPr>
                      <w:b/>
                      <w:szCs w:val="21"/>
                    </w:rPr>
                  </w:pPr>
                  <w:r>
                    <w:rPr>
                      <w:b/>
                      <w:szCs w:val="21"/>
                    </w:rPr>
                    <w:t>标准值（</w:t>
                  </w:r>
                  <w:r>
                    <w:rPr>
                      <w:b/>
                      <w:szCs w:val="20"/>
                    </w:rPr>
                    <w:t>µg/m</w:t>
                  </w:r>
                  <w:r>
                    <w:rPr>
                      <w:b/>
                      <w:szCs w:val="20"/>
                      <w:vertAlign w:val="superscript"/>
                    </w:rPr>
                    <w:t>3</w:t>
                  </w:r>
                  <w:r>
                    <w:rPr>
                      <w:b/>
                      <w:szCs w:val="21"/>
                    </w:rPr>
                    <w:t>）</w:t>
                  </w:r>
                </w:p>
              </w:tc>
              <w:tc>
                <w:tcPr>
                  <w:tcW w:w="542" w:type="pct"/>
                  <w:vAlign w:val="center"/>
                </w:tcPr>
                <w:p>
                  <w:pPr>
                    <w:snapToGrid w:val="0"/>
                    <w:spacing w:line="0" w:lineRule="atLeast"/>
                    <w:jc w:val="center"/>
                    <w:rPr>
                      <w:b/>
                      <w:szCs w:val="21"/>
                    </w:rPr>
                  </w:pPr>
                  <w:r>
                    <w:rPr>
                      <w:b/>
                      <w:szCs w:val="21"/>
                    </w:rPr>
                    <w:t>占标率%</w:t>
                  </w:r>
                </w:p>
              </w:tc>
              <w:tc>
                <w:tcPr>
                  <w:tcW w:w="505" w:type="pct"/>
                  <w:vAlign w:val="center"/>
                </w:tcPr>
                <w:p>
                  <w:pPr>
                    <w:snapToGrid w:val="0"/>
                    <w:spacing w:line="0" w:lineRule="atLeast"/>
                    <w:jc w:val="center"/>
                    <w:rPr>
                      <w:b/>
                      <w:szCs w:val="21"/>
                    </w:rPr>
                  </w:pPr>
                  <w:r>
                    <w:rPr>
                      <w:b/>
                      <w:szCs w:val="21"/>
                    </w:rPr>
                    <w:t>达标情况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pPr>
                    <w:snapToGrid w:val="0"/>
                    <w:spacing w:line="0" w:lineRule="atLeast"/>
                    <w:jc w:val="center"/>
                    <w:rPr>
                      <w:szCs w:val="21"/>
                    </w:rPr>
                  </w:pPr>
                  <w:r>
                    <w:rPr>
                      <w:szCs w:val="21"/>
                    </w:rPr>
                    <w:t>SO</w:t>
                  </w:r>
                  <w:r>
                    <w:rPr>
                      <w:szCs w:val="21"/>
                      <w:vertAlign w:val="subscript"/>
                    </w:rPr>
                    <w:t>2</w:t>
                  </w:r>
                </w:p>
              </w:tc>
              <w:tc>
                <w:tcPr>
                  <w:tcW w:w="1459" w:type="pct"/>
                  <w:vAlign w:val="center"/>
                </w:tcPr>
                <w:p>
                  <w:pPr>
                    <w:jc w:val="center"/>
                    <w:rPr>
                      <w:bCs/>
                      <w:szCs w:val="21"/>
                    </w:rPr>
                  </w:pPr>
                  <w:r>
                    <w:rPr>
                      <w:bCs/>
                      <w:szCs w:val="21"/>
                    </w:rPr>
                    <w:t>年平均质量浓度</w:t>
                  </w:r>
                </w:p>
              </w:tc>
              <w:tc>
                <w:tcPr>
                  <w:tcW w:w="1101" w:type="pct"/>
                  <w:vAlign w:val="center"/>
                </w:tcPr>
                <w:p>
                  <w:pPr>
                    <w:jc w:val="center"/>
                    <w:rPr>
                      <w:rFonts w:hint="eastAsia" w:eastAsia="宋体"/>
                      <w:bCs/>
                      <w:szCs w:val="21"/>
                      <w:lang w:eastAsia="zh-CN"/>
                    </w:rPr>
                  </w:pPr>
                  <w:r>
                    <w:rPr>
                      <w:rFonts w:hint="eastAsia"/>
                      <w:bCs/>
                      <w:szCs w:val="21"/>
                      <w:lang w:val="en-US" w:eastAsia="zh-CN"/>
                    </w:rPr>
                    <w:t>6</w:t>
                  </w:r>
                </w:p>
              </w:tc>
              <w:tc>
                <w:tcPr>
                  <w:tcW w:w="943" w:type="pct"/>
                  <w:vAlign w:val="center"/>
                </w:tcPr>
                <w:p>
                  <w:pPr>
                    <w:jc w:val="center"/>
                    <w:rPr>
                      <w:bCs/>
                      <w:szCs w:val="21"/>
                    </w:rPr>
                  </w:pPr>
                  <w:r>
                    <w:rPr>
                      <w:bCs/>
                      <w:szCs w:val="21"/>
                    </w:rPr>
                    <w:t>60</w:t>
                  </w:r>
                </w:p>
              </w:tc>
              <w:tc>
                <w:tcPr>
                  <w:tcW w:w="542" w:type="pct"/>
                  <w:vAlign w:val="center"/>
                </w:tcPr>
                <w:p>
                  <w:pPr>
                    <w:jc w:val="center"/>
                    <w:rPr>
                      <w:rFonts w:hint="default" w:eastAsia="宋体"/>
                      <w:bCs/>
                      <w:szCs w:val="21"/>
                      <w:lang w:val="en-US" w:eastAsia="zh-CN"/>
                    </w:rPr>
                  </w:pPr>
                  <w:r>
                    <w:rPr>
                      <w:rFonts w:hint="eastAsia"/>
                      <w:bCs/>
                      <w:szCs w:val="21"/>
                      <w:lang w:val="en-US" w:eastAsia="zh-CN"/>
                    </w:rPr>
                    <w:t>10.00</w:t>
                  </w:r>
                </w:p>
              </w:tc>
              <w:tc>
                <w:tcPr>
                  <w:tcW w:w="505" w:type="pct"/>
                  <w:vAlign w:val="center"/>
                </w:tcPr>
                <w:p>
                  <w:pPr>
                    <w:jc w:val="center"/>
                    <w:rPr>
                      <w:bCs/>
                      <w:szCs w:val="21"/>
                    </w:rPr>
                  </w:pPr>
                  <w:r>
                    <w:rPr>
                      <w:bCs/>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pPr>
                    <w:snapToGrid w:val="0"/>
                    <w:spacing w:line="0" w:lineRule="atLeast"/>
                    <w:jc w:val="center"/>
                    <w:rPr>
                      <w:szCs w:val="21"/>
                    </w:rPr>
                  </w:pPr>
                  <w:r>
                    <w:rPr>
                      <w:szCs w:val="21"/>
                    </w:rPr>
                    <w:t>NO</w:t>
                  </w:r>
                  <w:r>
                    <w:rPr>
                      <w:szCs w:val="21"/>
                      <w:vertAlign w:val="subscript"/>
                    </w:rPr>
                    <w:t>2</w:t>
                  </w:r>
                </w:p>
              </w:tc>
              <w:tc>
                <w:tcPr>
                  <w:tcW w:w="1459" w:type="pct"/>
                  <w:vAlign w:val="center"/>
                </w:tcPr>
                <w:p>
                  <w:pPr>
                    <w:jc w:val="center"/>
                    <w:rPr>
                      <w:bCs/>
                      <w:szCs w:val="21"/>
                    </w:rPr>
                  </w:pPr>
                  <w:r>
                    <w:rPr>
                      <w:bCs/>
                      <w:szCs w:val="21"/>
                    </w:rPr>
                    <w:t>年平均质量浓度</w:t>
                  </w:r>
                </w:p>
              </w:tc>
              <w:tc>
                <w:tcPr>
                  <w:tcW w:w="1101" w:type="pct"/>
                  <w:vAlign w:val="center"/>
                </w:tcPr>
                <w:p>
                  <w:pPr>
                    <w:jc w:val="center"/>
                    <w:rPr>
                      <w:rFonts w:hint="default" w:eastAsia="宋体"/>
                      <w:bCs/>
                      <w:szCs w:val="21"/>
                      <w:lang w:val="en-US" w:eastAsia="zh-CN"/>
                    </w:rPr>
                  </w:pPr>
                  <w:r>
                    <w:rPr>
                      <w:rFonts w:hint="eastAsia"/>
                      <w:bCs/>
                      <w:szCs w:val="21"/>
                      <w:lang w:val="en-US" w:eastAsia="zh-CN"/>
                    </w:rPr>
                    <w:t>17</w:t>
                  </w:r>
                </w:p>
              </w:tc>
              <w:tc>
                <w:tcPr>
                  <w:tcW w:w="943" w:type="pct"/>
                  <w:vAlign w:val="center"/>
                </w:tcPr>
                <w:p>
                  <w:pPr>
                    <w:jc w:val="center"/>
                    <w:rPr>
                      <w:bCs/>
                      <w:szCs w:val="21"/>
                    </w:rPr>
                  </w:pPr>
                  <w:r>
                    <w:rPr>
                      <w:bCs/>
                      <w:szCs w:val="21"/>
                    </w:rPr>
                    <w:t>40</w:t>
                  </w:r>
                </w:p>
              </w:tc>
              <w:tc>
                <w:tcPr>
                  <w:tcW w:w="542" w:type="pct"/>
                  <w:vAlign w:val="center"/>
                </w:tcPr>
                <w:p>
                  <w:pPr>
                    <w:jc w:val="center"/>
                    <w:rPr>
                      <w:rFonts w:hint="default" w:eastAsia="宋体"/>
                      <w:bCs/>
                      <w:szCs w:val="21"/>
                      <w:lang w:val="en-US" w:eastAsia="zh-CN"/>
                    </w:rPr>
                  </w:pPr>
                  <w:r>
                    <w:rPr>
                      <w:rFonts w:hint="eastAsia"/>
                      <w:bCs/>
                      <w:szCs w:val="21"/>
                      <w:lang w:val="en-US" w:eastAsia="zh-CN"/>
                    </w:rPr>
                    <w:t>42.5</w:t>
                  </w:r>
                </w:p>
              </w:tc>
              <w:tc>
                <w:tcPr>
                  <w:tcW w:w="505" w:type="pct"/>
                  <w:vAlign w:val="center"/>
                </w:tcPr>
                <w:p>
                  <w:pPr>
                    <w:jc w:val="center"/>
                    <w:rPr>
                      <w:bCs/>
                      <w:szCs w:val="21"/>
                    </w:rPr>
                  </w:pPr>
                  <w:r>
                    <w:rPr>
                      <w:bCs/>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pPr>
                    <w:snapToGrid w:val="0"/>
                    <w:spacing w:line="0" w:lineRule="atLeast"/>
                    <w:jc w:val="center"/>
                    <w:rPr>
                      <w:szCs w:val="21"/>
                    </w:rPr>
                  </w:pPr>
                  <w:r>
                    <w:rPr>
                      <w:szCs w:val="21"/>
                    </w:rPr>
                    <w:t>CO</w:t>
                  </w:r>
                </w:p>
              </w:tc>
              <w:tc>
                <w:tcPr>
                  <w:tcW w:w="1459" w:type="pct"/>
                  <w:vAlign w:val="center"/>
                </w:tcPr>
                <w:p>
                  <w:pPr>
                    <w:jc w:val="center"/>
                    <w:rPr>
                      <w:szCs w:val="21"/>
                    </w:rPr>
                  </w:pPr>
                  <w:r>
                    <w:rPr>
                      <w:szCs w:val="21"/>
                    </w:rPr>
                    <w:t>百分位数日平均质量浓度</w:t>
                  </w:r>
                </w:p>
              </w:tc>
              <w:tc>
                <w:tcPr>
                  <w:tcW w:w="1101" w:type="pct"/>
                  <w:vAlign w:val="center"/>
                </w:tcPr>
                <w:p>
                  <w:pPr>
                    <w:jc w:val="center"/>
                    <w:rPr>
                      <w:rFonts w:hint="default" w:eastAsia="宋体"/>
                      <w:szCs w:val="21"/>
                      <w:lang w:val="en-US" w:eastAsia="zh-CN"/>
                    </w:rPr>
                  </w:pPr>
                  <w:r>
                    <w:rPr>
                      <w:rFonts w:hint="eastAsia"/>
                      <w:szCs w:val="21"/>
                      <w:lang w:val="en-US" w:eastAsia="zh-CN"/>
                    </w:rPr>
                    <w:t>1100</w:t>
                  </w:r>
                </w:p>
              </w:tc>
              <w:tc>
                <w:tcPr>
                  <w:tcW w:w="943" w:type="pct"/>
                  <w:vAlign w:val="center"/>
                </w:tcPr>
                <w:p>
                  <w:pPr>
                    <w:jc w:val="center"/>
                    <w:rPr>
                      <w:szCs w:val="21"/>
                    </w:rPr>
                  </w:pPr>
                  <w:r>
                    <w:rPr>
                      <w:szCs w:val="21"/>
                    </w:rPr>
                    <w:t>4000</w:t>
                  </w:r>
                </w:p>
              </w:tc>
              <w:tc>
                <w:tcPr>
                  <w:tcW w:w="542" w:type="pct"/>
                  <w:vAlign w:val="center"/>
                </w:tcPr>
                <w:p>
                  <w:pPr>
                    <w:jc w:val="center"/>
                    <w:rPr>
                      <w:rFonts w:hint="default" w:eastAsia="宋体"/>
                      <w:szCs w:val="21"/>
                      <w:lang w:val="en-US" w:eastAsia="zh-CN"/>
                    </w:rPr>
                  </w:pPr>
                  <w:r>
                    <w:rPr>
                      <w:rFonts w:hint="eastAsia"/>
                      <w:szCs w:val="21"/>
                      <w:lang w:val="en-US" w:eastAsia="zh-CN"/>
                    </w:rPr>
                    <w:t>27.5</w:t>
                  </w:r>
                </w:p>
              </w:tc>
              <w:tc>
                <w:tcPr>
                  <w:tcW w:w="505" w:type="pct"/>
                  <w:vAlign w:val="center"/>
                </w:tcPr>
                <w:p>
                  <w:pPr>
                    <w:jc w:val="center"/>
                    <w:rPr>
                      <w:szCs w:val="21"/>
                    </w:rPr>
                  </w:pPr>
                  <w:r>
                    <w:rPr>
                      <w:bCs/>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pPr>
                    <w:snapToGrid w:val="0"/>
                    <w:spacing w:line="0" w:lineRule="atLeast"/>
                    <w:jc w:val="center"/>
                    <w:rPr>
                      <w:szCs w:val="21"/>
                    </w:rPr>
                  </w:pPr>
                  <w:r>
                    <w:rPr>
                      <w:szCs w:val="21"/>
                    </w:rPr>
                    <w:t>O</w:t>
                  </w:r>
                  <w:r>
                    <w:rPr>
                      <w:szCs w:val="21"/>
                      <w:vertAlign w:val="subscript"/>
                    </w:rPr>
                    <w:t>3</w:t>
                  </w:r>
                </w:p>
              </w:tc>
              <w:tc>
                <w:tcPr>
                  <w:tcW w:w="1459" w:type="pct"/>
                  <w:vAlign w:val="center"/>
                </w:tcPr>
                <w:p>
                  <w:pPr>
                    <w:jc w:val="center"/>
                    <w:rPr>
                      <w:szCs w:val="21"/>
                    </w:rPr>
                  </w:pPr>
                  <w:r>
                    <w:rPr>
                      <w:szCs w:val="21"/>
                    </w:rPr>
                    <w:t>百分位数8h平均质量浓度</w:t>
                  </w:r>
                </w:p>
              </w:tc>
              <w:tc>
                <w:tcPr>
                  <w:tcW w:w="1101" w:type="pct"/>
                  <w:vAlign w:val="center"/>
                </w:tcPr>
                <w:p>
                  <w:pPr>
                    <w:jc w:val="center"/>
                    <w:rPr>
                      <w:rFonts w:hint="eastAsia" w:eastAsia="宋体"/>
                      <w:szCs w:val="21"/>
                      <w:lang w:val="en-US" w:eastAsia="zh-CN"/>
                    </w:rPr>
                  </w:pPr>
                  <w:r>
                    <w:rPr>
                      <w:rFonts w:hint="eastAsia"/>
                      <w:szCs w:val="21"/>
                    </w:rPr>
                    <w:t>12</w:t>
                  </w:r>
                  <w:r>
                    <w:rPr>
                      <w:rFonts w:hint="eastAsia"/>
                      <w:szCs w:val="21"/>
                      <w:lang w:val="en-US" w:eastAsia="zh-CN"/>
                    </w:rPr>
                    <w:t>0</w:t>
                  </w:r>
                </w:p>
              </w:tc>
              <w:tc>
                <w:tcPr>
                  <w:tcW w:w="943" w:type="pct"/>
                  <w:vAlign w:val="center"/>
                </w:tcPr>
                <w:p>
                  <w:pPr>
                    <w:jc w:val="center"/>
                    <w:rPr>
                      <w:szCs w:val="21"/>
                    </w:rPr>
                  </w:pPr>
                  <w:r>
                    <w:rPr>
                      <w:szCs w:val="21"/>
                    </w:rPr>
                    <w:t>160</w:t>
                  </w:r>
                </w:p>
              </w:tc>
              <w:tc>
                <w:tcPr>
                  <w:tcW w:w="542" w:type="pct"/>
                  <w:vAlign w:val="center"/>
                </w:tcPr>
                <w:p>
                  <w:pPr>
                    <w:jc w:val="center"/>
                    <w:rPr>
                      <w:rFonts w:hint="default" w:eastAsia="宋体"/>
                      <w:szCs w:val="21"/>
                      <w:lang w:val="en-US" w:eastAsia="zh-CN"/>
                    </w:rPr>
                  </w:pPr>
                  <w:r>
                    <w:rPr>
                      <w:rFonts w:hint="eastAsia"/>
                      <w:szCs w:val="21"/>
                      <w:lang w:val="en-US" w:eastAsia="zh-CN"/>
                    </w:rPr>
                    <w:t>75.00</w:t>
                  </w:r>
                </w:p>
              </w:tc>
              <w:tc>
                <w:tcPr>
                  <w:tcW w:w="505" w:type="pct"/>
                  <w:vAlign w:val="center"/>
                </w:tcPr>
                <w:p>
                  <w:pPr>
                    <w:jc w:val="center"/>
                    <w:rPr>
                      <w:szCs w:val="21"/>
                    </w:rPr>
                  </w:pPr>
                  <w:r>
                    <w:rPr>
                      <w:bCs/>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pPr>
                    <w:snapToGrid w:val="0"/>
                    <w:spacing w:line="0" w:lineRule="atLeast"/>
                    <w:jc w:val="center"/>
                    <w:rPr>
                      <w:szCs w:val="21"/>
                      <w:vertAlign w:val="subscript"/>
                    </w:rPr>
                  </w:pPr>
                  <w:r>
                    <w:rPr>
                      <w:szCs w:val="21"/>
                    </w:rPr>
                    <w:t>PM</w:t>
                  </w:r>
                  <w:r>
                    <w:rPr>
                      <w:szCs w:val="21"/>
                      <w:vertAlign w:val="subscript"/>
                    </w:rPr>
                    <w:t>10</w:t>
                  </w:r>
                </w:p>
              </w:tc>
              <w:tc>
                <w:tcPr>
                  <w:tcW w:w="1459" w:type="pct"/>
                  <w:vAlign w:val="center"/>
                </w:tcPr>
                <w:p>
                  <w:pPr>
                    <w:jc w:val="center"/>
                    <w:rPr>
                      <w:szCs w:val="21"/>
                    </w:rPr>
                  </w:pPr>
                  <w:r>
                    <w:rPr>
                      <w:bCs/>
                      <w:szCs w:val="21"/>
                    </w:rPr>
                    <w:t>年平均质量浓度</w:t>
                  </w:r>
                </w:p>
              </w:tc>
              <w:tc>
                <w:tcPr>
                  <w:tcW w:w="1101" w:type="pct"/>
                  <w:vAlign w:val="center"/>
                </w:tcPr>
                <w:p>
                  <w:pPr>
                    <w:jc w:val="center"/>
                    <w:rPr>
                      <w:rFonts w:hint="default" w:eastAsia="宋体"/>
                      <w:szCs w:val="21"/>
                      <w:lang w:val="en-US" w:eastAsia="zh-CN"/>
                    </w:rPr>
                  </w:pPr>
                  <w:r>
                    <w:rPr>
                      <w:rFonts w:hint="eastAsia"/>
                      <w:szCs w:val="21"/>
                      <w:lang w:val="en-US" w:eastAsia="zh-CN"/>
                    </w:rPr>
                    <w:t>52</w:t>
                  </w:r>
                </w:p>
              </w:tc>
              <w:tc>
                <w:tcPr>
                  <w:tcW w:w="943" w:type="pct"/>
                  <w:vAlign w:val="center"/>
                </w:tcPr>
                <w:p>
                  <w:pPr>
                    <w:jc w:val="center"/>
                    <w:rPr>
                      <w:szCs w:val="21"/>
                    </w:rPr>
                  </w:pPr>
                  <w:r>
                    <w:rPr>
                      <w:szCs w:val="21"/>
                    </w:rPr>
                    <w:t>70</w:t>
                  </w:r>
                </w:p>
              </w:tc>
              <w:tc>
                <w:tcPr>
                  <w:tcW w:w="542" w:type="pct"/>
                  <w:vAlign w:val="center"/>
                </w:tcPr>
                <w:p>
                  <w:pPr>
                    <w:jc w:val="center"/>
                    <w:rPr>
                      <w:rFonts w:hint="default" w:eastAsia="宋体"/>
                      <w:szCs w:val="21"/>
                      <w:lang w:val="en-US" w:eastAsia="zh-CN"/>
                    </w:rPr>
                  </w:pPr>
                  <w:r>
                    <w:rPr>
                      <w:rFonts w:hint="eastAsia"/>
                      <w:szCs w:val="21"/>
                    </w:rPr>
                    <w:t>7</w:t>
                  </w:r>
                  <w:r>
                    <w:rPr>
                      <w:rFonts w:hint="eastAsia"/>
                      <w:szCs w:val="21"/>
                      <w:lang w:val="en-US" w:eastAsia="zh-CN"/>
                    </w:rPr>
                    <w:t>4.29</w:t>
                  </w:r>
                </w:p>
              </w:tc>
              <w:tc>
                <w:tcPr>
                  <w:tcW w:w="505" w:type="pct"/>
                  <w:vAlign w:val="center"/>
                </w:tcPr>
                <w:p>
                  <w:pPr>
                    <w:jc w:val="center"/>
                    <w:rPr>
                      <w:szCs w:val="21"/>
                    </w:rPr>
                  </w:pPr>
                  <w:r>
                    <w:rPr>
                      <w:rFonts w:hint="eastAsia"/>
                      <w:szCs w:val="21"/>
                    </w:rPr>
                    <w:t>达</w:t>
                  </w:r>
                  <w:r>
                    <w:rPr>
                      <w:szCs w:val="21"/>
                    </w:rPr>
                    <w:t>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pPr>
                    <w:snapToGrid w:val="0"/>
                    <w:spacing w:line="0" w:lineRule="atLeast"/>
                    <w:jc w:val="center"/>
                    <w:rPr>
                      <w:szCs w:val="21"/>
                      <w:vertAlign w:val="subscript"/>
                    </w:rPr>
                  </w:pPr>
                  <w:r>
                    <w:rPr>
                      <w:szCs w:val="21"/>
                    </w:rPr>
                    <w:t>PM</w:t>
                  </w:r>
                  <w:r>
                    <w:rPr>
                      <w:szCs w:val="21"/>
                      <w:vertAlign w:val="subscript"/>
                    </w:rPr>
                    <w:t>2.5</w:t>
                  </w:r>
                </w:p>
              </w:tc>
              <w:tc>
                <w:tcPr>
                  <w:tcW w:w="1459" w:type="pct"/>
                  <w:vAlign w:val="center"/>
                </w:tcPr>
                <w:p>
                  <w:pPr>
                    <w:snapToGrid w:val="0"/>
                    <w:spacing w:line="0" w:lineRule="atLeast"/>
                    <w:jc w:val="center"/>
                    <w:rPr>
                      <w:szCs w:val="21"/>
                      <w:vertAlign w:val="subscript"/>
                    </w:rPr>
                  </w:pPr>
                  <w:r>
                    <w:rPr>
                      <w:bCs/>
                      <w:szCs w:val="21"/>
                    </w:rPr>
                    <w:t>年平均质量浓度</w:t>
                  </w:r>
                </w:p>
              </w:tc>
              <w:tc>
                <w:tcPr>
                  <w:tcW w:w="1101" w:type="pct"/>
                  <w:vAlign w:val="center"/>
                </w:tcPr>
                <w:p>
                  <w:pPr>
                    <w:jc w:val="center"/>
                    <w:rPr>
                      <w:rFonts w:hint="default" w:eastAsia="宋体"/>
                      <w:szCs w:val="21"/>
                      <w:lang w:val="en-US" w:eastAsia="zh-CN"/>
                    </w:rPr>
                  </w:pPr>
                  <w:r>
                    <w:rPr>
                      <w:rFonts w:hint="eastAsia"/>
                      <w:szCs w:val="21"/>
                      <w:lang w:val="en-US" w:eastAsia="zh-CN"/>
                    </w:rPr>
                    <w:t>32</w:t>
                  </w:r>
                </w:p>
              </w:tc>
              <w:tc>
                <w:tcPr>
                  <w:tcW w:w="943" w:type="pct"/>
                  <w:vAlign w:val="center"/>
                </w:tcPr>
                <w:p>
                  <w:pPr>
                    <w:jc w:val="center"/>
                    <w:rPr>
                      <w:szCs w:val="21"/>
                    </w:rPr>
                  </w:pPr>
                  <w:r>
                    <w:rPr>
                      <w:szCs w:val="21"/>
                    </w:rPr>
                    <w:t>35</w:t>
                  </w:r>
                </w:p>
              </w:tc>
              <w:tc>
                <w:tcPr>
                  <w:tcW w:w="542" w:type="pct"/>
                  <w:vAlign w:val="center"/>
                </w:tcPr>
                <w:p>
                  <w:pPr>
                    <w:jc w:val="center"/>
                    <w:rPr>
                      <w:rFonts w:hint="default" w:eastAsia="宋体"/>
                      <w:szCs w:val="21"/>
                      <w:lang w:val="en-US" w:eastAsia="zh-CN"/>
                    </w:rPr>
                  </w:pPr>
                  <w:r>
                    <w:rPr>
                      <w:rFonts w:hint="eastAsia"/>
                      <w:szCs w:val="21"/>
                      <w:lang w:val="en-US" w:eastAsia="zh-CN"/>
                    </w:rPr>
                    <w:t>91.43</w:t>
                  </w:r>
                </w:p>
              </w:tc>
              <w:tc>
                <w:tcPr>
                  <w:tcW w:w="505" w:type="pct"/>
                  <w:vAlign w:val="center"/>
                </w:tcPr>
                <w:p>
                  <w:pPr>
                    <w:jc w:val="center"/>
                    <w:rPr>
                      <w:szCs w:val="21"/>
                    </w:rPr>
                  </w:pPr>
                  <w:r>
                    <w:rPr>
                      <w:rFonts w:hint="eastAsia"/>
                      <w:szCs w:val="21"/>
                    </w:rPr>
                    <w:t>达</w:t>
                  </w:r>
                  <w:r>
                    <w:rPr>
                      <w:szCs w:val="21"/>
                    </w:rPr>
                    <w:t>标</w:t>
                  </w:r>
                </w:p>
              </w:tc>
            </w:tr>
          </w:tbl>
          <w:p>
            <w:pPr>
              <w:pStyle w:val="27"/>
              <w:spacing w:line="360" w:lineRule="auto"/>
              <w:ind w:firstLine="480" w:firstLineChars="200"/>
              <w:rPr>
                <w:rFonts w:hint="eastAsia" w:ascii="Times New Roman" w:cs="Times New Roman"/>
              </w:rPr>
            </w:pPr>
            <w:r>
              <w:rPr>
                <w:rFonts w:hint="eastAsia" w:ascii="Times New Roman" w:cs="Times New Roman"/>
              </w:rPr>
              <w:t>（2）特征因子补充监测</w:t>
            </w:r>
          </w:p>
          <w:p>
            <w:pPr>
              <w:pStyle w:val="27"/>
              <w:spacing w:line="360" w:lineRule="auto"/>
              <w:ind w:firstLine="480" w:firstLineChars="200"/>
              <w:rPr>
                <w:rFonts w:ascii="Times New Roman" w:cs="Times New Roman"/>
              </w:rPr>
            </w:pPr>
            <w:r>
              <w:rPr>
                <w:rFonts w:hint="eastAsia" w:ascii="Times New Roman" w:cs="Times New Roman"/>
              </w:rPr>
              <w:t>本项目主要大气污染物为</w:t>
            </w:r>
            <w:r>
              <w:rPr>
                <w:rFonts w:hint="eastAsia" w:ascii="Times New Roman" w:cs="Times New Roman"/>
                <w:lang w:val="en-US" w:eastAsia="zh-CN"/>
              </w:rPr>
              <w:t>颗粒物、SO</w:t>
            </w:r>
            <w:r>
              <w:rPr>
                <w:rFonts w:hint="eastAsia" w:ascii="Times New Roman" w:cs="Times New Roman"/>
                <w:vertAlign w:val="subscript"/>
                <w:lang w:val="en-US" w:eastAsia="zh-CN"/>
              </w:rPr>
              <w:t>2</w:t>
            </w:r>
            <w:r>
              <w:rPr>
                <w:rFonts w:hint="eastAsia" w:ascii="Times New Roman" w:cs="Times New Roman"/>
                <w:lang w:val="en-US" w:eastAsia="zh-CN"/>
              </w:rPr>
              <w:t>和NOx</w:t>
            </w:r>
            <w:r>
              <w:rPr>
                <w:rFonts w:hint="eastAsia" w:ascii="Times New Roman" w:cs="Times New Roman"/>
              </w:rPr>
              <w:t>，本次环评</w:t>
            </w:r>
            <w:r>
              <w:rPr>
                <w:rFonts w:hint="eastAsia" w:ascii="Times New Roman" w:cs="Times New Roman"/>
                <w:lang w:val="en-US" w:eastAsia="zh-CN"/>
              </w:rPr>
              <w:t>委托耒阳市绿鑫环保有限公司对项目所在区域的TSP进行补充监测</w:t>
            </w:r>
            <w:r>
              <w:rPr>
                <w:rFonts w:hint="eastAsia" w:ascii="Times New Roman" w:cs="Times New Roman"/>
              </w:rPr>
              <w:t>。</w:t>
            </w:r>
          </w:p>
          <w:p>
            <w:pPr>
              <w:autoSpaceDE w:val="0"/>
              <w:autoSpaceDN w:val="0"/>
              <w:adjustRightInd w:val="0"/>
              <w:snapToGrid w:val="0"/>
              <w:spacing w:line="360" w:lineRule="auto"/>
              <w:ind w:firstLine="360" w:firstLineChars="150"/>
              <w:textAlignment w:val="baseline"/>
              <w:rPr>
                <w:kern w:val="0"/>
                <w:sz w:val="24"/>
              </w:rPr>
            </w:pPr>
            <w:r>
              <w:rPr>
                <w:kern w:val="0"/>
                <w:sz w:val="24"/>
              </w:rPr>
              <w:t>（1）监测布点：</w:t>
            </w:r>
            <w:r>
              <w:rPr>
                <w:rFonts w:hint="eastAsia"/>
                <w:kern w:val="0"/>
                <w:sz w:val="24"/>
                <w:lang w:val="en-US" w:eastAsia="zh-CN"/>
              </w:rPr>
              <w:t>厂区下风向西南侧</w:t>
            </w:r>
            <w:r>
              <w:rPr>
                <w:kern w:val="0"/>
                <w:sz w:val="24"/>
              </w:rPr>
              <w:t>；</w:t>
            </w:r>
          </w:p>
          <w:p>
            <w:pPr>
              <w:autoSpaceDE w:val="0"/>
              <w:autoSpaceDN w:val="0"/>
              <w:adjustRightInd w:val="0"/>
              <w:snapToGrid w:val="0"/>
              <w:spacing w:line="360" w:lineRule="auto"/>
              <w:ind w:firstLine="360" w:firstLineChars="150"/>
              <w:textAlignment w:val="baseline"/>
              <w:rPr>
                <w:kern w:val="0"/>
                <w:sz w:val="24"/>
              </w:rPr>
            </w:pPr>
            <w:r>
              <w:rPr>
                <w:kern w:val="0"/>
                <w:sz w:val="24"/>
              </w:rPr>
              <w:t>（2）监测因子：</w:t>
            </w:r>
            <w:r>
              <w:rPr>
                <w:bCs/>
                <w:kern w:val="0"/>
                <w:sz w:val="24"/>
              </w:rPr>
              <w:t>颗粒物和</w:t>
            </w:r>
            <w:r>
              <w:rPr>
                <w:kern w:val="0"/>
                <w:sz w:val="24"/>
              </w:rPr>
              <w:t>；</w:t>
            </w:r>
          </w:p>
          <w:p>
            <w:pPr>
              <w:autoSpaceDE w:val="0"/>
              <w:autoSpaceDN w:val="0"/>
              <w:adjustRightInd w:val="0"/>
              <w:snapToGrid w:val="0"/>
              <w:spacing w:line="360" w:lineRule="auto"/>
              <w:ind w:firstLine="360" w:firstLineChars="150"/>
              <w:textAlignment w:val="baseline"/>
              <w:rPr>
                <w:kern w:val="0"/>
                <w:sz w:val="24"/>
              </w:rPr>
            </w:pPr>
            <w:r>
              <w:rPr>
                <w:kern w:val="0"/>
                <w:sz w:val="24"/>
              </w:rPr>
              <w:t>（3）监测频次：</w:t>
            </w:r>
            <w:r>
              <w:rPr>
                <w:bCs/>
                <w:kern w:val="0"/>
                <w:sz w:val="24"/>
              </w:rPr>
              <w:t>连续监测</w:t>
            </w:r>
            <w:r>
              <w:rPr>
                <w:rFonts w:hint="eastAsia"/>
                <w:bCs/>
                <w:kern w:val="0"/>
                <w:sz w:val="24"/>
                <w:lang w:val="en-US" w:eastAsia="zh-CN"/>
              </w:rPr>
              <w:t>3</w:t>
            </w:r>
            <w:r>
              <w:rPr>
                <w:bCs/>
                <w:kern w:val="0"/>
                <w:sz w:val="24"/>
              </w:rPr>
              <w:t>天，</w:t>
            </w:r>
            <w:r>
              <w:rPr>
                <w:rFonts w:hint="eastAsia"/>
                <w:bCs/>
                <w:kern w:val="0"/>
                <w:sz w:val="24"/>
              </w:rPr>
              <w:t>颗粒物监测日均值</w:t>
            </w:r>
            <w:r>
              <w:rPr>
                <w:bCs/>
                <w:kern w:val="0"/>
                <w:sz w:val="24"/>
              </w:rPr>
              <w:t>；</w:t>
            </w:r>
          </w:p>
          <w:p>
            <w:pPr>
              <w:autoSpaceDE w:val="0"/>
              <w:autoSpaceDN w:val="0"/>
              <w:adjustRightInd w:val="0"/>
              <w:snapToGrid w:val="0"/>
              <w:spacing w:line="360" w:lineRule="auto"/>
              <w:ind w:firstLine="360" w:firstLineChars="150"/>
              <w:textAlignment w:val="baseline"/>
              <w:rPr>
                <w:kern w:val="0"/>
                <w:sz w:val="24"/>
              </w:rPr>
            </w:pPr>
            <w:r>
              <w:rPr>
                <w:kern w:val="0"/>
                <w:sz w:val="24"/>
              </w:rPr>
              <w:t>（4）评价标准：颗粒物执行《环境空气质量标准》（GB 3095-2012）表2中二级标准限值。</w:t>
            </w:r>
          </w:p>
          <w:p>
            <w:pPr>
              <w:adjustRightInd w:val="0"/>
              <w:snapToGrid w:val="0"/>
              <w:spacing w:line="360" w:lineRule="auto"/>
              <w:ind w:firstLine="360" w:firstLineChars="150"/>
              <w:textAlignment w:val="baseline"/>
              <w:rPr>
                <w:sz w:val="24"/>
              </w:rPr>
            </w:pPr>
            <w:r>
              <w:rPr>
                <w:sz w:val="24"/>
              </w:rPr>
              <w:t>（5）监测结果如下表3-2。</w:t>
            </w:r>
          </w:p>
          <w:p>
            <w:pPr>
              <w:widowControl/>
              <w:jc w:val="center"/>
              <w:rPr>
                <w:b/>
                <w:szCs w:val="21"/>
              </w:rPr>
            </w:pPr>
            <w:r>
              <w:rPr>
                <w:b/>
                <w:szCs w:val="21"/>
              </w:rPr>
              <w:t>表3-2  其他污染物补充监测点位基本信息</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195"/>
              <w:gridCol w:w="1197"/>
              <w:gridCol w:w="1198"/>
              <w:gridCol w:w="1198"/>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pct"/>
                  <w:vMerge w:val="restart"/>
                  <w:noWrap w:val="0"/>
                  <w:vAlign w:val="center"/>
                </w:tcPr>
                <w:p>
                  <w:pPr>
                    <w:widowControl/>
                    <w:jc w:val="center"/>
                    <w:rPr>
                      <w:b/>
                      <w:szCs w:val="21"/>
                    </w:rPr>
                  </w:pPr>
                  <w:r>
                    <w:rPr>
                      <w:b/>
                      <w:szCs w:val="21"/>
                    </w:rPr>
                    <w:t>监测点</w:t>
                  </w:r>
                  <w:r>
                    <w:rPr>
                      <w:rFonts w:hint="eastAsia"/>
                      <w:b/>
                      <w:szCs w:val="21"/>
                    </w:rPr>
                    <w:t>名</w:t>
                  </w:r>
                  <w:r>
                    <w:rPr>
                      <w:b/>
                      <w:szCs w:val="21"/>
                    </w:rPr>
                    <w:t>称</w:t>
                  </w:r>
                </w:p>
              </w:tc>
              <w:tc>
                <w:tcPr>
                  <w:tcW w:w="1427" w:type="pct"/>
                  <w:gridSpan w:val="2"/>
                  <w:noWrap w:val="0"/>
                  <w:vAlign w:val="center"/>
                </w:tcPr>
                <w:p>
                  <w:pPr>
                    <w:widowControl/>
                    <w:jc w:val="center"/>
                    <w:rPr>
                      <w:b/>
                      <w:szCs w:val="21"/>
                    </w:rPr>
                  </w:pPr>
                  <w:r>
                    <w:rPr>
                      <w:b/>
                      <w:szCs w:val="21"/>
                    </w:rPr>
                    <w:t>监测点坐标/m</w:t>
                  </w:r>
                </w:p>
              </w:tc>
              <w:tc>
                <w:tcPr>
                  <w:tcW w:w="714" w:type="pct"/>
                  <w:vMerge w:val="restart"/>
                  <w:noWrap w:val="0"/>
                  <w:vAlign w:val="center"/>
                </w:tcPr>
                <w:p>
                  <w:pPr>
                    <w:widowControl/>
                    <w:jc w:val="center"/>
                    <w:rPr>
                      <w:b/>
                      <w:szCs w:val="21"/>
                    </w:rPr>
                  </w:pPr>
                  <w:r>
                    <w:rPr>
                      <w:b/>
                      <w:szCs w:val="21"/>
                    </w:rPr>
                    <w:t>监测因子</w:t>
                  </w:r>
                </w:p>
              </w:tc>
              <w:tc>
                <w:tcPr>
                  <w:tcW w:w="714" w:type="pct"/>
                  <w:vMerge w:val="restart"/>
                  <w:noWrap w:val="0"/>
                  <w:vAlign w:val="center"/>
                </w:tcPr>
                <w:p>
                  <w:pPr>
                    <w:widowControl/>
                    <w:jc w:val="center"/>
                    <w:rPr>
                      <w:b/>
                      <w:szCs w:val="21"/>
                    </w:rPr>
                  </w:pPr>
                  <w:r>
                    <w:rPr>
                      <w:b/>
                      <w:szCs w:val="21"/>
                    </w:rPr>
                    <w:t>监测时段</w:t>
                  </w:r>
                </w:p>
              </w:tc>
              <w:tc>
                <w:tcPr>
                  <w:tcW w:w="714" w:type="pct"/>
                  <w:vMerge w:val="restart"/>
                  <w:noWrap w:val="0"/>
                  <w:vAlign w:val="center"/>
                </w:tcPr>
                <w:p>
                  <w:pPr>
                    <w:widowControl/>
                    <w:jc w:val="center"/>
                    <w:rPr>
                      <w:b/>
                      <w:szCs w:val="21"/>
                    </w:rPr>
                  </w:pPr>
                  <w:r>
                    <w:rPr>
                      <w:b/>
                      <w:szCs w:val="21"/>
                    </w:rPr>
                    <w:t>相对厂址方位</w:t>
                  </w:r>
                </w:p>
              </w:tc>
              <w:tc>
                <w:tcPr>
                  <w:tcW w:w="714" w:type="pct"/>
                  <w:vMerge w:val="restart"/>
                  <w:noWrap w:val="0"/>
                  <w:vAlign w:val="center"/>
                </w:tcPr>
                <w:p>
                  <w:pPr>
                    <w:widowControl/>
                    <w:jc w:val="center"/>
                    <w:rPr>
                      <w:b/>
                      <w:szCs w:val="21"/>
                    </w:rPr>
                  </w:pPr>
                  <w:r>
                    <w:rPr>
                      <w:b/>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pct"/>
                  <w:vMerge w:val="continue"/>
                  <w:noWrap w:val="0"/>
                  <w:vAlign w:val="center"/>
                </w:tcPr>
                <w:p>
                  <w:pPr>
                    <w:widowControl/>
                    <w:jc w:val="center"/>
                    <w:rPr>
                      <w:b/>
                      <w:szCs w:val="21"/>
                    </w:rPr>
                  </w:pPr>
                </w:p>
              </w:tc>
              <w:tc>
                <w:tcPr>
                  <w:tcW w:w="713" w:type="pct"/>
                  <w:noWrap w:val="0"/>
                  <w:vAlign w:val="center"/>
                </w:tcPr>
                <w:p>
                  <w:pPr>
                    <w:widowControl/>
                    <w:jc w:val="center"/>
                    <w:rPr>
                      <w:b/>
                      <w:szCs w:val="21"/>
                    </w:rPr>
                  </w:pPr>
                  <w:r>
                    <w:rPr>
                      <w:b/>
                      <w:szCs w:val="21"/>
                    </w:rPr>
                    <w:t>X</w:t>
                  </w:r>
                </w:p>
              </w:tc>
              <w:tc>
                <w:tcPr>
                  <w:tcW w:w="714" w:type="pct"/>
                  <w:noWrap w:val="0"/>
                  <w:vAlign w:val="center"/>
                </w:tcPr>
                <w:p>
                  <w:pPr>
                    <w:widowControl/>
                    <w:jc w:val="center"/>
                    <w:rPr>
                      <w:b/>
                      <w:szCs w:val="21"/>
                    </w:rPr>
                  </w:pPr>
                  <w:r>
                    <w:rPr>
                      <w:b/>
                      <w:szCs w:val="21"/>
                    </w:rPr>
                    <w:t>Y</w:t>
                  </w:r>
                </w:p>
              </w:tc>
              <w:tc>
                <w:tcPr>
                  <w:tcW w:w="714" w:type="pct"/>
                  <w:vMerge w:val="continue"/>
                  <w:noWrap w:val="0"/>
                  <w:vAlign w:val="center"/>
                </w:tcPr>
                <w:p>
                  <w:pPr>
                    <w:widowControl/>
                    <w:jc w:val="center"/>
                    <w:rPr>
                      <w:b/>
                      <w:szCs w:val="21"/>
                    </w:rPr>
                  </w:pPr>
                </w:p>
              </w:tc>
              <w:tc>
                <w:tcPr>
                  <w:tcW w:w="714" w:type="pct"/>
                  <w:vMerge w:val="continue"/>
                  <w:noWrap w:val="0"/>
                  <w:vAlign w:val="center"/>
                </w:tcPr>
                <w:p>
                  <w:pPr>
                    <w:widowControl/>
                    <w:jc w:val="center"/>
                    <w:rPr>
                      <w:b/>
                      <w:szCs w:val="21"/>
                    </w:rPr>
                  </w:pPr>
                </w:p>
              </w:tc>
              <w:tc>
                <w:tcPr>
                  <w:tcW w:w="714" w:type="pct"/>
                  <w:vMerge w:val="continue"/>
                  <w:noWrap w:val="0"/>
                  <w:vAlign w:val="center"/>
                </w:tcPr>
                <w:p>
                  <w:pPr>
                    <w:widowControl/>
                    <w:jc w:val="center"/>
                    <w:rPr>
                      <w:b/>
                      <w:szCs w:val="21"/>
                    </w:rPr>
                  </w:pPr>
                </w:p>
              </w:tc>
              <w:tc>
                <w:tcPr>
                  <w:tcW w:w="714" w:type="pct"/>
                  <w:vMerge w:val="continue"/>
                  <w:noWrap w:val="0"/>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pct"/>
                  <w:noWrap w:val="0"/>
                  <w:vAlign w:val="center"/>
                </w:tcPr>
                <w:p>
                  <w:pPr>
                    <w:widowControl/>
                    <w:jc w:val="center"/>
                    <w:rPr>
                      <w:rFonts w:hint="default" w:eastAsia="宋体"/>
                      <w:bCs/>
                      <w:szCs w:val="21"/>
                      <w:lang w:val="en-US" w:eastAsia="zh-CN"/>
                    </w:rPr>
                  </w:pPr>
                  <w:r>
                    <w:rPr>
                      <w:rFonts w:hint="eastAsia"/>
                      <w:bCs/>
                      <w:szCs w:val="21"/>
                      <w:lang w:val="en-US" w:eastAsia="zh-CN"/>
                    </w:rPr>
                    <w:t>厂区下风向西南侧</w:t>
                  </w:r>
                </w:p>
              </w:tc>
              <w:tc>
                <w:tcPr>
                  <w:tcW w:w="713" w:type="pct"/>
                  <w:noWrap w:val="0"/>
                  <w:vAlign w:val="center"/>
                </w:tcPr>
                <w:p>
                  <w:pPr>
                    <w:widowControl/>
                    <w:jc w:val="center"/>
                    <w:rPr>
                      <w:rFonts w:hint="default" w:eastAsia="宋体"/>
                      <w:bCs/>
                      <w:szCs w:val="21"/>
                      <w:lang w:val="en-US" w:eastAsia="zh-CN"/>
                    </w:rPr>
                  </w:pPr>
                  <w:r>
                    <w:rPr>
                      <w:rFonts w:hint="eastAsia"/>
                      <w:bCs/>
                      <w:szCs w:val="21"/>
                      <w:lang w:val="en-US" w:eastAsia="zh-CN"/>
                    </w:rPr>
                    <w:t>-5</w:t>
                  </w:r>
                </w:p>
              </w:tc>
              <w:tc>
                <w:tcPr>
                  <w:tcW w:w="714" w:type="pct"/>
                  <w:noWrap w:val="0"/>
                  <w:vAlign w:val="center"/>
                </w:tcPr>
                <w:p>
                  <w:pPr>
                    <w:widowControl/>
                    <w:jc w:val="center"/>
                    <w:rPr>
                      <w:rFonts w:hint="default" w:eastAsia="宋体"/>
                      <w:bCs/>
                      <w:szCs w:val="21"/>
                      <w:lang w:val="en-US" w:eastAsia="zh-CN"/>
                    </w:rPr>
                  </w:pPr>
                  <w:r>
                    <w:rPr>
                      <w:rFonts w:hint="eastAsia"/>
                      <w:bCs/>
                      <w:szCs w:val="21"/>
                      <w:lang w:val="en-US" w:eastAsia="zh-CN"/>
                    </w:rPr>
                    <w:t>-9</w:t>
                  </w:r>
                </w:p>
              </w:tc>
              <w:tc>
                <w:tcPr>
                  <w:tcW w:w="714" w:type="pct"/>
                  <w:noWrap w:val="0"/>
                  <w:vAlign w:val="center"/>
                </w:tcPr>
                <w:p>
                  <w:pPr>
                    <w:widowControl/>
                    <w:jc w:val="center"/>
                    <w:rPr>
                      <w:bCs/>
                      <w:szCs w:val="21"/>
                    </w:rPr>
                  </w:pPr>
                  <w:r>
                    <w:rPr>
                      <w:bCs/>
                      <w:szCs w:val="21"/>
                    </w:rPr>
                    <w:t>颗粒物</w:t>
                  </w:r>
                </w:p>
              </w:tc>
              <w:tc>
                <w:tcPr>
                  <w:tcW w:w="714" w:type="pct"/>
                  <w:noWrap w:val="0"/>
                  <w:vAlign w:val="center"/>
                </w:tcPr>
                <w:p>
                  <w:pPr>
                    <w:widowControl/>
                    <w:jc w:val="center"/>
                    <w:rPr>
                      <w:bCs/>
                      <w:szCs w:val="21"/>
                    </w:rPr>
                  </w:pPr>
                  <w:r>
                    <w:rPr>
                      <w:bCs/>
                      <w:szCs w:val="21"/>
                    </w:rPr>
                    <w:t>20</w:t>
                  </w:r>
                  <w:r>
                    <w:rPr>
                      <w:rFonts w:hint="eastAsia"/>
                      <w:bCs/>
                      <w:szCs w:val="21"/>
                    </w:rPr>
                    <w:t>2</w:t>
                  </w:r>
                  <w:r>
                    <w:rPr>
                      <w:rFonts w:hint="eastAsia"/>
                      <w:bCs/>
                      <w:szCs w:val="21"/>
                      <w:lang w:val="en-US" w:eastAsia="zh-CN"/>
                    </w:rPr>
                    <w:t>2</w:t>
                  </w:r>
                  <w:r>
                    <w:rPr>
                      <w:bCs/>
                      <w:szCs w:val="21"/>
                    </w:rPr>
                    <w:t>.</w:t>
                  </w:r>
                  <w:r>
                    <w:rPr>
                      <w:rFonts w:hint="eastAsia"/>
                      <w:bCs/>
                      <w:szCs w:val="21"/>
                      <w:lang w:val="en-US" w:eastAsia="zh-CN"/>
                    </w:rPr>
                    <w:t>1</w:t>
                  </w:r>
                  <w:r>
                    <w:rPr>
                      <w:bCs/>
                      <w:szCs w:val="21"/>
                    </w:rPr>
                    <w:t>.</w:t>
                  </w:r>
                  <w:r>
                    <w:rPr>
                      <w:rFonts w:hint="eastAsia"/>
                      <w:bCs/>
                      <w:szCs w:val="21"/>
                      <w:lang w:val="en-US" w:eastAsia="zh-CN"/>
                    </w:rPr>
                    <w:t>12</w:t>
                  </w:r>
                  <w:r>
                    <w:rPr>
                      <w:bCs/>
                      <w:szCs w:val="21"/>
                    </w:rPr>
                    <w:t>-</w:t>
                  </w:r>
                </w:p>
                <w:p>
                  <w:pPr>
                    <w:widowControl/>
                    <w:jc w:val="center"/>
                    <w:rPr>
                      <w:rFonts w:hint="default" w:eastAsia="宋体"/>
                      <w:bCs/>
                      <w:szCs w:val="21"/>
                      <w:lang w:val="en-US" w:eastAsia="zh-CN"/>
                    </w:rPr>
                  </w:pPr>
                  <w:r>
                    <w:rPr>
                      <w:bCs/>
                      <w:szCs w:val="21"/>
                    </w:rPr>
                    <w:t>202</w:t>
                  </w:r>
                  <w:r>
                    <w:rPr>
                      <w:rFonts w:hint="eastAsia"/>
                      <w:bCs/>
                      <w:szCs w:val="21"/>
                      <w:lang w:val="en-US" w:eastAsia="zh-CN"/>
                    </w:rPr>
                    <w:t>2.1.14</w:t>
                  </w:r>
                </w:p>
              </w:tc>
              <w:tc>
                <w:tcPr>
                  <w:tcW w:w="714" w:type="pct"/>
                  <w:noWrap w:val="0"/>
                  <w:vAlign w:val="center"/>
                </w:tcPr>
                <w:p>
                  <w:pPr>
                    <w:widowControl/>
                    <w:jc w:val="center"/>
                    <w:rPr>
                      <w:rFonts w:hint="eastAsia" w:eastAsia="宋体"/>
                      <w:bCs/>
                      <w:szCs w:val="21"/>
                      <w:lang w:val="en-US" w:eastAsia="zh-CN"/>
                    </w:rPr>
                  </w:pPr>
                  <w:r>
                    <w:rPr>
                      <w:rFonts w:hint="eastAsia"/>
                      <w:bCs/>
                      <w:szCs w:val="21"/>
                    </w:rPr>
                    <w:t>西</w:t>
                  </w:r>
                  <w:r>
                    <w:rPr>
                      <w:rFonts w:hint="eastAsia"/>
                      <w:bCs/>
                      <w:szCs w:val="21"/>
                      <w:lang w:val="en-US" w:eastAsia="zh-CN"/>
                    </w:rPr>
                    <w:t>南</w:t>
                  </w:r>
                </w:p>
              </w:tc>
              <w:tc>
                <w:tcPr>
                  <w:tcW w:w="714" w:type="pct"/>
                  <w:noWrap w:val="0"/>
                  <w:vAlign w:val="center"/>
                </w:tcPr>
                <w:p>
                  <w:pPr>
                    <w:widowControl/>
                    <w:jc w:val="center"/>
                    <w:rPr>
                      <w:rFonts w:hint="default" w:eastAsia="宋体"/>
                      <w:bCs/>
                      <w:szCs w:val="21"/>
                      <w:lang w:val="en-US" w:eastAsia="zh-CN"/>
                    </w:rPr>
                  </w:pPr>
                  <w:r>
                    <w:rPr>
                      <w:rFonts w:hint="eastAsia"/>
                      <w:bCs/>
                      <w:szCs w:val="21"/>
                      <w:lang w:val="en-US" w:eastAsia="zh-CN"/>
                    </w:rPr>
                    <w:t>10</w:t>
                  </w:r>
                </w:p>
              </w:tc>
            </w:tr>
          </w:tbl>
          <w:p>
            <w:pPr>
              <w:widowControl/>
              <w:jc w:val="center"/>
              <w:rPr>
                <w:b/>
                <w:szCs w:val="21"/>
              </w:rPr>
            </w:pPr>
            <w:r>
              <w:rPr>
                <w:b/>
                <w:szCs w:val="21"/>
              </w:rPr>
              <w:t>表3-3  其他污染物环境质量现状（监测结果）表</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677"/>
              <w:gridCol w:w="682"/>
              <w:gridCol w:w="828"/>
              <w:gridCol w:w="686"/>
              <w:gridCol w:w="1227"/>
              <w:gridCol w:w="1232"/>
              <w:gridCol w:w="726"/>
              <w:gridCol w:w="665"/>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 w:type="pct"/>
                  <w:vMerge w:val="restart"/>
                  <w:noWrap w:val="0"/>
                  <w:vAlign w:val="center"/>
                </w:tcPr>
                <w:p>
                  <w:pPr>
                    <w:widowControl/>
                    <w:jc w:val="center"/>
                    <w:rPr>
                      <w:b/>
                      <w:szCs w:val="21"/>
                    </w:rPr>
                  </w:pPr>
                  <w:r>
                    <w:rPr>
                      <w:b/>
                      <w:szCs w:val="21"/>
                    </w:rPr>
                    <w:t>监测点位</w:t>
                  </w:r>
                </w:p>
              </w:tc>
              <w:tc>
                <w:tcPr>
                  <w:tcW w:w="811" w:type="pct"/>
                  <w:gridSpan w:val="2"/>
                  <w:noWrap w:val="0"/>
                  <w:vAlign w:val="center"/>
                </w:tcPr>
                <w:p>
                  <w:pPr>
                    <w:widowControl/>
                    <w:jc w:val="center"/>
                    <w:rPr>
                      <w:b/>
                      <w:szCs w:val="21"/>
                    </w:rPr>
                  </w:pPr>
                  <w:r>
                    <w:rPr>
                      <w:b/>
                      <w:szCs w:val="21"/>
                    </w:rPr>
                    <w:t>监测点坐标/m</w:t>
                  </w:r>
                </w:p>
              </w:tc>
              <w:tc>
                <w:tcPr>
                  <w:tcW w:w="494" w:type="pct"/>
                  <w:vMerge w:val="restart"/>
                  <w:noWrap w:val="0"/>
                  <w:vAlign w:val="center"/>
                </w:tcPr>
                <w:p>
                  <w:pPr>
                    <w:widowControl/>
                    <w:jc w:val="center"/>
                    <w:rPr>
                      <w:b/>
                      <w:szCs w:val="21"/>
                    </w:rPr>
                  </w:pPr>
                  <w:r>
                    <w:rPr>
                      <w:b/>
                      <w:szCs w:val="21"/>
                    </w:rPr>
                    <w:t>污染物</w:t>
                  </w:r>
                </w:p>
              </w:tc>
              <w:tc>
                <w:tcPr>
                  <w:tcW w:w="409" w:type="pct"/>
                  <w:vMerge w:val="restart"/>
                  <w:noWrap w:val="0"/>
                  <w:vAlign w:val="center"/>
                </w:tcPr>
                <w:p>
                  <w:pPr>
                    <w:widowControl/>
                    <w:jc w:val="center"/>
                    <w:rPr>
                      <w:b/>
                      <w:szCs w:val="21"/>
                    </w:rPr>
                  </w:pPr>
                  <w:r>
                    <w:rPr>
                      <w:b/>
                      <w:szCs w:val="21"/>
                    </w:rPr>
                    <w:t>平均时间</w:t>
                  </w:r>
                </w:p>
              </w:tc>
              <w:tc>
                <w:tcPr>
                  <w:tcW w:w="732" w:type="pct"/>
                  <w:vMerge w:val="restart"/>
                  <w:noWrap w:val="0"/>
                  <w:vAlign w:val="center"/>
                </w:tcPr>
                <w:p>
                  <w:pPr>
                    <w:widowControl/>
                    <w:jc w:val="center"/>
                    <w:rPr>
                      <w:b/>
                      <w:szCs w:val="21"/>
                    </w:rPr>
                  </w:pPr>
                  <w:r>
                    <w:rPr>
                      <w:b/>
                      <w:szCs w:val="21"/>
                    </w:rPr>
                    <w:t>评价标准/（µg/m</w:t>
                  </w:r>
                  <w:r>
                    <w:rPr>
                      <w:b/>
                      <w:szCs w:val="21"/>
                      <w:vertAlign w:val="superscript"/>
                    </w:rPr>
                    <w:t>3</w:t>
                  </w:r>
                  <w:r>
                    <w:rPr>
                      <w:b/>
                      <w:szCs w:val="21"/>
                    </w:rPr>
                    <w:t>）</w:t>
                  </w:r>
                </w:p>
              </w:tc>
              <w:tc>
                <w:tcPr>
                  <w:tcW w:w="735" w:type="pct"/>
                  <w:vMerge w:val="restart"/>
                  <w:noWrap w:val="0"/>
                  <w:vAlign w:val="center"/>
                </w:tcPr>
                <w:p>
                  <w:pPr>
                    <w:widowControl/>
                    <w:jc w:val="center"/>
                    <w:rPr>
                      <w:b/>
                      <w:szCs w:val="21"/>
                    </w:rPr>
                  </w:pPr>
                  <w:r>
                    <w:rPr>
                      <w:b/>
                      <w:szCs w:val="21"/>
                    </w:rPr>
                    <w:t>监测浓度范围/（µg/m</w:t>
                  </w:r>
                  <w:r>
                    <w:rPr>
                      <w:b/>
                      <w:szCs w:val="21"/>
                      <w:vertAlign w:val="superscript"/>
                    </w:rPr>
                    <w:t>3</w:t>
                  </w:r>
                  <w:r>
                    <w:rPr>
                      <w:b/>
                      <w:szCs w:val="21"/>
                    </w:rPr>
                    <w:t>）</w:t>
                  </w:r>
                </w:p>
              </w:tc>
              <w:tc>
                <w:tcPr>
                  <w:tcW w:w="433" w:type="pct"/>
                  <w:vMerge w:val="restart"/>
                  <w:noWrap w:val="0"/>
                  <w:vAlign w:val="center"/>
                </w:tcPr>
                <w:p>
                  <w:pPr>
                    <w:widowControl/>
                    <w:jc w:val="center"/>
                    <w:rPr>
                      <w:b/>
                      <w:szCs w:val="21"/>
                    </w:rPr>
                  </w:pPr>
                  <w:r>
                    <w:rPr>
                      <w:b/>
                      <w:szCs w:val="21"/>
                    </w:rPr>
                    <w:t>最大浓度占标率/%</w:t>
                  </w:r>
                </w:p>
              </w:tc>
              <w:tc>
                <w:tcPr>
                  <w:tcW w:w="397" w:type="pct"/>
                  <w:vMerge w:val="restart"/>
                  <w:noWrap w:val="0"/>
                  <w:vAlign w:val="center"/>
                </w:tcPr>
                <w:p>
                  <w:pPr>
                    <w:widowControl/>
                    <w:jc w:val="center"/>
                    <w:rPr>
                      <w:b/>
                      <w:szCs w:val="21"/>
                    </w:rPr>
                  </w:pPr>
                  <w:r>
                    <w:rPr>
                      <w:b/>
                      <w:szCs w:val="21"/>
                    </w:rPr>
                    <w:t>超标率/%</w:t>
                  </w:r>
                </w:p>
              </w:tc>
              <w:tc>
                <w:tcPr>
                  <w:tcW w:w="411" w:type="pct"/>
                  <w:vMerge w:val="restart"/>
                  <w:noWrap w:val="0"/>
                  <w:vAlign w:val="center"/>
                </w:tcPr>
                <w:p>
                  <w:pPr>
                    <w:widowControl/>
                    <w:jc w:val="center"/>
                    <w:rPr>
                      <w:b/>
                      <w:szCs w:val="21"/>
                    </w:rPr>
                  </w:pPr>
                  <w:r>
                    <w:rPr>
                      <w:b/>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 w:type="pct"/>
                  <w:vMerge w:val="continue"/>
                  <w:noWrap w:val="0"/>
                  <w:vAlign w:val="center"/>
                </w:tcPr>
                <w:p>
                  <w:pPr>
                    <w:widowControl/>
                    <w:jc w:val="center"/>
                    <w:rPr>
                      <w:b/>
                      <w:szCs w:val="21"/>
                    </w:rPr>
                  </w:pPr>
                </w:p>
              </w:tc>
              <w:tc>
                <w:tcPr>
                  <w:tcW w:w="404" w:type="pct"/>
                  <w:noWrap w:val="0"/>
                  <w:vAlign w:val="center"/>
                </w:tcPr>
                <w:p>
                  <w:pPr>
                    <w:widowControl/>
                    <w:jc w:val="center"/>
                    <w:rPr>
                      <w:b/>
                      <w:szCs w:val="21"/>
                    </w:rPr>
                  </w:pPr>
                  <w:r>
                    <w:rPr>
                      <w:b/>
                      <w:szCs w:val="21"/>
                    </w:rPr>
                    <w:t>X</w:t>
                  </w:r>
                </w:p>
              </w:tc>
              <w:tc>
                <w:tcPr>
                  <w:tcW w:w="406" w:type="pct"/>
                  <w:noWrap w:val="0"/>
                  <w:vAlign w:val="center"/>
                </w:tcPr>
                <w:p>
                  <w:pPr>
                    <w:widowControl/>
                    <w:jc w:val="center"/>
                    <w:rPr>
                      <w:b/>
                      <w:szCs w:val="21"/>
                    </w:rPr>
                  </w:pPr>
                  <w:r>
                    <w:rPr>
                      <w:b/>
                      <w:szCs w:val="21"/>
                    </w:rPr>
                    <w:t>Y</w:t>
                  </w:r>
                </w:p>
              </w:tc>
              <w:tc>
                <w:tcPr>
                  <w:tcW w:w="494" w:type="pct"/>
                  <w:vMerge w:val="continue"/>
                  <w:noWrap w:val="0"/>
                  <w:vAlign w:val="center"/>
                </w:tcPr>
                <w:p>
                  <w:pPr>
                    <w:widowControl/>
                    <w:jc w:val="center"/>
                    <w:rPr>
                      <w:b/>
                      <w:szCs w:val="21"/>
                    </w:rPr>
                  </w:pPr>
                </w:p>
              </w:tc>
              <w:tc>
                <w:tcPr>
                  <w:tcW w:w="409" w:type="pct"/>
                  <w:vMerge w:val="continue"/>
                  <w:noWrap w:val="0"/>
                  <w:vAlign w:val="center"/>
                </w:tcPr>
                <w:p>
                  <w:pPr>
                    <w:widowControl/>
                    <w:jc w:val="center"/>
                    <w:rPr>
                      <w:b/>
                      <w:szCs w:val="21"/>
                    </w:rPr>
                  </w:pPr>
                </w:p>
              </w:tc>
              <w:tc>
                <w:tcPr>
                  <w:tcW w:w="732" w:type="pct"/>
                  <w:vMerge w:val="continue"/>
                  <w:noWrap w:val="0"/>
                  <w:vAlign w:val="center"/>
                </w:tcPr>
                <w:p>
                  <w:pPr>
                    <w:widowControl/>
                    <w:jc w:val="center"/>
                    <w:rPr>
                      <w:b/>
                      <w:szCs w:val="21"/>
                    </w:rPr>
                  </w:pPr>
                </w:p>
              </w:tc>
              <w:tc>
                <w:tcPr>
                  <w:tcW w:w="735" w:type="pct"/>
                  <w:vMerge w:val="continue"/>
                  <w:noWrap w:val="0"/>
                  <w:vAlign w:val="center"/>
                </w:tcPr>
                <w:p>
                  <w:pPr>
                    <w:widowControl/>
                    <w:jc w:val="center"/>
                    <w:rPr>
                      <w:b/>
                      <w:szCs w:val="21"/>
                    </w:rPr>
                  </w:pPr>
                </w:p>
              </w:tc>
              <w:tc>
                <w:tcPr>
                  <w:tcW w:w="433" w:type="pct"/>
                  <w:vMerge w:val="continue"/>
                  <w:noWrap w:val="0"/>
                  <w:vAlign w:val="center"/>
                </w:tcPr>
                <w:p>
                  <w:pPr>
                    <w:widowControl/>
                    <w:jc w:val="center"/>
                    <w:rPr>
                      <w:b/>
                      <w:szCs w:val="21"/>
                    </w:rPr>
                  </w:pPr>
                </w:p>
              </w:tc>
              <w:tc>
                <w:tcPr>
                  <w:tcW w:w="397" w:type="pct"/>
                  <w:vMerge w:val="continue"/>
                  <w:noWrap w:val="0"/>
                  <w:vAlign w:val="center"/>
                </w:tcPr>
                <w:p>
                  <w:pPr>
                    <w:widowControl/>
                    <w:jc w:val="center"/>
                    <w:rPr>
                      <w:b/>
                      <w:szCs w:val="21"/>
                    </w:rPr>
                  </w:pPr>
                </w:p>
              </w:tc>
              <w:tc>
                <w:tcPr>
                  <w:tcW w:w="411" w:type="pct"/>
                  <w:vMerge w:val="continue"/>
                  <w:noWrap w:val="0"/>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 w:type="pct"/>
                  <w:noWrap w:val="0"/>
                  <w:vAlign w:val="center"/>
                </w:tcPr>
                <w:p>
                  <w:pPr>
                    <w:widowControl/>
                    <w:jc w:val="center"/>
                    <w:rPr>
                      <w:bCs/>
                      <w:szCs w:val="21"/>
                    </w:rPr>
                  </w:pPr>
                  <w:r>
                    <w:rPr>
                      <w:rFonts w:hint="eastAsia"/>
                      <w:bCs/>
                      <w:szCs w:val="21"/>
                      <w:lang w:val="en-US" w:eastAsia="zh-CN"/>
                    </w:rPr>
                    <w:t>厂区下风向西南侧</w:t>
                  </w:r>
                </w:p>
              </w:tc>
              <w:tc>
                <w:tcPr>
                  <w:tcW w:w="677" w:type="dxa"/>
                  <w:noWrap w:val="0"/>
                  <w:vAlign w:val="center"/>
                </w:tcPr>
                <w:p>
                  <w:pPr>
                    <w:widowControl/>
                    <w:jc w:val="center"/>
                    <w:rPr>
                      <w:bCs/>
                      <w:szCs w:val="21"/>
                    </w:rPr>
                  </w:pPr>
                  <w:r>
                    <w:rPr>
                      <w:rFonts w:hint="eastAsia"/>
                      <w:bCs/>
                      <w:szCs w:val="21"/>
                      <w:lang w:val="en-US" w:eastAsia="zh-CN"/>
                    </w:rPr>
                    <w:t>-5</w:t>
                  </w:r>
                </w:p>
              </w:tc>
              <w:tc>
                <w:tcPr>
                  <w:tcW w:w="682" w:type="dxa"/>
                  <w:noWrap w:val="0"/>
                  <w:vAlign w:val="center"/>
                </w:tcPr>
                <w:p>
                  <w:pPr>
                    <w:widowControl/>
                    <w:jc w:val="center"/>
                    <w:rPr>
                      <w:bCs/>
                      <w:szCs w:val="21"/>
                    </w:rPr>
                  </w:pPr>
                  <w:r>
                    <w:rPr>
                      <w:rFonts w:hint="eastAsia"/>
                      <w:bCs/>
                      <w:szCs w:val="21"/>
                      <w:lang w:val="en-US" w:eastAsia="zh-CN"/>
                    </w:rPr>
                    <w:t>-9</w:t>
                  </w:r>
                </w:p>
              </w:tc>
              <w:tc>
                <w:tcPr>
                  <w:tcW w:w="494" w:type="pct"/>
                  <w:noWrap w:val="0"/>
                  <w:vAlign w:val="center"/>
                </w:tcPr>
                <w:p>
                  <w:pPr>
                    <w:widowControl/>
                    <w:jc w:val="center"/>
                    <w:rPr>
                      <w:bCs/>
                      <w:szCs w:val="21"/>
                    </w:rPr>
                  </w:pPr>
                  <w:r>
                    <w:rPr>
                      <w:bCs/>
                      <w:szCs w:val="21"/>
                    </w:rPr>
                    <w:t>颗粒物</w:t>
                  </w:r>
                </w:p>
              </w:tc>
              <w:tc>
                <w:tcPr>
                  <w:tcW w:w="409" w:type="pct"/>
                  <w:noWrap w:val="0"/>
                  <w:vAlign w:val="center"/>
                </w:tcPr>
                <w:p>
                  <w:pPr>
                    <w:widowControl/>
                    <w:jc w:val="center"/>
                    <w:rPr>
                      <w:bCs/>
                      <w:szCs w:val="21"/>
                    </w:rPr>
                  </w:pPr>
                  <w:r>
                    <w:rPr>
                      <w:bCs/>
                      <w:szCs w:val="21"/>
                    </w:rPr>
                    <w:t>1天</w:t>
                  </w:r>
                </w:p>
              </w:tc>
              <w:tc>
                <w:tcPr>
                  <w:tcW w:w="732" w:type="pct"/>
                  <w:noWrap w:val="0"/>
                  <w:vAlign w:val="center"/>
                </w:tcPr>
                <w:p>
                  <w:pPr>
                    <w:widowControl/>
                    <w:jc w:val="center"/>
                    <w:rPr>
                      <w:bCs/>
                      <w:szCs w:val="21"/>
                    </w:rPr>
                  </w:pPr>
                  <w:r>
                    <w:rPr>
                      <w:bCs/>
                      <w:szCs w:val="21"/>
                    </w:rPr>
                    <w:t>300</w:t>
                  </w:r>
                </w:p>
              </w:tc>
              <w:tc>
                <w:tcPr>
                  <w:tcW w:w="735" w:type="pct"/>
                  <w:noWrap w:val="0"/>
                  <w:vAlign w:val="center"/>
                </w:tcPr>
                <w:p>
                  <w:pPr>
                    <w:widowControl/>
                    <w:jc w:val="center"/>
                    <w:rPr>
                      <w:rFonts w:hint="eastAsia"/>
                      <w:bCs/>
                      <w:szCs w:val="21"/>
                    </w:rPr>
                  </w:pPr>
                  <w:r>
                    <w:rPr>
                      <w:rFonts w:hint="eastAsia"/>
                      <w:bCs/>
                      <w:szCs w:val="21"/>
                    </w:rPr>
                    <w:t>1</w:t>
                  </w:r>
                  <w:r>
                    <w:rPr>
                      <w:rFonts w:hint="eastAsia"/>
                      <w:bCs/>
                      <w:szCs w:val="21"/>
                      <w:lang w:val="en-US" w:eastAsia="zh-CN"/>
                    </w:rPr>
                    <w:t>37</w:t>
                  </w:r>
                  <w:r>
                    <w:rPr>
                      <w:rFonts w:hint="eastAsia"/>
                      <w:bCs/>
                      <w:szCs w:val="21"/>
                    </w:rPr>
                    <w:t>-1</w:t>
                  </w:r>
                  <w:r>
                    <w:rPr>
                      <w:rFonts w:hint="eastAsia"/>
                      <w:bCs/>
                      <w:szCs w:val="21"/>
                      <w:lang w:val="en-US" w:eastAsia="zh-CN"/>
                    </w:rPr>
                    <w:t>7</w:t>
                  </w:r>
                  <w:r>
                    <w:rPr>
                      <w:rFonts w:hint="eastAsia"/>
                      <w:bCs/>
                      <w:szCs w:val="21"/>
                    </w:rPr>
                    <w:t>0</w:t>
                  </w:r>
                </w:p>
              </w:tc>
              <w:tc>
                <w:tcPr>
                  <w:tcW w:w="433" w:type="pct"/>
                  <w:noWrap w:val="0"/>
                  <w:vAlign w:val="center"/>
                </w:tcPr>
                <w:p>
                  <w:pPr>
                    <w:widowControl/>
                    <w:jc w:val="center"/>
                    <w:rPr>
                      <w:rFonts w:hint="default" w:eastAsia="宋体"/>
                      <w:bCs/>
                      <w:szCs w:val="21"/>
                      <w:lang w:val="en-US" w:eastAsia="zh-CN"/>
                    </w:rPr>
                  </w:pPr>
                  <w:r>
                    <w:rPr>
                      <w:rFonts w:hint="eastAsia"/>
                      <w:bCs/>
                      <w:szCs w:val="21"/>
                    </w:rPr>
                    <w:t>5</w:t>
                  </w:r>
                  <w:r>
                    <w:rPr>
                      <w:rFonts w:hint="eastAsia"/>
                      <w:bCs/>
                      <w:szCs w:val="21"/>
                      <w:lang w:val="en-US" w:eastAsia="zh-CN"/>
                    </w:rPr>
                    <w:t>6.67</w:t>
                  </w:r>
                </w:p>
              </w:tc>
              <w:tc>
                <w:tcPr>
                  <w:tcW w:w="397" w:type="pct"/>
                  <w:noWrap w:val="0"/>
                  <w:vAlign w:val="center"/>
                </w:tcPr>
                <w:p>
                  <w:pPr>
                    <w:widowControl/>
                    <w:jc w:val="center"/>
                    <w:rPr>
                      <w:bCs/>
                      <w:szCs w:val="21"/>
                    </w:rPr>
                  </w:pPr>
                  <w:r>
                    <w:rPr>
                      <w:rFonts w:hint="eastAsia"/>
                      <w:bCs/>
                      <w:szCs w:val="21"/>
                    </w:rPr>
                    <w:t>0</w:t>
                  </w:r>
                  <w:r>
                    <w:rPr>
                      <w:bCs/>
                      <w:szCs w:val="21"/>
                    </w:rPr>
                    <w:cr/>
                  </w:r>
                </w:p>
              </w:tc>
              <w:tc>
                <w:tcPr>
                  <w:tcW w:w="411" w:type="pct"/>
                  <w:noWrap w:val="0"/>
                  <w:vAlign w:val="center"/>
                </w:tcPr>
                <w:p>
                  <w:pPr>
                    <w:widowControl/>
                    <w:jc w:val="center"/>
                    <w:rPr>
                      <w:bCs/>
                      <w:szCs w:val="21"/>
                    </w:rPr>
                  </w:pPr>
                  <w:r>
                    <w:rPr>
                      <w:bCs/>
                      <w:szCs w:val="21"/>
                    </w:rPr>
                    <w:t>达标</w:t>
                  </w:r>
                </w:p>
              </w:tc>
            </w:tr>
          </w:tbl>
          <w:p>
            <w:pPr>
              <w:adjustRightInd w:val="0"/>
              <w:snapToGrid w:val="0"/>
              <w:spacing w:line="360" w:lineRule="auto"/>
              <w:ind w:firstLine="480" w:firstLineChars="200"/>
              <w:textAlignment w:val="baseline"/>
            </w:pPr>
            <w:r>
              <w:rPr>
                <w:kern w:val="0"/>
                <w:sz w:val="24"/>
              </w:rPr>
              <w:t>监测结果表明，颗粒物可满足《环境空气质量标准》（GB 3095-2012）表2中二级标准限值。</w:t>
            </w:r>
          </w:p>
          <w:p>
            <w:pPr>
              <w:pStyle w:val="50"/>
              <w:widowControl/>
              <w:adjustRightInd w:val="0"/>
              <w:snapToGrid w:val="0"/>
              <w:ind w:firstLine="482" w:firstLineChars="200"/>
              <w:rPr>
                <w:b/>
              </w:rPr>
            </w:pPr>
            <w:r>
              <w:rPr>
                <w:b/>
              </w:rPr>
              <w:t>2、地表水环境质量现状</w:t>
            </w:r>
          </w:p>
          <w:p>
            <w:pPr>
              <w:spacing w:line="360" w:lineRule="auto"/>
              <w:ind w:firstLine="480" w:firstLineChars="200"/>
              <w:rPr>
                <w:sz w:val="24"/>
                <w:szCs w:val="20"/>
              </w:rPr>
            </w:pPr>
            <w:r>
              <w:rPr>
                <w:sz w:val="24"/>
                <w:szCs w:val="20"/>
              </w:rPr>
              <w:t>项目运营期生活污水经</w:t>
            </w:r>
            <w:r>
              <w:rPr>
                <w:rFonts w:hint="eastAsia"/>
                <w:sz w:val="24"/>
                <w:szCs w:val="20"/>
              </w:rPr>
              <w:t>隔油池、</w:t>
            </w:r>
            <w:r>
              <w:rPr>
                <w:sz w:val="24"/>
                <w:szCs w:val="20"/>
              </w:rPr>
              <w:t>化粪池处理后</w:t>
            </w:r>
            <w:r>
              <w:rPr>
                <w:rFonts w:hint="eastAsia"/>
                <w:sz w:val="24"/>
                <w:szCs w:val="20"/>
                <w:lang w:val="en-US" w:eastAsia="zh-CN"/>
              </w:rPr>
              <w:t>用作农肥</w:t>
            </w:r>
            <w:r>
              <w:rPr>
                <w:sz w:val="24"/>
                <w:szCs w:val="20"/>
              </w:rPr>
              <w:t>。</w:t>
            </w:r>
            <w:r>
              <w:rPr>
                <w:rFonts w:hint="eastAsia"/>
                <w:sz w:val="24"/>
                <w:szCs w:val="20"/>
                <w:lang w:val="en-US" w:eastAsia="zh-CN"/>
              </w:rPr>
              <w:t>本项目无废水外排。</w:t>
            </w:r>
            <w:r>
              <w:rPr>
                <w:sz w:val="24"/>
                <w:szCs w:val="20"/>
              </w:rPr>
              <w:t>因此，项目地表水评价等级为水污染影响型三级B。</w:t>
            </w:r>
          </w:p>
          <w:p>
            <w:pPr>
              <w:spacing w:line="360" w:lineRule="auto"/>
              <w:ind w:firstLine="480" w:firstLineChars="200"/>
              <w:rPr>
                <w:sz w:val="24"/>
                <w:szCs w:val="20"/>
              </w:rPr>
            </w:pPr>
            <w:r>
              <w:rPr>
                <w:sz w:val="24"/>
                <w:szCs w:val="20"/>
              </w:rPr>
              <w:t>结合《环境影响评价技术导则地表水环境》（HJ2.3-2018）：</w:t>
            </w:r>
            <w:r>
              <w:rPr>
                <w:rFonts w:hint="eastAsia"/>
                <w:sz w:val="24"/>
                <w:szCs w:val="20"/>
              </w:rPr>
              <w:t>“</w:t>
            </w:r>
            <w:r>
              <w:rPr>
                <w:sz w:val="24"/>
                <w:szCs w:val="20"/>
              </w:rPr>
              <w:t>6.6.3.2环境现状调查与评价应优先采用国务院生态环境保护主管部门统一发布的水环境状况信息</w:t>
            </w:r>
            <w:r>
              <w:rPr>
                <w:rFonts w:hint="eastAsia"/>
                <w:sz w:val="24"/>
                <w:szCs w:val="20"/>
              </w:rPr>
              <w:t>”</w:t>
            </w:r>
            <w:r>
              <w:rPr>
                <w:sz w:val="24"/>
                <w:szCs w:val="20"/>
              </w:rPr>
              <w:t>。本次地表水环境质量现状评价引用</w:t>
            </w:r>
            <w:r>
              <w:rPr>
                <w:rFonts w:hint="eastAsia"/>
                <w:sz w:val="24"/>
                <w:szCs w:val="20"/>
              </w:rPr>
              <w:t>衡阳市生态环境局《关于20</w:t>
            </w:r>
            <w:r>
              <w:rPr>
                <w:sz w:val="24"/>
                <w:szCs w:val="20"/>
              </w:rPr>
              <w:t>2</w:t>
            </w:r>
            <w:r>
              <w:rPr>
                <w:rFonts w:hint="eastAsia"/>
                <w:sz w:val="24"/>
                <w:szCs w:val="20"/>
                <w:lang w:val="en-US" w:eastAsia="zh-CN"/>
              </w:rPr>
              <w:t>1</w:t>
            </w:r>
            <w:r>
              <w:rPr>
                <w:rFonts w:hint="eastAsia"/>
                <w:sz w:val="24"/>
                <w:szCs w:val="20"/>
              </w:rPr>
              <w:t>年12月份及1~12月份全市环境质量状况的通报》</w:t>
            </w:r>
            <w:r>
              <w:rPr>
                <w:sz w:val="24"/>
                <w:szCs w:val="20"/>
              </w:rPr>
              <w:t>中结论。</w:t>
            </w:r>
          </w:p>
          <w:p>
            <w:pPr>
              <w:spacing w:line="360" w:lineRule="auto"/>
              <w:ind w:firstLine="480" w:firstLineChars="200"/>
              <w:rPr>
                <w:sz w:val="24"/>
                <w:szCs w:val="20"/>
              </w:rPr>
            </w:pPr>
            <w:r>
              <w:rPr>
                <w:sz w:val="24"/>
                <w:szCs w:val="20"/>
              </w:rPr>
              <w:t>公报中湘江流域湘江共设置</w:t>
            </w:r>
            <w:r>
              <w:rPr>
                <w:rFonts w:hint="eastAsia"/>
                <w:sz w:val="24"/>
                <w:szCs w:val="20"/>
              </w:rPr>
              <w:t>12</w:t>
            </w:r>
            <w:r>
              <w:rPr>
                <w:sz w:val="24"/>
                <w:szCs w:val="20"/>
              </w:rPr>
              <w:t>个监测断面，分别为管山村断面、松柏断面、云集水厂断面、新塘铺断面、江东水厂断面、城南水厂断面、城北水厂断面、鱼石村断面、大浦镇下游断面、熬洲断面和朱亭断面。</w:t>
            </w:r>
            <w:r>
              <w:rPr>
                <w:rFonts w:hint="eastAsia"/>
                <w:sz w:val="24"/>
                <w:szCs w:val="20"/>
              </w:rPr>
              <w:t>12</w:t>
            </w:r>
            <w:r>
              <w:rPr>
                <w:sz w:val="24"/>
                <w:szCs w:val="20"/>
              </w:rPr>
              <w:t>个断面水质均满足《地表水环境质量标准》（GB3838-2002）</w:t>
            </w:r>
            <w:r>
              <w:rPr>
                <w:rFonts w:hint="eastAsia"/>
                <w:sz w:val="24"/>
                <w:szCs w:val="20"/>
              </w:rPr>
              <w:t>II</w:t>
            </w:r>
            <w:r>
              <w:rPr>
                <w:sz w:val="24"/>
                <w:szCs w:val="20"/>
              </w:rPr>
              <w:t>类水质标准，水质状况为良好。</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表</w:t>
            </w:r>
            <w:r>
              <w:rPr>
                <w:rFonts w:hint="default" w:ascii="Times New Roman" w:hAnsi="Times New Roman" w:cs="Times New Roman" w:eastAsiaTheme="minorEastAsia"/>
                <w:b/>
                <w:bCs/>
                <w:sz w:val="21"/>
                <w:szCs w:val="21"/>
                <w:lang w:val="en-US" w:eastAsia="zh-CN"/>
              </w:rPr>
              <w:t>3-</w:t>
            </w:r>
            <w:r>
              <w:rPr>
                <w:rFonts w:hint="default" w:ascii="Times New Roman" w:hAnsi="Times New Roman" w:cs="Times New Roman" w:eastAsiaTheme="minorEastAsia"/>
                <w:b/>
                <w:bCs/>
                <w:sz w:val="21"/>
                <w:szCs w:val="21"/>
              </w:rPr>
              <w:t>4  2021年1-12月衡山县地表水水质情况</w:t>
            </w:r>
          </w:p>
          <w:tbl>
            <w:tblPr>
              <w:tblStyle w:val="22"/>
              <w:tblW w:w="4997"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414"/>
              <w:gridCol w:w="1350"/>
              <w:gridCol w:w="1350"/>
              <w:gridCol w:w="967"/>
              <w:gridCol w:w="2312"/>
              <w:gridCol w:w="591"/>
              <w:gridCol w:w="501"/>
              <w:gridCol w:w="88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247"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序号</w:t>
                  </w:r>
                </w:p>
              </w:tc>
              <w:tc>
                <w:tcPr>
                  <w:tcW w:w="806"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断面名称</w:t>
                  </w:r>
                </w:p>
              </w:tc>
              <w:tc>
                <w:tcPr>
                  <w:tcW w:w="806"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考核</w:t>
                  </w:r>
                </w:p>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县市区</w:t>
                  </w:r>
                </w:p>
              </w:tc>
              <w:tc>
                <w:tcPr>
                  <w:tcW w:w="577"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所在河流</w:t>
                  </w:r>
                </w:p>
              </w:tc>
              <w:tc>
                <w:tcPr>
                  <w:tcW w:w="1380"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断面属性</w:t>
                  </w:r>
                </w:p>
              </w:tc>
              <w:tc>
                <w:tcPr>
                  <w:tcW w:w="353"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上年同期类别</w:t>
                  </w:r>
                </w:p>
              </w:tc>
              <w:tc>
                <w:tcPr>
                  <w:tcW w:w="829" w:type="pct"/>
                  <w:gridSpan w:val="2"/>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2021年1-12月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12" w:hRule="atLeast"/>
                <w:jc w:val="center"/>
              </w:trPr>
              <w:tc>
                <w:tcPr>
                  <w:tcW w:w="247" w:type="pct"/>
                  <w:vMerge w:val="continue"/>
                  <w:tcBorders>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806" w:type="pct"/>
                  <w:vMerge w:val="continue"/>
                  <w:tcBorders>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806" w:type="pct"/>
                  <w:vMerge w:val="continue"/>
                  <w:tcBorders>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577" w:type="pct"/>
                  <w:vMerge w:val="continue"/>
                  <w:tcBorders>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1380" w:type="pct"/>
                  <w:vMerge w:val="continue"/>
                  <w:tcBorders>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353" w:type="pct"/>
                  <w:vMerge w:val="continue"/>
                  <w:tcBorders>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299"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水质类别</w:t>
                  </w:r>
                </w:p>
              </w:tc>
              <w:tc>
                <w:tcPr>
                  <w:tcW w:w="530" w:type="pct"/>
                  <w:vMerge w:val="restart"/>
                  <w:tcBorders>
                    <w:top w:val="outset" w:color="000000" w:sz="6" w:space="0"/>
                    <w:left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超Ⅲ类标准的指标(超标倍数)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735" w:hRule="atLeast"/>
                <w:jc w:val="center"/>
              </w:trPr>
              <w:tc>
                <w:tcPr>
                  <w:tcW w:w="247"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806"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806"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577"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1380"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353"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299"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c>
                <w:tcPr>
                  <w:tcW w:w="530" w:type="pct"/>
                  <w:vMerge w:val="continue"/>
                  <w:tcBorders>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1</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衡山自来水厂</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衡山县</w:t>
                  </w:r>
                </w:p>
              </w:tc>
              <w:tc>
                <w:tcPr>
                  <w:tcW w:w="57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湘江</w:t>
                  </w:r>
                </w:p>
              </w:tc>
              <w:tc>
                <w:tcPr>
                  <w:tcW w:w="1380"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饮用水</w:t>
                  </w:r>
                </w:p>
              </w:tc>
              <w:tc>
                <w:tcPr>
                  <w:tcW w:w="353"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Ⅱ</w:t>
                  </w:r>
                </w:p>
              </w:tc>
              <w:tc>
                <w:tcPr>
                  <w:tcW w:w="299" w:type="pct"/>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Ⅱ</w:t>
                  </w:r>
                </w:p>
              </w:tc>
              <w:tc>
                <w:tcPr>
                  <w:tcW w:w="530"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kern w:val="0"/>
                      <w:sz w:val="21"/>
                      <w:szCs w:val="21"/>
                      <w:lang w:val="en-US" w:eastAsia="zh-CN"/>
                    </w:rPr>
                  </w:pPr>
                  <w:r>
                    <w:rPr>
                      <w:rFonts w:hint="default" w:ascii="Times New Roman" w:hAnsi="Times New Roman" w:cs="Times New Roman" w:eastAsiaTheme="minorEastAsia"/>
                      <w:b w:val="0"/>
                      <w:bCs/>
                      <w:kern w:val="0"/>
                      <w:sz w:val="21"/>
                      <w:szCs w:val="21"/>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2</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熬洲</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衡山县、衡东县</w:t>
                  </w:r>
                </w:p>
              </w:tc>
              <w:tc>
                <w:tcPr>
                  <w:tcW w:w="57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湘江</w:t>
                  </w:r>
                </w:p>
              </w:tc>
              <w:tc>
                <w:tcPr>
                  <w:tcW w:w="1380"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控制*</w:t>
                  </w:r>
                </w:p>
              </w:tc>
              <w:tc>
                <w:tcPr>
                  <w:tcW w:w="353"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Ⅱ</w:t>
                  </w:r>
                </w:p>
              </w:tc>
              <w:tc>
                <w:tcPr>
                  <w:tcW w:w="299" w:type="pct"/>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454545"/>
                      <w:kern w:val="0"/>
                      <w:sz w:val="21"/>
                      <w:szCs w:val="21"/>
                    </w:rPr>
                    <w:t>Ⅱ</w:t>
                  </w:r>
                </w:p>
              </w:tc>
              <w:tc>
                <w:tcPr>
                  <w:tcW w:w="530"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kern w:val="0"/>
                      <w:sz w:val="21"/>
                      <w:szCs w:val="21"/>
                      <w:lang w:val="en-US" w:eastAsia="zh-CN"/>
                    </w:rPr>
                  </w:pPr>
                  <w:r>
                    <w:rPr>
                      <w:rFonts w:hint="default" w:ascii="Times New Roman" w:hAnsi="Times New Roman" w:cs="Times New Roman" w:eastAsiaTheme="minorEastAsia"/>
                      <w:b w:val="0"/>
                      <w:bCs/>
                      <w:kern w:val="0"/>
                      <w:sz w:val="21"/>
                      <w:szCs w:val="21"/>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3</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和平村</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衡山县</w:t>
                  </w:r>
                </w:p>
              </w:tc>
              <w:tc>
                <w:tcPr>
                  <w:tcW w:w="57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湘江涓水</w:t>
                  </w:r>
                </w:p>
              </w:tc>
              <w:tc>
                <w:tcPr>
                  <w:tcW w:w="1380"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控制</w:t>
                  </w:r>
                </w:p>
              </w:tc>
              <w:tc>
                <w:tcPr>
                  <w:tcW w:w="353"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w:t>
                  </w:r>
                </w:p>
              </w:tc>
              <w:tc>
                <w:tcPr>
                  <w:tcW w:w="299" w:type="pct"/>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454545"/>
                      <w:kern w:val="0"/>
                      <w:sz w:val="21"/>
                      <w:szCs w:val="21"/>
                    </w:rPr>
                    <w:t>Ⅱ</w:t>
                  </w:r>
                </w:p>
              </w:tc>
              <w:tc>
                <w:tcPr>
                  <w:tcW w:w="530"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kern w:val="0"/>
                      <w:sz w:val="21"/>
                      <w:szCs w:val="21"/>
                      <w:lang w:val="en-US" w:eastAsia="zh-CN"/>
                    </w:rPr>
                  </w:pPr>
                  <w:r>
                    <w:rPr>
                      <w:rFonts w:hint="default" w:ascii="Times New Roman" w:hAnsi="Times New Roman" w:cs="Times New Roman" w:eastAsiaTheme="minorEastAsia"/>
                      <w:b w:val="0"/>
                      <w:bCs/>
                      <w:kern w:val="0"/>
                      <w:sz w:val="21"/>
                      <w:szCs w:val="21"/>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44" w:hRule="atLeast"/>
                <w:jc w:val="center"/>
              </w:trPr>
              <w:tc>
                <w:tcPr>
                  <w:tcW w:w="247" w:type="pct"/>
                  <w:tcBorders>
                    <w:top w:val="outset" w:color="000000" w:sz="6" w:space="0"/>
                    <w:left w:val="outset" w:color="000000" w:sz="6" w:space="0"/>
                    <w:bottom w:val="outset" w:color="000000" w:sz="12"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4</w:t>
                  </w:r>
                </w:p>
              </w:tc>
              <w:tc>
                <w:tcPr>
                  <w:tcW w:w="806" w:type="pct"/>
                  <w:tcBorders>
                    <w:top w:val="outset" w:color="000000" w:sz="6" w:space="0"/>
                    <w:left w:val="outset" w:color="000000" w:sz="6" w:space="0"/>
                    <w:bottom w:val="outset" w:color="000000" w:sz="12"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晓岚村（泥湾村）</w:t>
                  </w:r>
                </w:p>
              </w:tc>
              <w:tc>
                <w:tcPr>
                  <w:tcW w:w="806" w:type="pct"/>
                  <w:tcBorders>
                    <w:top w:val="outset" w:color="000000" w:sz="6" w:space="0"/>
                    <w:left w:val="outset" w:color="000000" w:sz="6" w:space="0"/>
                    <w:bottom w:val="outset" w:color="000000" w:sz="12"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衡山县</w:t>
                  </w:r>
                </w:p>
              </w:tc>
              <w:tc>
                <w:tcPr>
                  <w:tcW w:w="577" w:type="pct"/>
                  <w:tcBorders>
                    <w:top w:val="outset" w:color="000000" w:sz="6" w:space="0"/>
                    <w:left w:val="outset" w:color="000000" w:sz="6" w:space="0"/>
                    <w:bottom w:val="outset" w:color="000000" w:sz="12"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湘江涓水</w:t>
                  </w:r>
                </w:p>
              </w:tc>
              <w:tc>
                <w:tcPr>
                  <w:tcW w:w="1380" w:type="pct"/>
                  <w:tcBorders>
                    <w:top w:val="outset" w:color="000000" w:sz="6" w:space="0"/>
                    <w:left w:val="outset" w:color="000000" w:sz="6" w:space="0"/>
                    <w:bottom w:val="outset" w:color="000000" w:sz="12"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市界（衡阳市-湘潭市）*</w:t>
                  </w:r>
                </w:p>
              </w:tc>
              <w:tc>
                <w:tcPr>
                  <w:tcW w:w="353" w:type="pct"/>
                  <w:tcBorders>
                    <w:top w:val="outset" w:color="000000" w:sz="6" w:space="0"/>
                    <w:left w:val="outset" w:color="000000" w:sz="6" w:space="0"/>
                    <w:bottom w:val="outset" w:color="000000" w:sz="12"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Ⅲ</w:t>
                  </w:r>
                </w:p>
              </w:tc>
              <w:tc>
                <w:tcPr>
                  <w:tcW w:w="299" w:type="pct"/>
                  <w:tcBorders>
                    <w:top w:val="outset" w:color="000000" w:sz="6" w:space="0"/>
                    <w:left w:val="outset" w:color="000000" w:sz="6" w:space="0"/>
                    <w:bottom w:val="outset" w:color="000000" w:sz="12" w:space="0"/>
                    <w:right w:val="outset" w:color="000000" w:sz="6" w:space="0"/>
                  </w:tcBorders>
                  <w:noWrap w:val="0"/>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454545"/>
                      <w:kern w:val="0"/>
                      <w:sz w:val="21"/>
                      <w:szCs w:val="21"/>
                    </w:rPr>
                    <w:t>Ⅱ</w:t>
                  </w:r>
                </w:p>
              </w:tc>
              <w:tc>
                <w:tcPr>
                  <w:tcW w:w="530" w:type="pct"/>
                  <w:tcBorders>
                    <w:top w:val="outset" w:color="000000" w:sz="6" w:space="0"/>
                    <w:left w:val="outset" w:color="000000" w:sz="6" w:space="0"/>
                    <w:bottom w:val="outset" w:color="000000" w:sz="12" w:space="0"/>
                    <w:right w:val="outset" w:color="000000" w:sz="6" w:space="0"/>
                  </w:tcBorders>
                  <w:noWrap w:val="0"/>
                  <w:vAlign w:val="center"/>
                </w:tcPr>
                <w:p>
                  <w:pPr>
                    <w:widowControl/>
                    <w:jc w:val="center"/>
                    <w:rPr>
                      <w:rFonts w:hint="default" w:ascii="Times New Roman" w:hAnsi="Times New Roman" w:cs="Times New Roman" w:eastAsiaTheme="minorEastAsia"/>
                      <w:b w:val="0"/>
                      <w:bCs/>
                      <w:kern w:val="0"/>
                      <w:sz w:val="21"/>
                      <w:szCs w:val="21"/>
                      <w:lang w:val="en-US" w:eastAsia="zh-CN"/>
                    </w:rPr>
                  </w:pPr>
                  <w:r>
                    <w:rPr>
                      <w:rFonts w:hint="default" w:ascii="Times New Roman" w:hAnsi="Times New Roman" w:cs="Times New Roman" w:eastAsiaTheme="minorEastAsia"/>
                      <w:b w:val="0"/>
                      <w:bCs/>
                      <w:kern w:val="0"/>
                      <w:sz w:val="21"/>
                      <w:szCs w:val="21"/>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924" w:hRule="exact"/>
                <w:jc w:val="center"/>
              </w:trPr>
              <w:tc>
                <w:tcPr>
                  <w:tcW w:w="247" w:type="pct"/>
                  <w:tcBorders>
                    <w:top w:val="outset" w:color="000000" w:sz="12"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5</w:t>
                  </w:r>
                </w:p>
              </w:tc>
              <w:tc>
                <w:tcPr>
                  <w:tcW w:w="806" w:type="pct"/>
                  <w:tcBorders>
                    <w:top w:val="outset" w:color="000000" w:sz="12"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鱼石村</w:t>
                  </w:r>
                </w:p>
              </w:tc>
              <w:tc>
                <w:tcPr>
                  <w:tcW w:w="806" w:type="pct"/>
                  <w:tcBorders>
                    <w:top w:val="outset" w:color="000000" w:sz="12"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石鼓区、松木经开区、珠晖区</w:t>
                  </w:r>
                </w:p>
              </w:tc>
              <w:tc>
                <w:tcPr>
                  <w:tcW w:w="577" w:type="pct"/>
                  <w:tcBorders>
                    <w:top w:val="outset" w:color="000000" w:sz="12"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湘江</w:t>
                  </w:r>
                </w:p>
              </w:tc>
              <w:tc>
                <w:tcPr>
                  <w:tcW w:w="1380" w:type="pct"/>
                  <w:tcBorders>
                    <w:top w:val="outset" w:color="000000" w:sz="12"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县界(左岸：石鼓区、松木经开区--衡山县，右岸：珠晖区-衡东县)*</w:t>
                  </w:r>
                </w:p>
              </w:tc>
              <w:tc>
                <w:tcPr>
                  <w:tcW w:w="353" w:type="pct"/>
                  <w:tcBorders>
                    <w:top w:val="outset" w:color="000000" w:sz="12"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Ⅱ</w:t>
                  </w:r>
                </w:p>
              </w:tc>
              <w:tc>
                <w:tcPr>
                  <w:tcW w:w="299" w:type="pct"/>
                  <w:tcBorders>
                    <w:top w:val="outset" w:color="000000" w:sz="12"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454545"/>
                      <w:kern w:val="0"/>
                      <w:sz w:val="21"/>
                      <w:szCs w:val="21"/>
                    </w:rPr>
                    <w:t>Ⅱ</w:t>
                  </w:r>
                </w:p>
              </w:tc>
              <w:tc>
                <w:tcPr>
                  <w:tcW w:w="530" w:type="pct"/>
                  <w:tcBorders>
                    <w:top w:val="outset" w:color="000000" w:sz="12"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kern w:val="0"/>
                      <w:sz w:val="21"/>
                      <w:szCs w:val="21"/>
                      <w:lang w:val="en-US" w:eastAsia="zh-CN"/>
                    </w:rPr>
                  </w:pPr>
                  <w:r>
                    <w:rPr>
                      <w:rFonts w:hint="default" w:ascii="Times New Roman" w:hAnsi="Times New Roman" w:cs="Times New Roman" w:eastAsiaTheme="minorEastAsia"/>
                      <w:b w:val="0"/>
                      <w:bCs/>
                      <w:kern w:val="0"/>
                      <w:sz w:val="21"/>
                      <w:szCs w:val="21"/>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597" w:hRule="exact"/>
                <w:jc w:val="center"/>
              </w:trPr>
              <w:tc>
                <w:tcPr>
                  <w:tcW w:w="24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6</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梅桥村</w:t>
                  </w:r>
                </w:p>
              </w:tc>
              <w:tc>
                <w:tcPr>
                  <w:tcW w:w="806"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南岳区</w:t>
                  </w:r>
                </w:p>
              </w:tc>
              <w:tc>
                <w:tcPr>
                  <w:tcW w:w="577" w:type="pct"/>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湘江龙荫港</w:t>
                  </w:r>
                </w:p>
              </w:tc>
              <w:tc>
                <w:tcPr>
                  <w:tcW w:w="1380" w:type="pct"/>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县界（南岳区-衡山县）</w:t>
                  </w:r>
                </w:p>
              </w:tc>
              <w:tc>
                <w:tcPr>
                  <w:tcW w:w="353" w:type="pct"/>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Ⅳ</w:t>
                  </w:r>
                </w:p>
              </w:tc>
              <w:tc>
                <w:tcPr>
                  <w:tcW w:w="299" w:type="pct"/>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eastAsiaTheme="minorEastAsia"/>
                      <w:b w:val="0"/>
                      <w:bCs/>
                      <w:color w:val="454545"/>
                      <w:kern w:val="0"/>
                      <w:sz w:val="21"/>
                      <w:szCs w:val="21"/>
                    </w:rPr>
                  </w:pPr>
                  <w:r>
                    <w:rPr>
                      <w:rFonts w:hint="default" w:ascii="Times New Roman" w:hAnsi="Times New Roman" w:cs="Times New Roman" w:eastAsiaTheme="minorEastAsia"/>
                      <w:b w:val="0"/>
                      <w:bCs/>
                      <w:color w:val="454545"/>
                      <w:kern w:val="0"/>
                      <w:sz w:val="21"/>
                      <w:szCs w:val="21"/>
                    </w:rPr>
                    <w:t>Ⅴ</w:t>
                  </w:r>
                </w:p>
              </w:tc>
              <w:tc>
                <w:tcPr>
                  <w:tcW w:w="530"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240" w:lineRule="exact"/>
                    <w:jc w:val="center"/>
                    <w:rPr>
                      <w:rFonts w:hint="default" w:ascii="Times New Roman" w:hAnsi="Times New Roman" w:cs="Times New Roman" w:eastAsiaTheme="minorEastAsia"/>
                      <w:b w:val="0"/>
                      <w:bCs/>
                      <w:kern w:val="0"/>
                      <w:sz w:val="21"/>
                      <w:szCs w:val="21"/>
                      <w:lang w:val="en-US" w:eastAsia="zh-CN"/>
                    </w:rPr>
                  </w:pPr>
                  <w:r>
                    <w:rPr>
                      <w:rFonts w:hint="default" w:ascii="Times New Roman" w:hAnsi="Times New Roman" w:cs="Times New Roman" w:eastAsiaTheme="minorEastAsia"/>
                      <w:b w:val="0"/>
                      <w:bCs/>
                      <w:kern w:val="0"/>
                      <w:sz w:val="21"/>
                      <w:szCs w:val="21"/>
                      <w:lang w:val="en-US" w:eastAsia="zh-CN"/>
                    </w:rPr>
                    <w:t>/</w:t>
                  </w:r>
                </w:p>
              </w:tc>
            </w:tr>
          </w:tbl>
          <w:p>
            <w:pPr>
              <w:spacing w:line="360" w:lineRule="auto"/>
              <w:ind w:firstLine="480" w:firstLineChars="200"/>
              <w:rPr>
                <w:kern w:val="0"/>
                <w:sz w:val="24"/>
              </w:rPr>
            </w:pPr>
            <w:r>
              <w:rPr>
                <w:rFonts w:hint="eastAsia"/>
                <w:kern w:val="0"/>
                <w:sz w:val="24"/>
              </w:rPr>
              <w:t>根据</w:t>
            </w:r>
            <w:r>
              <w:rPr>
                <w:rFonts w:hint="eastAsia"/>
                <w:kern w:val="0"/>
                <w:sz w:val="24"/>
                <w:lang w:eastAsia="zh-CN"/>
              </w:rPr>
              <w:t>表</w:t>
            </w:r>
            <w:r>
              <w:rPr>
                <w:rFonts w:hint="eastAsia"/>
                <w:kern w:val="0"/>
                <w:sz w:val="24"/>
                <w:lang w:val="en-US" w:eastAsia="zh-CN"/>
              </w:rPr>
              <w:t>3-4</w:t>
            </w:r>
            <w:r>
              <w:rPr>
                <w:rFonts w:hint="eastAsia"/>
                <w:kern w:val="0"/>
                <w:sz w:val="24"/>
              </w:rPr>
              <w:t>的“</w:t>
            </w:r>
            <w:r>
              <w:rPr>
                <w:rFonts w:hint="eastAsia"/>
                <w:kern w:val="0"/>
                <w:sz w:val="24"/>
                <w:lang w:val="en-US" w:eastAsia="zh-CN"/>
              </w:rPr>
              <w:t>1</w:t>
            </w:r>
            <w:r>
              <w:rPr>
                <w:rFonts w:hint="eastAsia"/>
                <w:kern w:val="0"/>
                <w:sz w:val="24"/>
              </w:rPr>
              <w:t>、衡山自来水厂（衡山县）”的监测断面数据</w:t>
            </w:r>
            <w:r>
              <w:rPr>
                <w:kern w:val="0"/>
                <w:sz w:val="24"/>
              </w:rPr>
              <w:t>可知</w:t>
            </w:r>
            <w:r>
              <w:rPr>
                <w:rFonts w:hint="eastAsia"/>
                <w:kern w:val="0"/>
                <w:sz w:val="24"/>
              </w:rPr>
              <w:t>，水质</w:t>
            </w:r>
            <w:r>
              <w:rPr>
                <w:kern w:val="0"/>
                <w:sz w:val="24"/>
              </w:rPr>
              <w:t>可达到《地表水环境质量标准》（GB3838-2002）中的</w:t>
            </w:r>
            <w:r>
              <w:rPr>
                <w:rFonts w:hint="eastAsia"/>
                <w:kern w:val="0"/>
                <w:sz w:val="24"/>
              </w:rPr>
              <w:t>II</w:t>
            </w:r>
            <w:r>
              <w:rPr>
                <w:kern w:val="0"/>
                <w:sz w:val="24"/>
              </w:rPr>
              <w:t>类标准。</w:t>
            </w:r>
            <w:r>
              <w:rPr>
                <w:rFonts w:hint="eastAsia"/>
                <w:kern w:val="0"/>
                <w:sz w:val="24"/>
              </w:rPr>
              <w:t>区域地表水环境质量现状良好。</w:t>
            </w:r>
          </w:p>
          <w:p>
            <w:pPr>
              <w:spacing w:line="360" w:lineRule="auto"/>
              <w:ind w:firstLine="472" w:firstLineChars="196"/>
              <w:rPr>
                <w:b/>
                <w:sz w:val="24"/>
              </w:rPr>
            </w:pPr>
            <w:r>
              <w:rPr>
                <w:b/>
                <w:sz w:val="24"/>
              </w:rPr>
              <w:t>3、声环境质量现状</w:t>
            </w:r>
          </w:p>
          <w:p>
            <w:pPr>
              <w:spacing w:line="360" w:lineRule="auto"/>
              <w:ind w:firstLine="480" w:firstLineChars="200"/>
              <w:rPr>
                <w:rFonts w:hint="default" w:eastAsia="宋体"/>
                <w:kern w:val="0"/>
                <w:sz w:val="24"/>
                <w:lang w:val="en-US" w:eastAsia="zh-CN"/>
              </w:rPr>
            </w:pPr>
            <w:r>
              <w:rPr>
                <w:rFonts w:hint="eastAsia"/>
                <w:kern w:val="0"/>
                <w:sz w:val="24"/>
              </w:rPr>
              <w:t>本项目周边50m范围内</w:t>
            </w:r>
            <w:r>
              <w:rPr>
                <w:rFonts w:hint="eastAsia"/>
                <w:kern w:val="0"/>
                <w:sz w:val="24"/>
                <w:lang w:val="en-US" w:eastAsia="zh-CN"/>
              </w:rPr>
              <w:t>有</w:t>
            </w:r>
            <w:r>
              <w:rPr>
                <w:rFonts w:hint="eastAsia"/>
                <w:kern w:val="0"/>
                <w:sz w:val="24"/>
              </w:rPr>
              <w:t>敏感点，</w:t>
            </w:r>
            <w:r>
              <w:rPr>
                <w:rFonts w:hint="eastAsia"/>
                <w:kern w:val="0"/>
                <w:sz w:val="24"/>
                <w:lang w:val="en-US" w:eastAsia="zh-CN"/>
              </w:rPr>
              <w:t>故本项目开展声环境质量现状调查。监测点位为项目北侧约20m处的居民点。</w:t>
            </w:r>
          </w:p>
          <w:p>
            <w:pPr>
              <w:spacing w:line="360" w:lineRule="auto"/>
              <w:ind w:firstLine="480" w:firstLineChars="200"/>
            </w:pPr>
            <w:r>
              <w:rPr>
                <w:color w:val="000000"/>
                <w:kern w:val="0"/>
                <w:sz w:val="24"/>
              </w:rPr>
              <w:t>为了解项目所在地声环境质量现状，本次评价特</w:t>
            </w:r>
            <w:r>
              <w:rPr>
                <w:rFonts w:hint="eastAsia" w:ascii="Times New Roman" w:cs="Times New Roman"/>
                <w:lang w:val="en-US" w:eastAsia="zh-CN"/>
              </w:rPr>
              <w:t>委托耒阳市绿鑫环保有限公司</w:t>
            </w:r>
            <w:r>
              <w:rPr>
                <w:color w:val="000000"/>
                <w:kern w:val="0"/>
                <w:sz w:val="24"/>
              </w:rPr>
              <w:t>于202</w:t>
            </w:r>
            <w:r>
              <w:rPr>
                <w:rFonts w:hint="eastAsia"/>
                <w:color w:val="000000"/>
                <w:kern w:val="0"/>
                <w:sz w:val="24"/>
                <w:lang w:val="en-US" w:eastAsia="zh-CN"/>
              </w:rPr>
              <w:t>2</w:t>
            </w:r>
            <w:r>
              <w:rPr>
                <w:color w:val="000000"/>
                <w:kern w:val="0"/>
                <w:sz w:val="24"/>
              </w:rPr>
              <w:t>年</w:t>
            </w:r>
            <w:r>
              <w:rPr>
                <w:rFonts w:hint="eastAsia"/>
                <w:color w:val="000000"/>
                <w:kern w:val="0"/>
                <w:sz w:val="24"/>
                <w:lang w:val="en-US" w:eastAsia="zh-CN"/>
              </w:rPr>
              <w:t>1</w:t>
            </w:r>
            <w:r>
              <w:rPr>
                <w:color w:val="000000"/>
                <w:kern w:val="0"/>
                <w:sz w:val="24"/>
              </w:rPr>
              <w:t>月1</w:t>
            </w:r>
            <w:r>
              <w:rPr>
                <w:rFonts w:hint="eastAsia"/>
                <w:color w:val="000000"/>
                <w:kern w:val="0"/>
                <w:sz w:val="24"/>
                <w:lang w:val="en-US" w:eastAsia="zh-CN"/>
              </w:rPr>
              <w:t>2</w:t>
            </w:r>
            <w:r>
              <w:rPr>
                <w:color w:val="000000"/>
                <w:kern w:val="0"/>
                <w:sz w:val="24"/>
              </w:rPr>
              <w:t>日</w:t>
            </w:r>
            <w:r>
              <w:rPr>
                <w:color w:val="000000"/>
                <w:sz w:val="24"/>
              </w:rPr>
              <w:t>在</w:t>
            </w:r>
            <w:r>
              <w:rPr>
                <w:rFonts w:hint="eastAsia"/>
                <w:color w:val="000000"/>
                <w:sz w:val="24"/>
              </w:rPr>
              <w:t>项目</w:t>
            </w:r>
            <w:r>
              <w:rPr>
                <w:rFonts w:hint="eastAsia"/>
                <w:color w:val="000000"/>
                <w:sz w:val="24"/>
                <w:lang w:val="en-US" w:eastAsia="zh-CN"/>
              </w:rPr>
              <w:t>东北侧20m处最近居民点</w:t>
            </w:r>
            <w:r>
              <w:rPr>
                <w:color w:val="000000"/>
                <w:sz w:val="24"/>
              </w:rPr>
              <w:t>进行现场噪声监测，监测结果及评价标准见表3-</w:t>
            </w:r>
            <w:r>
              <w:rPr>
                <w:rFonts w:hint="eastAsia"/>
                <w:color w:val="000000"/>
                <w:sz w:val="24"/>
                <w:lang w:val="en-US" w:eastAsia="zh-CN"/>
              </w:rPr>
              <w:t>5</w:t>
            </w:r>
            <w:r>
              <w:rPr>
                <w:color w:val="000000"/>
                <w:sz w:val="24"/>
              </w:rPr>
              <w:t>。</w:t>
            </w:r>
          </w:p>
          <w:p>
            <w:pPr>
              <w:pStyle w:val="48"/>
              <w:ind w:firstLine="422"/>
            </w:pPr>
            <w:r>
              <w:t>表3-</w:t>
            </w:r>
            <w:r>
              <w:rPr>
                <w:rFonts w:hint="eastAsia"/>
                <w:lang w:val="en-US" w:eastAsia="zh-CN"/>
              </w:rPr>
              <w:t>5</w:t>
            </w:r>
            <w:r>
              <w:t xml:space="preserve">  项目建设地环境噪声监测结果表   单位：dB(A)</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743"/>
              <w:gridCol w:w="3711"/>
              <w:gridCol w:w="997"/>
              <w:gridCol w:w="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1640" w:type="pct"/>
                  <w:vMerge w:val="restart"/>
                  <w:noWrap w:val="0"/>
                  <w:vAlign w:val="center"/>
                </w:tcPr>
                <w:p>
                  <w:pPr>
                    <w:jc w:val="center"/>
                    <w:rPr>
                      <w:szCs w:val="21"/>
                    </w:rPr>
                  </w:pPr>
                  <w:r>
                    <w:rPr>
                      <w:szCs w:val="21"/>
                      <w:lang w:val="zh-TW" w:eastAsia="zh-TW"/>
                    </w:rPr>
                    <w:t>监测点位</w:t>
                  </w:r>
                </w:p>
              </w:tc>
              <w:tc>
                <w:tcPr>
                  <w:tcW w:w="2219" w:type="pct"/>
                  <w:noWrap w:val="0"/>
                  <w:vAlign w:val="center"/>
                </w:tcPr>
                <w:p>
                  <w:pPr>
                    <w:jc w:val="center"/>
                    <w:rPr>
                      <w:szCs w:val="21"/>
                    </w:rPr>
                  </w:pPr>
                  <w:r>
                    <w:rPr>
                      <w:szCs w:val="21"/>
                      <w:lang w:val="zh-TW" w:eastAsia="zh-TW"/>
                    </w:rPr>
                    <w:t>检测结果</w:t>
                  </w:r>
                  <w:r>
                    <w:rPr>
                      <w:szCs w:val="21"/>
                    </w:rPr>
                    <w:t>dB (A)</w:t>
                  </w:r>
                </w:p>
              </w:tc>
              <w:tc>
                <w:tcPr>
                  <w:tcW w:w="1140" w:type="pct"/>
                  <w:gridSpan w:val="2"/>
                  <w:vMerge w:val="restart"/>
                  <w:noWrap w:val="0"/>
                  <w:vAlign w:val="center"/>
                </w:tcPr>
                <w:p>
                  <w:pPr>
                    <w:jc w:val="center"/>
                    <w:rPr>
                      <w:szCs w:val="21"/>
                    </w:rPr>
                  </w:pPr>
                  <w:r>
                    <w:rPr>
                      <w:szCs w:val="21"/>
                      <w:lang w:val="zh-TW" w:eastAsia="zh-TW"/>
                    </w:rPr>
                    <w:t>标准限值</w:t>
                  </w:r>
                  <w:r>
                    <w:rPr>
                      <w:szCs w:val="21"/>
                    </w:rPr>
                    <w:t>dB (A)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1640" w:type="pct"/>
                  <w:vMerge w:val="continue"/>
                  <w:noWrap w:val="0"/>
                  <w:vAlign w:val="center"/>
                </w:tcPr>
                <w:p>
                  <w:pPr>
                    <w:jc w:val="center"/>
                    <w:rPr>
                      <w:szCs w:val="21"/>
                    </w:rPr>
                  </w:pPr>
                </w:p>
              </w:tc>
              <w:tc>
                <w:tcPr>
                  <w:tcW w:w="2219" w:type="pct"/>
                  <w:noWrap w:val="0"/>
                  <w:vAlign w:val="center"/>
                </w:tcPr>
                <w:p>
                  <w:pPr>
                    <w:jc w:val="center"/>
                    <w:rPr>
                      <w:rFonts w:hint="default" w:eastAsia="宋体"/>
                      <w:color w:val="FF0000"/>
                      <w:szCs w:val="21"/>
                      <w:lang w:val="en-US" w:eastAsia="zh-CN"/>
                    </w:rPr>
                  </w:pPr>
                  <w:r>
                    <w:rPr>
                      <w:rFonts w:hint="eastAsia"/>
                      <w:color w:val="000000"/>
                      <w:szCs w:val="21"/>
                    </w:rPr>
                    <w:t>202</w:t>
                  </w:r>
                  <w:r>
                    <w:rPr>
                      <w:rFonts w:hint="eastAsia"/>
                      <w:color w:val="000000"/>
                      <w:szCs w:val="21"/>
                      <w:lang w:val="en-US" w:eastAsia="zh-CN"/>
                    </w:rPr>
                    <w:t>2.1.12</w:t>
                  </w:r>
                </w:p>
              </w:tc>
              <w:tc>
                <w:tcPr>
                  <w:tcW w:w="1140" w:type="pct"/>
                  <w:gridSpan w:val="2"/>
                  <w:vMerge w:val="continue"/>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1640" w:type="pct"/>
                  <w:vMerge w:val="continue"/>
                  <w:noWrap w:val="0"/>
                  <w:vAlign w:val="center"/>
                </w:tcPr>
                <w:p>
                  <w:pPr>
                    <w:jc w:val="center"/>
                    <w:rPr>
                      <w:szCs w:val="21"/>
                    </w:rPr>
                  </w:pPr>
                </w:p>
              </w:tc>
              <w:tc>
                <w:tcPr>
                  <w:tcW w:w="2219" w:type="pct"/>
                  <w:noWrap w:val="0"/>
                  <w:vAlign w:val="center"/>
                </w:tcPr>
                <w:p>
                  <w:pPr>
                    <w:jc w:val="center"/>
                    <w:rPr>
                      <w:szCs w:val="21"/>
                    </w:rPr>
                  </w:pPr>
                  <w:r>
                    <w:rPr>
                      <w:szCs w:val="21"/>
                      <w:lang w:val="zh-TW" w:eastAsia="zh-TW"/>
                    </w:rPr>
                    <w:t>昼间</w:t>
                  </w:r>
                </w:p>
              </w:tc>
              <w:tc>
                <w:tcPr>
                  <w:tcW w:w="596" w:type="pct"/>
                  <w:noWrap w:val="0"/>
                  <w:vAlign w:val="center"/>
                </w:tcPr>
                <w:p>
                  <w:pPr>
                    <w:jc w:val="center"/>
                    <w:rPr>
                      <w:szCs w:val="21"/>
                    </w:rPr>
                  </w:pPr>
                  <w:r>
                    <w:rPr>
                      <w:szCs w:val="21"/>
                      <w:lang w:val="zh-TW" w:eastAsia="zh-TW"/>
                    </w:rPr>
                    <w:t>昼间</w:t>
                  </w:r>
                </w:p>
              </w:tc>
              <w:tc>
                <w:tcPr>
                  <w:tcW w:w="544" w:type="pct"/>
                  <w:noWrap w:val="0"/>
                  <w:vAlign w:val="center"/>
                </w:tcPr>
                <w:p>
                  <w:pPr>
                    <w:jc w:val="center"/>
                    <w:rPr>
                      <w:szCs w:val="21"/>
                    </w:rPr>
                  </w:pPr>
                  <w:r>
                    <w:rPr>
                      <w:szCs w:val="21"/>
                      <w:lang w:val="zh-TW" w:eastAsia="zh-TW"/>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0" w:type="pct"/>
                  <w:noWrap w:val="0"/>
                  <w:vAlign w:val="center"/>
                </w:tcPr>
                <w:p>
                  <w:pPr>
                    <w:jc w:val="center"/>
                    <w:rPr>
                      <w:rFonts w:hint="default" w:eastAsia="宋体"/>
                      <w:szCs w:val="21"/>
                      <w:lang w:val="en-US" w:eastAsia="zh-CN"/>
                    </w:rPr>
                  </w:pPr>
                  <w:r>
                    <w:rPr>
                      <w:szCs w:val="21"/>
                    </w:rPr>
                    <w:t>N1</w:t>
                  </w:r>
                  <w:r>
                    <w:rPr>
                      <w:szCs w:val="21"/>
                      <w:lang w:val="zh-TW" w:eastAsia="zh-TW"/>
                    </w:rPr>
                    <w:t>场界东</w:t>
                  </w:r>
                  <w:r>
                    <w:rPr>
                      <w:rFonts w:hint="eastAsia"/>
                      <w:szCs w:val="21"/>
                      <w:lang w:val="en-US" w:eastAsia="zh-CN"/>
                    </w:rPr>
                    <w:t>北</w:t>
                  </w:r>
                  <w:r>
                    <w:rPr>
                      <w:szCs w:val="21"/>
                      <w:lang w:val="zh-TW" w:eastAsia="zh-TW"/>
                    </w:rPr>
                    <w:t>侧</w:t>
                  </w:r>
                  <w:r>
                    <w:rPr>
                      <w:rFonts w:hint="eastAsia"/>
                      <w:szCs w:val="21"/>
                      <w:lang w:val="en-US" w:eastAsia="zh-CN"/>
                    </w:rPr>
                    <w:t>20</w:t>
                  </w:r>
                  <w:r>
                    <w:rPr>
                      <w:szCs w:val="21"/>
                    </w:rPr>
                    <w:t>m</w:t>
                  </w:r>
                  <w:r>
                    <w:rPr>
                      <w:rFonts w:hint="eastAsia"/>
                      <w:szCs w:val="21"/>
                      <w:lang w:val="en-US" w:eastAsia="zh-CN"/>
                    </w:rPr>
                    <w:t>处居民点</w:t>
                  </w:r>
                </w:p>
              </w:tc>
              <w:tc>
                <w:tcPr>
                  <w:tcW w:w="2219"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42.3</w:t>
                  </w:r>
                </w:p>
              </w:tc>
              <w:tc>
                <w:tcPr>
                  <w:tcW w:w="596" w:type="pct"/>
                  <w:noWrap w:val="0"/>
                  <w:vAlign w:val="center"/>
                </w:tcPr>
                <w:p>
                  <w:pPr>
                    <w:jc w:val="center"/>
                    <w:rPr>
                      <w:rFonts w:hint="eastAsia" w:eastAsia="宋体"/>
                      <w:szCs w:val="21"/>
                      <w:lang w:val="en-US" w:eastAsia="zh-CN"/>
                    </w:rPr>
                  </w:pPr>
                  <w:r>
                    <w:rPr>
                      <w:szCs w:val="21"/>
                      <w:lang w:val="zh-TW" w:eastAsia="zh-TW"/>
                    </w:rPr>
                    <w:t>6</w:t>
                  </w:r>
                  <w:r>
                    <w:rPr>
                      <w:rFonts w:hint="eastAsia"/>
                      <w:szCs w:val="21"/>
                      <w:lang w:val="en-US" w:eastAsia="zh-CN"/>
                    </w:rPr>
                    <w:t>0</w:t>
                  </w:r>
                </w:p>
              </w:tc>
              <w:tc>
                <w:tcPr>
                  <w:tcW w:w="544" w:type="pct"/>
                  <w:noWrap w:val="0"/>
                  <w:vAlign w:val="center"/>
                </w:tcPr>
                <w:p>
                  <w:pPr>
                    <w:jc w:val="center"/>
                    <w:rPr>
                      <w:rFonts w:hint="eastAsia" w:eastAsia="宋体"/>
                      <w:szCs w:val="21"/>
                      <w:lang w:val="en-US" w:eastAsia="zh-CN"/>
                    </w:rPr>
                  </w:pPr>
                  <w:r>
                    <w:rPr>
                      <w:szCs w:val="21"/>
                      <w:lang w:val="zh-TW" w:eastAsia="zh-TW"/>
                    </w:rPr>
                    <w:t>5</w:t>
                  </w:r>
                  <w:r>
                    <w:rPr>
                      <w:rFonts w:hint="eastAsia"/>
                      <w:szCs w:val="21"/>
                      <w:lang w:val="en-US" w:eastAsia="zh-CN"/>
                    </w:rPr>
                    <w:t>0</w:t>
                  </w:r>
                </w:p>
              </w:tc>
            </w:tr>
          </w:tbl>
          <w:p>
            <w:pPr>
              <w:spacing w:line="360" w:lineRule="auto"/>
              <w:ind w:firstLine="480" w:firstLineChars="200"/>
              <w:rPr>
                <w:rStyle w:val="26"/>
                <w:kern w:val="0"/>
                <w:szCs w:val="20"/>
              </w:rPr>
            </w:pPr>
            <w:r>
              <w:rPr>
                <w:kern w:val="0"/>
                <w:sz w:val="24"/>
              </w:rPr>
              <w:t>由表3-</w:t>
            </w:r>
            <w:r>
              <w:rPr>
                <w:rFonts w:hint="eastAsia"/>
                <w:kern w:val="0"/>
                <w:sz w:val="24"/>
                <w:lang w:val="en-US" w:eastAsia="zh-CN"/>
              </w:rPr>
              <w:t>4</w:t>
            </w:r>
            <w:r>
              <w:rPr>
                <w:kern w:val="0"/>
                <w:sz w:val="24"/>
              </w:rPr>
              <w:t>可知，项目</w:t>
            </w:r>
            <w:r>
              <w:rPr>
                <w:rFonts w:hint="eastAsia"/>
                <w:kern w:val="0"/>
                <w:sz w:val="24"/>
                <w:lang w:val="en-US" w:eastAsia="zh-CN"/>
              </w:rPr>
              <w:t>最近敏感点的</w:t>
            </w:r>
            <w:r>
              <w:rPr>
                <w:kern w:val="0"/>
                <w:sz w:val="24"/>
              </w:rPr>
              <w:t>噪声监测值满足《声环境质量标准》（GB3096-2008）中</w:t>
            </w:r>
            <w:r>
              <w:rPr>
                <w:rFonts w:hint="eastAsia"/>
                <w:kern w:val="0"/>
                <w:sz w:val="24"/>
                <w:lang w:val="en-US" w:eastAsia="zh-CN"/>
              </w:rPr>
              <w:t>2</w:t>
            </w:r>
            <w:r>
              <w:rPr>
                <w:kern w:val="0"/>
                <w:sz w:val="24"/>
              </w:rPr>
              <w:t>类标准。</w:t>
            </w:r>
          </w:p>
          <w:p>
            <w:pPr>
              <w:spacing w:line="360" w:lineRule="auto"/>
              <w:ind w:left="420" w:leftChars="200"/>
              <w:rPr>
                <w:b/>
                <w:sz w:val="24"/>
              </w:rPr>
            </w:pPr>
          </w:p>
          <w:p>
            <w:pPr>
              <w:spacing w:line="360" w:lineRule="auto"/>
              <w:ind w:left="420" w:leftChars="200"/>
              <w:rPr>
                <w:b/>
                <w:sz w:val="24"/>
              </w:rPr>
            </w:pPr>
            <w:r>
              <w:rPr>
                <w:b/>
                <w:sz w:val="24"/>
              </w:rPr>
              <w:t>4、生态环境</w:t>
            </w:r>
          </w:p>
          <w:p>
            <w:pPr>
              <w:adjustRightInd w:val="0"/>
              <w:snapToGrid w:val="0"/>
              <w:spacing w:line="360" w:lineRule="auto"/>
              <w:ind w:firstLine="480" w:firstLineChars="200"/>
              <w:rPr>
                <w:kern w:val="0"/>
                <w:sz w:val="24"/>
              </w:rPr>
            </w:pPr>
            <w:r>
              <w:rPr>
                <w:kern w:val="0"/>
                <w:sz w:val="24"/>
              </w:rPr>
              <w:t>本项目位于</w:t>
            </w:r>
            <w:r>
              <w:rPr>
                <w:rFonts w:hint="eastAsia"/>
                <w:kern w:val="0"/>
                <w:sz w:val="24"/>
              </w:rPr>
              <w:t>衡山县</w:t>
            </w:r>
            <w:r>
              <w:rPr>
                <w:rFonts w:hint="eastAsia"/>
                <w:sz w:val="24"/>
                <w:lang w:val="en-US" w:eastAsia="zh-CN"/>
              </w:rPr>
              <w:t>新桥镇</w:t>
            </w:r>
            <w:r>
              <w:rPr>
                <w:kern w:val="0"/>
                <w:sz w:val="24"/>
              </w:rPr>
              <w:t>，</w:t>
            </w:r>
            <w:r>
              <w:rPr>
                <w:rFonts w:hint="eastAsia"/>
                <w:kern w:val="0"/>
                <w:sz w:val="24"/>
                <w:lang w:val="en-US" w:eastAsia="zh-CN"/>
              </w:rPr>
              <w:t>使用一块工业用地的空地</w:t>
            </w:r>
            <w:r>
              <w:rPr>
                <w:rFonts w:hint="eastAsia"/>
                <w:kern w:val="0"/>
                <w:sz w:val="24"/>
              </w:rPr>
              <w:t>进行</w:t>
            </w:r>
            <w:r>
              <w:rPr>
                <w:kern w:val="0"/>
                <w:sz w:val="24"/>
              </w:rPr>
              <w:t>生产，项目新增用地</w:t>
            </w:r>
            <w:r>
              <w:rPr>
                <w:rFonts w:hint="eastAsia"/>
                <w:kern w:val="0"/>
                <w:sz w:val="24"/>
              </w:rPr>
              <w:t>。根据</w:t>
            </w:r>
            <w:r>
              <w:rPr>
                <w:kern w:val="0"/>
                <w:sz w:val="24"/>
              </w:rPr>
              <w:t>《建设项目环境影响报告表编制技术指南（污染影响类）（试行）》</w:t>
            </w:r>
            <w:r>
              <w:rPr>
                <w:rFonts w:hint="eastAsia"/>
                <w:kern w:val="0"/>
                <w:sz w:val="24"/>
              </w:rPr>
              <w:t>提到的“产业园区外建设项目新增用地且用地范围内含有生态环境保护目标时，应进行生态现状调查。”，</w:t>
            </w:r>
            <w:r>
              <w:rPr>
                <w:rFonts w:hint="eastAsia"/>
                <w:kern w:val="0"/>
                <w:sz w:val="24"/>
                <w:lang w:val="en-US" w:eastAsia="zh-CN"/>
              </w:rPr>
              <w:t>因本项目用地范围内不涉及生态环境保护目标，</w:t>
            </w:r>
            <w:r>
              <w:rPr>
                <w:rFonts w:hint="eastAsia"/>
                <w:kern w:val="0"/>
                <w:sz w:val="24"/>
              </w:rPr>
              <w:t>故本项目不开展生态环境调查</w:t>
            </w:r>
            <w:r>
              <w:rPr>
                <w:kern w:val="0"/>
                <w:sz w:val="24"/>
              </w:rPr>
              <w:t>。</w:t>
            </w:r>
          </w:p>
          <w:p>
            <w:pPr>
              <w:adjustRightInd w:val="0"/>
              <w:snapToGrid w:val="0"/>
              <w:spacing w:line="360" w:lineRule="auto"/>
              <w:ind w:firstLine="482" w:firstLineChars="200"/>
              <w:rPr>
                <w:kern w:val="0"/>
                <w:sz w:val="24"/>
              </w:rPr>
            </w:pPr>
            <w:r>
              <w:rPr>
                <w:b/>
                <w:bCs/>
                <w:kern w:val="0"/>
                <w:sz w:val="24"/>
              </w:rPr>
              <w:t>5、地下水、土壤环境</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本项目位于衡山县</w:t>
            </w:r>
            <w:r>
              <w:rPr>
                <w:rFonts w:hint="eastAsia"/>
                <w:color w:val="000000" w:themeColor="text1"/>
                <w:sz w:val="24"/>
                <w:lang w:val="en-US" w:eastAsia="zh-CN"/>
                <w14:textFill>
                  <w14:solidFill>
                    <w14:schemeClr w14:val="tx1"/>
                  </w14:solidFill>
                </w14:textFill>
              </w:rPr>
              <w:t>新桥镇</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项目建设时会将</w:t>
            </w:r>
            <w:r>
              <w:rPr>
                <w:rFonts w:hint="eastAsia"/>
                <w:color w:val="000000" w:themeColor="text1"/>
                <w:kern w:val="0"/>
                <w:sz w:val="24"/>
                <w14:textFill>
                  <w14:solidFill>
                    <w14:schemeClr w14:val="tx1"/>
                  </w14:solidFill>
                </w14:textFill>
              </w:rPr>
              <w:t>土地</w:t>
            </w:r>
            <w:r>
              <w:rPr>
                <w:rFonts w:hint="eastAsia"/>
                <w:color w:val="000000" w:themeColor="text1"/>
                <w:kern w:val="0"/>
                <w:sz w:val="24"/>
                <w:lang w:val="en-US" w:eastAsia="zh-CN"/>
                <w14:textFill>
                  <w14:solidFill>
                    <w14:schemeClr w14:val="tx1"/>
                  </w14:solidFill>
                </w14:textFill>
              </w:rPr>
              <w:t>平整且</w:t>
            </w:r>
            <w:r>
              <w:rPr>
                <w:rFonts w:hint="eastAsia"/>
                <w:color w:val="000000" w:themeColor="text1"/>
                <w:kern w:val="0"/>
                <w:sz w:val="24"/>
                <w14:textFill>
                  <w14:solidFill>
                    <w14:schemeClr w14:val="tx1"/>
                  </w14:solidFill>
                </w14:textFill>
              </w:rPr>
              <w:t>硬化，</w:t>
            </w:r>
            <w:r>
              <w:rPr>
                <w:rFonts w:hint="eastAsia"/>
                <w:color w:val="000000" w:themeColor="text1"/>
                <w:sz w:val="24"/>
                <w14:textFill>
                  <w14:solidFill>
                    <w14:schemeClr w14:val="tx1"/>
                  </w14:solidFill>
                </w14:textFill>
              </w:rPr>
              <w:t>项目周边居民点用水来源为自来水公司供应，</w:t>
            </w:r>
            <w:r>
              <w:rPr>
                <w:rFonts w:hint="eastAsia"/>
                <w:color w:val="000000" w:themeColor="text1"/>
                <w:kern w:val="0"/>
                <w:sz w:val="24"/>
                <w14:textFill>
                  <w14:solidFill>
                    <w14:schemeClr w14:val="tx1"/>
                  </w14:solidFill>
                </w14:textFill>
              </w:rPr>
              <w:t>且本项目运营期主要的废气为SO</w:t>
            </w:r>
            <w:r>
              <w:rPr>
                <w:rFonts w:hint="eastAsia"/>
                <w:color w:val="000000" w:themeColor="text1"/>
                <w:kern w:val="0"/>
                <w:sz w:val="24"/>
                <w:vertAlign w:val="subscript"/>
                <w14:textFill>
                  <w14:solidFill>
                    <w14:schemeClr w14:val="tx1"/>
                  </w14:solidFill>
                </w14:textFill>
              </w:rPr>
              <w:t>2</w:t>
            </w:r>
            <w:r>
              <w:rPr>
                <w:rFonts w:hint="eastAsia"/>
                <w:color w:val="000000" w:themeColor="text1"/>
                <w:kern w:val="0"/>
                <w:sz w:val="24"/>
                <w14:textFill>
                  <w14:solidFill>
                    <w14:schemeClr w14:val="tx1"/>
                  </w14:solidFill>
                </w14:textFill>
              </w:rPr>
              <w:t>、NOx、颗粒物，生活污水先经隔油池、化粪池预处理</w:t>
            </w:r>
            <w:r>
              <w:rPr>
                <w:rFonts w:hint="eastAsia"/>
                <w:color w:val="000000" w:themeColor="text1"/>
                <w:kern w:val="0"/>
                <w:sz w:val="24"/>
                <w:lang w:val="en-US" w:eastAsia="zh-CN"/>
                <w14:textFill>
                  <w14:solidFill>
                    <w14:schemeClr w14:val="tx1"/>
                  </w14:solidFill>
                </w14:textFill>
              </w:rPr>
              <w:t>后用作农肥</w:t>
            </w:r>
            <w:r>
              <w:rPr>
                <w:rFonts w:hint="eastAsia"/>
                <w:color w:val="000000" w:themeColor="text1"/>
                <w:sz w:val="24"/>
                <w14:textFill>
                  <w14:solidFill>
                    <w14:schemeClr w14:val="tx1"/>
                  </w14:solidFill>
                </w14:textFill>
              </w:rPr>
              <w:t>。周边500m范围内无地下水井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居民饮用水源均为自来水公司供应</w:t>
            </w:r>
            <w:r>
              <w:rPr>
                <w:rFonts w:hint="eastAsia"/>
                <w:color w:val="000000" w:themeColor="text1"/>
                <w:sz w:val="24"/>
                <w14:textFill>
                  <w14:solidFill>
                    <w14:schemeClr w14:val="tx1"/>
                  </w14:solidFill>
                </w14:textFill>
              </w:rPr>
              <w:t>。</w:t>
            </w:r>
            <w:r>
              <w:rPr>
                <w:color w:val="000000" w:themeColor="text1"/>
                <w:kern w:val="0"/>
                <w:sz w:val="24"/>
                <w14:textFill>
                  <w14:solidFill>
                    <w14:schemeClr w14:val="tx1"/>
                  </w14:solidFill>
                </w14:textFill>
              </w:rPr>
              <w:t>根据《建设项目环境影响报告表编制技术指南（污染影响类）（试行）》，本项目</w:t>
            </w:r>
            <w:r>
              <w:rPr>
                <w:rFonts w:hint="eastAsia"/>
                <w:color w:val="000000" w:themeColor="text1"/>
                <w:kern w:val="0"/>
                <w:sz w:val="24"/>
                <w14:textFill>
                  <w14:solidFill>
                    <w14:schemeClr w14:val="tx1"/>
                  </w14:solidFill>
                </w14:textFill>
              </w:rPr>
              <w:t>不存在相关土壤、地下水污染途径。故</w:t>
            </w:r>
            <w:r>
              <w:rPr>
                <w:color w:val="000000" w:themeColor="text1"/>
                <w:kern w:val="0"/>
                <w:sz w:val="24"/>
                <w14:textFill>
                  <w14:solidFill>
                    <w14:schemeClr w14:val="tx1"/>
                  </w14:solidFill>
                </w14:textFill>
              </w:rPr>
              <w:t>可不开展土壤、地下水环境现状调查。</w:t>
            </w:r>
          </w:p>
          <w:p>
            <w:pPr>
              <w:adjustRightInd w:val="0"/>
              <w:snapToGrid w:val="0"/>
              <w:spacing w:line="360" w:lineRule="auto"/>
              <w:ind w:firstLine="482" w:firstLineChars="200"/>
              <w:rPr>
                <w:kern w:val="0"/>
                <w:sz w:val="24"/>
              </w:rPr>
            </w:pPr>
            <w:r>
              <w:rPr>
                <w:b/>
                <w:bCs/>
                <w:kern w:val="0"/>
                <w:sz w:val="24"/>
              </w:rPr>
              <w:t>6、电磁辐射</w:t>
            </w:r>
          </w:p>
          <w:p>
            <w:pPr>
              <w:spacing w:line="360" w:lineRule="auto"/>
              <w:ind w:firstLine="480" w:firstLineChars="200"/>
              <w:rPr>
                <w:sz w:val="24"/>
              </w:rPr>
            </w:pPr>
            <w:r>
              <w:rPr>
                <w:kern w:val="0"/>
                <w:sz w:val="24"/>
              </w:rPr>
              <w:t>本项目不涉及电磁辐射设备，不进行电磁辐射影响评价，因此无需进行电磁辐射环境现状调查。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 w:val="24"/>
              </w:rPr>
            </w:pPr>
            <w:r>
              <w:rPr>
                <w:kern w:val="0"/>
                <w:sz w:val="24"/>
              </w:rPr>
              <w:t>目标</w:t>
            </w:r>
          </w:p>
        </w:tc>
        <w:tc>
          <w:tcPr>
            <w:tcW w:w="8190" w:type="dxa"/>
            <w:vAlign w:val="center"/>
          </w:tcPr>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（1）大气环境：本项目厂界外500m范围内无自然保护区、风景名胜区、文化区。</w:t>
            </w:r>
            <w:r>
              <w:rPr>
                <w:rFonts w:hint="eastAsia"/>
                <w:color w:val="000000" w:themeColor="text1"/>
                <w:kern w:val="0"/>
                <w:sz w:val="24"/>
                <w14:textFill>
                  <w14:solidFill>
                    <w14:schemeClr w14:val="tx1"/>
                  </w14:solidFill>
                </w14:textFill>
              </w:rPr>
              <w:t>东</w:t>
            </w:r>
            <w:r>
              <w:rPr>
                <w:rFonts w:hint="eastAsia"/>
                <w:color w:val="000000" w:themeColor="text1"/>
                <w:kern w:val="0"/>
                <w:sz w:val="24"/>
                <w:lang w:val="en-US" w:eastAsia="zh-CN"/>
                <w14:textFill>
                  <w14:solidFill>
                    <w14:schemeClr w14:val="tx1"/>
                  </w14:solidFill>
                </w14:textFill>
              </w:rPr>
              <w:t>北方向有零散居民点</w:t>
            </w:r>
            <w:r>
              <w:rPr>
                <w:rFonts w:hint="eastAsia"/>
                <w:color w:val="000000" w:themeColor="text1"/>
                <w:kern w:val="0"/>
                <w:sz w:val="24"/>
                <w14:textFill>
                  <w14:solidFill>
                    <w14:schemeClr w14:val="tx1"/>
                  </w14:solidFill>
                </w14:textFill>
              </w:rPr>
              <w:t>。</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（2）声环境：本项目厂界50m范围内</w:t>
            </w:r>
            <w:r>
              <w:rPr>
                <w:rFonts w:hint="eastAsia"/>
                <w:color w:val="000000" w:themeColor="text1"/>
                <w:kern w:val="0"/>
                <w:sz w:val="24"/>
                <w:lang w:eastAsia="zh-CN"/>
                <w14:textFill>
                  <w14:solidFill>
                    <w14:schemeClr w14:val="tx1"/>
                  </w14:solidFill>
                </w14:textFill>
              </w:rPr>
              <w:t>有</w:t>
            </w:r>
            <w:r>
              <w:rPr>
                <w:rFonts w:hint="eastAsia"/>
                <w:color w:val="000000" w:themeColor="text1"/>
                <w:kern w:val="0"/>
                <w:sz w:val="24"/>
                <w14:textFill>
                  <w14:solidFill>
                    <w14:schemeClr w14:val="tx1"/>
                  </w14:solidFill>
                </w14:textFill>
              </w:rPr>
              <w:t>声环境保护目标。</w:t>
            </w:r>
          </w:p>
          <w:p>
            <w:pPr>
              <w:adjustRightInd w:val="0"/>
              <w:snapToGrid w:val="0"/>
              <w:spacing w:line="360" w:lineRule="auto"/>
              <w:ind w:firstLine="480" w:firstLineChars="200"/>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14:textFill>
                  <w14:solidFill>
                    <w14:schemeClr w14:val="tx1"/>
                  </w14:solidFill>
                </w14:textFill>
              </w:rPr>
              <w:t>（3）地下水环境：本项目厂界外500米范围内无地下水集中式饮用水水源和热水、矿泉水、温泉等特殊地下水资源。</w:t>
            </w:r>
          </w:p>
          <w:p>
            <w:pPr>
              <w:pStyle w:val="45"/>
              <w:rPr>
                <w:color w:val="auto"/>
                <w:szCs w:val="22"/>
              </w:rPr>
            </w:pPr>
            <w:r>
              <w:rPr>
                <w:color w:val="auto"/>
                <w:szCs w:val="22"/>
              </w:rPr>
              <w:t>表3-</w:t>
            </w:r>
            <w:r>
              <w:rPr>
                <w:rFonts w:hint="eastAsia"/>
                <w:color w:val="auto"/>
                <w:szCs w:val="22"/>
                <w:lang w:val="en-US" w:eastAsia="zh-CN"/>
              </w:rPr>
              <w:t>6</w:t>
            </w:r>
            <w:r>
              <w:rPr>
                <w:color w:val="auto"/>
                <w:szCs w:val="22"/>
              </w:rPr>
              <w:t xml:space="preserve">  主要环境保护目标</w:t>
            </w:r>
          </w:p>
          <w:tbl>
            <w:tblPr>
              <w:tblStyle w:val="22"/>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899"/>
              <w:gridCol w:w="1352"/>
              <w:gridCol w:w="1198"/>
              <w:gridCol w:w="668"/>
              <w:gridCol w:w="931"/>
              <w:gridCol w:w="769"/>
              <w:gridCol w:w="865"/>
              <w:gridCol w:w="10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54" w:type="pct"/>
                  <w:vMerge w:val="restart"/>
                  <w:vAlign w:val="center"/>
                </w:tcPr>
                <w:p>
                  <w:pPr>
                    <w:pStyle w:val="51"/>
                    <w:adjustRightInd w:val="0"/>
                    <w:snapToGrid w:val="0"/>
                    <w:spacing w:line="240" w:lineRule="auto"/>
                    <w:ind w:firstLine="0" w:firstLineChars="0"/>
                    <w:jc w:val="center"/>
                    <w:rPr>
                      <w:sz w:val="21"/>
                      <w:szCs w:val="21"/>
                    </w:rPr>
                  </w:pPr>
                  <w:r>
                    <w:rPr>
                      <w:sz w:val="21"/>
                      <w:szCs w:val="21"/>
                    </w:rPr>
                    <w:t>保护类别</w:t>
                  </w:r>
                </w:p>
              </w:tc>
              <w:tc>
                <w:tcPr>
                  <w:tcW w:w="538" w:type="pct"/>
                  <w:vMerge w:val="restart"/>
                  <w:vAlign w:val="center"/>
                </w:tcPr>
                <w:p>
                  <w:pPr>
                    <w:pStyle w:val="51"/>
                    <w:adjustRightInd w:val="0"/>
                    <w:snapToGrid w:val="0"/>
                    <w:spacing w:line="240" w:lineRule="auto"/>
                    <w:ind w:firstLine="0" w:firstLineChars="0"/>
                    <w:jc w:val="center"/>
                    <w:rPr>
                      <w:sz w:val="21"/>
                      <w:szCs w:val="21"/>
                    </w:rPr>
                  </w:pPr>
                  <w:r>
                    <w:rPr>
                      <w:sz w:val="21"/>
                      <w:szCs w:val="21"/>
                    </w:rPr>
                    <w:t>名称</w:t>
                  </w:r>
                </w:p>
              </w:tc>
              <w:tc>
                <w:tcPr>
                  <w:tcW w:w="1526" w:type="pct"/>
                  <w:gridSpan w:val="2"/>
                  <w:vAlign w:val="center"/>
                </w:tcPr>
                <w:p>
                  <w:pPr>
                    <w:pStyle w:val="51"/>
                    <w:adjustRightInd w:val="0"/>
                    <w:snapToGrid w:val="0"/>
                    <w:spacing w:line="240" w:lineRule="auto"/>
                    <w:ind w:firstLine="0" w:firstLineChars="0"/>
                    <w:jc w:val="center"/>
                    <w:rPr>
                      <w:sz w:val="21"/>
                      <w:szCs w:val="21"/>
                    </w:rPr>
                  </w:pPr>
                  <w:r>
                    <w:rPr>
                      <w:sz w:val="21"/>
                      <w:szCs w:val="21"/>
                    </w:rPr>
                    <w:t>坐标</w:t>
                  </w:r>
                </w:p>
              </w:tc>
              <w:tc>
                <w:tcPr>
                  <w:tcW w:w="400" w:type="pct"/>
                  <w:vMerge w:val="restart"/>
                  <w:vAlign w:val="center"/>
                </w:tcPr>
                <w:p>
                  <w:pPr>
                    <w:pStyle w:val="51"/>
                    <w:adjustRightInd w:val="0"/>
                    <w:snapToGrid w:val="0"/>
                    <w:spacing w:line="240" w:lineRule="auto"/>
                    <w:ind w:firstLine="0" w:firstLineChars="0"/>
                    <w:jc w:val="center"/>
                    <w:rPr>
                      <w:sz w:val="21"/>
                      <w:szCs w:val="21"/>
                    </w:rPr>
                  </w:pPr>
                  <w:r>
                    <w:rPr>
                      <w:sz w:val="21"/>
                      <w:szCs w:val="21"/>
                    </w:rPr>
                    <w:t>保护对象</w:t>
                  </w:r>
                </w:p>
              </w:tc>
              <w:tc>
                <w:tcPr>
                  <w:tcW w:w="557" w:type="pct"/>
                  <w:vMerge w:val="restart"/>
                  <w:vAlign w:val="center"/>
                </w:tcPr>
                <w:p>
                  <w:pPr>
                    <w:pStyle w:val="51"/>
                    <w:adjustRightInd w:val="0"/>
                    <w:snapToGrid w:val="0"/>
                    <w:spacing w:line="240" w:lineRule="auto"/>
                    <w:ind w:firstLine="0" w:firstLineChars="0"/>
                    <w:jc w:val="center"/>
                    <w:rPr>
                      <w:sz w:val="21"/>
                      <w:szCs w:val="21"/>
                    </w:rPr>
                  </w:pPr>
                  <w:r>
                    <w:rPr>
                      <w:sz w:val="21"/>
                      <w:szCs w:val="21"/>
                    </w:rPr>
                    <w:t>保护内容</w:t>
                  </w:r>
                </w:p>
              </w:tc>
              <w:tc>
                <w:tcPr>
                  <w:tcW w:w="460" w:type="pct"/>
                  <w:vMerge w:val="restart"/>
                  <w:vAlign w:val="center"/>
                </w:tcPr>
                <w:p>
                  <w:pPr>
                    <w:pStyle w:val="51"/>
                    <w:adjustRightInd w:val="0"/>
                    <w:snapToGrid w:val="0"/>
                    <w:spacing w:line="240" w:lineRule="auto"/>
                    <w:ind w:firstLine="0" w:firstLineChars="0"/>
                    <w:jc w:val="center"/>
                    <w:rPr>
                      <w:sz w:val="21"/>
                      <w:szCs w:val="21"/>
                    </w:rPr>
                  </w:pPr>
                  <w:r>
                    <w:rPr>
                      <w:sz w:val="21"/>
                      <w:szCs w:val="21"/>
                    </w:rPr>
                    <w:t>环境功能区</w:t>
                  </w:r>
                </w:p>
              </w:tc>
              <w:tc>
                <w:tcPr>
                  <w:tcW w:w="518" w:type="pct"/>
                  <w:vMerge w:val="restart"/>
                  <w:vAlign w:val="center"/>
                </w:tcPr>
                <w:p>
                  <w:pPr>
                    <w:pStyle w:val="51"/>
                    <w:adjustRightInd w:val="0"/>
                    <w:snapToGrid w:val="0"/>
                    <w:spacing w:line="240" w:lineRule="auto"/>
                    <w:ind w:firstLine="0" w:firstLineChars="0"/>
                    <w:jc w:val="center"/>
                    <w:rPr>
                      <w:sz w:val="21"/>
                      <w:szCs w:val="21"/>
                    </w:rPr>
                  </w:pPr>
                  <w:r>
                    <w:rPr>
                      <w:sz w:val="21"/>
                      <w:szCs w:val="21"/>
                    </w:rPr>
                    <w:t>相对厂界方位</w:t>
                  </w:r>
                </w:p>
              </w:tc>
              <w:tc>
                <w:tcPr>
                  <w:tcW w:w="644" w:type="pct"/>
                  <w:vMerge w:val="restart"/>
                  <w:vAlign w:val="center"/>
                </w:tcPr>
                <w:p>
                  <w:pPr>
                    <w:pStyle w:val="51"/>
                    <w:adjustRightInd w:val="0"/>
                    <w:snapToGrid w:val="0"/>
                    <w:spacing w:line="240" w:lineRule="auto"/>
                    <w:ind w:firstLine="0" w:firstLineChars="0"/>
                    <w:jc w:val="center"/>
                    <w:rPr>
                      <w:sz w:val="21"/>
                      <w:szCs w:val="21"/>
                    </w:rPr>
                  </w:pPr>
                  <w:r>
                    <w:rPr>
                      <w:sz w:val="21"/>
                      <w:szCs w:val="21"/>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54" w:type="pct"/>
                  <w:vMerge w:val="continue"/>
                  <w:vAlign w:val="center"/>
                </w:tcPr>
                <w:p>
                  <w:pPr>
                    <w:pStyle w:val="51"/>
                    <w:adjustRightInd w:val="0"/>
                    <w:snapToGrid w:val="0"/>
                    <w:spacing w:line="240" w:lineRule="auto"/>
                    <w:ind w:firstLine="0" w:firstLineChars="0"/>
                    <w:jc w:val="center"/>
                    <w:rPr>
                      <w:sz w:val="21"/>
                      <w:szCs w:val="21"/>
                    </w:rPr>
                  </w:pPr>
                </w:p>
              </w:tc>
              <w:tc>
                <w:tcPr>
                  <w:tcW w:w="538" w:type="pct"/>
                  <w:vMerge w:val="continue"/>
                  <w:vAlign w:val="center"/>
                </w:tcPr>
                <w:p>
                  <w:pPr>
                    <w:pStyle w:val="51"/>
                    <w:adjustRightInd w:val="0"/>
                    <w:snapToGrid w:val="0"/>
                    <w:spacing w:line="240" w:lineRule="auto"/>
                    <w:ind w:firstLine="0" w:firstLineChars="0"/>
                    <w:jc w:val="center"/>
                    <w:rPr>
                      <w:sz w:val="21"/>
                      <w:szCs w:val="21"/>
                    </w:rPr>
                  </w:pPr>
                </w:p>
              </w:tc>
              <w:tc>
                <w:tcPr>
                  <w:tcW w:w="809" w:type="pct"/>
                  <w:vAlign w:val="center"/>
                </w:tcPr>
                <w:p>
                  <w:pPr>
                    <w:pStyle w:val="51"/>
                    <w:adjustRightInd w:val="0"/>
                    <w:snapToGrid w:val="0"/>
                    <w:spacing w:line="240" w:lineRule="auto"/>
                    <w:ind w:firstLine="0" w:firstLineChars="0"/>
                    <w:jc w:val="center"/>
                    <w:rPr>
                      <w:sz w:val="21"/>
                      <w:szCs w:val="21"/>
                    </w:rPr>
                  </w:pPr>
                  <w:r>
                    <w:rPr>
                      <w:sz w:val="21"/>
                      <w:szCs w:val="21"/>
                    </w:rPr>
                    <w:t>经度</w:t>
                  </w:r>
                </w:p>
              </w:tc>
              <w:tc>
                <w:tcPr>
                  <w:tcW w:w="717" w:type="pct"/>
                  <w:vAlign w:val="center"/>
                </w:tcPr>
                <w:p>
                  <w:pPr>
                    <w:pStyle w:val="51"/>
                    <w:adjustRightInd w:val="0"/>
                    <w:snapToGrid w:val="0"/>
                    <w:spacing w:line="240" w:lineRule="auto"/>
                    <w:ind w:firstLine="0" w:firstLineChars="0"/>
                    <w:jc w:val="center"/>
                    <w:rPr>
                      <w:sz w:val="21"/>
                      <w:szCs w:val="21"/>
                    </w:rPr>
                  </w:pPr>
                  <w:r>
                    <w:rPr>
                      <w:sz w:val="21"/>
                      <w:szCs w:val="21"/>
                    </w:rPr>
                    <w:t>纬度</w:t>
                  </w:r>
                </w:p>
              </w:tc>
              <w:tc>
                <w:tcPr>
                  <w:tcW w:w="400" w:type="pct"/>
                  <w:vMerge w:val="continue"/>
                  <w:vAlign w:val="center"/>
                </w:tcPr>
                <w:p>
                  <w:pPr>
                    <w:pStyle w:val="51"/>
                    <w:adjustRightInd w:val="0"/>
                    <w:snapToGrid w:val="0"/>
                    <w:spacing w:line="240" w:lineRule="auto"/>
                    <w:ind w:firstLine="0" w:firstLineChars="0"/>
                    <w:jc w:val="center"/>
                    <w:rPr>
                      <w:sz w:val="21"/>
                      <w:szCs w:val="21"/>
                    </w:rPr>
                  </w:pPr>
                </w:p>
              </w:tc>
              <w:tc>
                <w:tcPr>
                  <w:tcW w:w="557" w:type="pct"/>
                  <w:vMerge w:val="continue"/>
                  <w:vAlign w:val="center"/>
                </w:tcPr>
                <w:p>
                  <w:pPr>
                    <w:pStyle w:val="51"/>
                    <w:adjustRightInd w:val="0"/>
                    <w:snapToGrid w:val="0"/>
                    <w:spacing w:line="240" w:lineRule="auto"/>
                    <w:ind w:firstLine="0" w:firstLineChars="0"/>
                    <w:jc w:val="center"/>
                    <w:rPr>
                      <w:sz w:val="21"/>
                      <w:szCs w:val="21"/>
                    </w:rPr>
                  </w:pPr>
                </w:p>
              </w:tc>
              <w:tc>
                <w:tcPr>
                  <w:tcW w:w="460" w:type="pct"/>
                  <w:vMerge w:val="continue"/>
                  <w:vAlign w:val="center"/>
                </w:tcPr>
                <w:p>
                  <w:pPr>
                    <w:pStyle w:val="51"/>
                    <w:adjustRightInd w:val="0"/>
                    <w:snapToGrid w:val="0"/>
                    <w:spacing w:line="240" w:lineRule="auto"/>
                    <w:ind w:firstLine="0" w:firstLineChars="0"/>
                    <w:jc w:val="center"/>
                    <w:rPr>
                      <w:sz w:val="21"/>
                      <w:szCs w:val="21"/>
                    </w:rPr>
                  </w:pPr>
                </w:p>
              </w:tc>
              <w:tc>
                <w:tcPr>
                  <w:tcW w:w="518" w:type="pct"/>
                  <w:vMerge w:val="continue"/>
                  <w:vAlign w:val="center"/>
                </w:tcPr>
                <w:p>
                  <w:pPr>
                    <w:pStyle w:val="51"/>
                    <w:adjustRightInd w:val="0"/>
                    <w:snapToGrid w:val="0"/>
                    <w:spacing w:line="240" w:lineRule="auto"/>
                    <w:ind w:firstLine="0" w:firstLineChars="0"/>
                    <w:jc w:val="center"/>
                    <w:rPr>
                      <w:sz w:val="21"/>
                      <w:szCs w:val="21"/>
                    </w:rPr>
                  </w:pPr>
                </w:p>
              </w:tc>
              <w:tc>
                <w:tcPr>
                  <w:tcW w:w="644" w:type="pct"/>
                  <w:vMerge w:val="continue"/>
                  <w:vAlign w:val="center"/>
                </w:tcPr>
                <w:p>
                  <w:pPr>
                    <w:pStyle w:val="51"/>
                    <w:adjustRightInd w:val="0"/>
                    <w:snapToGri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Merge w:val="restart"/>
                  <w:vAlign w:val="center"/>
                </w:tcPr>
                <w:p>
                  <w:pPr>
                    <w:pStyle w:val="54"/>
                    <w:spacing w:line="240" w:lineRule="auto"/>
                  </w:pPr>
                  <w:r>
                    <w:t>环境空气</w:t>
                  </w:r>
                </w:p>
              </w:tc>
              <w:tc>
                <w:tcPr>
                  <w:tcW w:w="538" w:type="pct"/>
                  <w:vAlign w:val="center"/>
                </w:tcPr>
                <w:p>
                  <w:pPr>
                    <w:pStyle w:val="54"/>
                    <w:spacing w:line="240" w:lineRule="auto"/>
                  </w:pPr>
                  <w:r>
                    <w:rPr>
                      <w:rFonts w:hint="eastAsia"/>
                      <w:lang w:val="en-US" w:eastAsia="zh-CN"/>
                    </w:rPr>
                    <w:t>新桥</w:t>
                  </w:r>
                  <w:r>
                    <w:rPr>
                      <w:rFonts w:hint="eastAsia"/>
                    </w:rPr>
                    <w:t>镇</w:t>
                  </w:r>
                  <w:r>
                    <w:t>居民点</w:t>
                  </w:r>
                </w:p>
              </w:tc>
              <w:tc>
                <w:tcPr>
                  <w:tcW w:w="809"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sz w:val="21"/>
                      <w:szCs w:val="21"/>
                    </w:rPr>
                    <w:t>11</w:t>
                  </w:r>
                  <w:r>
                    <w:rPr>
                      <w:rFonts w:hint="eastAsia"/>
                      <w:sz w:val="21"/>
                      <w:szCs w:val="21"/>
                    </w:rPr>
                    <w:t>2</w:t>
                  </w:r>
                  <w:r>
                    <w:rPr>
                      <w:sz w:val="21"/>
                      <w:szCs w:val="21"/>
                    </w:rPr>
                    <w:t>.</w:t>
                  </w:r>
                  <w:r>
                    <w:rPr>
                      <w:rFonts w:hint="eastAsia"/>
                      <w:sz w:val="21"/>
                      <w:szCs w:val="21"/>
                      <w:lang w:val="en-US" w:eastAsia="zh-CN"/>
                    </w:rPr>
                    <w:t>557780</w:t>
                  </w:r>
                </w:p>
              </w:tc>
              <w:tc>
                <w:tcPr>
                  <w:tcW w:w="717"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sz w:val="21"/>
                      <w:szCs w:val="21"/>
                    </w:rPr>
                    <w:t>27.</w:t>
                  </w:r>
                  <w:r>
                    <w:rPr>
                      <w:rFonts w:hint="eastAsia"/>
                      <w:sz w:val="21"/>
                      <w:szCs w:val="21"/>
                      <w:lang w:val="en-US" w:eastAsia="zh-CN"/>
                    </w:rPr>
                    <w:t>312146</w:t>
                  </w:r>
                </w:p>
              </w:tc>
              <w:tc>
                <w:tcPr>
                  <w:tcW w:w="400" w:type="pct"/>
                  <w:vAlign w:val="center"/>
                </w:tcPr>
                <w:p>
                  <w:pPr>
                    <w:pStyle w:val="51"/>
                    <w:adjustRightInd w:val="0"/>
                    <w:snapToGrid w:val="0"/>
                    <w:spacing w:line="240" w:lineRule="auto"/>
                    <w:ind w:firstLine="0" w:firstLineChars="0"/>
                    <w:jc w:val="center"/>
                    <w:rPr>
                      <w:sz w:val="21"/>
                      <w:szCs w:val="21"/>
                    </w:rPr>
                  </w:pPr>
                  <w:r>
                    <w:rPr>
                      <w:sz w:val="21"/>
                      <w:szCs w:val="21"/>
                    </w:rPr>
                    <w:t>居民</w:t>
                  </w:r>
                </w:p>
              </w:tc>
              <w:tc>
                <w:tcPr>
                  <w:tcW w:w="557" w:type="pct"/>
                  <w:vAlign w:val="center"/>
                </w:tcPr>
                <w:p>
                  <w:pPr>
                    <w:pStyle w:val="54"/>
                    <w:spacing w:line="240" w:lineRule="auto"/>
                  </w:pPr>
                  <w:r>
                    <w:rPr>
                      <w:rFonts w:hint="eastAsia"/>
                      <w:lang w:val="en-US" w:eastAsia="zh-CN"/>
                    </w:rPr>
                    <w:t>2</w:t>
                  </w:r>
                  <w:r>
                    <w:t>户</w:t>
                  </w:r>
                </w:p>
                <w:p>
                  <w:pPr>
                    <w:pStyle w:val="54"/>
                    <w:spacing w:line="240" w:lineRule="auto"/>
                  </w:pPr>
                  <w:r>
                    <w:rPr>
                      <w:rFonts w:hint="eastAsia"/>
                      <w:lang w:val="en-US" w:eastAsia="zh-CN"/>
                    </w:rPr>
                    <w:t>10</w:t>
                  </w:r>
                  <w:r>
                    <w:t>人</w:t>
                  </w:r>
                </w:p>
              </w:tc>
              <w:tc>
                <w:tcPr>
                  <w:tcW w:w="460" w:type="pct"/>
                  <w:vAlign w:val="center"/>
                </w:tcPr>
                <w:p>
                  <w:pPr>
                    <w:pStyle w:val="51"/>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pPr>
                    <w:pStyle w:val="54"/>
                    <w:spacing w:line="240" w:lineRule="auto"/>
                    <w:rPr>
                      <w:rFonts w:hint="default" w:eastAsia="宋体"/>
                      <w:lang w:val="en-US" w:eastAsia="zh-CN"/>
                    </w:rPr>
                  </w:pPr>
                  <w:r>
                    <w:rPr>
                      <w:rFonts w:hint="eastAsia"/>
                      <w:lang w:val="en-US" w:eastAsia="zh-CN"/>
                    </w:rPr>
                    <w:t>北</w:t>
                  </w:r>
                </w:p>
              </w:tc>
              <w:tc>
                <w:tcPr>
                  <w:tcW w:w="644"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pPr>
                    <w:pStyle w:val="54"/>
                    <w:spacing w:line="240" w:lineRule="auto"/>
                    <w:rPr>
                      <w:color w:val="FF0000"/>
                    </w:rPr>
                  </w:pPr>
                </w:p>
              </w:tc>
              <w:tc>
                <w:tcPr>
                  <w:tcW w:w="538" w:type="pct"/>
                  <w:vAlign w:val="center"/>
                </w:tcPr>
                <w:p>
                  <w:pPr>
                    <w:pStyle w:val="54"/>
                    <w:spacing w:line="240" w:lineRule="auto"/>
                  </w:pPr>
                  <w:r>
                    <w:rPr>
                      <w:rFonts w:hint="eastAsia"/>
                      <w:lang w:val="en-US" w:eastAsia="zh-CN"/>
                    </w:rPr>
                    <w:t>新桥</w:t>
                  </w:r>
                  <w:r>
                    <w:rPr>
                      <w:rFonts w:hint="eastAsia"/>
                    </w:rPr>
                    <w:t>镇</w:t>
                  </w:r>
                  <w:r>
                    <w:t>居民点</w:t>
                  </w:r>
                </w:p>
              </w:tc>
              <w:tc>
                <w:tcPr>
                  <w:tcW w:w="809"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sz w:val="21"/>
                      <w:szCs w:val="21"/>
                    </w:rPr>
                    <w:t>11</w:t>
                  </w:r>
                  <w:r>
                    <w:rPr>
                      <w:rFonts w:hint="eastAsia"/>
                      <w:sz w:val="21"/>
                      <w:szCs w:val="21"/>
                    </w:rPr>
                    <w:t>2</w:t>
                  </w:r>
                  <w:r>
                    <w:rPr>
                      <w:rFonts w:hint="eastAsia"/>
                      <w:sz w:val="21"/>
                      <w:szCs w:val="21"/>
                      <w:lang w:val="en-US" w:eastAsia="zh-CN"/>
                    </w:rPr>
                    <w:t>.560253</w:t>
                  </w:r>
                </w:p>
              </w:tc>
              <w:tc>
                <w:tcPr>
                  <w:tcW w:w="717"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sz w:val="21"/>
                      <w:szCs w:val="21"/>
                    </w:rPr>
                    <w:t>27.</w:t>
                  </w:r>
                  <w:r>
                    <w:rPr>
                      <w:rFonts w:hint="eastAsia"/>
                      <w:sz w:val="21"/>
                      <w:szCs w:val="21"/>
                      <w:lang w:val="en-US" w:eastAsia="zh-CN"/>
                    </w:rPr>
                    <w:t>311953</w:t>
                  </w:r>
                </w:p>
              </w:tc>
              <w:tc>
                <w:tcPr>
                  <w:tcW w:w="400" w:type="pct"/>
                  <w:vAlign w:val="center"/>
                </w:tcPr>
                <w:p>
                  <w:pPr>
                    <w:pStyle w:val="51"/>
                    <w:adjustRightInd w:val="0"/>
                    <w:snapToGrid w:val="0"/>
                    <w:spacing w:line="240" w:lineRule="auto"/>
                    <w:ind w:firstLine="0" w:firstLineChars="0"/>
                    <w:jc w:val="center"/>
                    <w:rPr>
                      <w:sz w:val="21"/>
                      <w:szCs w:val="21"/>
                    </w:rPr>
                  </w:pPr>
                  <w:r>
                    <w:rPr>
                      <w:sz w:val="21"/>
                      <w:szCs w:val="21"/>
                    </w:rPr>
                    <w:t>居民</w:t>
                  </w:r>
                </w:p>
              </w:tc>
              <w:tc>
                <w:tcPr>
                  <w:tcW w:w="557" w:type="pct"/>
                  <w:vAlign w:val="center"/>
                </w:tcPr>
                <w:p>
                  <w:pPr>
                    <w:pStyle w:val="54"/>
                    <w:spacing w:line="240" w:lineRule="auto"/>
                  </w:pPr>
                  <w:r>
                    <w:rPr>
                      <w:rFonts w:hint="eastAsia"/>
                      <w:lang w:val="en-US" w:eastAsia="zh-CN"/>
                    </w:rPr>
                    <w:t>1</w:t>
                  </w:r>
                  <w:r>
                    <w:t>户</w:t>
                  </w:r>
                </w:p>
                <w:p>
                  <w:pPr>
                    <w:pStyle w:val="54"/>
                    <w:spacing w:line="240" w:lineRule="auto"/>
                  </w:pPr>
                  <w:r>
                    <w:rPr>
                      <w:rFonts w:hint="eastAsia"/>
                      <w:lang w:val="en-US" w:eastAsia="zh-CN"/>
                    </w:rPr>
                    <w:t>5</w:t>
                  </w:r>
                  <w:r>
                    <w:t>人</w:t>
                  </w:r>
                </w:p>
              </w:tc>
              <w:tc>
                <w:tcPr>
                  <w:tcW w:w="460" w:type="pct"/>
                  <w:vAlign w:val="center"/>
                </w:tcPr>
                <w:p>
                  <w:pPr>
                    <w:pStyle w:val="51"/>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pPr>
                    <w:pStyle w:val="54"/>
                    <w:spacing w:line="240" w:lineRule="auto"/>
                    <w:rPr>
                      <w:rFonts w:hint="eastAsia" w:eastAsia="宋体"/>
                      <w:lang w:eastAsia="zh-CN"/>
                    </w:rPr>
                  </w:pPr>
                  <w:r>
                    <w:rPr>
                      <w:rFonts w:hint="eastAsia"/>
                      <w:lang w:val="en-US" w:eastAsia="zh-CN"/>
                    </w:rPr>
                    <w:t>东</w:t>
                  </w:r>
                </w:p>
              </w:tc>
              <w:tc>
                <w:tcPr>
                  <w:tcW w:w="644"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pPr>
                    <w:pStyle w:val="54"/>
                    <w:spacing w:line="240" w:lineRule="auto"/>
                    <w:rPr>
                      <w:color w:val="FF0000"/>
                    </w:rPr>
                  </w:pPr>
                </w:p>
              </w:tc>
              <w:tc>
                <w:tcPr>
                  <w:tcW w:w="538" w:type="pct"/>
                  <w:vAlign w:val="center"/>
                </w:tcPr>
                <w:p>
                  <w:pPr>
                    <w:pStyle w:val="54"/>
                    <w:spacing w:line="240" w:lineRule="auto"/>
                    <w:rPr>
                      <w:rFonts w:hint="eastAsia"/>
                      <w:lang w:val="en-US" w:eastAsia="zh-CN"/>
                    </w:rPr>
                  </w:pPr>
                  <w:r>
                    <w:rPr>
                      <w:rFonts w:hint="eastAsia"/>
                      <w:lang w:val="en-US" w:eastAsia="zh-CN"/>
                    </w:rPr>
                    <w:t>新桥镇居民点</w:t>
                  </w:r>
                </w:p>
              </w:tc>
              <w:tc>
                <w:tcPr>
                  <w:tcW w:w="809"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112.557794</w:t>
                  </w:r>
                </w:p>
              </w:tc>
              <w:tc>
                <w:tcPr>
                  <w:tcW w:w="717"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27.312228</w:t>
                  </w:r>
                </w:p>
              </w:tc>
              <w:tc>
                <w:tcPr>
                  <w:tcW w:w="400" w:type="pct"/>
                  <w:vAlign w:val="center"/>
                </w:tcPr>
                <w:p>
                  <w:pPr>
                    <w:pStyle w:val="51"/>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居民</w:t>
                  </w:r>
                </w:p>
              </w:tc>
              <w:tc>
                <w:tcPr>
                  <w:tcW w:w="557" w:type="pct"/>
                  <w:vAlign w:val="center"/>
                </w:tcPr>
                <w:p>
                  <w:pPr>
                    <w:pStyle w:val="54"/>
                    <w:spacing w:line="240" w:lineRule="auto"/>
                    <w:rPr>
                      <w:rFonts w:hint="default"/>
                      <w:lang w:val="en-US" w:eastAsia="zh-CN"/>
                    </w:rPr>
                  </w:pPr>
                  <w:r>
                    <w:rPr>
                      <w:rFonts w:hint="eastAsia"/>
                      <w:lang w:val="en-US" w:eastAsia="zh-CN"/>
                    </w:rPr>
                    <w:t>2户10人</w:t>
                  </w:r>
                </w:p>
              </w:tc>
              <w:tc>
                <w:tcPr>
                  <w:tcW w:w="460" w:type="pct"/>
                  <w:vAlign w:val="center"/>
                </w:tcPr>
                <w:p>
                  <w:pPr>
                    <w:pStyle w:val="51"/>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pPr>
                    <w:pStyle w:val="54"/>
                    <w:spacing w:line="240" w:lineRule="auto"/>
                    <w:rPr>
                      <w:rFonts w:hint="default"/>
                      <w:lang w:val="en-US" w:eastAsia="zh-CN"/>
                    </w:rPr>
                  </w:pPr>
                  <w:r>
                    <w:rPr>
                      <w:rFonts w:hint="eastAsia"/>
                      <w:lang w:val="en-US" w:eastAsia="zh-CN"/>
                    </w:rPr>
                    <w:t>东北</w:t>
                  </w:r>
                </w:p>
              </w:tc>
              <w:tc>
                <w:tcPr>
                  <w:tcW w:w="644" w:type="pct"/>
                  <w:vAlign w:val="center"/>
                </w:tcPr>
                <w:p>
                  <w:pPr>
                    <w:pStyle w:val="51"/>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pPr>
                    <w:pStyle w:val="54"/>
                    <w:spacing w:line="240" w:lineRule="auto"/>
                    <w:rPr>
                      <w:color w:val="FF0000"/>
                    </w:rPr>
                  </w:pPr>
                </w:p>
              </w:tc>
              <w:tc>
                <w:tcPr>
                  <w:tcW w:w="538" w:type="pct"/>
                  <w:vAlign w:val="center"/>
                </w:tcPr>
                <w:p>
                  <w:pPr>
                    <w:pStyle w:val="54"/>
                    <w:spacing w:line="240" w:lineRule="auto"/>
                    <w:rPr>
                      <w:rFonts w:hint="default"/>
                      <w:lang w:val="en-US" w:eastAsia="zh-CN"/>
                    </w:rPr>
                  </w:pPr>
                  <w:r>
                    <w:rPr>
                      <w:rFonts w:hint="eastAsia"/>
                      <w:lang w:val="en-US" w:eastAsia="zh-CN"/>
                    </w:rPr>
                    <w:t>新桥镇居民点</w:t>
                  </w:r>
                </w:p>
              </w:tc>
              <w:tc>
                <w:tcPr>
                  <w:tcW w:w="809"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112.561412</w:t>
                  </w:r>
                </w:p>
              </w:tc>
              <w:tc>
                <w:tcPr>
                  <w:tcW w:w="717"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27.310097</w:t>
                  </w:r>
                </w:p>
              </w:tc>
              <w:tc>
                <w:tcPr>
                  <w:tcW w:w="400" w:type="pct"/>
                  <w:vAlign w:val="center"/>
                </w:tcPr>
                <w:p>
                  <w:pPr>
                    <w:pStyle w:val="51"/>
                    <w:adjustRightInd w:val="0"/>
                    <w:snapToGrid w:val="0"/>
                    <w:spacing w:line="240" w:lineRule="auto"/>
                    <w:ind w:firstLine="0" w:firstLineChars="0"/>
                    <w:jc w:val="center"/>
                    <w:rPr>
                      <w:sz w:val="21"/>
                      <w:szCs w:val="21"/>
                    </w:rPr>
                  </w:pPr>
                  <w:r>
                    <w:rPr>
                      <w:sz w:val="21"/>
                      <w:szCs w:val="21"/>
                    </w:rPr>
                    <w:t>居民</w:t>
                  </w:r>
                </w:p>
              </w:tc>
              <w:tc>
                <w:tcPr>
                  <w:tcW w:w="557" w:type="pct"/>
                  <w:vAlign w:val="center"/>
                </w:tcPr>
                <w:p>
                  <w:pPr>
                    <w:pStyle w:val="54"/>
                    <w:spacing w:line="240" w:lineRule="auto"/>
                  </w:pPr>
                  <w:r>
                    <w:rPr>
                      <w:rFonts w:hint="eastAsia"/>
                      <w:lang w:val="en-US" w:eastAsia="zh-CN"/>
                    </w:rPr>
                    <w:t>1</w:t>
                  </w:r>
                  <w:r>
                    <w:t>户</w:t>
                  </w:r>
                </w:p>
                <w:p>
                  <w:pPr>
                    <w:pStyle w:val="54"/>
                    <w:spacing w:line="240" w:lineRule="auto"/>
                    <w:rPr>
                      <w:rFonts w:hint="eastAsia"/>
                    </w:rPr>
                  </w:pPr>
                  <w:r>
                    <w:rPr>
                      <w:rFonts w:hint="eastAsia"/>
                      <w:lang w:val="en-US" w:eastAsia="zh-CN"/>
                    </w:rPr>
                    <w:t>5</w:t>
                  </w:r>
                  <w:r>
                    <w:t>人</w:t>
                  </w:r>
                </w:p>
              </w:tc>
              <w:tc>
                <w:tcPr>
                  <w:tcW w:w="460" w:type="pct"/>
                  <w:vAlign w:val="center"/>
                </w:tcPr>
                <w:p>
                  <w:pPr>
                    <w:pStyle w:val="51"/>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pPr>
                    <w:pStyle w:val="54"/>
                    <w:spacing w:line="240" w:lineRule="auto"/>
                    <w:rPr>
                      <w:rFonts w:hint="default"/>
                      <w:lang w:val="en-US" w:eastAsia="zh-CN"/>
                    </w:rPr>
                  </w:pPr>
                  <w:r>
                    <w:rPr>
                      <w:rFonts w:hint="eastAsia"/>
                      <w:lang w:val="en-US" w:eastAsia="zh-CN"/>
                    </w:rPr>
                    <w:t>东北</w:t>
                  </w:r>
                </w:p>
              </w:tc>
              <w:tc>
                <w:tcPr>
                  <w:tcW w:w="644" w:type="pct"/>
                  <w:vAlign w:val="center"/>
                </w:tcPr>
                <w:p>
                  <w:pPr>
                    <w:pStyle w:val="51"/>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4" w:type="pct"/>
                  <w:vAlign w:val="center"/>
                </w:tcPr>
                <w:p>
                  <w:pPr>
                    <w:pStyle w:val="54"/>
                    <w:spacing w:line="240" w:lineRule="auto"/>
                    <w:rPr>
                      <w:color w:val="FF0000"/>
                    </w:rPr>
                  </w:pPr>
                  <w:r>
                    <w:rPr>
                      <w:rFonts w:hint="eastAsia"/>
                      <w:color w:val="000000"/>
                    </w:rPr>
                    <w:t>声环境</w:t>
                  </w:r>
                </w:p>
              </w:tc>
              <w:tc>
                <w:tcPr>
                  <w:tcW w:w="538" w:type="pct"/>
                  <w:vAlign w:val="center"/>
                </w:tcPr>
                <w:p>
                  <w:pPr>
                    <w:pStyle w:val="54"/>
                    <w:spacing w:line="240" w:lineRule="auto"/>
                    <w:rPr>
                      <w:rFonts w:hint="eastAsia" w:eastAsia="宋体"/>
                      <w:lang w:eastAsia="zh-CN"/>
                    </w:rPr>
                  </w:pPr>
                  <w:r>
                    <w:rPr>
                      <w:rFonts w:hint="eastAsia"/>
                      <w:lang w:val="en-US" w:eastAsia="zh-CN"/>
                    </w:rPr>
                    <w:t>新桥</w:t>
                  </w:r>
                  <w:r>
                    <w:rPr>
                      <w:rFonts w:hint="eastAsia"/>
                    </w:rPr>
                    <w:t>镇</w:t>
                  </w:r>
                  <w:r>
                    <w:t>居民点</w:t>
                  </w:r>
                </w:p>
              </w:tc>
              <w:tc>
                <w:tcPr>
                  <w:tcW w:w="1352" w:type="dxa"/>
                  <w:vAlign w:val="center"/>
                </w:tcPr>
                <w:p>
                  <w:pPr>
                    <w:pStyle w:val="51"/>
                    <w:adjustRightInd w:val="0"/>
                    <w:snapToGrid w:val="0"/>
                    <w:spacing w:line="240" w:lineRule="auto"/>
                    <w:ind w:firstLine="0" w:firstLineChars="0"/>
                    <w:jc w:val="center"/>
                    <w:rPr>
                      <w:rFonts w:hint="eastAsia" w:eastAsia="宋体"/>
                      <w:lang w:eastAsia="zh-CN"/>
                    </w:rPr>
                  </w:pPr>
                  <w:r>
                    <w:rPr>
                      <w:rFonts w:hint="eastAsia"/>
                      <w:sz w:val="21"/>
                      <w:szCs w:val="21"/>
                      <w:lang w:val="en-US" w:eastAsia="zh-CN"/>
                    </w:rPr>
                    <w:t>112.557794</w:t>
                  </w:r>
                </w:p>
              </w:tc>
              <w:tc>
                <w:tcPr>
                  <w:tcW w:w="1198" w:type="dxa"/>
                  <w:vAlign w:val="center"/>
                </w:tcPr>
                <w:p>
                  <w:pPr>
                    <w:pStyle w:val="51"/>
                    <w:adjustRightInd w:val="0"/>
                    <w:snapToGrid w:val="0"/>
                    <w:spacing w:line="240" w:lineRule="auto"/>
                    <w:ind w:firstLine="0" w:firstLineChars="0"/>
                    <w:jc w:val="center"/>
                    <w:rPr>
                      <w:rFonts w:hint="eastAsia" w:eastAsia="宋体"/>
                      <w:lang w:eastAsia="zh-CN"/>
                    </w:rPr>
                  </w:pPr>
                  <w:r>
                    <w:rPr>
                      <w:rFonts w:hint="eastAsia"/>
                      <w:sz w:val="21"/>
                      <w:szCs w:val="21"/>
                      <w:lang w:val="en-US" w:eastAsia="zh-CN"/>
                    </w:rPr>
                    <w:t>27.312228</w:t>
                  </w:r>
                </w:p>
              </w:tc>
              <w:tc>
                <w:tcPr>
                  <w:tcW w:w="668" w:type="dxa"/>
                  <w:vAlign w:val="center"/>
                </w:tcPr>
                <w:p>
                  <w:pPr>
                    <w:pStyle w:val="51"/>
                    <w:adjustRightInd w:val="0"/>
                    <w:snapToGrid w:val="0"/>
                    <w:spacing w:line="240" w:lineRule="auto"/>
                    <w:ind w:firstLine="0" w:firstLineChars="0"/>
                    <w:jc w:val="center"/>
                    <w:rPr>
                      <w:rFonts w:hint="eastAsia" w:eastAsia="宋体"/>
                      <w:lang w:eastAsia="zh-CN"/>
                    </w:rPr>
                  </w:pPr>
                  <w:r>
                    <w:rPr>
                      <w:rFonts w:hint="eastAsia"/>
                      <w:sz w:val="21"/>
                      <w:szCs w:val="21"/>
                      <w:lang w:val="en-US" w:eastAsia="zh-CN"/>
                    </w:rPr>
                    <w:t>居民</w:t>
                  </w:r>
                </w:p>
              </w:tc>
              <w:tc>
                <w:tcPr>
                  <w:tcW w:w="931" w:type="dxa"/>
                  <w:vAlign w:val="center"/>
                </w:tcPr>
                <w:p>
                  <w:pPr>
                    <w:pStyle w:val="54"/>
                    <w:spacing w:line="240" w:lineRule="auto"/>
                    <w:rPr>
                      <w:rFonts w:hint="eastAsia" w:eastAsia="宋体"/>
                      <w:lang w:eastAsia="zh-CN"/>
                    </w:rPr>
                  </w:pPr>
                  <w:r>
                    <w:rPr>
                      <w:rFonts w:hint="eastAsia"/>
                      <w:lang w:val="en-US" w:eastAsia="zh-CN"/>
                    </w:rPr>
                    <w:t>2户10人</w:t>
                  </w:r>
                </w:p>
              </w:tc>
              <w:tc>
                <w:tcPr>
                  <w:tcW w:w="769" w:type="dxa"/>
                  <w:vAlign w:val="center"/>
                </w:tcPr>
                <w:p>
                  <w:pPr>
                    <w:pStyle w:val="51"/>
                    <w:adjustRightInd w:val="0"/>
                    <w:snapToGrid w:val="0"/>
                    <w:spacing w:line="240" w:lineRule="auto"/>
                    <w:ind w:firstLine="0" w:firstLineChars="0"/>
                    <w:jc w:val="center"/>
                    <w:rPr>
                      <w:rFonts w:hint="eastAsia" w:eastAsia="宋体"/>
                      <w:lang w:eastAsia="zh-CN"/>
                    </w:rPr>
                  </w:pPr>
                  <w:r>
                    <w:rPr>
                      <w:sz w:val="21"/>
                      <w:szCs w:val="21"/>
                    </w:rPr>
                    <w:t>二类区</w:t>
                  </w:r>
                </w:p>
              </w:tc>
              <w:tc>
                <w:tcPr>
                  <w:tcW w:w="865" w:type="dxa"/>
                  <w:vAlign w:val="center"/>
                </w:tcPr>
                <w:p>
                  <w:pPr>
                    <w:pStyle w:val="54"/>
                    <w:spacing w:line="240" w:lineRule="auto"/>
                    <w:rPr>
                      <w:rFonts w:hint="eastAsia" w:eastAsia="宋体"/>
                      <w:lang w:eastAsia="zh-CN"/>
                    </w:rPr>
                  </w:pPr>
                  <w:r>
                    <w:rPr>
                      <w:rFonts w:hint="eastAsia"/>
                      <w:lang w:val="en-US" w:eastAsia="zh-CN"/>
                    </w:rPr>
                    <w:t>东北</w:t>
                  </w:r>
                </w:p>
              </w:tc>
              <w:tc>
                <w:tcPr>
                  <w:tcW w:w="1079" w:type="dxa"/>
                  <w:vAlign w:val="center"/>
                </w:tcPr>
                <w:p>
                  <w:pPr>
                    <w:pStyle w:val="51"/>
                    <w:adjustRightInd w:val="0"/>
                    <w:snapToGrid w:val="0"/>
                    <w:spacing w:line="240" w:lineRule="auto"/>
                    <w:ind w:firstLine="0" w:firstLineChars="0"/>
                    <w:jc w:val="center"/>
                    <w:rPr>
                      <w:rFonts w:hint="eastAsia" w:eastAsia="宋体"/>
                      <w:lang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Align w:val="center"/>
                </w:tcPr>
                <w:p>
                  <w:pPr>
                    <w:pStyle w:val="54"/>
                    <w:spacing w:line="240" w:lineRule="auto"/>
                  </w:pPr>
                  <w:r>
                    <w:t>地表水环境</w:t>
                  </w:r>
                </w:p>
              </w:tc>
              <w:tc>
                <w:tcPr>
                  <w:tcW w:w="538" w:type="pct"/>
                  <w:vAlign w:val="center"/>
                </w:tcPr>
                <w:p>
                  <w:pPr>
                    <w:pStyle w:val="54"/>
                    <w:spacing w:line="240" w:lineRule="auto"/>
                    <w:rPr>
                      <w:rFonts w:hint="eastAsia" w:eastAsia="宋体"/>
                      <w:lang w:eastAsia="zh-CN"/>
                    </w:rPr>
                  </w:pPr>
                  <w:r>
                    <w:rPr>
                      <w:rFonts w:hint="eastAsia"/>
                      <w:lang w:val="en-US" w:eastAsia="zh-CN"/>
                    </w:rPr>
                    <w:t>水塘</w:t>
                  </w:r>
                </w:p>
              </w:tc>
              <w:tc>
                <w:tcPr>
                  <w:tcW w:w="809" w:type="pct"/>
                  <w:vAlign w:val="center"/>
                </w:tcPr>
                <w:p>
                  <w:pPr>
                    <w:pStyle w:val="51"/>
                    <w:adjustRightInd w:val="0"/>
                    <w:snapToGrid w:val="0"/>
                    <w:spacing w:line="240" w:lineRule="auto"/>
                    <w:ind w:firstLine="0" w:firstLineChars="0"/>
                    <w:jc w:val="center"/>
                    <w:rPr>
                      <w:sz w:val="21"/>
                      <w:szCs w:val="21"/>
                    </w:rPr>
                  </w:pPr>
                  <w:r>
                    <w:rPr>
                      <w:sz w:val="21"/>
                      <w:szCs w:val="21"/>
                    </w:rPr>
                    <w:t>/</w:t>
                  </w:r>
                </w:p>
              </w:tc>
              <w:tc>
                <w:tcPr>
                  <w:tcW w:w="717" w:type="pct"/>
                  <w:vAlign w:val="center"/>
                </w:tcPr>
                <w:p>
                  <w:pPr>
                    <w:pStyle w:val="51"/>
                    <w:adjustRightInd w:val="0"/>
                    <w:snapToGrid w:val="0"/>
                    <w:spacing w:line="240" w:lineRule="auto"/>
                    <w:ind w:firstLine="0" w:firstLineChars="0"/>
                    <w:jc w:val="center"/>
                    <w:rPr>
                      <w:sz w:val="21"/>
                      <w:szCs w:val="21"/>
                    </w:rPr>
                  </w:pPr>
                  <w:r>
                    <w:rPr>
                      <w:sz w:val="21"/>
                      <w:szCs w:val="21"/>
                    </w:rPr>
                    <w:t>/</w:t>
                  </w:r>
                </w:p>
              </w:tc>
              <w:tc>
                <w:tcPr>
                  <w:tcW w:w="400" w:type="pct"/>
                  <w:vAlign w:val="center"/>
                </w:tcPr>
                <w:p>
                  <w:pPr>
                    <w:pStyle w:val="51"/>
                    <w:adjustRightInd w:val="0"/>
                    <w:snapToGrid w:val="0"/>
                    <w:spacing w:line="240" w:lineRule="auto"/>
                    <w:ind w:firstLine="0" w:firstLineChars="0"/>
                    <w:jc w:val="center"/>
                    <w:rPr>
                      <w:sz w:val="21"/>
                      <w:szCs w:val="21"/>
                    </w:rPr>
                  </w:pPr>
                  <w:r>
                    <w:rPr>
                      <w:sz w:val="21"/>
                      <w:szCs w:val="21"/>
                    </w:rPr>
                    <w:t>河流</w:t>
                  </w:r>
                </w:p>
              </w:tc>
              <w:tc>
                <w:tcPr>
                  <w:tcW w:w="557" w:type="pct"/>
                  <w:vAlign w:val="center"/>
                </w:tcPr>
                <w:p>
                  <w:pPr>
                    <w:pStyle w:val="54"/>
                    <w:spacing w:line="240" w:lineRule="auto"/>
                    <w:rPr>
                      <w:u w:val="wave"/>
                    </w:rPr>
                  </w:pPr>
                  <w:r>
                    <w:rPr>
                      <w:u w:val="wave"/>
                    </w:rPr>
                    <w:t>/</w:t>
                  </w:r>
                </w:p>
              </w:tc>
              <w:tc>
                <w:tcPr>
                  <w:tcW w:w="460" w:type="pct"/>
                  <w:vAlign w:val="center"/>
                </w:tcPr>
                <w:p>
                  <w:pPr>
                    <w:adjustRightInd w:val="0"/>
                    <w:snapToGrid w:val="0"/>
                    <w:jc w:val="center"/>
                    <w:rPr>
                      <w:szCs w:val="21"/>
                    </w:rPr>
                  </w:pPr>
                  <w:r>
                    <w:rPr>
                      <w:szCs w:val="21"/>
                    </w:rPr>
                    <w:t>II</w:t>
                  </w:r>
                  <w:r>
                    <w:rPr>
                      <w:rFonts w:hint="eastAsia"/>
                      <w:szCs w:val="21"/>
                    </w:rPr>
                    <w:t>I</w:t>
                  </w:r>
                  <w:r>
                    <w:rPr>
                      <w:szCs w:val="21"/>
                    </w:rPr>
                    <w:t>类</w:t>
                  </w:r>
                </w:p>
              </w:tc>
              <w:tc>
                <w:tcPr>
                  <w:tcW w:w="518" w:type="pct"/>
                  <w:vAlign w:val="center"/>
                </w:tcPr>
                <w:p>
                  <w:pPr>
                    <w:pStyle w:val="54"/>
                    <w:spacing w:line="240" w:lineRule="auto"/>
                    <w:rPr>
                      <w:rFonts w:hint="eastAsia" w:eastAsia="宋体"/>
                      <w:lang w:val="en-US" w:eastAsia="zh-CN"/>
                    </w:rPr>
                  </w:pPr>
                  <w:r>
                    <w:t>东</w:t>
                  </w:r>
                  <w:r>
                    <w:rPr>
                      <w:rFonts w:hint="eastAsia"/>
                      <w:lang w:val="en-US" w:eastAsia="zh-CN"/>
                    </w:rPr>
                    <w:t>南</w:t>
                  </w:r>
                </w:p>
              </w:tc>
              <w:tc>
                <w:tcPr>
                  <w:tcW w:w="644" w:type="pct"/>
                  <w:vAlign w:val="center"/>
                </w:tcPr>
                <w:p>
                  <w:pPr>
                    <w:pStyle w:val="51"/>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Align w:val="center"/>
                </w:tcPr>
                <w:p>
                  <w:pPr>
                    <w:pStyle w:val="54"/>
                    <w:spacing w:line="240" w:lineRule="auto"/>
                  </w:pPr>
                  <w:r>
                    <w:rPr>
                      <w:rFonts w:hint="eastAsia"/>
                    </w:rPr>
                    <w:t>地下水环境</w:t>
                  </w:r>
                </w:p>
              </w:tc>
              <w:tc>
                <w:tcPr>
                  <w:tcW w:w="4645" w:type="pct"/>
                  <w:gridSpan w:val="8"/>
                  <w:vAlign w:val="center"/>
                </w:tcPr>
                <w:p>
                  <w:pPr>
                    <w:pStyle w:val="51"/>
                    <w:adjustRightInd w:val="0"/>
                    <w:snapToGrid w:val="0"/>
                    <w:spacing w:line="240" w:lineRule="auto"/>
                    <w:ind w:firstLine="0" w:firstLineChars="0"/>
                    <w:jc w:val="center"/>
                    <w:rPr>
                      <w:sz w:val="21"/>
                      <w:szCs w:val="21"/>
                    </w:rPr>
                  </w:pPr>
                  <w:r>
                    <w:rPr>
                      <w:rFonts w:hint="eastAsia"/>
                      <w:sz w:val="21"/>
                      <w:szCs w:val="21"/>
                    </w:rPr>
                    <w:t>周边500m范围内居民点用水均为自来水，不存在地下水集中式饮用水水源和热水、矿泉水、温泉等特殊地下水资源</w:t>
                  </w:r>
                </w:p>
              </w:tc>
            </w:tr>
          </w:tbl>
          <w:p>
            <w:pPr>
              <w:adjustRightInd w:val="0"/>
              <w:snapToGrid w:val="0"/>
              <w:spacing w:line="360" w:lineRule="auto"/>
              <w:ind w:firstLine="480" w:firstLineChars="200"/>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800" w:type="dxa"/>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tc>
        <w:tc>
          <w:tcPr>
            <w:tcW w:w="8190" w:type="dxa"/>
          </w:tcPr>
          <w:p>
            <w:pPr>
              <w:adjustRightInd w:val="0"/>
              <w:snapToGrid w:val="0"/>
              <w:spacing w:line="360" w:lineRule="auto"/>
              <w:rPr>
                <w:b/>
                <w:bCs/>
                <w:kern w:val="0"/>
                <w:sz w:val="24"/>
              </w:rPr>
            </w:pPr>
            <w:r>
              <w:rPr>
                <w:b/>
                <w:bCs/>
                <w:kern w:val="0"/>
                <w:sz w:val="24"/>
              </w:rPr>
              <w:t>1、废气</w:t>
            </w:r>
          </w:p>
          <w:p>
            <w:pPr>
              <w:adjustRightInd w:val="0"/>
              <w:snapToGrid w:val="0"/>
              <w:spacing w:line="360" w:lineRule="auto"/>
              <w:ind w:firstLine="480" w:firstLineChars="200"/>
              <w:rPr>
                <w:kern w:val="0"/>
                <w:sz w:val="24"/>
              </w:rPr>
            </w:pPr>
            <w:r>
              <w:rPr>
                <w:kern w:val="0"/>
                <w:sz w:val="24"/>
              </w:rPr>
              <w:t>①</w:t>
            </w:r>
            <w:r>
              <w:rPr>
                <w:rFonts w:hint="eastAsia"/>
                <w:kern w:val="0"/>
                <w:sz w:val="24"/>
                <w:lang w:val="en-US" w:eastAsia="zh-CN"/>
              </w:rPr>
              <w:t>混合废气</w:t>
            </w:r>
            <w:r>
              <w:rPr>
                <w:kern w:val="0"/>
                <w:sz w:val="24"/>
              </w:rPr>
              <w:t>：</w:t>
            </w:r>
            <w:r>
              <w:rPr>
                <w:rFonts w:hint="eastAsia"/>
                <w:kern w:val="0"/>
                <w:sz w:val="24"/>
                <w:lang w:val="en-US" w:eastAsia="zh-CN"/>
              </w:rPr>
              <w:t>（</w:t>
            </w:r>
            <w:r>
              <w:rPr>
                <w:rFonts w:ascii="宋体" w:hAnsi="宋体" w:eastAsia="宋体" w:cs="宋体"/>
                <w:sz w:val="24"/>
                <w:szCs w:val="24"/>
              </w:rPr>
              <w:t>烘干废气和炭化废气</w:t>
            </w:r>
            <w:r>
              <w:rPr>
                <w:rFonts w:hint="eastAsia"/>
                <w:kern w:val="0"/>
                <w:sz w:val="24"/>
                <w:lang w:val="en-US" w:eastAsia="zh-CN"/>
              </w:rPr>
              <w:t>）SO</w:t>
            </w:r>
            <w:r>
              <w:rPr>
                <w:rFonts w:hint="eastAsia"/>
                <w:kern w:val="0"/>
                <w:sz w:val="24"/>
                <w:vertAlign w:val="subscript"/>
                <w:lang w:val="en-US" w:eastAsia="zh-CN"/>
              </w:rPr>
              <w:t>2</w:t>
            </w:r>
            <w:r>
              <w:rPr>
                <w:kern w:val="0"/>
                <w:sz w:val="24"/>
              </w:rPr>
              <w:t>执行《</w:t>
            </w:r>
            <w:r>
              <w:rPr>
                <w:rFonts w:hint="eastAsia"/>
                <w:kern w:val="0"/>
                <w:sz w:val="24"/>
                <w:lang w:val="en-US" w:eastAsia="zh-CN"/>
              </w:rPr>
              <w:t>工业炉窑</w:t>
            </w:r>
            <w:r>
              <w:rPr>
                <w:kern w:val="0"/>
                <w:sz w:val="24"/>
              </w:rPr>
              <w:t>大气污染物排放标准》（GB</w:t>
            </w:r>
            <w:r>
              <w:rPr>
                <w:rFonts w:hint="eastAsia"/>
                <w:kern w:val="0"/>
                <w:sz w:val="24"/>
                <w:lang w:val="en-US" w:eastAsia="zh-CN"/>
              </w:rPr>
              <w:t>9078</w:t>
            </w:r>
            <w:r>
              <w:rPr>
                <w:kern w:val="0"/>
                <w:sz w:val="24"/>
              </w:rPr>
              <w:t>-</w:t>
            </w:r>
            <w:r>
              <w:rPr>
                <w:rFonts w:hint="eastAsia"/>
                <w:kern w:val="0"/>
                <w:sz w:val="24"/>
                <w:lang w:val="en-US" w:eastAsia="zh-CN"/>
              </w:rPr>
              <w:t>1996</w:t>
            </w:r>
            <w:r>
              <w:rPr>
                <w:kern w:val="0"/>
                <w:sz w:val="24"/>
              </w:rPr>
              <w:t>）中</w:t>
            </w:r>
            <w:r>
              <w:rPr>
                <w:rFonts w:hint="eastAsia"/>
                <w:kern w:val="0"/>
                <w:sz w:val="24"/>
                <w:lang w:val="en-US" w:eastAsia="zh-CN"/>
              </w:rPr>
              <w:t>表2二级排放限值，见表3-7；NOx和颗粒物执行</w:t>
            </w:r>
            <w:r>
              <w:rPr>
                <w:rFonts w:hint="default" w:ascii="Times New Roman" w:hAnsi="Times New Roman" w:cs="Times New Roman"/>
                <w:color w:val="000000" w:themeColor="text1"/>
                <w:sz w:val="24"/>
                <w:highlight w:val="none"/>
                <w14:textFill>
                  <w14:solidFill>
                    <w14:schemeClr w14:val="tx1"/>
                  </w14:solidFill>
                </w14:textFill>
              </w:rPr>
              <w:t>《大气污染物综合排放标准》（GB</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16297-1996）表2中限值要求</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见表3-9</w:t>
            </w:r>
            <w:r>
              <w:rPr>
                <w:kern w:val="0"/>
                <w:sz w:val="24"/>
              </w:rPr>
              <w:t>。</w:t>
            </w:r>
          </w:p>
          <w:p>
            <w:pPr>
              <w:adjustRightInd w:val="0"/>
              <w:snapToGrid w:val="0"/>
              <w:ind w:firstLine="422" w:firstLineChars="200"/>
              <w:jc w:val="center"/>
              <w:rPr>
                <w:kern w:val="0"/>
                <w:sz w:val="24"/>
              </w:rPr>
            </w:pPr>
            <w:r>
              <w:rPr>
                <w:rFonts w:hint="eastAsia"/>
                <w:b/>
                <w:bCs/>
                <w:kern w:val="0"/>
                <w:szCs w:val="21"/>
              </w:rPr>
              <w:t>表3-</w:t>
            </w:r>
            <w:r>
              <w:rPr>
                <w:rFonts w:hint="eastAsia"/>
                <w:b/>
                <w:bCs/>
                <w:kern w:val="0"/>
                <w:szCs w:val="21"/>
                <w:lang w:val="en-US" w:eastAsia="zh-CN"/>
              </w:rPr>
              <w:t>7</w:t>
            </w:r>
            <w:r>
              <w:rPr>
                <w:rFonts w:hint="eastAsia"/>
                <w:b/>
                <w:bCs/>
                <w:kern w:val="0"/>
                <w:szCs w:val="21"/>
              </w:rPr>
              <w:t xml:space="preserve">  《工业炉窑大气污染物排放标准》（GB9078-1996）</w:t>
            </w:r>
          </w:p>
          <w:tbl>
            <w:tblPr>
              <w:tblStyle w:val="22"/>
              <w:tblW w:w="856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79" w:type="dxa"/>
                <w:bottom w:w="0" w:type="dxa"/>
                <w:right w:w="79" w:type="dxa"/>
              </w:tblCellMar>
            </w:tblPr>
            <w:tblGrid>
              <w:gridCol w:w="1055"/>
              <w:gridCol w:w="1177"/>
              <w:gridCol w:w="1304"/>
              <w:gridCol w:w="1465"/>
              <w:gridCol w:w="2273"/>
              <w:gridCol w:w="129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79" w:type="dxa"/>
                  <w:bottom w:w="0" w:type="dxa"/>
                  <w:right w:w="79" w:type="dxa"/>
                </w:tblCellMar>
              </w:tblPrEx>
              <w:trPr>
                <w:trHeight w:val="340" w:hRule="atLeast"/>
                <w:jc w:val="center"/>
              </w:trPr>
              <w:tc>
                <w:tcPr>
                  <w:tcW w:w="1055" w:type="dxa"/>
                  <w:tcBorders>
                    <w:tl2br w:val="nil"/>
                    <w:tr2bl w:val="nil"/>
                  </w:tcBorders>
                  <w:noWrap w:val="0"/>
                  <w:vAlign w:val="center"/>
                </w:tcPr>
                <w:p>
                  <w:pPr>
                    <w:shd w:val="clear"/>
                    <w:snapToGrid w:val="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名称标准</w:t>
                  </w:r>
                </w:p>
              </w:tc>
              <w:tc>
                <w:tcPr>
                  <w:tcW w:w="1177" w:type="dxa"/>
                  <w:tcBorders>
                    <w:tl2br w:val="nil"/>
                    <w:tr2bl w:val="nil"/>
                  </w:tcBorders>
                  <w:noWrap w:val="0"/>
                  <w:vAlign w:val="center"/>
                </w:tcPr>
                <w:p>
                  <w:pPr>
                    <w:shd w:val="clear"/>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烟尘排放度（mg/m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1304" w:type="dxa"/>
                  <w:tcBorders>
                    <w:tl2br w:val="nil"/>
                    <w:tr2bl w:val="nil"/>
                  </w:tcBorders>
                  <w:noWrap w:val="0"/>
                  <w:vAlign w:val="center"/>
                </w:tcPr>
                <w:p>
                  <w:pPr>
                    <w:shd w:val="clear"/>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SO</w:t>
                  </w:r>
                  <w:r>
                    <w:rPr>
                      <w:rFonts w:hint="default" w:ascii="Times New Roman" w:hAnsi="Times New Roman" w:cs="Times New Roman"/>
                      <w:b/>
                      <w:bCs/>
                      <w:color w:val="000000" w:themeColor="text1"/>
                      <w:sz w:val="21"/>
                      <w:szCs w:val="21"/>
                      <w:highlight w:val="none"/>
                      <w:vertAlign w:val="subscript"/>
                      <w14:textFill>
                        <w14:solidFill>
                          <w14:schemeClr w14:val="tx1"/>
                        </w14:solidFill>
                      </w14:textFill>
                    </w:rPr>
                    <w:t>2</w:t>
                  </w:r>
                  <w:r>
                    <w:rPr>
                      <w:rFonts w:hint="default" w:ascii="Times New Roman" w:hAnsi="Times New Roman" w:cs="Times New Roman"/>
                      <w:b/>
                      <w:bCs/>
                      <w:color w:val="000000" w:themeColor="text1"/>
                      <w:sz w:val="21"/>
                      <w:szCs w:val="21"/>
                      <w:highlight w:val="none"/>
                      <w14:textFill>
                        <w14:solidFill>
                          <w14:schemeClr w14:val="tx1"/>
                        </w14:solidFill>
                      </w14:textFill>
                    </w:rPr>
                    <w:t>排放浓度（mg/m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1465" w:type="dxa"/>
                  <w:tcBorders>
                    <w:tl2br w:val="nil"/>
                    <w:tr2bl w:val="nil"/>
                  </w:tcBorders>
                  <w:noWrap w:val="0"/>
                  <w:vAlign w:val="center"/>
                </w:tcPr>
                <w:p>
                  <w:pPr>
                    <w:shd w:val="clear"/>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烟气黑度（林格曼黑度，级）</w:t>
                  </w:r>
                </w:p>
              </w:tc>
              <w:tc>
                <w:tcPr>
                  <w:tcW w:w="2273" w:type="dxa"/>
                  <w:tcBorders>
                    <w:tl2br w:val="nil"/>
                    <w:tr2bl w:val="nil"/>
                  </w:tcBorders>
                  <w:noWrap w:val="0"/>
                  <w:vAlign w:val="center"/>
                </w:tcPr>
                <w:p>
                  <w:pPr>
                    <w:shd w:val="clear"/>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无组织排放烟（粉）尘最高允许浓度（mg/m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1293" w:type="dxa"/>
                  <w:tcBorders>
                    <w:tl2br w:val="nil"/>
                    <w:tr2bl w:val="nil"/>
                  </w:tcBorders>
                  <w:noWrap w:val="0"/>
                  <w:vAlign w:val="center"/>
                </w:tcPr>
                <w:p>
                  <w:pPr>
                    <w:shd w:val="clear"/>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烟囱最低允许高度（m）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79" w:type="dxa"/>
                  <w:bottom w:w="0" w:type="dxa"/>
                  <w:right w:w="79" w:type="dxa"/>
                </w:tblCellMar>
              </w:tblPrEx>
              <w:trPr>
                <w:trHeight w:val="340" w:hRule="atLeast"/>
                <w:jc w:val="center"/>
              </w:trPr>
              <w:tc>
                <w:tcPr>
                  <w:tcW w:w="1055" w:type="dxa"/>
                  <w:tcBorders>
                    <w:tl2br w:val="nil"/>
                    <w:tr2bl w:val="nil"/>
                  </w:tcBorders>
                  <w:noWrap w:val="0"/>
                  <w:vAlign w:val="center"/>
                </w:tcPr>
                <w:p>
                  <w:pPr>
                    <w:shd w:val="clear"/>
                    <w:spacing w:line="340" w:lineRule="exact"/>
                    <w:jc w:val="cente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干燥炉窑</w:t>
                  </w:r>
                </w:p>
              </w:tc>
              <w:tc>
                <w:tcPr>
                  <w:tcW w:w="1177" w:type="dxa"/>
                  <w:tcBorders>
                    <w:tl2br w:val="nil"/>
                    <w:tr2bl w:val="nil"/>
                  </w:tcBorders>
                  <w:noWrap w:val="0"/>
                  <w:vAlign w:val="center"/>
                </w:tcPr>
                <w:p>
                  <w:pPr>
                    <w:shd w:val="clear"/>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200</w:t>
                  </w:r>
                </w:p>
              </w:tc>
              <w:tc>
                <w:tcPr>
                  <w:tcW w:w="1304" w:type="dxa"/>
                  <w:tcBorders>
                    <w:tl2br w:val="nil"/>
                    <w:tr2bl w:val="nil"/>
                  </w:tcBorders>
                  <w:noWrap w:val="0"/>
                  <w:vAlign w:val="center"/>
                </w:tcPr>
                <w:p>
                  <w:pPr>
                    <w:shd w:val="clear"/>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850</w:t>
                  </w:r>
                </w:p>
              </w:tc>
              <w:tc>
                <w:tcPr>
                  <w:tcW w:w="1465" w:type="dxa"/>
                  <w:tcBorders>
                    <w:tl2br w:val="nil"/>
                    <w:tr2bl w:val="nil"/>
                  </w:tcBorders>
                  <w:noWrap w:val="0"/>
                  <w:vAlign w:val="center"/>
                </w:tcPr>
                <w:p>
                  <w:pPr>
                    <w:shd w:val="clear"/>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2273" w:type="dxa"/>
                  <w:tcBorders>
                    <w:tl2br w:val="nil"/>
                    <w:tr2bl w:val="nil"/>
                  </w:tcBorders>
                  <w:noWrap w:val="0"/>
                  <w:vAlign w:val="center"/>
                </w:tcPr>
                <w:p>
                  <w:pPr>
                    <w:shd w:val="clear"/>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p>
              </w:tc>
              <w:tc>
                <w:tcPr>
                  <w:tcW w:w="1293" w:type="dxa"/>
                  <w:tcBorders>
                    <w:tl2br w:val="nil"/>
                    <w:tr2bl w:val="nil"/>
                  </w:tcBorders>
                  <w:noWrap w:val="0"/>
                  <w:vAlign w:val="center"/>
                </w:tcPr>
                <w:p>
                  <w:pPr>
                    <w:shd w:val="clear"/>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15</w:t>
                  </w:r>
                </w:p>
              </w:tc>
            </w:tr>
          </w:tbl>
          <w:p>
            <w:pPr>
              <w:adjustRightInd w:val="0"/>
              <w:snapToGrid w:val="0"/>
              <w:spacing w:line="360" w:lineRule="auto"/>
              <w:ind w:firstLine="480" w:firstLineChars="200"/>
            </w:pPr>
            <w:r>
              <w:rPr>
                <w:rFonts w:hint="eastAsia"/>
                <w:kern w:val="0"/>
                <w:sz w:val="24"/>
              </w:rPr>
              <w:t>②食堂油烟废气：</w:t>
            </w:r>
            <w:r>
              <w:rPr>
                <w:rFonts w:hint="eastAsia"/>
                <w:sz w:val="24"/>
              </w:rPr>
              <w:t>执行《饮食业油烟排放标准（试行）》（GB 18483-2001）中最高允许排放浓度</w:t>
            </w:r>
            <w:r>
              <w:rPr>
                <w:color w:val="000000"/>
                <w:sz w:val="24"/>
              </w:rPr>
              <w:t>。</w:t>
            </w:r>
            <w:bookmarkStart w:id="6" w:name="_Ref493272849"/>
          </w:p>
          <w:p>
            <w:pPr>
              <w:pStyle w:val="48"/>
              <w:ind w:firstLine="210"/>
            </w:pPr>
            <w:r>
              <w:rPr>
                <w:rFonts w:hint="eastAsia"/>
              </w:rPr>
              <w:t xml:space="preserve">表 </w:t>
            </w:r>
            <w:bookmarkEnd w:id="6"/>
            <w:r>
              <w:rPr>
                <w:rFonts w:hint="eastAsia"/>
              </w:rPr>
              <w:t>3-</w:t>
            </w:r>
            <w:r>
              <w:rPr>
                <w:rFonts w:hint="eastAsia"/>
                <w:lang w:val="en-US" w:eastAsia="zh-CN"/>
              </w:rPr>
              <w:t>8</w:t>
            </w:r>
            <w:r>
              <w:rPr>
                <w:rFonts w:hint="eastAsia"/>
              </w:rPr>
              <w:t xml:space="preserve">  油烟最高允许排放浓度</w:t>
            </w:r>
          </w:p>
          <w:tbl>
            <w:tblPr>
              <w:tblStyle w:val="22"/>
              <w:tblW w:w="77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58"/>
              <w:gridCol w:w="4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3058" w:type="dxa"/>
                  <w:vAlign w:val="center"/>
                </w:tcPr>
                <w:p>
                  <w:pPr>
                    <w:pStyle w:val="54"/>
                    <w:spacing w:line="240" w:lineRule="auto"/>
                    <w:rPr>
                      <w:rFonts w:cs="宋体"/>
                    </w:rPr>
                  </w:pPr>
                  <w:r>
                    <w:rPr>
                      <w:rFonts w:hint="eastAsia" w:cs="宋体"/>
                    </w:rPr>
                    <w:t>污染物名称</w:t>
                  </w:r>
                </w:p>
              </w:tc>
              <w:tc>
                <w:tcPr>
                  <w:tcW w:w="4720" w:type="dxa"/>
                  <w:vAlign w:val="center"/>
                </w:tcPr>
                <w:p>
                  <w:pPr>
                    <w:pStyle w:val="54"/>
                    <w:spacing w:line="240" w:lineRule="auto"/>
                    <w:rPr>
                      <w:rFonts w:cs="宋体"/>
                    </w:rPr>
                  </w:pPr>
                  <w:r>
                    <w:rPr>
                      <w:rFonts w:hint="eastAsia" w:cs="宋体"/>
                    </w:rPr>
                    <w:t>食堂油烟废气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3058" w:type="dxa"/>
                  <w:vAlign w:val="center"/>
                </w:tcPr>
                <w:p>
                  <w:pPr>
                    <w:pStyle w:val="54"/>
                    <w:spacing w:line="240" w:lineRule="auto"/>
                    <w:rPr>
                      <w:rFonts w:cs="宋体"/>
                    </w:rPr>
                  </w:pPr>
                  <w:r>
                    <w:rPr>
                      <w:rFonts w:hint="eastAsia" w:cs="宋体"/>
                    </w:rPr>
                    <w:t>油烟处理效率</w:t>
                  </w:r>
                </w:p>
              </w:tc>
              <w:tc>
                <w:tcPr>
                  <w:tcW w:w="4720" w:type="dxa"/>
                  <w:vAlign w:val="center"/>
                </w:tcPr>
                <w:p>
                  <w:pPr>
                    <w:pStyle w:val="54"/>
                    <w:spacing w:line="240" w:lineRule="auto"/>
                    <w:rPr>
                      <w:rFonts w:cs="宋体"/>
                    </w:rPr>
                  </w:pPr>
                  <w:r>
                    <w:rPr>
                      <w:rFonts w:hint="eastAsia" w:cs="宋体"/>
                    </w:rPr>
                    <w:t>60%（小型）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058" w:type="dxa"/>
                  <w:vAlign w:val="center"/>
                </w:tcPr>
                <w:p>
                  <w:pPr>
                    <w:pStyle w:val="54"/>
                    <w:spacing w:line="240" w:lineRule="auto"/>
                    <w:rPr>
                      <w:rFonts w:cs="宋体"/>
                    </w:rPr>
                  </w:pPr>
                  <w:r>
                    <w:rPr>
                      <w:rFonts w:cs="宋体"/>
                    </w:rPr>
                    <w:t>最高允许排放浓度（mg/m</w:t>
                  </w:r>
                  <w:r>
                    <w:rPr>
                      <w:rFonts w:cs="宋体"/>
                      <w:vertAlign w:val="superscript"/>
                    </w:rPr>
                    <w:t>3</w:t>
                  </w:r>
                  <w:r>
                    <w:rPr>
                      <w:rFonts w:cs="宋体"/>
                    </w:rPr>
                    <w:t>）</w:t>
                  </w:r>
                </w:p>
              </w:tc>
              <w:tc>
                <w:tcPr>
                  <w:tcW w:w="4720" w:type="dxa"/>
                  <w:vAlign w:val="center"/>
                </w:tcPr>
                <w:p>
                  <w:pPr>
                    <w:pStyle w:val="54"/>
                    <w:spacing w:line="240" w:lineRule="auto"/>
                    <w:rPr>
                      <w:rFonts w:cs="宋体"/>
                    </w:rPr>
                  </w:pPr>
                  <w:r>
                    <w:rPr>
                      <w:rFonts w:cs="宋体"/>
                    </w:rPr>
                    <w:t>2.0</w:t>
                  </w:r>
                </w:p>
              </w:tc>
            </w:tr>
          </w:tbl>
          <w:p>
            <w:pPr>
              <w:adjustRightInd w:val="0"/>
              <w:snapToGrid w:val="0"/>
              <w:spacing w:line="360" w:lineRule="auto"/>
              <w:ind w:firstLine="480" w:firstLineChars="200"/>
              <w:rPr>
                <w:kern w:val="0"/>
                <w:sz w:val="24"/>
              </w:rPr>
            </w:pPr>
            <w:r>
              <w:rPr>
                <w:rFonts w:hint="eastAsia"/>
                <w:kern w:val="0"/>
                <w:sz w:val="24"/>
              </w:rPr>
              <w:t>④</w:t>
            </w:r>
            <w:r>
              <w:rPr>
                <w:rFonts w:hint="eastAsia"/>
                <w:kern w:val="0"/>
                <w:sz w:val="24"/>
                <w:lang w:eastAsia="zh-CN"/>
              </w:rPr>
              <w:t>颗粒物</w:t>
            </w:r>
            <w:r>
              <w:rPr>
                <w:rFonts w:hint="eastAsia"/>
                <w:kern w:val="0"/>
                <w:sz w:val="24"/>
                <w:lang w:val="en-US" w:eastAsia="zh-CN"/>
              </w:rPr>
              <w:t>和NOx</w:t>
            </w:r>
            <w:r>
              <w:rPr>
                <w:rFonts w:hint="eastAsia"/>
                <w:kern w:val="0"/>
                <w:sz w:val="24"/>
              </w:rPr>
              <w:t>：</w:t>
            </w:r>
            <w:r>
              <w:rPr>
                <w:rFonts w:hint="eastAsia"/>
                <w:kern w:val="0"/>
                <w:sz w:val="24"/>
                <w:lang w:val="en-US" w:eastAsia="zh-CN"/>
              </w:rPr>
              <w:t>执行</w:t>
            </w:r>
            <w:r>
              <w:rPr>
                <w:rFonts w:hint="default" w:ascii="Times New Roman" w:hAnsi="Times New Roman" w:cs="Times New Roman"/>
                <w:color w:val="000000" w:themeColor="text1"/>
                <w:sz w:val="24"/>
                <w:highlight w:val="none"/>
                <w14:textFill>
                  <w14:solidFill>
                    <w14:schemeClr w14:val="tx1"/>
                  </w14:solidFill>
                </w14:textFill>
              </w:rPr>
              <w:t>《大气污染物综合排放标准》（GB</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16297-1996）表2中限值要求</w:t>
            </w:r>
            <w:r>
              <w:rPr>
                <w:rFonts w:hint="eastAsia"/>
                <w:kern w:val="0"/>
                <w:sz w:val="24"/>
              </w:rPr>
              <w:t>。</w:t>
            </w:r>
          </w:p>
          <w:p>
            <w:pPr>
              <w:adjustRightInd w:val="0"/>
              <w:snapToGrid w:val="0"/>
              <w:ind w:firstLine="422" w:firstLineChars="200"/>
              <w:jc w:val="center"/>
              <w:rPr>
                <w:kern w:val="0"/>
                <w:sz w:val="24"/>
              </w:rPr>
            </w:pPr>
            <w:r>
              <w:rPr>
                <w:rFonts w:hint="eastAsia"/>
                <w:b/>
                <w:bCs/>
                <w:kern w:val="0"/>
                <w:szCs w:val="21"/>
              </w:rPr>
              <w:t>表3-</w:t>
            </w:r>
            <w:r>
              <w:rPr>
                <w:rFonts w:hint="eastAsia"/>
                <w:b/>
                <w:bCs/>
                <w:kern w:val="0"/>
                <w:szCs w:val="21"/>
                <w:lang w:val="en-US" w:eastAsia="zh-CN"/>
              </w:rPr>
              <w:t>9</w:t>
            </w:r>
            <w:r>
              <w:rPr>
                <w:rFonts w:hint="eastAsia"/>
                <w:b/>
                <w:bCs/>
                <w:kern w:val="0"/>
                <w:szCs w:val="21"/>
              </w:rPr>
              <w:t xml:space="preserve">  《大气污染物综合排放标准》（GB 16297-1996）</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90"/>
              <w:gridCol w:w="1588"/>
              <w:gridCol w:w="1714"/>
              <w:gridCol w:w="1204"/>
              <w:gridCol w:w="1060"/>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769" w:type="pct"/>
                  <w:vMerge w:val="restar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污染物</w:t>
                  </w:r>
                </w:p>
              </w:tc>
              <w:tc>
                <w:tcPr>
                  <w:tcW w:w="947" w:type="pct"/>
                  <w:vMerge w:val="restar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最高允许排放</w:t>
                  </w:r>
                </w:p>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浓度（mg/m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1740" w:type="pct"/>
                  <w:gridSpan w:val="2"/>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最高允许排放速率（kg/h）</w:t>
                  </w:r>
                </w:p>
              </w:tc>
              <w:tc>
                <w:tcPr>
                  <w:tcW w:w="1541" w:type="pct"/>
                  <w:gridSpan w:val="2"/>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无组织排放监控浓度限值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9" w:type="pct"/>
                  <w:vMerge w:val="continue"/>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947" w:type="pct"/>
                  <w:vMerge w:val="continue"/>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1022"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排气筒高度（m）</w:t>
                  </w:r>
                </w:p>
              </w:tc>
              <w:tc>
                <w:tcPr>
                  <w:tcW w:w="718"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二级</w:t>
                  </w:r>
                </w:p>
              </w:tc>
              <w:tc>
                <w:tcPr>
                  <w:tcW w:w="632"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监控点</w:t>
                  </w:r>
                </w:p>
              </w:tc>
              <w:tc>
                <w:tcPr>
                  <w:tcW w:w="909"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浓度（mg/m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9"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颗粒物</w:t>
                  </w:r>
                </w:p>
              </w:tc>
              <w:tc>
                <w:tcPr>
                  <w:tcW w:w="947"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120</w:t>
                  </w:r>
                </w:p>
              </w:tc>
              <w:tc>
                <w:tcPr>
                  <w:tcW w:w="1022"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15</w:t>
                  </w:r>
                </w:p>
              </w:tc>
              <w:tc>
                <w:tcPr>
                  <w:tcW w:w="718"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3.5</w:t>
                  </w:r>
                </w:p>
              </w:tc>
              <w:tc>
                <w:tcPr>
                  <w:tcW w:w="632" w:type="pct"/>
                  <w:vMerge w:val="restar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周界外浓度最高点</w:t>
                  </w:r>
                </w:p>
              </w:tc>
              <w:tc>
                <w:tcPr>
                  <w:tcW w:w="909"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9" w:type="pct"/>
                  <w:tcBorders>
                    <w:tl2br w:val="nil"/>
                    <w:tr2bl w:val="nil"/>
                  </w:tcBorders>
                  <w:shd w:val="clear" w:color="auto" w:fill="auto"/>
                  <w:noWrap w:val="0"/>
                  <w:vAlign w:val="center"/>
                </w:tcPr>
                <w:p>
                  <w:pPr>
                    <w:shd w:val="clea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NO</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X</w:t>
                  </w:r>
                </w:p>
              </w:tc>
              <w:tc>
                <w:tcPr>
                  <w:tcW w:w="947" w:type="pct"/>
                  <w:tcBorders>
                    <w:tl2br w:val="nil"/>
                    <w:tr2bl w:val="nil"/>
                  </w:tcBorders>
                  <w:shd w:val="clear" w:color="auto" w:fill="auto"/>
                  <w:noWrap w:val="0"/>
                  <w:vAlign w:val="center"/>
                </w:tcPr>
                <w:p>
                  <w:pPr>
                    <w:pStyle w:val="20"/>
                    <w:shd w:val="clear"/>
                    <w:adjustRightInd w:val="0"/>
                    <w:snapToGrid w:val="0"/>
                    <w:spacing w:before="0"/>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bidi="ar"/>
                      <w14:textFill>
                        <w14:solidFill>
                          <w14:schemeClr w14:val="tx1"/>
                        </w14:solidFill>
                      </w14:textFill>
                    </w:rPr>
                    <w:t>240</w:t>
                  </w:r>
                </w:p>
              </w:tc>
              <w:tc>
                <w:tcPr>
                  <w:tcW w:w="1022" w:type="pct"/>
                  <w:tcBorders>
                    <w:tl2br w:val="nil"/>
                    <w:tr2bl w:val="nil"/>
                  </w:tcBorders>
                  <w:shd w:val="clear" w:color="auto" w:fill="auto"/>
                  <w:noWrap w:val="0"/>
                  <w:vAlign w:val="center"/>
                </w:tcPr>
                <w:p>
                  <w:pPr>
                    <w:pStyle w:val="20"/>
                    <w:shd w:val="clear"/>
                    <w:adjustRightInd w:val="0"/>
                    <w:snapToGrid w:val="0"/>
                    <w:spacing w:before="0"/>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bidi="ar"/>
                      <w14:textFill>
                        <w14:solidFill>
                          <w14:schemeClr w14:val="tx1"/>
                        </w14:solidFill>
                      </w14:textFill>
                    </w:rPr>
                    <w:t>15</w:t>
                  </w:r>
                </w:p>
              </w:tc>
              <w:tc>
                <w:tcPr>
                  <w:tcW w:w="718" w:type="pct"/>
                  <w:tcBorders>
                    <w:tl2br w:val="nil"/>
                    <w:tr2bl w:val="nil"/>
                  </w:tcBorders>
                  <w:shd w:val="clear" w:color="auto" w:fill="auto"/>
                  <w:noWrap w:val="0"/>
                  <w:vAlign w:val="center"/>
                </w:tcPr>
                <w:p>
                  <w:pPr>
                    <w:pStyle w:val="20"/>
                    <w:shd w:val="clear"/>
                    <w:adjustRightInd w:val="0"/>
                    <w:snapToGrid w:val="0"/>
                    <w:spacing w:before="0"/>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bidi="ar"/>
                      <w14:textFill>
                        <w14:solidFill>
                          <w14:schemeClr w14:val="tx1"/>
                        </w14:solidFill>
                      </w14:textFill>
                    </w:rPr>
                    <w:t>0.77</w:t>
                  </w:r>
                </w:p>
              </w:tc>
              <w:tc>
                <w:tcPr>
                  <w:tcW w:w="632" w:type="pct"/>
                  <w:vMerge w:val="continue"/>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909" w:type="pct"/>
                  <w:tcBorders>
                    <w:tl2br w:val="nil"/>
                    <w:tr2bl w:val="nil"/>
                  </w:tcBorders>
                  <w:shd w:val="clear" w:color="auto" w:fill="auto"/>
                  <w:noWrap w:val="0"/>
                  <w:vAlign w:val="center"/>
                </w:tcPr>
                <w:p>
                  <w:pPr>
                    <w:shd w:val="clear"/>
                    <w:snapToGrid w:val="0"/>
                    <w:spacing w:line="34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0.12</w:t>
                  </w:r>
                </w:p>
              </w:tc>
            </w:tr>
          </w:tbl>
          <w:p>
            <w:pPr>
              <w:adjustRightInd w:val="0"/>
              <w:snapToGrid w:val="0"/>
              <w:spacing w:line="360" w:lineRule="auto"/>
              <w:rPr>
                <w:b/>
                <w:bCs/>
                <w:kern w:val="0"/>
                <w:sz w:val="24"/>
              </w:rPr>
            </w:pPr>
            <w:r>
              <w:rPr>
                <w:rFonts w:hint="eastAsia"/>
                <w:b/>
                <w:bCs/>
                <w:kern w:val="0"/>
                <w:szCs w:val="21"/>
              </w:rPr>
              <w:t>注：本项目位于环境空气质量二类区内，执行二级标准。</w:t>
            </w:r>
          </w:p>
          <w:p>
            <w:pPr>
              <w:adjustRightInd w:val="0"/>
              <w:snapToGrid w:val="0"/>
              <w:spacing w:line="360" w:lineRule="auto"/>
              <w:rPr>
                <w:kern w:val="0"/>
                <w:sz w:val="24"/>
              </w:rPr>
            </w:pPr>
            <w:r>
              <w:rPr>
                <w:rFonts w:hint="eastAsia"/>
                <w:b/>
                <w:bCs/>
                <w:kern w:val="0"/>
                <w:sz w:val="24"/>
              </w:rPr>
              <w:t>2、废水</w:t>
            </w:r>
          </w:p>
          <w:p>
            <w:pPr>
              <w:adjustRightInd w:val="0"/>
              <w:snapToGrid w:val="0"/>
              <w:spacing w:line="360" w:lineRule="auto"/>
              <w:ind w:firstLine="480" w:firstLineChars="200"/>
              <w:rPr>
                <w:rFonts w:hint="default" w:eastAsia="宋体"/>
                <w:kern w:val="0"/>
                <w:sz w:val="24"/>
                <w:u w:val="none"/>
                <w:lang w:val="en-US" w:eastAsia="zh-CN"/>
              </w:rPr>
            </w:pPr>
            <w:r>
              <w:rPr>
                <w:rFonts w:hint="eastAsia"/>
                <w:kern w:val="0"/>
                <w:sz w:val="24"/>
                <w:u w:val="none"/>
              </w:rPr>
              <w:t>本项目</w:t>
            </w:r>
            <w:r>
              <w:rPr>
                <w:rFonts w:hint="eastAsia"/>
                <w:kern w:val="0"/>
                <w:sz w:val="24"/>
                <w:u w:val="none"/>
                <w:lang w:val="en-US" w:eastAsia="zh-CN"/>
              </w:rPr>
              <w:t>生活污水用作农肥，不外排。无相关执行标准。</w:t>
            </w:r>
          </w:p>
          <w:p>
            <w:pPr>
              <w:adjustRightInd w:val="0"/>
              <w:snapToGrid w:val="0"/>
              <w:spacing w:line="360" w:lineRule="auto"/>
              <w:rPr>
                <w:kern w:val="0"/>
                <w:sz w:val="24"/>
              </w:rPr>
            </w:pPr>
            <w:r>
              <w:rPr>
                <w:rFonts w:hint="eastAsia"/>
                <w:b/>
                <w:bCs/>
                <w:kern w:val="0"/>
                <w:sz w:val="24"/>
              </w:rPr>
              <w:t>3、噪声</w:t>
            </w:r>
          </w:p>
          <w:p>
            <w:pPr>
              <w:adjustRightInd w:val="0"/>
              <w:snapToGrid w:val="0"/>
              <w:spacing w:line="360" w:lineRule="auto"/>
              <w:ind w:firstLine="480" w:firstLineChars="200"/>
              <w:rPr>
                <w:kern w:val="0"/>
                <w:sz w:val="24"/>
              </w:rPr>
            </w:pPr>
            <w:r>
              <w:rPr>
                <w:rFonts w:hint="eastAsia" w:hAnsi="宋体"/>
                <w:sz w:val="24"/>
              </w:rPr>
              <w:t>运营期厂界噪声执行《工业企业厂界环境噪声排放标准》（</w:t>
            </w:r>
            <w:r>
              <w:rPr>
                <w:sz w:val="24"/>
              </w:rPr>
              <w:t>GB12348-2008</w:t>
            </w:r>
            <w:r>
              <w:rPr>
                <w:rFonts w:hint="eastAsia" w:hAnsi="宋体"/>
                <w:sz w:val="24"/>
              </w:rPr>
              <w:t>）中的2类标准。</w:t>
            </w:r>
          </w:p>
          <w:p>
            <w:pPr>
              <w:pStyle w:val="55"/>
              <w:ind w:firstLine="396" w:firstLineChars="188"/>
              <w:jc w:val="center"/>
              <w:rPr>
                <w:rFonts w:eastAsia="宋体"/>
                <w:b/>
                <w:bCs/>
                <w:szCs w:val="21"/>
              </w:rPr>
            </w:pPr>
            <w:r>
              <w:rPr>
                <w:rFonts w:eastAsia="宋体"/>
                <w:b/>
                <w:szCs w:val="21"/>
              </w:rPr>
              <w:t xml:space="preserve">表 </w:t>
            </w:r>
            <w:r>
              <w:rPr>
                <w:rFonts w:hint="eastAsia" w:eastAsia="宋体"/>
                <w:b/>
                <w:szCs w:val="21"/>
              </w:rPr>
              <w:t>3-</w:t>
            </w:r>
            <w:r>
              <w:rPr>
                <w:rFonts w:hint="eastAsia" w:eastAsia="宋体"/>
                <w:b/>
                <w:szCs w:val="21"/>
                <w:lang w:val="en-US" w:eastAsia="zh-CN"/>
              </w:rPr>
              <w:t>10</w:t>
            </w:r>
            <w:r>
              <w:rPr>
                <w:rFonts w:eastAsia="宋体"/>
                <w:b/>
                <w:szCs w:val="21"/>
              </w:rPr>
              <w:t xml:space="preserve">  工业企业厂界环境噪声</w:t>
            </w:r>
            <w:r>
              <w:rPr>
                <w:rFonts w:eastAsia="宋体"/>
                <w:b/>
                <w:bCs/>
                <w:szCs w:val="21"/>
              </w:rPr>
              <w:t>排放标准  单位：dB（A）</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2362"/>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7" w:type="pct"/>
                  <w:vAlign w:val="center"/>
                </w:tcPr>
                <w:p>
                  <w:pPr>
                    <w:jc w:val="center"/>
                    <w:rPr>
                      <w:rFonts w:hint="default" w:eastAsia="宋体"/>
                      <w:bCs/>
                      <w:szCs w:val="21"/>
                      <w:lang w:val="en-US" w:eastAsia="zh-CN"/>
                    </w:rPr>
                  </w:pPr>
                  <w:r>
                    <w:rPr>
                      <w:rFonts w:hint="eastAsia"/>
                      <w:bCs/>
                      <w:szCs w:val="21"/>
                      <w:lang w:val="en-US" w:eastAsia="zh-CN"/>
                    </w:rPr>
                    <w:t>标准等级</w:t>
                  </w:r>
                </w:p>
              </w:tc>
              <w:tc>
                <w:tcPr>
                  <w:tcW w:w="1409" w:type="pct"/>
                  <w:vAlign w:val="center"/>
                </w:tcPr>
                <w:p>
                  <w:pPr>
                    <w:jc w:val="center"/>
                    <w:rPr>
                      <w:bCs/>
                      <w:szCs w:val="21"/>
                    </w:rPr>
                  </w:pPr>
                  <w:r>
                    <w:rPr>
                      <w:bCs/>
                      <w:szCs w:val="21"/>
                    </w:rPr>
                    <w:t>昼间[d</w:t>
                  </w:r>
                  <w:r>
                    <w:rPr>
                      <w:rFonts w:hint="eastAsia"/>
                      <w:bCs/>
                      <w:szCs w:val="21"/>
                    </w:rPr>
                    <w:t>B</w:t>
                  </w:r>
                  <w:r>
                    <w:rPr>
                      <w:bCs/>
                      <w:szCs w:val="21"/>
                    </w:rPr>
                    <w:t>(A)]</w:t>
                  </w:r>
                </w:p>
              </w:tc>
              <w:tc>
                <w:tcPr>
                  <w:tcW w:w="1173" w:type="pct"/>
                  <w:vAlign w:val="center"/>
                </w:tcPr>
                <w:p>
                  <w:pPr>
                    <w:jc w:val="center"/>
                    <w:rPr>
                      <w:bCs/>
                      <w:szCs w:val="21"/>
                    </w:rPr>
                  </w:pPr>
                  <w:r>
                    <w:rPr>
                      <w:bCs/>
                      <w:szCs w:val="21"/>
                    </w:rPr>
                    <w:t>夜间[d</w:t>
                  </w:r>
                  <w:r>
                    <w:rPr>
                      <w:rFonts w:hint="eastAsia"/>
                      <w:bCs/>
                      <w:szCs w:val="21"/>
                    </w:rPr>
                    <w:t>B</w:t>
                  </w:r>
                  <w:r>
                    <w:rPr>
                      <w:bCs/>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417" w:type="pct"/>
                  <w:vAlign w:val="center"/>
                </w:tcPr>
                <w:p>
                  <w:pPr>
                    <w:jc w:val="center"/>
                    <w:rPr>
                      <w:bCs/>
                      <w:szCs w:val="21"/>
                    </w:rPr>
                  </w:pPr>
                  <w:r>
                    <w:rPr>
                      <w:rFonts w:hint="eastAsia"/>
                      <w:szCs w:val="21"/>
                    </w:rPr>
                    <w:t>（</w:t>
                  </w:r>
                  <w:r>
                    <w:rPr>
                      <w:szCs w:val="21"/>
                    </w:rPr>
                    <w:t>GB 12348-2008</w:t>
                  </w:r>
                  <w:r>
                    <w:rPr>
                      <w:rFonts w:hint="eastAsia"/>
                      <w:szCs w:val="21"/>
                    </w:rPr>
                    <w:t>）2</w:t>
                  </w:r>
                  <w:r>
                    <w:rPr>
                      <w:szCs w:val="21"/>
                    </w:rPr>
                    <w:t>类标准</w:t>
                  </w:r>
                </w:p>
              </w:tc>
              <w:tc>
                <w:tcPr>
                  <w:tcW w:w="1409" w:type="pct"/>
                  <w:vAlign w:val="center"/>
                </w:tcPr>
                <w:p>
                  <w:pPr>
                    <w:jc w:val="center"/>
                    <w:rPr>
                      <w:szCs w:val="21"/>
                    </w:rPr>
                  </w:pPr>
                  <w:r>
                    <w:rPr>
                      <w:szCs w:val="21"/>
                    </w:rPr>
                    <w:t>6</w:t>
                  </w:r>
                  <w:r>
                    <w:rPr>
                      <w:rFonts w:hint="eastAsia"/>
                      <w:szCs w:val="21"/>
                    </w:rPr>
                    <w:t>0</w:t>
                  </w:r>
                </w:p>
              </w:tc>
              <w:tc>
                <w:tcPr>
                  <w:tcW w:w="1173" w:type="pct"/>
                  <w:vAlign w:val="center"/>
                </w:tcPr>
                <w:p>
                  <w:pPr>
                    <w:jc w:val="center"/>
                    <w:rPr>
                      <w:szCs w:val="21"/>
                    </w:rPr>
                  </w:pPr>
                  <w:r>
                    <w:rPr>
                      <w:szCs w:val="21"/>
                    </w:rPr>
                    <w:t>5</w:t>
                  </w:r>
                  <w:r>
                    <w:rPr>
                      <w:rFonts w:hint="eastAsia"/>
                      <w:szCs w:val="21"/>
                    </w:rPr>
                    <w:t>0</w:t>
                  </w:r>
                </w:p>
              </w:tc>
            </w:tr>
          </w:tbl>
          <w:p>
            <w:pPr>
              <w:adjustRightInd w:val="0"/>
              <w:snapToGrid w:val="0"/>
              <w:spacing w:line="360" w:lineRule="auto"/>
              <w:rPr>
                <w:kern w:val="0"/>
                <w:sz w:val="24"/>
              </w:rPr>
            </w:pPr>
            <w:r>
              <w:rPr>
                <w:rFonts w:hint="eastAsia"/>
                <w:b/>
                <w:bCs/>
                <w:kern w:val="0"/>
                <w:sz w:val="24"/>
              </w:rPr>
              <w:t>4、固废</w:t>
            </w:r>
          </w:p>
          <w:p>
            <w:pPr>
              <w:adjustRightInd w:val="0"/>
              <w:snapToGrid w:val="0"/>
              <w:spacing w:line="360" w:lineRule="auto"/>
              <w:ind w:firstLine="480" w:firstLineChars="200"/>
              <w:rPr>
                <w:kern w:val="0"/>
                <w:sz w:val="24"/>
              </w:rPr>
            </w:pPr>
            <w:r>
              <w:rPr>
                <w:rFonts w:hint="eastAsia"/>
                <w:kern w:val="0"/>
                <w:sz w:val="24"/>
              </w:rPr>
              <w:t>一般</w:t>
            </w:r>
            <w:r>
              <w:rPr>
                <w:rFonts w:hint="eastAsia"/>
                <w:kern w:val="0"/>
                <w:sz w:val="24"/>
                <w:lang w:val="en-US" w:eastAsia="zh-CN"/>
              </w:rPr>
              <w:t>工业</w:t>
            </w:r>
            <w:r>
              <w:rPr>
                <w:rFonts w:hint="eastAsia"/>
                <w:kern w:val="0"/>
                <w:sz w:val="24"/>
              </w:rPr>
              <w:t>固废执行《一般工业固体废物贮存和填埋污染控制标准》（GB18599-2020）；生活垃圾</w:t>
            </w:r>
            <w:r>
              <w:rPr>
                <w:rFonts w:hint="eastAsia"/>
                <w:kern w:val="0"/>
                <w:sz w:val="24"/>
                <w:lang w:eastAsia="zh-CN"/>
              </w:rPr>
              <w:t>运至衡山县垃圾中转站进行妥善处置；</w:t>
            </w:r>
            <w:r>
              <w:rPr>
                <w:rFonts w:hint="eastAsia"/>
                <w:kern w:val="0"/>
                <w:sz w:val="24"/>
                <w:lang w:val="en-US" w:eastAsia="zh-CN"/>
              </w:rPr>
              <w:t>危险废物执行《危险废物贮存污染控制标准》（GB18597-2001）及其修改清单</w:t>
            </w:r>
            <w:r>
              <w:rPr>
                <w:rFonts w:hint="eastAsia"/>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 w:val="24"/>
              </w:rPr>
            </w:pPr>
            <w:r>
              <w:rPr>
                <w:kern w:val="0"/>
                <w:sz w:val="24"/>
              </w:rPr>
              <w:t>指标</w:t>
            </w:r>
          </w:p>
        </w:tc>
        <w:tc>
          <w:tcPr>
            <w:tcW w:w="8190" w:type="dxa"/>
            <w:vAlign w:val="center"/>
          </w:tcPr>
          <w:p>
            <w:pPr>
              <w:adjustRightInd w:val="0"/>
              <w:snapToGrid w:val="0"/>
              <w:spacing w:line="360" w:lineRule="auto"/>
              <w:ind w:firstLine="480" w:firstLineChars="200"/>
              <w:rPr>
                <w:kern w:val="0"/>
                <w:sz w:val="24"/>
              </w:rPr>
            </w:pPr>
            <w:r>
              <w:rPr>
                <w:kern w:val="0"/>
                <w:sz w:val="24"/>
              </w:rPr>
              <w:t>根据本项目污染物分析，建议本项目污染物总量控制指标如下：</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水污染物：</w:t>
            </w:r>
            <w:r>
              <w:rPr>
                <w:rFonts w:hint="eastAsia"/>
                <w:color w:val="000000" w:themeColor="text1"/>
                <w:kern w:val="0"/>
                <w:sz w:val="24"/>
                <w:lang w:val="en-US" w:eastAsia="zh-CN"/>
                <w14:textFill>
                  <w14:solidFill>
                    <w14:schemeClr w14:val="tx1"/>
                  </w14:solidFill>
                </w14:textFill>
              </w:rPr>
              <w:t>生活污水不外排，无生产废水产生及排放，无相关指标</w:t>
            </w:r>
            <w:r>
              <w:rPr>
                <w:color w:val="000000" w:themeColor="text1"/>
                <w:kern w:val="0"/>
                <w:sz w:val="24"/>
                <w14:textFill>
                  <w14:solidFill>
                    <w14:schemeClr w14:val="tx1"/>
                  </w14:solidFill>
                </w14:textFill>
              </w:rPr>
              <w:t>。</w:t>
            </w:r>
          </w:p>
          <w:p>
            <w:pPr>
              <w:adjustRightInd w:val="0"/>
              <w:snapToGrid w:val="0"/>
              <w:spacing w:line="360" w:lineRule="auto"/>
              <w:ind w:firstLine="480" w:firstLineChars="200"/>
            </w:pPr>
            <w:r>
              <w:rPr>
                <w:color w:val="000000" w:themeColor="text1"/>
                <w:kern w:val="0"/>
                <w:sz w:val="24"/>
                <w14:textFill>
                  <w14:solidFill>
                    <w14:schemeClr w14:val="tx1"/>
                  </w14:solidFill>
                </w14:textFill>
              </w:rPr>
              <w:t>大气污染物：</w:t>
            </w:r>
            <w:r>
              <w:rPr>
                <w:rFonts w:hint="eastAsia"/>
                <w:color w:val="000000" w:themeColor="text1"/>
                <w:kern w:val="0"/>
                <w:sz w:val="24"/>
                <w14:textFill>
                  <w14:solidFill>
                    <w14:schemeClr w14:val="tx1"/>
                  </w14:solidFill>
                </w14:textFill>
              </w:rPr>
              <w:t>SO</w:t>
            </w:r>
            <w:r>
              <w:rPr>
                <w:rFonts w:hint="eastAsia"/>
                <w:color w:val="000000" w:themeColor="text1"/>
                <w:kern w:val="0"/>
                <w:sz w:val="24"/>
                <w:vertAlign w:val="subscript"/>
                <w14:textFill>
                  <w14:solidFill>
                    <w14:schemeClr w14:val="tx1"/>
                  </w14:solidFill>
                </w14:textFill>
              </w:rPr>
              <w:t>2</w:t>
            </w:r>
            <w:r>
              <w:rPr>
                <w:rFonts w:hint="eastAsia"/>
                <w:color w:val="000000" w:themeColor="text1"/>
                <w:kern w:val="0"/>
                <w:sz w:val="24"/>
                <w14:textFill>
                  <w14:solidFill>
                    <w14:schemeClr w14:val="tx1"/>
                  </w14:solidFill>
                </w14:textFill>
              </w:rPr>
              <w:t>：0.</w:t>
            </w:r>
            <w:r>
              <w:rPr>
                <w:rFonts w:hint="eastAsia"/>
                <w:color w:val="000000" w:themeColor="text1"/>
                <w:kern w:val="0"/>
                <w:sz w:val="24"/>
                <w:lang w:val="en-US" w:eastAsia="zh-CN"/>
                <w14:textFill>
                  <w14:solidFill>
                    <w14:schemeClr w14:val="tx1"/>
                  </w14:solidFill>
                </w14:textFill>
              </w:rPr>
              <w:t>033</w:t>
            </w:r>
            <w:r>
              <w:rPr>
                <w:rFonts w:hint="eastAsia"/>
                <w:color w:val="000000" w:themeColor="text1"/>
                <w:kern w:val="0"/>
                <w:sz w:val="24"/>
                <w14:textFill>
                  <w14:solidFill>
                    <w14:schemeClr w14:val="tx1"/>
                  </w14:solidFill>
                </w14:textFill>
              </w:rPr>
              <w:t>t/a、NOx：</w:t>
            </w:r>
            <w:r>
              <w:rPr>
                <w:rFonts w:hint="eastAsia"/>
                <w:color w:val="000000" w:themeColor="text1"/>
                <w:kern w:val="0"/>
                <w:sz w:val="24"/>
                <w:lang w:val="en-US" w:eastAsia="zh-CN"/>
                <w14:textFill>
                  <w14:solidFill>
                    <w14:schemeClr w14:val="tx1"/>
                  </w14:solidFill>
                </w14:textFill>
              </w:rPr>
              <w:t>1.963</w:t>
            </w:r>
            <w:r>
              <w:rPr>
                <w:rFonts w:hint="eastAsia"/>
                <w:color w:val="000000" w:themeColor="text1"/>
                <w:kern w:val="0"/>
                <w:sz w:val="24"/>
                <w14:textFill>
                  <w14:solidFill>
                    <w14:schemeClr w14:val="tx1"/>
                  </w14:solidFill>
                </w14:textFill>
              </w:rPr>
              <w:t>t/a</w:t>
            </w:r>
            <w:r>
              <w:rPr>
                <w:color w:val="000000" w:themeColor="text1"/>
                <w:kern w:val="0"/>
                <w:sz w:val="24"/>
                <w14:textFill>
                  <w14:solidFill>
                    <w14:schemeClr w14:val="tx1"/>
                  </w14:solidFill>
                </w14:textFill>
              </w:rPr>
              <w:t>。</w:t>
            </w:r>
          </w:p>
          <w:p>
            <w:pPr>
              <w:adjustRightInd w:val="0"/>
              <w:snapToGrid w:val="0"/>
              <w:spacing w:line="360" w:lineRule="auto"/>
              <w:ind w:firstLine="480" w:firstLineChars="200"/>
              <w:rPr>
                <w:kern w:val="0"/>
                <w:sz w:val="24"/>
              </w:rPr>
            </w:pPr>
            <w:r>
              <w:rPr>
                <w:rFonts w:hint="eastAsia"/>
                <w:sz w:val="24"/>
              </w:rPr>
              <w:t>总量指标从衡阳市排污权交易中心购买</w:t>
            </w:r>
            <w:r>
              <w:rPr>
                <w:rStyle w:val="26"/>
                <w:rFonts w:hint="eastAsia"/>
                <w:kern w:val="0"/>
                <w:sz w:val="24"/>
              </w:rPr>
              <w:t>。</w:t>
            </w:r>
          </w:p>
          <w:p>
            <w:pPr>
              <w:adjustRightInd w:val="0"/>
              <w:snapToGrid w:val="0"/>
              <w:spacing w:line="360" w:lineRule="auto"/>
              <w:ind w:firstLine="480" w:firstLineChars="200"/>
              <w:rPr>
                <w:kern w:val="0"/>
                <w:sz w:val="24"/>
              </w:rPr>
            </w:pPr>
          </w:p>
        </w:tc>
      </w:tr>
    </w:tbl>
    <w:p>
      <w:pPr>
        <w:pStyle w:val="20"/>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7" w:name="_Toc31524"/>
      <w:r>
        <w:rPr>
          <w:rFonts w:hint="eastAsia" w:ascii="黑体" w:hAnsi="黑体" w:eastAsia="黑体"/>
          <w:snapToGrid w:val="0"/>
          <w:sz w:val="30"/>
          <w:szCs w:val="30"/>
        </w:rPr>
        <w:t>四、主要环境影响和保护措施</w:t>
      </w:r>
      <w:bookmarkEnd w:id="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8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20"/>
              <w:adjustRightInd w:val="0"/>
              <w:snapToGrid w:val="0"/>
              <w:spacing w:before="0" w:beforeAutospacing="0" w:after="0" w:afterAutospacing="0"/>
              <w:jc w:val="center"/>
              <w:rPr>
                <w:rFonts w:ascii="Times New Roman" w:hAnsi="Times New Roman"/>
                <w:kern w:val="2"/>
                <w:szCs w:val="24"/>
                <w:lang w:val="en-US" w:eastAsia="zh-CN"/>
              </w:rPr>
            </w:pPr>
            <w:r>
              <w:rPr>
                <w:rFonts w:ascii="Times New Roman" w:hAnsi="Times New Roman"/>
                <w:kern w:val="2"/>
                <w:szCs w:val="24"/>
                <w:lang w:val="en-US" w:eastAsia="zh-CN"/>
              </w:rPr>
              <w:t>施工</w:t>
            </w:r>
          </w:p>
          <w:p>
            <w:pPr>
              <w:pStyle w:val="20"/>
              <w:adjustRightInd w:val="0"/>
              <w:snapToGrid w:val="0"/>
              <w:spacing w:before="0" w:beforeAutospacing="0" w:after="0" w:afterAutospacing="0"/>
              <w:jc w:val="center"/>
              <w:rPr>
                <w:rFonts w:ascii="Times New Roman" w:hAnsi="Times New Roman"/>
                <w:kern w:val="2"/>
                <w:szCs w:val="24"/>
                <w:lang w:val="en-US" w:eastAsia="zh-CN"/>
              </w:rPr>
            </w:pPr>
            <w:r>
              <w:rPr>
                <w:rFonts w:ascii="Times New Roman" w:hAnsi="Times New Roman"/>
                <w:kern w:val="2"/>
                <w:szCs w:val="24"/>
                <w:lang w:val="en-US" w:eastAsia="zh-CN"/>
              </w:rPr>
              <w:t>期环</w:t>
            </w:r>
          </w:p>
          <w:p>
            <w:pPr>
              <w:pStyle w:val="20"/>
              <w:adjustRightInd w:val="0"/>
              <w:snapToGrid w:val="0"/>
              <w:spacing w:before="0" w:beforeAutospacing="0" w:after="0" w:afterAutospacing="0"/>
              <w:jc w:val="center"/>
              <w:rPr>
                <w:rFonts w:ascii="Times New Roman" w:hAnsi="Times New Roman"/>
                <w:kern w:val="2"/>
                <w:szCs w:val="24"/>
                <w:lang w:val="en-US" w:eastAsia="zh-CN"/>
              </w:rPr>
            </w:pPr>
            <w:r>
              <w:rPr>
                <w:rFonts w:ascii="Times New Roman" w:hAnsi="Times New Roman"/>
                <w:kern w:val="2"/>
                <w:szCs w:val="24"/>
                <w:lang w:val="en-US" w:eastAsia="zh-CN"/>
              </w:rPr>
              <w:t>境保</w:t>
            </w:r>
          </w:p>
          <w:p>
            <w:pPr>
              <w:pStyle w:val="20"/>
              <w:adjustRightInd w:val="0"/>
              <w:snapToGrid w:val="0"/>
              <w:spacing w:before="0" w:beforeAutospacing="0" w:after="0" w:afterAutospacing="0"/>
              <w:jc w:val="center"/>
              <w:rPr>
                <w:rFonts w:ascii="Times New Roman" w:hAnsi="Times New Roman"/>
                <w:kern w:val="2"/>
                <w:szCs w:val="24"/>
                <w:lang w:val="en-US" w:eastAsia="zh-CN"/>
              </w:rPr>
            </w:pPr>
            <w:r>
              <w:rPr>
                <w:rFonts w:ascii="Times New Roman" w:hAnsi="Times New Roman"/>
                <w:kern w:val="2"/>
                <w:szCs w:val="24"/>
                <w:lang w:val="en-US" w:eastAsia="zh-CN"/>
              </w:rPr>
              <w:t>护措</w:t>
            </w:r>
          </w:p>
          <w:p>
            <w:pPr>
              <w:pStyle w:val="20"/>
              <w:adjustRightInd w:val="0"/>
              <w:snapToGrid w:val="0"/>
              <w:spacing w:before="0" w:beforeAutospacing="0" w:after="0" w:afterAutospacing="0"/>
              <w:jc w:val="center"/>
              <w:rPr>
                <w:rFonts w:ascii="Times New Roman" w:hAnsi="Times New Roman"/>
                <w:bCs/>
                <w:kern w:val="2"/>
                <w:szCs w:val="24"/>
                <w:lang w:val="en-US" w:eastAsia="zh-CN"/>
              </w:rPr>
            </w:pPr>
            <w:r>
              <w:rPr>
                <w:rFonts w:ascii="Times New Roman" w:hAnsi="Times New Roman"/>
                <w:kern w:val="2"/>
                <w:szCs w:val="24"/>
                <w:lang w:val="en-US" w:eastAsia="zh-CN"/>
              </w:rPr>
              <w:t>施</w:t>
            </w:r>
          </w:p>
        </w:tc>
        <w:tc>
          <w:tcPr>
            <w:tcW w:w="8162" w:type="dxa"/>
            <w:vAlign w:val="center"/>
          </w:tcPr>
          <w:p>
            <w:pPr>
              <w:adjustRightInd w:val="0"/>
              <w:snapToGrid w:val="0"/>
              <w:spacing w:line="360" w:lineRule="auto"/>
              <w:ind w:firstLine="440" w:firstLineChars="200"/>
              <w:rPr>
                <w:bCs/>
                <w:spacing w:val="-10"/>
                <w:sz w:val="24"/>
              </w:rPr>
            </w:pPr>
            <w:r>
              <w:rPr>
                <w:bCs/>
                <w:spacing w:val="-10"/>
                <w:sz w:val="24"/>
              </w:rPr>
              <w:t>本项目</w:t>
            </w:r>
            <w:r>
              <w:rPr>
                <w:rFonts w:hint="eastAsia"/>
                <w:bCs/>
                <w:spacing w:val="-10"/>
                <w:sz w:val="24"/>
                <w:lang w:val="en-US" w:eastAsia="zh-CN"/>
              </w:rPr>
              <w:t>利用一块空地进行生产</w:t>
            </w:r>
            <w:r>
              <w:rPr>
                <w:bCs/>
                <w:spacing w:val="-10"/>
                <w:sz w:val="24"/>
              </w:rPr>
              <w:t>，施工期主要环境影响为</w:t>
            </w:r>
            <w:r>
              <w:rPr>
                <w:rFonts w:hint="eastAsia"/>
                <w:bCs/>
                <w:spacing w:val="-10"/>
                <w:sz w:val="24"/>
              </w:rPr>
              <w:t>废气、</w:t>
            </w:r>
            <w:r>
              <w:rPr>
                <w:bCs/>
                <w:spacing w:val="-10"/>
                <w:sz w:val="24"/>
              </w:rPr>
              <w:t>噪声和固废。</w:t>
            </w:r>
          </w:p>
          <w:p>
            <w:pPr>
              <w:adjustRightInd w:val="0"/>
              <w:snapToGrid w:val="0"/>
              <w:spacing w:line="360" w:lineRule="auto"/>
              <w:ind w:firstLine="440" w:firstLineChars="200"/>
              <w:rPr>
                <w:bCs/>
                <w:spacing w:val="-10"/>
                <w:sz w:val="24"/>
              </w:rPr>
            </w:pPr>
            <w:r>
              <w:rPr>
                <w:bCs/>
                <w:spacing w:val="-10"/>
                <w:sz w:val="24"/>
              </w:rPr>
              <w:t>1、大气环境保护措施</w:t>
            </w:r>
          </w:p>
          <w:p>
            <w:pPr>
              <w:adjustRightInd w:val="0"/>
              <w:snapToGrid w:val="0"/>
              <w:spacing w:line="360" w:lineRule="auto"/>
              <w:ind w:firstLine="440" w:firstLineChars="200"/>
              <w:rPr>
                <w:bCs/>
                <w:spacing w:val="-10"/>
                <w:sz w:val="24"/>
              </w:rPr>
            </w:pPr>
            <w:r>
              <w:rPr>
                <w:bCs/>
                <w:spacing w:val="-10"/>
                <w:sz w:val="24"/>
              </w:rPr>
              <w:t>项目施工期废气主要为施工过程中产生的扬尘、运输车辆尾气和施工机械废气。</w:t>
            </w:r>
          </w:p>
          <w:p>
            <w:pPr>
              <w:adjustRightInd w:val="0"/>
              <w:snapToGrid w:val="0"/>
              <w:spacing w:line="360" w:lineRule="auto"/>
              <w:ind w:firstLine="440" w:firstLineChars="200"/>
              <w:rPr>
                <w:bCs/>
                <w:spacing w:val="-10"/>
                <w:sz w:val="24"/>
              </w:rPr>
            </w:pPr>
            <w:r>
              <w:rPr>
                <w:bCs/>
                <w:spacing w:val="-10"/>
                <w:sz w:val="24"/>
              </w:rPr>
              <w:t>①建筑工地围挡，临时围挡采用绿色生态围挡，高度不低于1.5米；</w:t>
            </w:r>
          </w:p>
          <w:p>
            <w:pPr>
              <w:adjustRightInd w:val="0"/>
              <w:snapToGrid w:val="0"/>
              <w:spacing w:line="360" w:lineRule="auto"/>
              <w:ind w:firstLine="440" w:firstLineChars="200"/>
              <w:rPr>
                <w:bCs/>
                <w:spacing w:val="-10"/>
                <w:sz w:val="24"/>
              </w:rPr>
            </w:pPr>
            <w:r>
              <w:rPr>
                <w:bCs/>
                <w:spacing w:val="-10"/>
                <w:sz w:val="24"/>
              </w:rPr>
              <w:t xml:space="preserve">②现场裸露地面，应及时硬化，临时堆场应采取防尘覆盖措施，防止水土流失；  </w:t>
            </w:r>
          </w:p>
          <w:p>
            <w:pPr>
              <w:adjustRightInd w:val="0"/>
              <w:snapToGrid w:val="0"/>
              <w:spacing w:line="360" w:lineRule="auto"/>
              <w:ind w:firstLine="440" w:firstLineChars="200"/>
              <w:rPr>
                <w:bCs/>
                <w:spacing w:val="-10"/>
                <w:sz w:val="24"/>
              </w:rPr>
            </w:pPr>
            <w:r>
              <w:rPr>
                <w:bCs/>
                <w:spacing w:val="-10"/>
                <w:sz w:val="24"/>
              </w:rPr>
              <w:t>③加强管理，文明施工，建筑材料轻装轻卸。对于原料堆场，应设置围墙、顶盖，并对原料实施覆盖，避免作业起尘；石灰、砂土等建材尽可能不露天堆放，如不得不敞开堆放，应对其进行洒水，提高表面含水率，起到抑尘的效果；</w:t>
            </w:r>
          </w:p>
          <w:p>
            <w:pPr>
              <w:adjustRightInd w:val="0"/>
              <w:snapToGrid w:val="0"/>
              <w:spacing w:line="360" w:lineRule="auto"/>
              <w:ind w:firstLine="440" w:firstLineChars="200"/>
              <w:rPr>
                <w:bCs/>
                <w:spacing w:val="-10"/>
                <w:sz w:val="24"/>
              </w:rPr>
            </w:pPr>
            <w:r>
              <w:rPr>
                <w:bCs/>
                <w:spacing w:val="-10"/>
                <w:sz w:val="24"/>
              </w:rPr>
              <w:t>通过采取以上扬尘控制措施，可有效降低施工期间扬尘污染的影响程度和范围。</w:t>
            </w:r>
          </w:p>
          <w:p>
            <w:pPr>
              <w:adjustRightInd w:val="0"/>
              <w:snapToGrid w:val="0"/>
              <w:spacing w:line="360" w:lineRule="auto"/>
              <w:ind w:firstLine="440" w:firstLineChars="200"/>
              <w:rPr>
                <w:bCs/>
                <w:spacing w:val="-10"/>
                <w:sz w:val="24"/>
              </w:rPr>
            </w:pPr>
            <w:r>
              <w:rPr>
                <w:bCs/>
                <w:spacing w:val="-10"/>
                <w:sz w:val="24"/>
              </w:rPr>
              <w:t>2、噪声</w:t>
            </w:r>
          </w:p>
          <w:p>
            <w:pPr>
              <w:adjustRightInd w:val="0"/>
              <w:snapToGrid w:val="0"/>
              <w:spacing w:line="360" w:lineRule="auto"/>
              <w:ind w:firstLine="440" w:firstLineChars="200"/>
              <w:rPr>
                <w:bCs/>
                <w:spacing w:val="-10"/>
                <w:sz w:val="24"/>
              </w:rPr>
            </w:pPr>
            <w:r>
              <w:rPr>
                <w:bCs/>
                <w:spacing w:val="-10"/>
                <w:sz w:val="24"/>
              </w:rPr>
              <w:t>①应合理安排施工作业，避免同一时间高噪声设备同时施工。</w:t>
            </w:r>
          </w:p>
          <w:p>
            <w:pPr>
              <w:adjustRightInd w:val="0"/>
              <w:snapToGrid w:val="0"/>
              <w:spacing w:line="360" w:lineRule="auto"/>
              <w:ind w:firstLine="440" w:firstLineChars="200"/>
              <w:rPr>
                <w:bCs/>
                <w:spacing w:val="-10"/>
                <w:sz w:val="24"/>
              </w:rPr>
            </w:pPr>
            <w:r>
              <w:rPr>
                <w:bCs/>
                <w:spacing w:val="-10"/>
                <w:sz w:val="24"/>
              </w:rPr>
              <w:t>②尽量选用低噪声的施工机械。</w:t>
            </w:r>
          </w:p>
          <w:p>
            <w:pPr>
              <w:adjustRightInd w:val="0"/>
              <w:snapToGrid w:val="0"/>
              <w:spacing w:line="360" w:lineRule="auto"/>
              <w:ind w:firstLine="440" w:firstLineChars="200"/>
              <w:rPr>
                <w:bCs/>
                <w:spacing w:val="-10"/>
                <w:sz w:val="24"/>
              </w:rPr>
            </w:pPr>
            <w:r>
              <w:rPr>
                <w:bCs/>
                <w:spacing w:val="-10"/>
                <w:sz w:val="24"/>
              </w:rPr>
              <w:t>③设备安装应合理布局，调试时应避免多设备同时运行。</w:t>
            </w:r>
          </w:p>
          <w:p>
            <w:pPr>
              <w:adjustRightInd w:val="0"/>
              <w:snapToGrid w:val="0"/>
              <w:spacing w:line="360" w:lineRule="auto"/>
              <w:ind w:firstLine="440" w:firstLineChars="200"/>
              <w:rPr>
                <w:bCs/>
                <w:spacing w:val="-10"/>
                <w:sz w:val="24"/>
              </w:rPr>
            </w:pPr>
            <w:r>
              <w:rPr>
                <w:rFonts w:hint="eastAsia"/>
                <w:bCs/>
                <w:spacing w:val="-10"/>
                <w:sz w:val="24"/>
              </w:rPr>
              <w:t>④夜间不进行施工作业。</w:t>
            </w:r>
          </w:p>
          <w:p>
            <w:pPr>
              <w:adjustRightInd w:val="0"/>
              <w:snapToGrid w:val="0"/>
              <w:spacing w:line="360" w:lineRule="auto"/>
              <w:ind w:firstLine="440" w:firstLineChars="200"/>
              <w:rPr>
                <w:bCs/>
                <w:spacing w:val="-10"/>
                <w:sz w:val="24"/>
              </w:rPr>
            </w:pPr>
            <w:r>
              <w:rPr>
                <w:bCs/>
                <w:spacing w:val="-10"/>
                <w:sz w:val="24"/>
              </w:rPr>
              <w:t>3、固废</w:t>
            </w:r>
          </w:p>
          <w:p>
            <w:pPr>
              <w:adjustRightInd w:val="0"/>
              <w:snapToGrid w:val="0"/>
              <w:spacing w:line="360" w:lineRule="auto"/>
              <w:ind w:firstLine="440" w:firstLineChars="200"/>
              <w:rPr>
                <w:bCs/>
                <w:spacing w:val="-10"/>
                <w:sz w:val="24"/>
              </w:rPr>
            </w:pPr>
            <w:r>
              <w:rPr>
                <w:bCs/>
                <w:spacing w:val="-10"/>
                <w:sz w:val="24"/>
              </w:rPr>
              <w:t xml:space="preserve">施工固体废弃物主要为施工过程中产生的建筑垃圾和生活垃圾。 </w:t>
            </w:r>
          </w:p>
          <w:p>
            <w:pPr>
              <w:adjustRightInd w:val="0"/>
              <w:snapToGrid w:val="0"/>
              <w:spacing w:line="360" w:lineRule="auto"/>
              <w:ind w:firstLine="440" w:firstLineChars="200"/>
              <w:rPr>
                <w:bCs/>
                <w:spacing w:val="-10"/>
                <w:sz w:val="24"/>
              </w:rPr>
            </w:pPr>
            <w:r>
              <w:rPr>
                <w:bCs/>
                <w:spacing w:val="-10"/>
                <w:sz w:val="24"/>
              </w:rPr>
              <w:t xml:space="preserve">①建筑垃圾：建筑垃圾主要为废建筑材料。建设单位对其进行集中堆放，按类分拣予以回收。 </w:t>
            </w:r>
          </w:p>
          <w:p>
            <w:pPr>
              <w:adjustRightInd w:val="0"/>
              <w:snapToGrid w:val="0"/>
              <w:spacing w:line="360" w:lineRule="auto"/>
              <w:ind w:firstLine="440" w:firstLineChars="200"/>
              <w:rPr>
                <w:bCs/>
                <w:spacing w:val="-10"/>
                <w:sz w:val="24"/>
              </w:rPr>
            </w:pPr>
            <w:r>
              <w:rPr>
                <w:bCs/>
                <w:spacing w:val="-10"/>
                <w:sz w:val="24"/>
              </w:rPr>
              <w:t>②生活垃圾：施工单位应加强管理，临时施工营地内设临时垃圾箱，生活垃圾经垃圾收集箱收集后定期送至环卫部门指定地点，由环卫部门送城市垃圾填埋场卫生填埋，对周围环境影响较小。</w:t>
            </w:r>
          </w:p>
          <w:p>
            <w:pPr>
              <w:adjustRightInd w:val="0"/>
              <w:snapToGrid w:val="0"/>
              <w:spacing w:line="360" w:lineRule="auto"/>
              <w:ind w:firstLine="440" w:firstLineChars="200"/>
              <w:rPr>
                <w:bCs/>
                <w:spacing w:val="-10"/>
                <w:sz w:val="24"/>
              </w:rPr>
            </w:pPr>
            <w:r>
              <w:rPr>
                <w:bCs/>
                <w:spacing w:val="-10"/>
                <w:sz w:val="24"/>
              </w:rPr>
              <w:t>采取上述措施后，可以把施工期</w:t>
            </w:r>
            <w:r>
              <w:rPr>
                <w:rFonts w:hint="eastAsia"/>
                <w:bCs/>
                <w:spacing w:val="-10"/>
                <w:sz w:val="24"/>
              </w:rPr>
              <w:t>废气、</w:t>
            </w:r>
            <w:r>
              <w:rPr>
                <w:bCs/>
                <w:spacing w:val="-10"/>
                <w:sz w:val="24"/>
              </w:rPr>
              <w:t>噪声</w:t>
            </w:r>
            <w:r>
              <w:rPr>
                <w:rFonts w:hint="eastAsia"/>
                <w:bCs/>
                <w:spacing w:val="-10"/>
                <w:sz w:val="24"/>
              </w:rPr>
              <w:t>和</w:t>
            </w:r>
            <w:r>
              <w:rPr>
                <w:bCs/>
                <w:spacing w:val="-10"/>
                <w:sz w:val="24"/>
              </w:rPr>
              <w:t>固废对周边环境影响降到可接受范围内。施工期对环境的影响随着施工的结束而结束。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bCs/>
                <w:sz w:val="24"/>
              </w:rPr>
            </w:pPr>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w:t>
            </w:r>
          </w:p>
          <w:p>
            <w:pPr>
              <w:adjustRightInd w:val="0"/>
              <w:snapToGrid w:val="0"/>
              <w:jc w:val="center"/>
              <w:rPr>
                <w:bCs/>
                <w:sz w:val="24"/>
              </w:rPr>
            </w:pPr>
            <w:r>
              <w:rPr>
                <w:bCs/>
                <w:sz w:val="24"/>
              </w:rPr>
              <w:t>措施</w:t>
            </w:r>
          </w:p>
        </w:tc>
        <w:tc>
          <w:tcPr>
            <w:tcW w:w="8162" w:type="dxa"/>
            <w:vAlign w:val="center"/>
          </w:tcPr>
          <w:p>
            <w:pPr>
              <w:adjustRightInd w:val="0"/>
              <w:snapToGrid w:val="0"/>
              <w:spacing w:line="360" w:lineRule="auto"/>
              <w:rPr>
                <w:bCs/>
                <w:spacing w:val="-10"/>
                <w:sz w:val="24"/>
              </w:rPr>
            </w:pPr>
            <w:r>
              <w:rPr>
                <w:b/>
                <w:spacing w:val="-10"/>
                <w:sz w:val="24"/>
              </w:rPr>
              <w:t>1</w:t>
            </w:r>
            <w:r>
              <w:rPr>
                <w:rFonts w:hint="eastAsia"/>
                <w:b/>
                <w:spacing w:val="-10"/>
                <w:sz w:val="24"/>
              </w:rPr>
              <w:t>、</w:t>
            </w:r>
            <w:r>
              <w:rPr>
                <w:b/>
                <w:spacing w:val="-10"/>
                <w:sz w:val="24"/>
              </w:rPr>
              <w:t>废气</w:t>
            </w:r>
          </w:p>
          <w:p>
            <w:pPr>
              <w:adjustRightInd w:val="0"/>
              <w:snapToGrid w:val="0"/>
              <w:spacing w:line="360" w:lineRule="auto"/>
              <w:ind w:firstLine="440" w:firstLineChars="200"/>
              <w:rPr>
                <w:bCs/>
                <w:spacing w:val="-10"/>
                <w:sz w:val="24"/>
              </w:rPr>
            </w:pPr>
            <w:r>
              <w:rPr>
                <w:bCs/>
                <w:spacing w:val="-10"/>
                <w:sz w:val="24"/>
              </w:rPr>
              <w:t>本项目使用的</w:t>
            </w:r>
            <w:r>
              <w:rPr>
                <w:rFonts w:hint="eastAsia"/>
                <w:bCs/>
                <w:spacing w:val="-10"/>
                <w:sz w:val="24"/>
                <w:lang w:val="en-US" w:eastAsia="zh-CN"/>
              </w:rPr>
              <w:t>炉窑</w:t>
            </w:r>
            <w:r>
              <w:rPr>
                <w:bCs/>
                <w:spacing w:val="-10"/>
                <w:sz w:val="24"/>
              </w:rPr>
              <w:t>有相关的《排污许可证申请与核发技术规范</w:t>
            </w:r>
            <w:r>
              <w:rPr>
                <w:rFonts w:hint="eastAsia"/>
                <w:bCs/>
                <w:spacing w:val="-10"/>
                <w:sz w:val="24"/>
              </w:rPr>
              <w:t xml:space="preserve"> </w:t>
            </w:r>
            <w:r>
              <w:rPr>
                <w:rFonts w:hint="eastAsia"/>
                <w:bCs/>
                <w:spacing w:val="-10"/>
                <w:sz w:val="24"/>
                <w:lang w:val="en-US" w:eastAsia="zh-CN"/>
              </w:rPr>
              <w:t>工业炉窑</w:t>
            </w:r>
            <w:r>
              <w:rPr>
                <w:bCs/>
                <w:spacing w:val="-10"/>
                <w:sz w:val="24"/>
              </w:rPr>
              <w:t>》（HJ</w:t>
            </w:r>
            <w:r>
              <w:rPr>
                <w:rFonts w:hint="eastAsia"/>
                <w:bCs/>
                <w:spacing w:val="-10"/>
                <w:sz w:val="24"/>
                <w:lang w:val="en-US" w:eastAsia="zh-CN"/>
              </w:rPr>
              <w:t>1121</w:t>
            </w:r>
            <w:r>
              <w:rPr>
                <w:bCs/>
                <w:spacing w:val="-10"/>
                <w:sz w:val="24"/>
              </w:rPr>
              <w:t>-20</w:t>
            </w:r>
            <w:r>
              <w:rPr>
                <w:rFonts w:hint="eastAsia"/>
                <w:bCs/>
                <w:spacing w:val="-10"/>
                <w:sz w:val="24"/>
                <w:lang w:val="en-US" w:eastAsia="zh-CN"/>
              </w:rPr>
              <w:t>20</w:t>
            </w:r>
            <w:r>
              <w:rPr>
                <w:bCs/>
                <w:spacing w:val="-10"/>
                <w:sz w:val="24"/>
              </w:rPr>
              <w:t>）</w:t>
            </w:r>
            <w:r>
              <w:rPr>
                <w:rFonts w:hint="eastAsia"/>
                <w:bCs/>
                <w:spacing w:val="-10"/>
                <w:sz w:val="24"/>
                <w:lang w:eastAsia="zh-CN"/>
              </w:rPr>
              <w:t>，</w:t>
            </w:r>
            <w:r>
              <w:rPr>
                <w:rFonts w:hint="eastAsia"/>
                <w:bCs/>
                <w:spacing w:val="-10"/>
                <w:sz w:val="24"/>
                <w:lang w:val="en-US" w:eastAsia="zh-CN"/>
              </w:rPr>
              <w:t>无</w:t>
            </w:r>
            <w:r>
              <w:rPr>
                <w:bCs/>
                <w:spacing w:val="-10"/>
                <w:sz w:val="24"/>
              </w:rPr>
              <w:t>污染源强核算技术指南。本项目</w:t>
            </w:r>
            <w:r>
              <w:rPr>
                <w:rFonts w:hint="eastAsia"/>
                <w:bCs/>
                <w:spacing w:val="-10"/>
                <w:sz w:val="24"/>
                <w:lang w:val="en-US" w:eastAsia="zh-CN"/>
              </w:rPr>
              <w:t>竹炭</w:t>
            </w:r>
            <w:r>
              <w:rPr>
                <w:rFonts w:hint="eastAsia"/>
                <w:bCs/>
                <w:spacing w:val="-10"/>
                <w:sz w:val="24"/>
              </w:rPr>
              <w:t>制品</w:t>
            </w:r>
            <w:r>
              <w:rPr>
                <w:bCs/>
                <w:spacing w:val="-10"/>
                <w:sz w:val="24"/>
              </w:rPr>
              <w:t>加工行业无相关排污许可证申请与核发技术规范和污染源强核算技术指南。</w:t>
            </w:r>
            <w:r>
              <w:rPr>
                <w:rFonts w:hint="eastAsia"/>
                <w:bCs/>
                <w:spacing w:val="-10"/>
                <w:sz w:val="24"/>
              </w:rPr>
              <w:t>本节部分内容参照</w:t>
            </w:r>
            <w:r>
              <w:rPr>
                <w:bCs/>
                <w:spacing w:val="-10"/>
                <w:sz w:val="24"/>
              </w:rPr>
              <w:t>《排污许可证申请与核发技术规范</w:t>
            </w:r>
            <w:r>
              <w:rPr>
                <w:rFonts w:hint="eastAsia"/>
                <w:bCs/>
                <w:spacing w:val="-10"/>
                <w:sz w:val="24"/>
              </w:rPr>
              <w:t xml:space="preserve"> </w:t>
            </w:r>
            <w:r>
              <w:rPr>
                <w:rFonts w:hint="eastAsia"/>
                <w:bCs/>
                <w:spacing w:val="-10"/>
                <w:sz w:val="24"/>
                <w:lang w:val="en-US" w:eastAsia="zh-CN"/>
              </w:rPr>
              <w:t>工业炉窑</w:t>
            </w:r>
            <w:r>
              <w:rPr>
                <w:bCs/>
                <w:spacing w:val="-10"/>
                <w:sz w:val="24"/>
              </w:rPr>
              <w:t>》（HJ</w:t>
            </w:r>
            <w:r>
              <w:rPr>
                <w:rFonts w:hint="eastAsia"/>
                <w:bCs/>
                <w:spacing w:val="-10"/>
                <w:sz w:val="24"/>
                <w:lang w:val="en-US" w:eastAsia="zh-CN"/>
              </w:rPr>
              <w:t>1121</w:t>
            </w:r>
            <w:r>
              <w:rPr>
                <w:bCs/>
                <w:spacing w:val="-10"/>
                <w:sz w:val="24"/>
              </w:rPr>
              <w:t>-20</w:t>
            </w:r>
            <w:r>
              <w:rPr>
                <w:rFonts w:hint="eastAsia"/>
                <w:bCs/>
                <w:spacing w:val="-10"/>
                <w:sz w:val="24"/>
                <w:lang w:val="en-US" w:eastAsia="zh-CN"/>
              </w:rPr>
              <w:t>20</w:t>
            </w:r>
            <w:r>
              <w:rPr>
                <w:bCs/>
                <w:spacing w:val="-10"/>
                <w:sz w:val="24"/>
              </w:rPr>
              <w:t>）和</w:t>
            </w:r>
            <w:r>
              <w:rPr>
                <w:rFonts w:hint="eastAsia"/>
                <w:bCs/>
                <w:spacing w:val="-10"/>
                <w:sz w:val="24"/>
                <w:lang w:eastAsia="zh-CN"/>
              </w:rPr>
              <w:t>《</w:t>
            </w:r>
            <w:r>
              <w:rPr>
                <w:bCs/>
                <w:spacing w:val="-10"/>
                <w:sz w:val="24"/>
              </w:rPr>
              <w:t>污染源强核算技术指南</w:t>
            </w:r>
            <w:r>
              <w:rPr>
                <w:rFonts w:hint="eastAsia"/>
                <w:bCs/>
                <w:spacing w:val="-10"/>
                <w:sz w:val="24"/>
                <w:lang w:val="en-US" w:eastAsia="zh-CN"/>
              </w:rPr>
              <w:t xml:space="preserve"> 准则</w:t>
            </w:r>
            <w:r>
              <w:rPr>
                <w:rFonts w:hint="eastAsia"/>
                <w:bCs/>
                <w:spacing w:val="-10"/>
                <w:sz w:val="24"/>
                <w:lang w:eastAsia="zh-CN"/>
              </w:rPr>
              <w:t>》</w:t>
            </w:r>
            <w:r>
              <w:rPr>
                <w:bCs/>
                <w:spacing w:val="-10"/>
                <w:sz w:val="24"/>
              </w:rPr>
              <w:t>（HJ</w:t>
            </w:r>
            <w:r>
              <w:rPr>
                <w:rFonts w:hint="eastAsia"/>
                <w:bCs/>
                <w:spacing w:val="-10"/>
                <w:sz w:val="24"/>
                <w:lang w:val="en-US" w:eastAsia="zh-CN"/>
              </w:rPr>
              <w:t>884</w:t>
            </w:r>
            <w:r>
              <w:rPr>
                <w:bCs/>
                <w:spacing w:val="-10"/>
                <w:sz w:val="24"/>
              </w:rPr>
              <w:t>-2018）</w:t>
            </w:r>
            <w:r>
              <w:rPr>
                <w:rFonts w:hint="eastAsia"/>
                <w:bCs/>
                <w:spacing w:val="-10"/>
                <w:sz w:val="24"/>
              </w:rPr>
              <w:t>的相关要求编制。</w:t>
            </w:r>
          </w:p>
          <w:p>
            <w:pPr>
              <w:adjustRightInd w:val="0"/>
              <w:snapToGrid w:val="0"/>
              <w:spacing w:line="360" w:lineRule="auto"/>
              <w:ind w:firstLine="442" w:firstLineChars="200"/>
              <w:rPr>
                <w:bCs/>
                <w:spacing w:val="-10"/>
                <w:sz w:val="24"/>
              </w:rPr>
            </w:pPr>
            <w:r>
              <w:rPr>
                <w:rFonts w:hint="eastAsia"/>
                <w:b/>
                <w:spacing w:val="-10"/>
                <w:sz w:val="24"/>
              </w:rPr>
              <w:t>1.1废气污染源产生及排放情况</w:t>
            </w:r>
          </w:p>
          <w:p>
            <w:pPr>
              <w:adjustRightInd w:val="0"/>
              <w:snapToGrid w:val="0"/>
              <w:spacing w:line="360" w:lineRule="auto"/>
              <w:ind w:firstLine="440" w:firstLineChars="200"/>
              <w:rPr>
                <w:bCs/>
                <w:spacing w:val="-10"/>
                <w:sz w:val="24"/>
              </w:rPr>
            </w:pPr>
            <w:r>
              <w:rPr>
                <w:bCs/>
                <w:spacing w:val="-10"/>
                <w:sz w:val="24"/>
              </w:rPr>
              <w:t>根据《建设项目环境影响报告表编制技术指南（污染影响类）》（试行）中的相关要求填写下表中的内容。</w:t>
            </w:r>
          </w:p>
          <w:p>
            <w:pPr>
              <w:adjustRightInd w:val="0"/>
              <w:snapToGrid w:val="0"/>
              <w:ind w:firstLine="382" w:firstLineChars="200"/>
              <w:jc w:val="center"/>
              <w:rPr>
                <w:bCs/>
                <w:spacing w:val="-10"/>
                <w:sz w:val="24"/>
              </w:rPr>
            </w:pPr>
            <w:r>
              <w:rPr>
                <w:b/>
                <w:color w:val="000000"/>
                <w:spacing w:val="-10"/>
                <w:szCs w:val="21"/>
              </w:rPr>
              <w:t>表</w:t>
            </w:r>
            <w:r>
              <w:rPr>
                <w:rFonts w:hint="eastAsia"/>
                <w:b/>
                <w:color w:val="000000"/>
                <w:spacing w:val="-10"/>
                <w:szCs w:val="21"/>
              </w:rPr>
              <w:t>4-1  项目废气污染源产生及排放情况一览表</w:t>
            </w:r>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636"/>
              <w:gridCol w:w="689"/>
              <w:gridCol w:w="780"/>
              <w:gridCol w:w="483"/>
              <w:gridCol w:w="911"/>
              <w:gridCol w:w="1102"/>
              <w:gridCol w:w="794"/>
              <w:gridCol w:w="780"/>
              <w:gridCol w:w="780"/>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污染物</w:t>
                  </w:r>
                </w:p>
              </w:tc>
              <w:tc>
                <w:tcPr>
                  <w:tcW w:w="323"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产污工序</w:t>
                  </w:r>
                </w:p>
              </w:tc>
              <w:tc>
                <w:tcPr>
                  <w:tcW w:w="407"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产生量t/a</w:t>
                  </w:r>
                </w:p>
              </w:tc>
              <w:tc>
                <w:tcPr>
                  <w:tcW w:w="469"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产生速率kg/h</w:t>
                  </w:r>
                </w:p>
              </w:tc>
              <w:tc>
                <w:tcPr>
                  <w:tcW w:w="293"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处理措施</w:t>
                  </w:r>
                </w:p>
              </w:tc>
              <w:tc>
                <w:tcPr>
                  <w:tcW w:w="546"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是否技术可行</w:t>
                  </w:r>
                </w:p>
              </w:tc>
              <w:tc>
                <w:tcPr>
                  <w:tcW w:w="659"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效率</w:t>
                  </w:r>
                </w:p>
              </w:tc>
              <w:tc>
                <w:tcPr>
                  <w:tcW w:w="469"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排放量t/a</w:t>
                  </w:r>
                </w:p>
              </w:tc>
              <w:tc>
                <w:tcPr>
                  <w:tcW w:w="469"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排放浓度mg/m</w:t>
                  </w:r>
                  <w:r>
                    <w:rPr>
                      <w:rFonts w:ascii="Times New Roman" w:cs="Times New Roman"/>
                      <w:sz w:val="21"/>
                      <w:szCs w:val="21"/>
                      <w:vertAlign w:val="superscript"/>
                    </w:rPr>
                    <w:t>3</w:t>
                  </w:r>
                </w:p>
              </w:tc>
              <w:tc>
                <w:tcPr>
                  <w:tcW w:w="469"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排放速率kg/h</w:t>
                  </w:r>
                </w:p>
              </w:tc>
              <w:tc>
                <w:tcPr>
                  <w:tcW w:w="252"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排放源高度m</w:t>
                  </w:r>
                </w:p>
              </w:tc>
              <w:tc>
                <w:tcPr>
                  <w:tcW w:w="252"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颗粒物</w:t>
                  </w:r>
                </w:p>
              </w:tc>
              <w:tc>
                <w:tcPr>
                  <w:tcW w:w="323"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破碎、制棒</w:t>
                  </w:r>
                </w:p>
              </w:tc>
              <w:tc>
                <w:tcPr>
                  <w:tcW w:w="407"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4.033</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1.682</w:t>
                  </w:r>
                </w:p>
              </w:tc>
              <w:tc>
                <w:tcPr>
                  <w:tcW w:w="293"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布袋除尘器</w:t>
                  </w:r>
                </w:p>
              </w:tc>
              <w:tc>
                <w:tcPr>
                  <w:tcW w:w="546" w:type="pct"/>
                  <w:vAlign w:val="center"/>
                </w:tcPr>
                <w:p>
                  <w:pPr>
                    <w:pStyle w:val="27"/>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eastAsia="zh-CN"/>
                    </w:rPr>
                    <w:t>是</w:t>
                  </w:r>
                </w:p>
              </w:tc>
              <w:tc>
                <w:tcPr>
                  <w:tcW w:w="65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废气收集率100%、处理效率90%</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0.404</w:t>
                  </w:r>
                </w:p>
              </w:tc>
              <w:tc>
                <w:tcPr>
                  <w:tcW w:w="469"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0.168</w:t>
                  </w:r>
                </w:p>
              </w:tc>
              <w:tc>
                <w:tcPr>
                  <w:tcW w:w="252"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5</w:t>
                  </w:r>
                </w:p>
              </w:tc>
              <w:tc>
                <w:tcPr>
                  <w:tcW w:w="252"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pct"/>
                  <w:vAlign w:val="center"/>
                </w:tcPr>
                <w:p>
                  <w:pPr>
                    <w:pStyle w:val="27"/>
                    <w:spacing w:line="240" w:lineRule="auto"/>
                    <w:jc w:val="center"/>
                    <w:rPr>
                      <w:rFonts w:hint="default" w:ascii="Times New Roman" w:cs="Times New Roman"/>
                      <w:sz w:val="21"/>
                      <w:szCs w:val="21"/>
                      <w:lang w:val="en-US" w:eastAsia="zh-CN"/>
                    </w:rPr>
                  </w:pPr>
                  <w:r>
                    <w:rPr>
                      <w:rFonts w:hint="eastAsia" w:ascii="Times New Roman" w:cs="Times New Roman"/>
                      <w:sz w:val="21"/>
                      <w:szCs w:val="21"/>
                      <w:lang w:val="en-US" w:eastAsia="zh-CN"/>
                    </w:rPr>
                    <w:t>颗粒物</w:t>
                  </w:r>
                </w:p>
              </w:tc>
              <w:tc>
                <w:tcPr>
                  <w:tcW w:w="323" w:type="pct"/>
                  <w:vAlign w:val="center"/>
                </w:tcPr>
                <w:p>
                  <w:pPr>
                    <w:pStyle w:val="27"/>
                    <w:spacing w:line="240" w:lineRule="auto"/>
                    <w:jc w:val="center"/>
                    <w:rPr>
                      <w:rFonts w:hint="eastAsia" w:ascii="Times New Roman" w:cs="Times New Roman"/>
                      <w:sz w:val="21"/>
                      <w:szCs w:val="21"/>
                      <w:lang w:val="en-US" w:eastAsia="zh-CN"/>
                    </w:rPr>
                  </w:pPr>
                  <w:r>
                    <w:rPr>
                      <w:rFonts w:hint="eastAsia" w:ascii="Times New Roman" w:cs="Times New Roman"/>
                      <w:sz w:val="21"/>
                      <w:szCs w:val="21"/>
                      <w:lang w:val="en-US" w:eastAsia="zh-CN"/>
                    </w:rPr>
                    <w:t>装卸、储存</w:t>
                  </w:r>
                </w:p>
              </w:tc>
              <w:tc>
                <w:tcPr>
                  <w:tcW w:w="407" w:type="pct"/>
                  <w:vAlign w:val="center"/>
                </w:tcPr>
                <w:p>
                  <w:pPr>
                    <w:pStyle w:val="27"/>
                    <w:spacing w:line="240" w:lineRule="auto"/>
                    <w:jc w:val="center"/>
                    <w:rPr>
                      <w:rFonts w:hint="default" w:ascii="Times New Roman" w:cs="Times New Roman"/>
                      <w:sz w:val="21"/>
                      <w:szCs w:val="21"/>
                      <w:lang w:val="en-US" w:eastAsia="zh-CN"/>
                    </w:rPr>
                  </w:pPr>
                  <w:r>
                    <w:rPr>
                      <w:rFonts w:hint="eastAsia" w:ascii="Times New Roman" w:cs="Times New Roman"/>
                      <w:sz w:val="21"/>
                      <w:szCs w:val="21"/>
                      <w:lang w:val="en-US" w:eastAsia="zh-CN"/>
                    </w:rPr>
                    <w:t>0.838</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0.349</w:t>
                  </w:r>
                </w:p>
              </w:tc>
              <w:tc>
                <w:tcPr>
                  <w:tcW w:w="293"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封闭式车间</w:t>
                  </w:r>
                </w:p>
              </w:tc>
              <w:tc>
                <w:tcPr>
                  <w:tcW w:w="546" w:type="pct"/>
                  <w:vAlign w:val="center"/>
                </w:tcPr>
                <w:p>
                  <w:pPr>
                    <w:pStyle w:val="27"/>
                    <w:spacing w:line="240" w:lineRule="auto"/>
                    <w:jc w:val="center"/>
                    <w:rPr>
                      <w:rFonts w:hint="eastAsia" w:ascii="Times New Roman" w:cs="Times New Roman"/>
                      <w:sz w:val="21"/>
                      <w:szCs w:val="21"/>
                      <w:lang w:eastAsia="zh-CN"/>
                    </w:rPr>
                  </w:pPr>
                  <w:r>
                    <w:rPr>
                      <w:rFonts w:hint="eastAsia" w:ascii="Times New Roman" w:cs="Times New Roman"/>
                      <w:sz w:val="21"/>
                      <w:szCs w:val="21"/>
                      <w:lang w:eastAsia="zh-CN"/>
                    </w:rPr>
                    <w:t>是</w:t>
                  </w:r>
                </w:p>
              </w:tc>
              <w:tc>
                <w:tcPr>
                  <w:tcW w:w="659"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0.838</w:t>
                  </w:r>
                </w:p>
              </w:tc>
              <w:tc>
                <w:tcPr>
                  <w:tcW w:w="469"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0.349</w:t>
                  </w:r>
                </w:p>
              </w:tc>
              <w:tc>
                <w:tcPr>
                  <w:tcW w:w="252"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5</w:t>
                  </w:r>
                </w:p>
              </w:tc>
              <w:tc>
                <w:tcPr>
                  <w:tcW w:w="252"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387"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颗粒物</w:t>
                  </w:r>
                </w:p>
              </w:tc>
              <w:tc>
                <w:tcPr>
                  <w:tcW w:w="323" w:type="pct"/>
                  <w:vMerge w:val="restar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一体化烘干炭化设备、烘干房</w:t>
                  </w:r>
                </w:p>
              </w:tc>
              <w:tc>
                <w:tcPr>
                  <w:tcW w:w="407"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2.789</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0.</w:t>
                  </w:r>
                  <w:r>
                    <w:rPr>
                      <w:rFonts w:hint="eastAsia" w:ascii="Times New Roman" w:cs="Times New Roman"/>
                      <w:sz w:val="21"/>
                      <w:szCs w:val="21"/>
                      <w:lang w:val="en-US" w:eastAsia="zh-CN"/>
                    </w:rPr>
                    <w:t>393</w:t>
                  </w:r>
                </w:p>
              </w:tc>
              <w:tc>
                <w:tcPr>
                  <w:tcW w:w="293" w:type="pct"/>
                  <w:vMerge w:val="restar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静电+布袋除尘</w:t>
                  </w:r>
                </w:p>
              </w:tc>
              <w:tc>
                <w:tcPr>
                  <w:tcW w:w="546"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是</w:t>
                  </w:r>
                </w:p>
              </w:tc>
              <w:tc>
                <w:tcPr>
                  <w:tcW w:w="659" w:type="pct"/>
                  <w:vMerge w:val="restar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highlight w:val="none"/>
                    </w:rPr>
                    <w:t>废气</w:t>
                  </w:r>
                  <w:r>
                    <w:rPr>
                      <w:rFonts w:ascii="Times New Roman" w:cs="Times New Roman"/>
                      <w:sz w:val="21"/>
                      <w:szCs w:val="21"/>
                      <w:highlight w:val="none"/>
                    </w:rPr>
                    <w:t>收集率</w:t>
                  </w:r>
                  <w:r>
                    <w:rPr>
                      <w:rFonts w:hint="eastAsia" w:ascii="Times New Roman" w:cs="Times New Roman"/>
                      <w:sz w:val="21"/>
                      <w:szCs w:val="21"/>
                      <w:highlight w:val="none"/>
                    </w:rPr>
                    <w:t>10</w:t>
                  </w:r>
                  <w:r>
                    <w:rPr>
                      <w:rFonts w:ascii="Times New Roman" w:cs="Times New Roman"/>
                      <w:sz w:val="21"/>
                      <w:szCs w:val="21"/>
                      <w:highlight w:val="none"/>
                    </w:rPr>
                    <w:t>0%</w:t>
                  </w:r>
                  <w:r>
                    <w:rPr>
                      <w:rFonts w:hint="eastAsia" w:ascii="Times New Roman" w:cs="Times New Roman"/>
                      <w:sz w:val="21"/>
                      <w:szCs w:val="21"/>
                      <w:highlight w:val="none"/>
                    </w:rPr>
                    <w:t>；</w:t>
                  </w:r>
                  <w:r>
                    <w:rPr>
                      <w:rFonts w:hint="eastAsia" w:ascii="Times New Roman" w:cs="Times New Roman"/>
                      <w:color w:val="FF0000"/>
                      <w:sz w:val="21"/>
                      <w:szCs w:val="21"/>
                      <w:highlight w:val="yellow"/>
                      <w:u w:val="single"/>
                    </w:rPr>
                    <w:t>SO</w:t>
                  </w:r>
                  <w:r>
                    <w:rPr>
                      <w:rFonts w:hint="eastAsia" w:ascii="Times New Roman" w:cs="Times New Roman"/>
                      <w:color w:val="FF0000"/>
                      <w:sz w:val="21"/>
                      <w:szCs w:val="21"/>
                      <w:highlight w:val="yellow"/>
                      <w:u w:val="single"/>
                      <w:vertAlign w:val="subscript"/>
                    </w:rPr>
                    <w:t>2</w:t>
                  </w:r>
                  <w:r>
                    <w:rPr>
                      <w:rFonts w:hint="eastAsia" w:ascii="Times New Roman" w:cs="Times New Roman"/>
                      <w:color w:val="FF0000"/>
                      <w:sz w:val="21"/>
                      <w:szCs w:val="21"/>
                      <w:highlight w:val="yellow"/>
                      <w:u w:val="single"/>
                      <w:vertAlign w:val="baseline"/>
                      <w:lang w:val="en-US" w:eastAsia="zh-CN"/>
                    </w:rPr>
                    <w:t>去除率0%</w:t>
                  </w:r>
                  <w:r>
                    <w:rPr>
                      <w:rFonts w:hint="eastAsia" w:ascii="Times New Roman" w:cs="Times New Roman"/>
                      <w:sz w:val="21"/>
                      <w:szCs w:val="21"/>
                      <w:vertAlign w:val="baseline"/>
                      <w:lang w:val="en-US" w:eastAsia="zh-CN"/>
                    </w:rPr>
                    <w:t>、</w:t>
                  </w:r>
                  <w:r>
                    <w:rPr>
                      <w:rFonts w:hint="eastAsia" w:ascii="Times New Roman" w:cs="Times New Roman"/>
                      <w:sz w:val="21"/>
                      <w:szCs w:val="21"/>
                    </w:rPr>
                    <w:t>颗粒物废气去除</w:t>
                  </w:r>
                  <w:r>
                    <w:rPr>
                      <w:rFonts w:ascii="Times New Roman" w:cs="Times New Roman"/>
                      <w:sz w:val="21"/>
                      <w:szCs w:val="21"/>
                    </w:rPr>
                    <w:t>率</w:t>
                  </w:r>
                  <w:r>
                    <w:rPr>
                      <w:rFonts w:hint="eastAsia" w:ascii="Times New Roman" w:cs="Times New Roman"/>
                      <w:sz w:val="21"/>
                      <w:szCs w:val="21"/>
                    </w:rPr>
                    <w:t>9</w:t>
                  </w:r>
                  <w:r>
                    <w:rPr>
                      <w:rFonts w:hint="eastAsia" w:ascii="Times New Roman" w:cs="Times New Roman"/>
                      <w:sz w:val="21"/>
                      <w:szCs w:val="21"/>
                      <w:lang w:val="en-US" w:eastAsia="zh-CN"/>
                    </w:rPr>
                    <w:t>9</w:t>
                  </w:r>
                  <w:r>
                    <w:rPr>
                      <w:rFonts w:hint="eastAsia" w:ascii="Times New Roman" w:cs="Times New Roman"/>
                      <w:sz w:val="21"/>
                      <w:szCs w:val="21"/>
                    </w:rPr>
                    <w:t>%</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0.0</w:t>
                  </w:r>
                  <w:r>
                    <w:rPr>
                      <w:rFonts w:hint="eastAsia" w:ascii="Times New Roman" w:cs="Times New Roman"/>
                      <w:sz w:val="21"/>
                      <w:szCs w:val="21"/>
                      <w:lang w:val="en-US" w:eastAsia="zh-CN"/>
                    </w:rPr>
                    <w:t>28</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0.79</w:t>
                  </w:r>
                </w:p>
              </w:tc>
              <w:tc>
                <w:tcPr>
                  <w:tcW w:w="469" w:type="pct"/>
                  <w:vAlign w:val="center"/>
                </w:tcPr>
                <w:p>
                  <w:pPr>
                    <w:pStyle w:val="27"/>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rPr>
                    <w:t>0.00</w:t>
                  </w:r>
                  <w:r>
                    <w:rPr>
                      <w:rFonts w:hint="eastAsia" w:ascii="Times New Roman" w:cs="Times New Roman"/>
                      <w:sz w:val="21"/>
                      <w:szCs w:val="21"/>
                      <w:lang w:val="en-US" w:eastAsia="zh-CN"/>
                    </w:rPr>
                    <w:t>4</w:t>
                  </w:r>
                </w:p>
              </w:tc>
              <w:tc>
                <w:tcPr>
                  <w:tcW w:w="252" w:type="pct"/>
                  <w:vMerge w:val="restar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15</w:t>
                  </w:r>
                </w:p>
              </w:tc>
              <w:tc>
                <w:tcPr>
                  <w:tcW w:w="252" w:type="pct"/>
                  <w:vMerge w:val="restart"/>
                  <w:vAlign w:val="center"/>
                </w:tcPr>
                <w:p>
                  <w:pPr>
                    <w:pStyle w:val="27"/>
                    <w:spacing w:line="240" w:lineRule="auto"/>
                    <w:jc w:val="center"/>
                    <w:rPr>
                      <w:rFonts w:ascii="Times New Roman" w:cs="Times New Roman"/>
                      <w:sz w:val="21"/>
                      <w:szCs w:val="21"/>
                    </w:rPr>
                  </w:pPr>
                  <w:r>
                    <w:rPr>
                      <w:rFonts w:ascii="Times New Roman" w:cs="Times New Roman"/>
                      <w:sz w:val="21"/>
                      <w:szCs w:val="21"/>
                    </w:rPr>
                    <w:t>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387"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SO</w:t>
                  </w:r>
                  <w:r>
                    <w:rPr>
                      <w:rFonts w:hint="eastAsia" w:ascii="Times New Roman" w:cs="Times New Roman"/>
                      <w:sz w:val="21"/>
                      <w:szCs w:val="21"/>
                      <w:vertAlign w:val="subscript"/>
                    </w:rPr>
                    <w:t>2</w:t>
                  </w:r>
                </w:p>
              </w:tc>
              <w:tc>
                <w:tcPr>
                  <w:tcW w:w="323" w:type="pct"/>
                  <w:vMerge w:val="continue"/>
                  <w:vAlign w:val="center"/>
                </w:tcPr>
                <w:p>
                  <w:pPr>
                    <w:pStyle w:val="27"/>
                    <w:spacing w:line="240" w:lineRule="auto"/>
                    <w:jc w:val="center"/>
                    <w:rPr>
                      <w:rFonts w:ascii="Times New Roman" w:cs="Times New Roman"/>
                      <w:sz w:val="21"/>
                      <w:szCs w:val="21"/>
                    </w:rPr>
                  </w:pPr>
                </w:p>
              </w:tc>
              <w:tc>
                <w:tcPr>
                  <w:tcW w:w="794" w:type="dxa"/>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0.</w:t>
                  </w:r>
                  <w:r>
                    <w:rPr>
                      <w:rFonts w:hint="eastAsia" w:ascii="Times New Roman" w:cs="Times New Roman"/>
                      <w:sz w:val="21"/>
                      <w:szCs w:val="21"/>
                      <w:lang w:val="en-US" w:eastAsia="zh-CN"/>
                    </w:rPr>
                    <w:t>033</w:t>
                  </w:r>
                </w:p>
              </w:tc>
              <w:tc>
                <w:tcPr>
                  <w:tcW w:w="794" w:type="dxa"/>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0.0</w:t>
                  </w:r>
                  <w:r>
                    <w:rPr>
                      <w:rFonts w:hint="eastAsia" w:ascii="Times New Roman" w:cs="Times New Roman"/>
                      <w:sz w:val="21"/>
                      <w:szCs w:val="21"/>
                      <w:lang w:val="en-US" w:eastAsia="zh-CN"/>
                    </w:rPr>
                    <w:t>05</w:t>
                  </w:r>
                </w:p>
              </w:tc>
              <w:tc>
                <w:tcPr>
                  <w:tcW w:w="293" w:type="pct"/>
                  <w:vMerge w:val="continue"/>
                  <w:vAlign w:val="center"/>
                </w:tcPr>
                <w:p>
                  <w:pPr>
                    <w:pStyle w:val="27"/>
                    <w:spacing w:line="240" w:lineRule="auto"/>
                    <w:jc w:val="center"/>
                    <w:rPr>
                      <w:rFonts w:ascii="Times New Roman" w:cs="Times New Roman"/>
                      <w:sz w:val="21"/>
                      <w:szCs w:val="21"/>
                    </w:rPr>
                  </w:pPr>
                </w:p>
              </w:tc>
              <w:tc>
                <w:tcPr>
                  <w:tcW w:w="546"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是</w:t>
                  </w:r>
                </w:p>
              </w:tc>
              <w:tc>
                <w:tcPr>
                  <w:tcW w:w="659" w:type="pct"/>
                  <w:vMerge w:val="continue"/>
                  <w:vAlign w:val="center"/>
                </w:tcPr>
                <w:p>
                  <w:pPr>
                    <w:pStyle w:val="27"/>
                    <w:spacing w:line="240" w:lineRule="auto"/>
                    <w:jc w:val="center"/>
                    <w:rPr>
                      <w:rFonts w:ascii="Times New Roman" w:cs="Times New Roman"/>
                      <w:sz w:val="21"/>
                      <w:szCs w:val="21"/>
                    </w:rPr>
                  </w:pPr>
                </w:p>
              </w:tc>
              <w:tc>
                <w:tcPr>
                  <w:tcW w:w="794" w:type="dxa"/>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0.</w:t>
                  </w:r>
                  <w:r>
                    <w:rPr>
                      <w:rFonts w:hint="eastAsia" w:ascii="Times New Roman" w:cs="Times New Roman"/>
                      <w:sz w:val="21"/>
                      <w:szCs w:val="21"/>
                      <w:lang w:val="en-US" w:eastAsia="zh-CN"/>
                    </w:rPr>
                    <w:t>033</w:t>
                  </w:r>
                </w:p>
              </w:tc>
              <w:tc>
                <w:tcPr>
                  <w:tcW w:w="794" w:type="dxa"/>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0.94</w:t>
                  </w:r>
                </w:p>
              </w:tc>
              <w:tc>
                <w:tcPr>
                  <w:tcW w:w="794" w:type="dxa"/>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0.0</w:t>
                  </w:r>
                  <w:r>
                    <w:rPr>
                      <w:rFonts w:hint="eastAsia" w:ascii="Times New Roman" w:cs="Times New Roman"/>
                      <w:sz w:val="21"/>
                      <w:szCs w:val="21"/>
                      <w:lang w:val="en-US" w:eastAsia="zh-CN"/>
                    </w:rPr>
                    <w:t>05</w:t>
                  </w:r>
                </w:p>
              </w:tc>
              <w:tc>
                <w:tcPr>
                  <w:tcW w:w="252" w:type="pct"/>
                  <w:vMerge w:val="continue"/>
                  <w:vAlign w:val="center"/>
                </w:tcPr>
                <w:p>
                  <w:pPr>
                    <w:pStyle w:val="27"/>
                    <w:spacing w:line="240" w:lineRule="auto"/>
                    <w:jc w:val="center"/>
                    <w:rPr>
                      <w:rFonts w:ascii="Times New Roman" w:cs="Times New Roman"/>
                      <w:sz w:val="21"/>
                      <w:szCs w:val="21"/>
                    </w:rPr>
                  </w:pPr>
                </w:p>
              </w:tc>
              <w:tc>
                <w:tcPr>
                  <w:tcW w:w="252" w:type="pct"/>
                  <w:vMerge w:val="continue"/>
                  <w:vAlign w:val="center"/>
                </w:tcPr>
                <w:p>
                  <w:pPr>
                    <w:pStyle w:val="27"/>
                    <w:spacing w:line="240" w:lineRule="auto"/>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NOx</w:t>
                  </w:r>
                </w:p>
              </w:tc>
              <w:tc>
                <w:tcPr>
                  <w:tcW w:w="323" w:type="pct"/>
                  <w:vMerge w:val="continue"/>
                  <w:vAlign w:val="center"/>
                </w:tcPr>
                <w:p>
                  <w:pPr>
                    <w:pStyle w:val="27"/>
                    <w:spacing w:line="240" w:lineRule="auto"/>
                    <w:jc w:val="center"/>
                    <w:rPr>
                      <w:rFonts w:ascii="Times New Roman" w:cs="Times New Roman"/>
                      <w:sz w:val="21"/>
                      <w:szCs w:val="21"/>
                    </w:rPr>
                  </w:pPr>
                </w:p>
              </w:tc>
              <w:tc>
                <w:tcPr>
                  <w:tcW w:w="407"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1.963</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0.</w:t>
                  </w:r>
                  <w:r>
                    <w:rPr>
                      <w:rFonts w:hint="eastAsia" w:ascii="Times New Roman" w:cs="Times New Roman"/>
                      <w:sz w:val="21"/>
                      <w:szCs w:val="21"/>
                      <w:lang w:val="en-US" w:eastAsia="zh-CN"/>
                    </w:rPr>
                    <w:t>276</w:t>
                  </w:r>
                </w:p>
              </w:tc>
              <w:tc>
                <w:tcPr>
                  <w:tcW w:w="293" w:type="pct"/>
                  <w:vMerge w:val="continue"/>
                  <w:vAlign w:val="center"/>
                </w:tcPr>
                <w:p>
                  <w:pPr>
                    <w:pStyle w:val="27"/>
                    <w:spacing w:line="240" w:lineRule="auto"/>
                    <w:jc w:val="center"/>
                    <w:rPr>
                      <w:rFonts w:ascii="Times New Roman" w:cs="Times New Roman"/>
                      <w:sz w:val="21"/>
                      <w:szCs w:val="21"/>
                    </w:rPr>
                  </w:pPr>
                </w:p>
              </w:tc>
              <w:tc>
                <w:tcPr>
                  <w:tcW w:w="546"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是</w:t>
                  </w:r>
                </w:p>
              </w:tc>
              <w:tc>
                <w:tcPr>
                  <w:tcW w:w="659" w:type="pct"/>
                  <w:vMerge w:val="continue"/>
                  <w:vAlign w:val="center"/>
                </w:tcPr>
                <w:p>
                  <w:pPr>
                    <w:pStyle w:val="27"/>
                    <w:spacing w:line="240" w:lineRule="auto"/>
                    <w:jc w:val="center"/>
                    <w:rPr>
                      <w:rFonts w:ascii="Times New Roman" w:cs="Times New Roman"/>
                      <w:sz w:val="21"/>
                      <w:szCs w:val="21"/>
                    </w:rPr>
                  </w:pPr>
                </w:p>
              </w:tc>
              <w:tc>
                <w:tcPr>
                  <w:tcW w:w="794" w:type="dxa"/>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1.963</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55.28</w:t>
                  </w:r>
                </w:p>
              </w:tc>
              <w:tc>
                <w:tcPr>
                  <w:tcW w:w="794" w:type="dxa"/>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0.</w:t>
                  </w:r>
                  <w:r>
                    <w:rPr>
                      <w:rFonts w:hint="eastAsia" w:ascii="Times New Roman" w:cs="Times New Roman"/>
                      <w:sz w:val="21"/>
                      <w:szCs w:val="21"/>
                      <w:lang w:val="en-US" w:eastAsia="zh-CN"/>
                    </w:rPr>
                    <w:t>276</w:t>
                  </w:r>
                </w:p>
              </w:tc>
              <w:tc>
                <w:tcPr>
                  <w:tcW w:w="252" w:type="pct"/>
                  <w:vMerge w:val="continue"/>
                  <w:vAlign w:val="center"/>
                </w:tcPr>
                <w:p>
                  <w:pPr>
                    <w:pStyle w:val="27"/>
                    <w:spacing w:line="240" w:lineRule="auto"/>
                    <w:jc w:val="center"/>
                    <w:rPr>
                      <w:rFonts w:ascii="Times New Roman" w:cs="Times New Roman"/>
                      <w:sz w:val="21"/>
                      <w:szCs w:val="21"/>
                    </w:rPr>
                  </w:pPr>
                </w:p>
              </w:tc>
              <w:tc>
                <w:tcPr>
                  <w:tcW w:w="252" w:type="pct"/>
                  <w:vMerge w:val="continue"/>
                  <w:vAlign w:val="center"/>
                </w:tcPr>
                <w:p>
                  <w:pPr>
                    <w:pStyle w:val="27"/>
                    <w:spacing w:line="240" w:lineRule="auto"/>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pct"/>
                  <w:vMerge w:val="restart"/>
                  <w:vAlign w:val="center"/>
                </w:tcPr>
                <w:p>
                  <w:pPr>
                    <w:pStyle w:val="27"/>
                    <w:spacing w:line="240" w:lineRule="auto"/>
                    <w:jc w:val="center"/>
                    <w:rPr>
                      <w:rFonts w:ascii="Times New Roman" w:cs="Times New Roman"/>
                      <w:sz w:val="21"/>
                      <w:szCs w:val="21"/>
                    </w:rPr>
                  </w:pPr>
                  <w:r>
                    <w:rPr>
                      <w:rFonts w:ascii="Times New Roman" w:cs="Times New Roman"/>
                      <w:sz w:val="21"/>
                      <w:szCs w:val="21"/>
                    </w:rPr>
                    <w:t>食堂油烟</w:t>
                  </w:r>
                </w:p>
              </w:tc>
              <w:tc>
                <w:tcPr>
                  <w:tcW w:w="323" w:type="pct"/>
                  <w:vMerge w:val="restart"/>
                  <w:vAlign w:val="center"/>
                </w:tcPr>
                <w:p>
                  <w:pPr>
                    <w:pStyle w:val="27"/>
                    <w:spacing w:line="240" w:lineRule="auto"/>
                    <w:jc w:val="center"/>
                    <w:rPr>
                      <w:rFonts w:ascii="Times New Roman" w:cs="Times New Roman"/>
                      <w:sz w:val="21"/>
                      <w:szCs w:val="21"/>
                    </w:rPr>
                  </w:pPr>
                  <w:r>
                    <w:rPr>
                      <w:rFonts w:ascii="Times New Roman" w:cs="Times New Roman"/>
                      <w:sz w:val="21"/>
                      <w:szCs w:val="21"/>
                    </w:rPr>
                    <w:t>食堂做饭</w:t>
                  </w:r>
                </w:p>
              </w:tc>
              <w:tc>
                <w:tcPr>
                  <w:tcW w:w="407" w:type="pct"/>
                  <w:vMerge w:val="restart"/>
                  <w:vAlign w:val="center"/>
                </w:tcPr>
                <w:p>
                  <w:pPr>
                    <w:pStyle w:val="27"/>
                    <w:spacing w:line="240" w:lineRule="auto"/>
                    <w:jc w:val="center"/>
                    <w:rPr>
                      <w:rFonts w:hint="eastAsia" w:ascii="Times New Roman" w:eastAsia="宋体" w:cs="Times New Roman"/>
                      <w:sz w:val="21"/>
                      <w:szCs w:val="21"/>
                      <w:lang w:val="en-US" w:eastAsia="zh-CN"/>
                    </w:rPr>
                  </w:pPr>
                  <w:r>
                    <w:rPr>
                      <w:rFonts w:ascii="Times New Roman" w:cs="Times New Roman"/>
                      <w:sz w:val="21"/>
                      <w:szCs w:val="21"/>
                    </w:rPr>
                    <w:t>0.00</w:t>
                  </w:r>
                  <w:r>
                    <w:rPr>
                      <w:rFonts w:hint="eastAsia" w:ascii="Times New Roman" w:cs="Times New Roman"/>
                      <w:sz w:val="21"/>
                      <w:szCs w:val="21"/>
                      <w:lang w:val="en-US" w:eastAsia="zh-CN"/>
                    </w:rPr>
                    <w:t>3</w:t>
                  </w:r>
                </w:p>
              </w:tc>
              <w:tc>
                <w:tcPr>
                  <w:tcW w:w="469" w:type="pct"/>
                  <w:vMerge w:val="restart"/>
                  <w:vAlign w:val="center"/>
                </w:tcPr>
                <w:p>
                  <w:pPr>
                    <w:pStyle w:val="27"/>
                    <w:spacing w:line="240" w:lineRule="auto"/>
                    <w:jc w:val="center"/>
                    <w:rPr>
                      <w:rFonts w:ascii="Times New Roman" w:cs="Times New Roman"/>
                      <w:sz w:val="21"/>
                      <w:szCs w:val="21"/>
                    </w:rPr>
                  </w:pPr>
                  <w:r>
                    <w:rPr>
                      <w:rFonts w:ascii="Times New Roman" w:cs="Times New Roman"/>
                      <w:sz w:val="21"/>
                      <w:szCs w:val="21"/>
                    </w:rPr>
                    <w:t>0.0</w:t>
                  </w:r>
                  <w:r>
                    <w:rPr>
                      <w:rFonts w:hint="eastAsia" w:ascii="Times New Roman" w:cs="Times New Roman"/>
                      <w:sz w:val="21"/>
                      <w:szCs w:val="21"/>
                    </w:rPr>
                    <w:t>1</w:t>
                  </w:r>
                </w:p>
              </w:tc>
              <w:tc>
                <w:tcPr>
                  <w:tcW w:w="293" w:type="pct"/>
                  <w:vMerge w:val="restar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油烟净化器</w:t>
                  </w:r>
                </w:p>
              </w:tc>
              <w:tc>
                <w:tcPr>
                  <w:tcW w:w="546" w:type="pct"/>
                  <w:vMerge w:val="restar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是</w:t>
                  </w:r>
                </w:p>
              </w:tc>
              <w:tc>
                <w:tcPr>
                  <w:tcW w:w="659" w:type="pct"/>
                  <w:vMerge w:val="restar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废气</w:t>
                  </w:r>
                  <w:r>
                    <w:rPr>
                      <w:rFonts w:ascii="Times New Roman" w:cs="Times New Roman"/>
                      <w:sz w:val="21"/>
                      <w:szCs w:val="21"/>
                    </w:rPr>
                    <w:t>收集率</w:t>
                  </w:r>
                  <w:r>
                    <w:rPr>
                      <w:rFonts w:hint="eastAsia" w:ascii="Times New Roman" w:cs="Times New Roman"/>
                      <w:sz w:val="21"/>
                      <w:szCs w:val="21"/>
                    </w:rPr>
                    <w:t>9</w:t>
                  </w:r>
                  <w:r>
                    <w:rPr>
                      <w:rFonts w:ascii="Times New Roman" w:cs="Times New Roman"/>
                      <w:sz w:val="21"/>
                      <w:szCs w:val="21"/>
                    </w:rPr>
                    <w:t>0%，</w:t>
                  </w:r>
                  <w:r>
                    <w:rPr>
                      <w:rFonts w:hint="eastAsia" w:ascii="Times New Roman" w:cs="Times New Roman"/>
                      <w:sz w:val="21"/>
                      <w:szCs w:val="21"/>
                    </w:rPr>
                    <w:t>废气去除</w:t>
                  </w:r>
                  <w:r>
                    <w:rPr>
                      <w:rFonts w:ascii="Times New Roman" w:cs="Times New Roman"/>
                      <w:sz w:val="21"/>
                      <w:szCs w:val="21"/>
                    </w:rPr>
                    <w:t>率</w:t>
                  </w:r>
                  <w:r>
                    <w:rPr>
                      <w:rFonts w:hint="eastAsia" w:ascii="Times New Roman" w:cs="Times New Roman"/>
                      <w:sz w:val="21"/>
                      <w:szCs w:val="21"/>
                    </w:rPr>
                    <w:t>60</w:t>
                  </w:r>
                  <w:r>
                    <w:rPr>
                      <w:rFonts w:ascii="Times New Roman" w:cs="Times New Roman"/>
                      <w:sz w:val="21"/>
                      <w:szCs w:val="21"/>
                    </w:rPr>
                    <w:t>%</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ascii="Times New Roman" w:cs="Times New Roman"/>
                      <w:sz w:val="21"/>
                      <w:szCs w:val="21"/>
                    </w:rPr>
                    <w:t>0.00</w:t>
                  </w:r>
                  <w:r>
                    <w:rPr>
                      <w:rFonts w:hint="eastAsia" w:ascii="Times New Roman" w:cs="Times New Roman"/>
                      <w:sz w:val="21"/>
                      <w:szCs w:val="21"/>
                      <w:lang w:val="en-US" w:eastAsia="zh-CN"/>
                    </w:rPr>
                    <w:t>12</w:t>
                  </w:r>
                </w:p>
              </w:tc>
              <w:tc>
                <w:tcPr>
                  <w:tcW w:w="469"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rPr>
                    <w:t>1.</w:t>
                  </w:r>
                  <w:r>
                    <w:rPr>
                      <w:rFonts w:hint="eastAsia" w:ascii="Times New Roman" w:cs="Times New Roman"/>
                      <w:sz w:val="21"/>
                      <w:szCs w:val="21"/>
                      <w:lang w:val="en-US" w:eastAsia="zh-CN"/>
                    </w:rPr>
                    <w:t>30</w:t>
                  </w:r>
                </w:p>
              </w:tc>
              <w:tc>
                <w:tcPr>
                  <w:tcW w:w="469"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0.00</w:t>
                  </w:r>
                  <w:r>
                    <w:rPr>
                      <w:rFonts w:hint="eastAsia" w:ascii="Times New Roman" w:cs="Times New Roman"/>
                      <w:sz w:val="21"/>
                      <w:szCs w:val="21"/>
                    </w:rPr>
                    <w:t>3</w:t>
                  </w:r>
                </w:p>
              </w:tc>
              <w:tc>
                <w:tcPr>
                  <w:tcW w:w="252" w:type="pct"/>
                  <w:vAlign w:val="center"/>
                </w:tcPr>
                <w:p>
                  <w:pPr>
                    <w:pStyle w:val="27"/>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4</w:t>
                  </w:r>
                </w:p>
              </w:tc>
              <w:tc>
                <w:tcPr>
                  <w:tcW w:w="252" w:type="pct"/>
                  <w:vAlign w:val="center"/>
                </w:tcPr>
                <w:p>
                  <w:pPr>
                    <w:pStyle w:val="27"/>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屋顶排放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pct"/>
                  <w:vMerge w:val="continue"/>
                  <w:vAlign w:val="center"/>
                </w:tcPr>
                <w:p>
                  <w:pPr>
                    <w:pStyle w:val="27"/>
                    <w:spacing w:line="240" w:lineRule="auto"/>
                    <w:jc w:val="center"/>
                    <w:rPr>
                      <w:rFonts w:ascii="Times New Roman" w:cs="Times New Roman"/>
                      <w:sz w:val="21"/>
                      <w:szCs w:val="21"/>
                    </w:rPr>
                  </w:pPr>
                </w:p>
              </w:tc>
              <w:tc>
                <w:tcPr>
                  <w:tcW w:w="323" w:type="pct"/>
                  <w:vMerge w:val="continue"/>
                  <w:vAlign w:val="center"/>
                </w:tcPr>
                <w:p>
                  <w:pPr>
                    <w:pStyle w:val="27"/>
                    <w:spacing w:line="240" w:lineRule="auto"/>
                    <w:jc w:val="center"/>
                    <w:rPr>
                      <w:rFonts w:ascii="Times New Roman" w:cs="Times New Roman"/>
                      <w:sz w:val="21"/>
                      <w:szCs w:val="21"/>
                    </w:rPr>
                  </w:pPr>
                </w:p>
              </w:tc>
              <w:tc>
                <w:tcPr>
                  <w:tcW w:w="407" w:type="pct"/>
                  <w:vMerge w:val="continue"/>
                  <w:vAlign w:val="center"/>
                </w:tcPr>
                <w:p>
                  <w:pPr>
                    <w:pStyle w:val="27"/>
                    <w:spacing w:line="240" w:lineRule="auto"/>
                    <w:jc w:val="center"/>
                    <w:rPr>
                      <w:rFonts w:ascii="Times New Roman" w:cs="Times New Roman"/>
                      <w:sz w:val="21"/>
                      <w:szCs w:val="21"/>
                    </w:rPr>
                  </w:pPr>
                </w:p>
              </w:tc>
              <w:tc>
                <w:tcPr>
                  <w:tcW w:w="469" w:type="pct"/>
                  <w:vMerge w:val="continue"/>
                  <w:vAlign w:val="center"/>
                </w:tcPr>
                <w:p>
                  <w:pPr>
                    <w:pStyle w:val="27"/>
                    <w:spacing w:line="240" w:lineRule="auto"/>
                    <w:jc w:val="center"/>
                    <w:rPr>
                      <w:rFonts w:ascii="Times New Roman" w:cs="Times New Roman"/>
                      <w:sz w:val="21"/>
                      <w:szCs w:val="21"/>
                    </w:rPr>
                  </w:pPr>
                </w:p>
              </w:tc>
              <w:tc>
                <w:tcPr>
                  <w:tcW w:w="293" w:type="pct"/>
                  <w:vMerge w:val="continue"/>
                  <w:vAlign w:val="center"/>
                </w:tcPr>
                <w:p>
                  <w:pPr>
                    <w:pStyle w:val="27"/>
                    <w:spacing w:line="240" w:lineRule="auto"/>
                    <w:jc w:val="center"/>
                    <w:rPr>
                      <w:rFonts w:ascii="Times New Roman" w:cs="Times New Roman"/>
                      <w:sz w:val="21"/>
                      <w:szCs w:val="21"/>
                    </w:rPr>
                  </w:pPr>
                </w:p>
              </w:tc>
              <w:tc>
                <w:tcPr>
                  <w:tcW w:w="546" w:type="pct"/>
                  <w:vMerge w:val="continue"/>
                  <w:vAlign w:val="center"/>
                </w:tcPr>
                <w:p>
                  <w:pPr>
                    <w:pStyle w:val="27"/>
                    <w:spacing w:line="240" w:lineRule="auto"/>
                    <w:jc w:val="center"/>
                    <w:rPr>
                      <w:rFonts w:ascii="Times New Roman" w:cs="Times New Roman"/>
                      <w:sz w:val="21"/>
                      <w:szCs w:val="21"/>
                    </w:rPr>
                  </w:pPr>
                </w:p>
              </w:tc>
              <w:tc>
                <w:tcPr>
                  <w:tcW w:w="659" w:type="pct"/>
                  <w:vMerge w:val="continue"/>
                  <w:vAlign w:val="center"/>
                </w:tcPr>
                <w:p>
                  <w:pPr>
                    <w:pStyle w:val="27"/>
                    <w:spacing w:line="240" w:lineRule="auto"/>
                    <w:jc w:val="center"/>
                    <w:rPr>
                      <w:rFonts w:ascii="Times New Roman" w:cs="Times New Roman"/>
                      <w:sz w:val="21"/>
                      <w:szCs w:val="21"/>
                    </w:rPr>
                  </w:pPr>
                </w:p>
              </w:tc>
              <w:tc>
                <w:tcPr>
                  <w:tcW w:w="469"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0.0002</w:t>
                  </w:r>
                </w:p>
              </w:tc>
              <w:tc>
                <w:tcPr>
                  <w:tcW w:w="469"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w:t>
                  </w:r>
                </w:p>
              </w:tc>
              <w:tc>
                <w:tcPr>
                  <w:tcW w:w="469"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0.001</w:t>
                  </w:r>
                </w:p>
              </w:tc>
              <w:tc>
                <w:tcPr>
                  <w:tcW w:w="252" w:type="pct"/>
                  <w:vAlign w:val="center"/>
                </w:tcPr>
                <w:p>
                  <w:pPr>
                    <w:pStyle w:val="27"/>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4</w:t>
                  </w:r>
                </w:p>
              </w:tc>
              <w:tc>
                <w:tcPr>
                  <w:tcW w:w="252"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无组织</w:t>
                  </w:r>
                </w:p>
              </w:tc>
            </w:tr>
          </w:tbl>
          <w:p>
            <w:pPr>
              <w:adjustRightInd w:val="0"/>
              <w:snapToGrid w:val="0"/>
              <w:spacing w:line="360" w:lineRule="auto"/>
              <w:ind w:firstLine="382" w:firstLineChars="200"/>
              <w:rPr>
                <w:rFonts w:hint="eastAsia"/>
                <w:b/>
                <w:spacing w:val="-10"/>
                <w:szCs w:val="21"/>
              </w:rPr>
            </w:pPr>
            <w:r>
              <w:rPr>
                <w:rFonts w:hint="eastAsia"/>
                <w:b/>
                <w:spacing w:val="-10"/>
                <w:szCs w:val="21"/>
                <w:lang w:val="en-US" w:eastAsia="zh-CN"/>
              </w:rPr>
              <w:t>注1：</w:t>
            </w:r>
            <w:r>
              <w:rPr>
                <w:rFonts w:hint="eastAsia"/>
                <w:b/>
                <w:spacing w:val="-10"/>
                <w:szCs w:val="21"/>
              </w:rPr>
              <w:t>本项目为</w:t>
            </w:r>
            <w:r>
              <w:rPr>
                <w:rFonts w:hint="eastAsia"/>
                <w:b/>
                <w:spacing w:val="-10"/>
                <w:szCs w:val="21"/>
                <w:lang w:val="en-US" w:eastAsia="zh-CN"/>
              </w:rPr>
              <w:t>竹炭加工行业</w:t>
            </w:r>
            <w:r>
              <w:rPr>
                <w:rFonts w:hint="eastAsia"/>
                <w:b/>
                <w:spacing w:val="-10"/>
                <w:szCs w:val="21"/>
              </w:rPr>
              <w:t>，</w:t>
            </w:r>
            <w:r>
              <w:rPr>
                <w:rFonts w:hint="eastAsia"/>
                <w:b/>
                <w:spacing w:val="-10"/>
                <w:szCs w:val="21"/>
                <w:lang w:eastAsia="zh-CN"/>
              </w:rPr>
              <w:t>涉及到</w:t>
            </w:r>
            <w:r>
              <w:rPr>
                <w:rFonts w:hint="eastAsia"/>
                <w:b/>
                <w:spacing w:val="-10"/>
                <w:szCs w:val="21"/>
                <w:lang w:val="en-US" w:eastAsia="zh-CN"/>
              </w:rPr>
              <w:t>工业炉窑</w:t>
            </w:r>
            <w:r>
              <w:rPr>
                <w:rFonts w:hint="eastAsia"/>
                <w:b/>
                <w:spacing w:val="-10"/>
                <w:szCs w:val="21"/>
                <w:lang w:eastAsia="zh-CN"/>
              </w:rPr>
              <w:t>，对照</w:t>
            </w:r>
            <w:r>
              <w:rPr>
                <w:rFonts w:hint="eastAsia"/>
                <w:b/>
                <w:spacing w:val="-10"/>
                <w:szCs w:val="21"/>
              </w:rPr>
              <w:t>《排污许可证申请与核发技术规</w:t>
            </w:r>
            <w:r>
              <w:rPr>
                <w:rFonts w:hint="eastAsia"/>
                <w:b/>
                <w:spacing w:val="-10"/>
                <w:szCs w:val="21"/>
                <w:lang w:val="en-US" w:eastAsia="zh-CN"/>
              </w:rPr>
              <w:t>范</w:t>
            </w:r>
            <w:r>
              <w:rPr>
                <w:rFonts w:hint="eastAsia"/>
                <w:b/>
                <w:spacing w:val="-10"/>
                <w:szCs w:val="21"/>
              </w:rPr>
              <w:t xml:space="preserve"> </w:t>
            </w:r>
            <w:r>
              <w:rPr>
                <w:rFonts w:hint="eastAsia"/>
                <w:b/>
                <w:spacing w:val="-10"/>
                <w:szCs w:val="21"/>
                <w:lang w:val="en-US" w:eastAsia="zh-CN"/>
              </w:rPr>
              <w:t>工业炉窑</w:t>
            </w:r>
            <w:r>
              <w:rPr>
                <w:rFonts w:hint="eastAsia"/>
                <w:b/>
                <w:spacing w:val="-10"/>
                <w:szCs w:val="21"/>
              </w:rPr>
              <w:t>》（HJ</w:t>
            </w:r>
            <w:r>
              <w:rPr>
                <w:rFonts w:hint="eastAsia"/>
                <w:b/>
                <w:spacing w:val="-10"/>
                <w:szCs w:val="21"/>
                <w:lang w:val="en-US" w:eastAsia="zh-CN"/>
              </w:rPr>
              <w:t>1121</w:t>
            </w:r>
            <w:r>
              <w:rPr>
                <w:rFonts w:hint="eastAsia"/>
                <w:b/>
                <w:spacing w:val="-10"/>
                <w:szCs w:val="21"/>
              </w:rPr>
              <w:t>-20</w:t>
            </w:r>
            <w:r>
              <w:rPr>
                <w:rFonts w:hint="eastAsia"/>
                <w:b/>
                <w:spacing w:val="-10"/>
                <w:szCs w:val="21"/>
                <w:lang w:val="en-US" w:eastAsia="zh-CN"/>
              </w:rPr>
              <w:t>20</w:t>
            </w:r>
            <w:r>
              <w:rPr>
                <w:rFonts w:hint="eastAsia"/>
                <w:b/>
                <w:spacing w:val="-10"/>
                <w:szCs w:val="21"/>
              </w:rPr>
              <w:t>）的表</w:t>
            </w:r>
            <w:r>
              <w:rPr>
                <w:rFonts w:hint="eastAsia"/>
                <w:b/>
                <w:spacing w:val="-10"/>
                <w:szCs w:val="21"/>
                <w:lang w:val="en-US" w:eastAsia="zh-CN"/>
              </w:rPr>
              <w:t>14</w:t>
            </w:r>
            <w:r>
              <w:rPr>
                <w:rFonts w:hint="eastAsia"/>
                <w:b/>
                <w:spacing w:val="-10"/>
                <w:szCs w:val="21"/>
              </w:rPr>
              <w:t>，供热</w:t>
            </w:r>
            <w:r>
              <w:rPr>
                <w:rFonts w:hint="eastAsia"/>
                <w:b/>
                <w:spacing w:val="-10"/>
                <w:szCs w:val="21"/>
                <w:lang w:val="en-US" w:eastAsia="zh-CN"/>
              </w:rPr>
              <w:t>炉窑</w:t>
            </w:r>
            <w:r>
              <w:rPr>
                <w:rFonts w:hint="eastAsia"/>
                <w:b/>
                <w:spacing w:val="-10"/>
                <w:szCs w:val="21"/>
              </w:rPr>
              <w:t>产生的废气采用的静电除尘技术</w:t>
            </w:r>
            <w:r>
              <w:rPr>
                <w:rFonts w:hint="eastAsia"/>
                <w:b/>
                <w:spacing w:val="-10"/>
                <w:szCs w:val="21"/>
                <w:lang w:val="en-US" w:eastAsia="zh-CN"/>
              </w:rPr>
              <w:t>是可行技术</w:t>
            </w:r>
            <w:r>
              <w:rPr>
                <w:rFonts w:hint="eastAsia"/>
                <w:b/>
                <w:spacing w:val="-10"/>
                <w:szCs w:val="21"/>
                <w:lang w:eastAsia="zh-CN"/>
              </w:rPr>
              <w:t>，</w:t>
            </w:r>
            <w:r>
              <w:rPr>
                <w:rFonts w:hint="eastAsia"/>
                <w:b/>
                <w:spacing w:val="-10"/>
                <w:szCs w:val="21"/>
                <w:lang w:val="en-US" w:eastAsia="zh-CN"/>
              </w:rPr>
              <w:t>对照《</w:t>
            </w:r>
            <w:r>
              <w:rPr>
                <w:rFonts w:hint="eastAsia"/>
                <w:b/>
                <w:spacing w:val="-10"/>
                <w:szCs w:val="21"/>
              </w:rPr>
              <w:t>排污许可证申请与核发技术规</w:t>
            </w:r>
            <w:r>
              <w:rPr>
                <w:rFonts w:hint="eastAsia"/>
                <w:b/>
                <w:spacing w:val="-10"/>
                <w:szCs w:val="21"/>
                <w:lang w:val="en-US" w:eastAsia="zh-CN"/>
              </w:rPr>
              <w:t>范 废弃资源加工工业》（HJ1034-2019），其破碎加工产生的粉尘采用布袋除尘技术也</w:t>
            </w:r>
            <w:r>
              <w:rPr>
                <w:rFonts w:hint="eastAsia"/>
                <w:b/>
                <w:spacing w:val="-10"/>
                <w:szCs w:val="21"/>
              </w:rPr>
              <w:t>为可行技术。</w:t>
            </w:r>
          </w:p>
          <w:p>
            <w:pPr>
              <w:adjustRightInd w:val="0"/>
              <w:snapToGrid w:val="0"/>
              <w:spacing w:line="360" w:lineRule="auto"/>
              <w:ind w:firstLine="382" w:firstLineChars="200"/>
              <w:rPr>
                <w:rFonts w:hint="eastAsia" w:eastAsia="宋体"/>
                <w:b/>
                <w:spacing w:val="-10"/>
                <w:szCs w:val="21"/>
                <w:lang w:eastAsia="zh-CN"/>
              </w:rPr>
            </w:pPr>
            <w:r>
              <w:rPr>
                <w:rFonts w:hint="eastAsia"/>
                <w:b/>
                <w:spacing w:val="-10"/>
                <w:szCs w:val="21"/>
                <w:lang w:val="en-US" w:eastAsia="zh-CN"/>
              </w:rPr>
              <w:t>注2：无组织排放高度为车间一般高度</w:t>
            </w:r>
            <w:r>
              <w:rPr>
                <w:rFonts w:hint="eastAsia"/>
                <w:b/>
                <w:spacing w:val="-1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82" w:firstLineChars="200"/>
              <w:jc w:val="both"/>
              <w:textAlignment w:val="auto"/>
              <w:rPr>
                <w:rFonts w:hint="default" w:eastAsia="宋体"/>
                <w:b/>
                <w:spacing w:val="-10"/>
                <w:szCs w:val="21"/>
                <w:lang w:val="en-US" w:eastAsia="zh-CN"/>
              </w:rPr>
            </w:pPr>
            <w:r>
              <w:rPr>
                <w:rFonts w:hint="eastAsia"/>
                <w:b/>
                <w:spacing w:val="-10"/>
                <w:szCs w:val="21"/>
                <w:lang w:val="en-US" w:eastAsia="zh-CN"/>
              </w:rPr>
              <w:t>注3：混合废气考虑到一体化烘干炭化设备基本一天24小时运行，考虑运行时长为7100h/a进行计算，其余生产设备及工作按2400h/a计算，食堂按300h/a计算。</w:t>
            </w:r>
          </w:p>
          <w:p>
            <w:pPr>
              <w:adjustRightInd w:val="0"/>
              <w:snapToGrid w:val="0"/>
              <w:ind w:firstLine="382" w:firstLineChars="200"/>
              <w:jc w:val="center"/>
              <w:rPr>
                <w:b/>
                <w:spacing w:val="-10"/>
                <w:sz w:val="24"/>
              </w:rPr>
            </w:pPr>
            <w:r>
              <w:rPr>
                <w:rFonts w:hint="eastAsia"/>
                <w:b/>
                <w:spacing w:val="-10"/>
                <w:szCs w:val="21"/>
              </w:rPr>
              <w:t>表4-2  污染物排放口基本情况</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334"/>
              <w:gridCol w:w="981"/>
              <w:gridCol w:w="981"/>
              <w:gridCol w:w="981"/>
              <w:gridCol w:w="981"/>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排气筒名称及编号</w:t>
                  </w:r>
                </w:p>
              </w:tc>
              <w:tc>
                <w:tcPr>
                  <w:tcW w:w="784"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地理坐标</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高度</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排气筒内径</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温度</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类型</w:t>
                  </w:r>
                </w:p>
              </w:tc>
              <w:tc>
                <w:tcPr>
                  <w:tcW w:w="1148"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1#排气筒（DA001）</w:t>
                  </w:r>
                </w:p>
              </w:tc>
              <w:tc>
                <w:tcPr>
                  <w:tcW w:w="784"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11</w:t>
                  </w:r>
                  <w:r>
                    <w:rPr>
                      <w:rFonts w:hint="eastAsia" w:ascii="Times New Roman" w:cs="Times New Roman"/>
                      <w:sz w:val="21"/>
                      <w:szCs w:val="21"/>
                    </w:rPr>
                    <w:t>2</w:t>
                  </w:r>
                  <w:r>
                    <w:rPr>
                      <w:rFonts w:ascii="Times New Roman" w:cs="Times New Roman"/>
                      <w:sz w:val="21"/>
                      <w:szCs w:val="21"/>
                    </w:rPr>
                    <w:t>.</w:t>
                  </w:r>
                  <w:r>
                    <w:rPr>
                      <w:rFonts w:hint="eastAsia" w:ascii="Times New Roman" w:cs="Times New Roman"/>
                      <w:sz w:val="21"/>
                      <w:szCs w:val="21"/>
                    </w:rPr>
                    <w:t>792431</w:t>
                  </w:r>
                  <w:r>
                    <w:rPr>
                      <w:rFonts w:ascii="Times New Roman" w:cs="Times New Roman"/>
                      <w:sz w:val="21"/>
                      <w:szCs w:val="21"/>
                    </w:rPr>
                    <w:t>E</w:t>
                  </w:r>
                </w:p>
                <w:p>
                  <w:pPr>
                    <w:jc w:val="center"/>
                  </w:pPr>
                  <w:r>
                    <w:rPr>
                      <w:szCs w:val="21"/>
                    </w:rPr>
                    <w:t>27.</w:t>
                  </w:r>
                  <w:r>
                    <w:rPr>
                      <w:rFonts w:hint="eastAsia"/>
                      <w:szCs w:val="21"/>
                    </w:rPr>
                    <w:t>234421</w:t>
                  </w:r>
                  <w:r>
                    <w:rPr>
                      <w:szCs w:val="21"/>
                    </w:rPr>
                    <w:t>N</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lang w:val="en-US" w:eastAsia="zh-CN"/>
                    </w:rPr>
                    <w:t>15</w:t>
                  </w:r>
                  <w:r>
                    <w:rPr>
                      <w:rFonts w:hint="eastAsia" w:ascii="Times New Roman" w:cs="Times New Roman"/>
                      <w:sz w:val="21"/>
                      <w:szCs w:val="21"/>
                    </w:rPr>
                    <w:t>m</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0.</w:t>
                  </w:r>
                  <w:r>
                    <w:rPr>
                      <w:rFonts w:hint="eastAsia" w:ascii="Times New Roman" w:cs="Times New Roman"/>
                      <w:sz w:val="21"/>
                      <w:szCs w:val="21"/>
                      <w:lang w:val="en-US" w:eastAsia="zh-CN"/>
                    </w:rPr>
                    <w:t>2</w:t>
                  </w:r>
                  <w:r>
                    <w:rPr>
                      <w:rFonts w:hint="eastAsia" w:ascii="Times New Roman" w:cs="Times New Roman"/>
                      <w:sz w:val="21"/>
                      <w:szCs w:val="21"/>
                    </w:rPr>
                    <w:t>m</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55-60℃</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一般排放口</w:t>
                  </w:r>
                </w:p>
              </w:tc>
              <w:tc>
                <w:tcPr>
                  <w:tcW w:w="1148"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SO</w:t>
                  </w:r>
                  <w:r>
                    <w:rPr>
                      <w:rFonts w:hint="eastAsia" w:ascii="Times New Roman" w:cs="Times New Roman"/>
                      <w:sz w:val="21"/>
                      <w:szCs w:val="21"/>
                      <w:vertAlign w:val="subscript"/>
                    </w:rPr>
                    <w:t>2</w:t>
                  </w:r>
                  <w:r>
                    <w:rPr>
                      <w:rFonts w:hint="eastAsia" w:ascii="Times New Roman" w:cs="Times New Roman"/>
                      <w:sz w:val="21"/>
                      <w:szCs w:val="21"/>
                    </w:rPr>
                    <w:t>：《工业炉窑大气污染物排放标准》GB9087-1996；</w:t>
                  </w:r>
                  <w:r>
                    <w:rPr>
                      <w:rFonts w:hint="eastAsia" w:ascii="Times New Roman" w:cs="Times New Roman"/>
                      <w:sz w:val="21"/>
                      <w:szCs w:val="21"/>
                      <w:lang w:val="en-US" w:eastAsia="zh-CN"/>
                    </w:rPr>
                    <w:t>NOx和颗粒物</w:t>
                  </w:r>
                  <w:r>
                    <w:rPr>
                      <w:rFonts w:hint="eastAsia" w:ascii="Times New Roman" w:cs="Times New Roman"/>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2#排气筒（DA00</w:t>
                  </w:r>
                  <w:r>
                    <w:rPr>
                      <w:rFonts w:hint="eastAsia" w:ascii="Times New Roman" w:cs="Times New Roman"/>
                      <w:sz w:val="21"/>
                      <w:szCs w:val="21"/>
                      <w:lang w:val="en-US" w:eastAsia="zh-CN"/>
                    </w:rPr>
                    <w:t>2</w:t>
                  </w:r>
                  <w:r>
                    <w:rPr>
                      <w:rFonts w:hint="eastAsia" w:ascii="Times New Roman" w:cs="Times New Roman"/>
                      <w:sz w:val="21"/>
                      <w:szCs w:val="21"/>
                    </w:rPr>
                    <w:t>）</w:t>
                  </w:r>
                </w:p>
              </w:tc>
              <w:tc>
                <w:tcPr>
                  <w:tcW w:w="784" w:type="pct"/>
                  <w:vAlign w:val="center"/>
                </w:tcPr>
                <w:p>
                  <w:pPr>
                    <w:pStyle w:val="27"/>
                    <w:spacing w:line="240" w:lineRule="auto"/>
                    <w:jc w:val="center"/>
                    <w:rPr>
                      <w:rFonts w:ascii="Times New Roman" w:cs="Times New Roman"/>
                    </w:rPr>
                  </w:pPr>
                  <w:r>
                    <w:rPr>
                      <w:rFonts w:ascii="Times New Roman" w:cs="Times New Roman"/>
                      <w:sz w:val="21"/>
                      <w:szCs w:val="21"/>
                    </w:rPr>
                    <w:t>112.792618E</w:t>
                  </w:r>
                </w:p>
                <w:p>
                  <w:pPr>
                    <w:pStyle w:val="27"/>
                    <w:spacing w:line="240" w:lineRule="auto"/>
                    <w:jc w:val="center"/>
                    <w:rPr>
                      <w:rFonts w:ascii="Times New Roman" w:cs="Times New Roman"/>
                      <w:sz w:val="21"/>
                      <w:szCs w:val="21"/>
                    </w:rPr>
                  </w:pPr>
                  <w:r>
                    <w:rPr>
                      <w:rFonts w:ascii="Times New Roman" w:cs="Times New Roman"/>
                      <w:sz w:val="21"/>
                      <w:szCs w:val="21"/>
                    </w:rPr>
                    <w:t>27.234507N</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lang w:val="en-US" w:eastAsia="zh-CN"/>
                    </w:rPr>
                    <w:t>4</w:t>
                  </w:r>
                  <w:r>
                    <w:rPr>
                      <w:rFonts w:hint="eastAsia" w:ascii="Times New Roman" w:cs="Times New Roman"/>
                      <w:sz w:val="21"/>
                      <w:szCs w:val="21"/>
                    </w:rPr>
                    <w:t>m</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0.</w:t>
                  </w:r>
                  <w:r>
                    <w:rPr>
                      <w:rFonts w:hint="eastAsia" w:ascii="Times New Roman" w:cs="Times New Roman"/>
                      <w:sz w:val="21"/>
                      <w:szCs w:val="21"/>
                      <w:lang w:val="en-US" w:eastAsia="zh-CN"/>
                    </w:rPr>
                    <w:t>2</w:t>
                  </w:r>
                  <w:r>
                    <w:rPr>
                      <w:rFonts w:hint="eastAsia" w:ascii="Times New Roman" w:cs="Times New Roman"/>
                      <w:sz w:val="21"/>
                      <w:szCs w:val="21"/>
                    </w:rPr>
                    <w:t>m</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55-60℃</w:t>
                  </w:r>
                </w:p>
              </w:tc>
              <w:tc>
                <w:tcPr>
                  <w:tcW w:w="581"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一般排放口</w:t>
                  </w:r>
                </w:p>
              </w:tc>
              <w:tc>
                <w:tcPr>
                  <w:tcW w:w="1148" w:type="pct"/>
                  <w:vAlign w:val="center"/>
                </w:tcPr>
                <w:p>
                  <w:pPr>
                    <w:pStyle w:val="27"/>
                    <w:spacing w:line="240" w:lineRule="auto"/>
                    <w:jc w:val="center"/>
                    <w:rPr>
                      <w:rFonts w:ascii="Times New Roman" w:cs="Times New Roman"/>
                      <w:sz w:val="21"/>
                      <w:szCs w:val="21"/>
                    </w:rPr>
                  </w:pPr>
                  <w:r>
                    <w:rPr>
                      <w:rFonts w:hint="eastAsia" w:ascii="Times New Roman" w:cs="Times New Roman"/>
                      <w:sz w:val="21"/>
                      <w:szCs w:val="21"/>
                    </w:rPr>
                    <w:t>《饮食业油烟排放标准（试行）》（GB 18483-2001）</w:t>
                  </w:r>
                </w:p>
              </w:tc>
            </w:tr>
          </w:tbl>
          <w:p>
            <w:pPr>
              <w:adjustRightInd w:val="0"/>
              <w:snapToGrid w:val="0"/>
              <w:spacing w:line="360" w:lineRule="auto"/>
              <w:rPr>
                <w:b/>
                <w:spacing w:val="-10"/>
                <w:sz w:val="24"/>
              </w:rPr>
            </w:pPr>
            <w:r>
              <w:rPr>
                <w:rFonts w:hint="eastAsia"/>
                <w:bCs/>
                <w:color w:val="000000"/>
                <w:spacing w:val="-10"/>
                <w:sz w:val="24"/>
              </w:rPr>
              <w:t>注：1号排气筒为</w:t>
            </w:r>
            <w:r>
              <w:rPr>
                <w:rFonts w:hint="eastAsia"/>
                <w:bCs/>
                <w:color w:val="000000"/>
                <w:spacing w:val="-10"/>
                <w:sz w:val="24"/>
                <w:lang w:val="en-US" w:eastAsia="zh-CN"/>
              </w:rPr>
              <w:t>混合废气</w:t>
            </w:r>
            <w:r>
              <w:rPr>
                <w:rFonts w:hint="eastAsia"/>
                <w:bCs/>
                <w:color w:val="000000"/>
                <w:spacing w:val="-10"/>
                <w:sz w:val="24"/>
              </w:rPr>
              <w:t>排气筒；2#排气筒为食堂油烟排气筒。</w:t>
            </w:r>
          </w:p>
          <w:p>
            <w:pPr>
              <w:adjustRightInd w:val="0"/>
              <w:snapToGrid w:val="0"/>
              <w:spacing w:line="360" w:lineRule="auto"/>
              <w:ind w:firstLine="442" w:firstLineChars="200"/>
              <w:rPr>
                <w:bCs/>
                <w:spacing w:val="-10"/>
                <w:sz w:val="24"/>
              </w:rPr>
            </w:pPr>
            <w:r>
              <w:rPr>
                <w:b/>
                <w:spacing w:val="-10"/>
                <w:sz w:val="24"/>
              </w:rPr>
              <w:t>1.2废气污染源强核算</w:t>
            </w:r>
          </w:p>
          <w:p>
            <w:pPr>
              <w:adjustRightInd w:val="0"/>
              <w:snapToGrid w:val="0"/>
              <w:spacing w:line="360" w:lineRule="auto"/>
              <w:ind w:firstLine="440" w:firstLineChars="200"/>
              <w:rPr>
                <w:sz w:val="24"/>
                <w:lang w:val="zh-CN"/>
              </w:rPr>
            </w:pPr>
            <w:r>
              <w:rPr>
                <w:bCs/>
                <w:spacing w:val="-10"/>
                <w:sz w:val="24"/>
              </w:rPr>
              <w:t>①</w:t>
            </w:r>
            <w:r>
              <w:rPr>
                <w:rFonts w:hint="eastAsia"/>
                <w:bCs/>
                <w:spacing w:val="-10"/>
                <w:sz w:val="24"/>
                <w:lang w:val="en-US" w:eastAsia="zh-CN"/>
              </w:rPr>
              <w:t>装卸、储存</w:t>
            </w:r>
            <w:r>
              <w:rPr>
                <w:bCs/>
                <w:spacing w:val="-10"/>
                <w:sz w:val="24"/>
              </w:rPr>
              <w:t>废气</w:t>
            </w:r>
            <w:r>
              <w:t>（</w:t>
            </w:r>
            <w:r>
              <w:rPr>
                <w:sz w:val="24"/>
              </w:rPr>
              <w:t>根据《污染源源强核算技术指南 准则》（HJ884-2018），采用</w:t>
            </w:r>
            <w:r>
              <w:rPr>
                <w:rFonts w:hint="eastAsia"/>
                <w:sz w:val="24"/>
              </w:rPr>
              <w:t>类比法</w:t>
            </w:r>
            <w:r>
              <w:rPr>
                <w:sz w:val="24"/>
              </w:rPr>
              <w:t>计算</w:t>
            </w:r>
            <w:r>
              <w:t>）</w:t>
            </w:r>
            <w:r>
              <w:rPr>
                <w:bCs/>
                <w:spacing w:val="-10"/>
                <w:sz w:val="24"/>
              </w:rPr>
              <w:t>：</w:t>
            </w:r>
            <w:r>
              <w:rPr>
                <w:rFonts w:hint="eastAsia"/>
                <w:sz w:val="24"/>
                <w:lang w:val="zh-CN"/>
              </w:rPr>
              <w:t>项目原料装卸、厂内输送、厂内堆存都会产生一定量的粉尘。原料堆场中的物料需要达到一定风速才会起尘，这种临界风速成为起动风速，它主要同颗粒直径及物料含水率有关。项目原料堆场为钢结构大棚，车间相对密闭，场内输送采用U型皮带运输机，且项目原料有一定的含水率，不易起尘，类比同类工程，产生的粉尘为原料用量的0.01%，原料用量约</w:t>
            </w:r>
            <w:r>
              <w:rPr>
                <w:rFonts w:hint="eastAsia"/>
                <w:sz w:val="24"/>
                <w:lang w:val="en-US" w:eastAsia="zh-CN"/>
              </w:rPr>
              <w:t>8380</w:t>
            </w:r>
            <w:r>
              <w:rPr>
                <w:rFonts w:hint="eastAsia"/>
                <w:sz w:val="24"/>
                <w:lang w:val="zh-CN"/>
              </w:rPr>
              <w:t>t/a，即</w:t>
            </w:r>
            <w:r>
              <w:rPr>
                <w:rFonts w:hint="eastAsia"/>
                <w:sz w:val="24"/>
                <w:lang w:val="en-US" w:eastAsia="zh-CN"/>
              </w:rPr>
              <w:t>粉尘产生量</w:t>
            </w:r>
            <w:r>
              <w:rPr>
                <w:rFonts w:hint="eastAsia"/>
                <w:sz w:val="24"/>
                <w:lang w:val="zh-CN"/>
              </w:rPr>
              <w:t>0.</w:t>
            </w:r>
            <w:r>
              <w:rPr>
                <w:rFonts w:hint="eastAsia"/>
                <w:sz w:val="24"/>
                <w:lang w:val="en-US" w:eastAsia="zh-CN"/>
              </w:rPr>
              <w:t>838</w:t>
            </w:r>
            <w:r>
              <w:rPr>
                <w:rFonts w:hint="eastAsia"/>
                <w:sz w:val="24"/>
                <w:lang w:val="zh-CN"/>
              </w:rPr>
              <w:t>t/a，呈无组织排放</w:t>
            </w:r>
            <w:r>
              <w:rPr>
                <w:sz w:val="24"/>
                <w:lang w:val="zh-CN"/>
              </w:rPr>
              <w:t>。</w:t>
            </w:r>
          </w:p>
          <w:p>
            <w:pPr>
              <w:adjustRightInd w:val="0"/>
              <w:snapToGrid w:val="0"/>
              <w:spacing w:line="360" w:lineRule="auto"/>
              <w:ind w:firstLine="480" w:firstLineChars="200"/>
              <w:rPr>
                <w:rFonts w:hint="default"/>
                <w:color w:val="FF0000"/>
                <w:sz w:val="24"/>
                <w:lang w:val="en-US" w:eastAsia="zh-CN"/>
              </w:rPr>
            </w:pPr>
            <w:r>
              <w:rPr>
                <w:rFonts w:hint="eastAsia"/>
                <w:color w:val="FF0000"/>
                <w:sz w:val="24"/>
                <w:lang w:val="en-US" w:eastAsia="zh-CN"/>
              </w:rPr>
              <w:t>②破碎废气（</w:t>
            </w:r>
            <w:r>
              <w:rPr>
                <w:color w:val="FF0000"/>
                <w:sz w:val="24"/>
              </w:rPr>
              <w:t>根据《污染源源强核算技术指南 准则》（HJ884-2018），采用</w:t>
            </w:r>
            <w:r>
              <w:rPr>
                <w:rFonts w:hint="eastAsia"/>
                <w:color w:val="FF0000"/>
                <w:sz w:val="24"/>
              </w:rPr>
              <w:t>类比法</w:t>
            </w:r>
            <w:r>
              <w:rPr>
                <w:color w:val="FF0000"/>
                <w:sz w:val="24"/>
              </w:rPr>
              <w:t>计算</w:t>
            </w:r>
            <w:r>
              <w:rPr>
                <w:rFonts w:hint="eastAsia"/>
                <w:color w:val="FF0000"/>
                <w:sz w:val="24"/>
                <w:lang w:val="en-US" w:eastAsia="zh-CN"/>
              </w:rPr>
              <w:t>）：参照</w:t>
            </w:r>
            <w:r>
              <w:rPr>
                <w:rFonts w:hint="eastAsia"/>
                <w:color w:val="FF0000"/>
                <w:sz w:val="24"/>
                <w:szCs w:val="24"/>
                <w:lang w:val="zh-CN"/>
              </w:rPr>
              <w:t>《排放源统计调查产排污核算方法和系数手册》</w:t>
            </w:r>
            <w:r>
              <w:rPr>
                <w:rFonts w:ascii="Times New Roman" w:cs="Times New Roman"/>
                <w:color w:val="FF0000"/>
                <w:sz w:val="24"/>
                <w:szCs w:val="24"/>
              </w:rPr>
              <w:t>中</w:t>
            </w:r>
            <w:r>
              <w:rPr>
                <w:rFonts w:hint="eastAsia" w:cs="Times New Roman"/>
                <w:color w:val="FF0000"/>
                <w:sz w:val="24"/>
                <w:szCs w:val="24"/>
              </w:rPr>
              <w:t>“</w:t>
            </w:r>
            <w:r>
              <w:rPr>
                <w:rFonts w:ascii="Times New Roman" w:cs="Times New Roman"/>
                <w:color w:val="FF0000"/>
                <w:sz w:val="24"/>
                <w:szCs w:val="24"/>
              </w:rPr>
              <w:t>4</w:t>
            </w:r>
            <w:r>
              <w:rPr>
                <w:rFonts w:hint="eastAsia" w:cs="Times New Roman"/>
                <w:color w:val="FF0000"/>
                <w:sz w:val="24"/>
                <w:szCs w:val="24"/>
                <w:lang w:val="en-US" w:eastAsia="zh-CN"/>
              </w:rPr>
              <w:t>22</w:t>
            </w:r>
            <w:r>
              <w:rPr>
                <w:rFonts w:ascii="Times New Roman" w:cs="Times New Roman"/>
                <w:color w:val="FF0000"/>
                <w:sz w:val="24"/>
                <w:szCs w:val="24"/>
              </w:rPr>
              <w:t>0</w:t>
            </w:r>
            <w:r>
              <w:rPr>
                <w:rFonts w:hint="eastAsia" w:ascii="Times New Roman" w:cs="Times New Roman"/>
                <w:color w:val="FF0000"/>
                <w:sz w:val="24"/>
                <w:szCs w:val="24"/>
              </w:rPr>
              <w:t>非金属废料和碎屑加工处理行业系数表</w:t>
            </w:r>
            <w:r>
              <w:rPr>
                <w:rFonts w:hint="eastAsia" w:cs="Times New Roman"/>
                <w:color w:val="FF0000"/>
                <w:sz w:val="24"/>
                <w:szCs w:val="24"/>
              </w:rPr>
              <w:t>”</w:t>
            </w:r>
            <w:r>
              <w:rPr>
                <w:rFonts w:ascii="Times New Roman" w:cs="Times New Roman"/>
                <w:color w:val="FF0000"/>
                <w:sz w:val="24"/>
                <w:szCs w:val="24"/>
                <w:lang w:val="zh-CN"/>
              </w:rPr>
              <w:t>，</w:t>
            </w:r>
            <w:r>
              <w:rPr>
                <w:rFonts w:hint="eastAsia" w:cs="Times New Roman"/>
                <w:color w:val="FF0000"/>
                <w:sz w:val="24"/>
                <w:szCs w:val="24"/>
                <w:lang w:val="en-US" w:eastAsia="zh-CN"/>
              </w:rPr>
              <w:t>木材边角料加工成木屑在破碎工艺中</w:t>
            </w:r>
            <w:r>
              <w:rPr>
                <w:rFonts w:hint="eastAsia"/>
                <w:color w:val="FF0000"/>
                <w:sz w:val="24"/>
                <w:lang w:val="zh-CN"/>
              </w:rPr>
              <w:t>产生的粉尘</w:t>
            </w:r>
            <w:r>
              <w:rPr>
                <w:rFonts w:hint="eastAsia"/>
                <w:color w:val="FF0000"/>
                <w:sz w:val="24"/>
                <w:lang w:val="en-US" w:eastAsia="zh-CN"/>
              </w:rPr>
              <w:t>系数为243g/t原料</w:t>
            </w:r>
            <w:r>
              <w:rPr>
                <w:rFonts w:hint="eastAsia"/>
                <w:color w:val="FF0000"/>
                <w:sz w:val="24"/>
                <w:lang w:val="zh-CN"/>
              </w:rPr>
              <w:t>，</w:t>
            </w:r>
            <w:r>
              <w:rPr>
                <w:rFonts w:hint="eastAsia"/>
                <w:color w:val="FF0000"/>
                <w:sz w:val="24"/>
                <w:highlight w:val="yellow"/>
                <w:u w:val="single"/>
                <w:lang w:val="en-US" w:eastAsia="zh-CN"/>
              </w:rPr>
              <w:t>本项目分选后需破碎料</w:t>
            </w:r>
            <w:r>
              <w:rPr>
                <w:rFonts w:hint="eastAsia"/>
                <w:color w:val="FF0000"/>
                <w:sz w:val="24"/>
                <w:highlight w:val="yellow"/>
                <w:u w:val="single"/>
                <w:lang w:val="zh-CN"/>
              </w:rPr>
              <w:t>用量</w:t>
            </w:r>
            <w:r>
              <w:rPr>
                <w:rFonts w:hint="eastAsia"/>
                <w:color w:val="FF0000"/>
                <w:sz w:val="24"/>
                <w:highlight w:val="yellow"/>
                <w:u w:val="single"/>
                <w:lang w:val="en-US" w:eastAsia="zh-CN"/>
              </w:rPr>
              <w:t>8365t/a（8380-20+5）</w:t>
            </w:r>
            <w:r>
              <w:rPr>
                <w:rFonts w:hint="eastAsia"/>
                <w:color w:val="FF0000"/>
                <w:sz w:val="24"/>
                <w:highlight w:val="yellow"/>
                <w:u w:val="single"/>
                <w:lang w:val="zh-CN"/>
              </w:rPr>
              <w:t>（</w:t>
            </w:r>
            <w:r>
              <w:rPr>
                <w:rFonts w:hint="eastAsia"/>
                <w:color w:val="FF0000"/>
                <w:sz w:val="24"/>
                <w:highlight w:val="yellow"/>
                <w:u w:val="single"/>
                <w:lang w:val="en-US" w:eastAsia="zh-CN"/>
              </w:rPr>
              <w:t>考虑到分选出的竹条、竹片用作燃料及后续产生的不合格产品需返回破碎生产线重新加工</w:t>
            </w:r>
            <w:r>
              <w:rPr>
                <w:rFonts w:hint="eastAsia"/>
                <w:color w:val="FF0000"/>
                <w:sz w:val="24"/>
                <w:highlight w:val="yellow"/>
                <w:u w:val="single"/>
                <w:lang w:val="zh-CN"/>
              </w:rPr>
              <w:t>），即</w:t>
            </w:r>
            <w:r>
              <w:rPr>
                <w:rFonts w:hint="eastAsia"/>
                <w:color w:val="FF0000"/>
                <w:sz w:val="24"/>
                <w:highlight w:val="yellow"/>
                <w:u w:val="single"/>
                <w:lang w:val="en-US" w:eastAsia="zh-CN"/>
              </w:rPr>
              <w:t>粉尘产生量约为2.033</w:t>
            </w:r>
            <w:r>
              <w:rPr>
                <w:rFonts w:hint="eastAsia"/>
                <w:color w:val="FF0000"/>
                <w:sz w:val="24"/>
                <w:highlight w:val="yellow"/>
                <w:u w:val="single"/>
                <w:lang w:val="zh-CN"/>
              </w:rPr>
              <w:t>t/a，</w:t>
            </w:r>
            <w:r>
              <w:rPr>
                <w:rFonts w:hint="eastAsia"/>
                <w:color w:val="FF0000"/>
                <w:sz w:val="24"/>
                <w:highlight w:val="yellow"/>
                <w:u w:val="single"/>
                <w:lang w:val="en-US" w:eastAsia="zh-CN"/>
              </w:rPr>
              <w:t>因破碎机位于密闭式车间内（收集效率100%），经布袋除尘器处理后（处理效率90%）</w:t>
            </w:r>
            <w:r>
              <w:rPr>
                <w:rFonts w:hint="eastAsia"/>
                <w:color w:val="FF0000"/>
                <w:sz w:val="24"/>
                <w:highlight w:val="yellow"/>
                <w:u w:val="single"/>
                <w:lang w:val="zh-CN"/>
              </w:rPr>
              <w:t>呈无组织排放，</w:t>
            </w:r>
            <w:r>
              <w:rPr>
                <w:rFonts w:hint="eastAsia"/>
                <w:color w:val="FF0000"/>
                <w:sz w:val="24"/>
                <w:highlight w:val="yellow"/>
                <w:u w:val="single"/>
                <w:lang w:val="en-US" w:eastAsia="zh-CN"/>
              </w:rPr>
              <w:t>排放量约为0.02t/a</w:t>
            </w:r>
            <w:r>
              <w:rPr>
                <w:color w:val="FF0000"/>
                <w:sz w:val="24"/>
                <w:highlight w:val="yellow"/>
                <w:u w:val="single"/>
                <w:lang w:val="zh-CN"/>
              </w:rPr>
              <w:t>。</w:t>
            </w:r>
            <w:commentRangeStart w:id="11"/>
            <w:commentRangeStart w:id="12"/>
            <w:r>
              <w:commentReference w:id="11"/>
            </w:r>
            <w:commentRangeEnd w:id="11"/>
            <w:commentRangeEnd w:id="12"/>
            <w:r>
              <w:commentReference w:id="12"/>
            </w:r>
          </w:p>
          <w:p>
            <w:pPr>
              <w:adjustRightInd w:val="0"/>
              <w:snapToGrid w:val="0"/>
              <w:spacing w:line="360" w:lineRule="auto"/>
              <w:ind w:firstLine="480" w:firstLineChars="200"/>
              <w:rPr>
                <w:rFonts w:hint="default" w:eastAsia="宋体"/>
                <w:sz w:val="24"/>
                <w:lang w:val="en-US" w:eastAsia="zh-CN"/>
              </w:rPr>
            </w:pPr>
            <w:r>
              <w:rPr>
                <w:rFonts w:hint="eastAsia"/>
                <w:sz w:val="24"/>
                <w:lang w:val="en-US" w:eastAsia="zh-CN"/>
              </w:rPr>
              <w:t>③制棒废气（</w:t>
            </w:r>
            <w:r>
              <w:rPr>
                <w:sz w:val="24"/>
              </w:rPr>
              <w:t>根据《污染源源强核算技术指南 准则》（HJ884-2018），采用</w:t>
            </w:r>
            <w:r>
              <w:rPr>
                <w:rFonts w:hint="eastAsia"/>
                <w:sz w:val="24"/>
              </w:rPr>
              <w:t>类比法</w:t>
            </w:r>
            <w:r>
              <w:rPr>
                <w:sz w:val="24"/>
              </w:rPr>
              <w:t>计算</w:t>
            </w:r>
            <w:r>
              <w:rPr>
                <w:rFonts w:hint="eastAsia"/>
                <w:sz w:val="24"/>
                <w:lang w:val="en-US" w:eastAsia="zh-CN"/>
              </w:rPr>
              <w:t>）：</w:t>
            </w:r>
            <w:r>
              <w:rPr>
                <w:rFonts w:hint="eastAsia"/>
                <w:sz w:val="24"/>
                <w:lang w:val="zh-CN"/>
              </w:rPr>
              <w:t>在成型加工过程中，成型机加热维持成型温度一般在150～300℃，使木质素、纤维素等软化并挤压成型。在高温作用下原材料木屑中的多余水分会蒸发出来，产生一定量的蒸汽、粉尘。类比同类型项目可知，粉尘产生速率为0.833kg/h（</w:t>
            </w:r>
            <w:r>
              <w:rPr>
                <w:rFonts w:hint="eastAsia"/>
                <w:sz w:val="24"/>
                <w:lang w:val="en-US" w:eastAsia="zh-CN"/>
              </w:rPr>
              <w:t>产生量</w:t>
            </w:r>
            <w:r>
              <w:rPr>
                <w:rFonts w:hint="eastAsia"/>
                <w:sz w:val="24"/>
                <w:lang w:val="zh-CN"/>
              </w:rPr>
              <w:t>2t/a），经管道收集后</w:t>
            </w:r>
            <w:r>
              <w:rPr>
                <w:rFonts w:hint="eastAsia"/>
                <w:sz w:val="24"/>
                <w:lang w:val="en-US" w:eastAsia="zh-CN"/>
              </w:rPr>
              <w:t>一同破碎粉尘经布袋除尘器处理后无组织排放（制棒机和破碎机位于封闭式车间内，收集率按100%计，布袋除尘器的处理效率为90%）</w:t>
            </w:r>
            <w:r>
              <w:rPr>
                <w:rFonts w:hint="eastAsia"/>
                <w:sz w:val="24"/>
                <w:lang w:val="zh-CN"/>
              </w:rPr>
              <w:t>。</w:t>
            </w:r>
            <w:r>
              <w:rPr>
                <w:rFonts w:hint="eastAsia"/>
                <w:sz w:val="24"/>
                <w:lang w:val="en-US" w:eastAsia="zh-CN"/>
              </w:rPr>
              <w:t>破碎粉尘排放量为0.2t/a。</w:t>
            </w:r>
          </w:p>
          <w:p>
            <w:pPr>
              <w:adjustRightInd w:val="0"/>
              <w:snapToGrid w:val="0"/>
              <w:spacing w:line="360" w:lineRule="auto"/>
              <w:ind w:firstLine="480" w:firstLineChars="200"/>
              <w:rPr>
                <w:rFonts w:hint="eastAsia"/>
                <w:sz w:val="24"/>
                <w:szCs w:val="24"/>
                <w:lang w:eastAsia="zh-CN"/>
              </w:rPr>
            </w:pPr>
            <w:r>
              <w:rPr>
                <w:rFonts w:hint="eastAsia"/>
                <w:sz w:val="24"/>
                <w:lang w:val="en-US" w:eastAsia="zh-CN"/>
              </w:rPr>
              <w:t>④混合废气</w:t>
            </w:r>
            <w:r>
              <w:t>（</w:t>
            </w:r>
            <w:r>
              <w:rPr>
                <w:sz w:val="24"/>
              </w:rPr>
              <w:t>根据《污染源源强核算技术指南 准则》（HJ884-2018），采用</w:t>
            </w:r>
            <w:r>
              <w:rPr>
                <w:rFonts w:hint="eastAsia"/>
                <w:sz w:val="24"/>
              </w:rPr>
              <w:t>类比法</w:t>
            </w:r>
            <w:r>
              <w:rPr>
                <w:sz w:val="24"/>
              </w:rPr>
              <w:t>计算</w:t>
            </w:r>
            <w:r>
              <w:t>）</w:t>
            </w:r>
            <w:r>
              <w:rPr>
                <w:rFonts w:hint="eastAsia"/>
                <w:lang w:eastAsia="zh-CN"/>
              </w:rPr>
              <w:t>：</w:t>
            </w:r>
            <w:r>
              <w:rPr>
                <w:rFonts w:hint="eastAsia"/>
                <w:sz w:val="24"/>
                <w:szCs w:val="24"/>
                <w:lang w:eastAsia="zh-CN"/>
              </w:rPr>
              <w:t>混合废气由烘干过程产生的粉尘和水蒸气、</w:t>
            </w:r>
            <w:r>
              <w:rPr>
                <w:rFonts w:hint="eastAsia"/>
                <w:sz w:val="24"/>
                <w:szCs w:val="24"/>
                <w:lang w:val="en-US" w:eastAsia="zh-CN"/>
              </w:rPr>
              <w:t>竹片（条）</w:t>
            </w:r>
            <w:r>
              <w:rPr>
                <w:rFonts w:hint="eastAsia"/>
                <w:sz w:val="24"/>
                <w:szCs w:val="24"/>
                <w:lang w:eastAsia="zh-CN"/>
              </w:rPr>
              <w:t>燃料燃烧的废气和烟气、炭化窑中的竹煤气燃烧产生的废气等</w:t>
            </w:r>
            <w:r>
              <w:rPr>
                <w:rFonts w:hint="eastAsia"/>
                <w:sz w:val="24"/>
                <w:szCs w:val="24"/>
                <w:lang w:val="en-US" w:eastAsia="zh-CN"/>
              </w:rPr>
              <w:t>3</w:t>
            </w:r>
            <w:r>
              <w:rPr>
                <w:rFonts w:hint="eastAsia"/>
                <w:sz w:val="24"/>
                <w:szCs w:val="24"/>
                <w:lang w:eastAsia="zh-CN"/>
              </w:rPr>
              <w:t>种组成。炭化工序尾气主要成份为甲烷、乙烯、CO</w:t>
            </w:r>
            <w:r>
              <w:rPr>
                <w:rFonts w:hint="eastAsia"/>
                <w:sz w:val="24"/>
                <w:szCs w:val="24"/>
                <w:vertAlign w:val="subscript"/>
                <w:lang w:eastAsia="zh-CN"/>
              </w:rPr>
              <w:t>2</w:t>
            </w:r>
            <w:r>
              <w:rPr>
                <w:rFonts w:hint="eastAsia"/>
                <w:sz w:val="24"/>
                <w:szCs w:val="24"/>
                <w:lang w:eastAsia="zh-CN"/>
              </w:rPr>
              <w:t>、水蒸汽、CO 和其他干馏气体，焦油沸点为200~220℃，醋液为低沸点物质，碳化热解过程温度一般为</w:t>
            </w:r>
            <w:r>
              <w:rPr>
                <w:rFonts w:hint="eastAsia"/>
                <w:sz w:val="24"/>
                <w:szCs w:val="24"/>
                <w:lang w:val="en-US" w:eastAsia="zh-CN"/>
              </w:rPr>
              <w:t>400</w:t>
            </w:r>
            <w:r>
              <w:rPr>
                <w:rFonts w:hint="eastAsia"/>
                <w:sz w:val="24"/>
                <w:szCs w:val="24"/>
                <w:lang w:eastAsia="zh-CN"/>
              </w:rPr>
              <w:t>~</w:t>
            </w:r>
            <w:r>
              <w:rPr>
                <w:rFonts w:hint="eastAsia"/>
                <w:sz w:val="24"/>
                <w:szCs w:val="24"/>
                <w:lang w:val="en-US" w:eastAsia="zh-CN"/>
              </w:rPr>
              <w:t>5</w:t>
            </w:r>
            <w:r>
              <w:rPr>
                <w:rFonts w:hint="eastAsia"/>
                <w:sz w:val="24"/>
                <w:szCs w:val="24"/>
                <w:lang w:eastAsia="zh-CN"/>
              </w:rPr>
              <w:t>00℃。</w:t>
            </w:r>
          </w:p>
          <w:p>
            <w:pPr>
              <w:adjustRightInd w:val="0"/>
              <w:snapToGrid w:val="0"/>
              <w:spacing w:line="360" w:lineRule="auto"/>
              <w:ind w:firstLine="480" w:firstLineChars="200"/>
              <w:rPr>
                <w:rFonts w:hint="eastAsia" w:eastAsia="宋体"/>
                <w:sz w:val="24"/>
                <w:lang w:val="en-US" w:eastAsia="zh-CN"/>
              </w:rPr>
            </w:pPr>
            <w:r>
              <w:rPr>
                <w:rFonts w:hint="eastAsia"/>
                <w:sz w:val="24"/>
                <w:szCs w:val="24"/>
                <w:lang w:eastAsia="zh-CN"/>
              </w:rPr>
              <w:t>因炭化温度没有达到SO</w:t>
            </w:r>
            <w:r>
              <w:rPr>
                <w:rFonts w:hint="eastAsia"/>
                <w:sz w:val="24"/>
                <w:szCs w:val="24"/>
                <w:vertAlign w:val="subscript"/>
                <w:lang w:eastAsia="zh-CN"/>
              </w:rPr>
              <w:t>2</w:t>
            </w:r>
            <w:r>
              <w:rPr>
                <w:rFonts w:hint="eastAsia"/>
                <w:sz w:val="24"/>
                <w:szCs w:val="24"/>
                <w:lang w:eastAsia="zh-CN"/>
              </w:rPr>
              <w:t>和NOx 所需的焚烧温度，竹煤气中不含SO</w:t>
            </w:r>
            <w:r>
              <w:rPr>
                <w:rFonts w:hint="eastAsia"/>
                <w:sz w:val="24"/>
                <w:szCs w:val="24"/>
                <w:vertAlign w:val="subscript"/>
                <w:lang w:eastAsia="zh-CN"/>
              </w:rPr>
              <w:t>2</w:t>
            </w:r>
            <w:r>
              <w:rPr>
                <w:rFonts w:hint="eastAsia"/>
                <w:sz w:val="24"/>
                <w:szCs w:val="24"/>
                <w:lang w:eastAsia="zh-CN"/>
              </w:rPr>
              <w:t>和NOx ；热风炉燃料燃烧产生的废气主要为SO</w:t>
            </w:r>
            <w:r>
              <w:rPr>
                <w:rFonts w:hint="eastAsia"/>
                <w:sz w:val="24"/>
                <w:szCs w:val="24"/>
                <w:vertAlign w:val="subscript"/>
                <w:lang w:eastAsia="zh-CN"/>
              </w:rPr>
              <w:t>2</w:t>
            </w:r>
            <w:r>
              <w:rPr>
                <w:rFonts w:hint="eastAsia"/>
                <w:sz w:val="24"/>
                <w:szCs w:val="24"/>
                <w:lang w:eastAsia="zh-CN"/>
              </w:rPr>
              <w:t>、NOx 和烟尘；因此烘干炉烘干废气主要成分为 CO</w:t>
            </w:r>
            <w:r>
              <w:rPr>
                <w:rFonts w:hint="eastAsia"/>
                <w:sz w:val="24"/>
                <w:szCs w:val="24"/>
                <w:vertAlign w:val="subscript"/>
                <w:lang w:eastAsia="zh-CN"/>
              </w:rPr>
              <w:t>2</w:t>
            </w:r>
            <w:r>
              <w:rPr>
                <w:rFonts w:hint="eastAsia"/>
                <w:sz w:val="24"/>
                <w:szCs w:val="24"/>
                <w:lang w:eastAsia="zh-CN"/>
              </w:rPr>
              <w:t>、水蒸汽、SO</w:t>
            </w:r>
            <w:r>
              <w:rPr>
                <w:rFonts w:hint="eastAsia"/>
                <w:sz w:val="24"/>
                <w:szCs w:val="24"/>
                <w:vertAlign w:val="subscript"/>
                <w:lang w:eastAsia="zh-CN"/>
              </w:rPr>
              <w:t>2</w:t>
            </w:r>
            <w:r>
              <w:rPr>
                <w:rFonts w:hint="eastAsia"/>
                <w:sz w:val="24"/>
                <w:szCs w:val="24"/>
                <w:lang w:eastAsia="zh-CN"/>
              </w:rPr>
              <w:t>、NOx 及烟尘，经</w:t>
            </w:r>
            <w:r>
              <w:rPr>
                <w:rFonts w:hint="eastAsia"/>
                <w:sz w:val="24"/>
                <w:szCs w:val="24"/>
                <w:lang w:val="en-US" w:eastAsia="zh-CN"/>
              </w:rPr>
              <w:t>静电除尘器</w:t>
            </w:r>
            <w:r>
              <w:rPr>
                <w:rFonts w:hint="eastAsia"/>
                <w:sz w:val="24"/>
                <w:szCs w:val="24"/>
                <w:lang w:eastAsia="zh-CN"/>
              </w:rPr>
              <w:t>处理后由15米高排气筒外排，其中CO</w:t>
            </w:r>
            <w:r>
              <w:rPr>
                <w:rFonts w:hint="eastAsia"/>
                <w:sz w:val="24"/>
                <w:szCs w:val="24"/>
                <w:vertAlign w:val="subscript"/>
                <w:lang w:eastAsia="zh-CN"/>
              </w:rPr>
              <w:t>2</w:t>
            </w:r>
            <w:r>
              <w:rPr>
                <w:rFonts w:hint="eastAsia"/>
                <w:sz w:val="24"/>
                <w:szCs w:val="24"/>
                <w:lang w:eastAsia="zh-CN"/>
              </w:rPr>
              <w:t>、水蒸汽外排对环境无影响；外排废气的污染物主要为SO</w:t>
            </w:r>
            <w:r>
              <w:rPr>
                <w:rFonts w:hint="eastAsia"/>
                <w:sz w:val="24"/>
                <w:szCs w:val="24"/>
                <w:vertAlign w:val="subscript"/>
                <w:lang w:eastAsia="zh-CN"/>
              </w:rPr>
              <w:t>2</w:t>
            </w:r>
            <w:r>
              <w:rPr>
                <w:rFonts w:hint="eastAsia"/>
                <w:sz w:val="24"/>
                <w:szCs w:val="24"/>
                <w:lang w:eastAsia="zh-CN"/>
              </w:rPr>
              <w:t>、NOx 及烟尘。</w:t>
            </w:r>
          </w:p>
          <w:p>
            <w:pPr>
              <w:adjustRightInd w:val="0"/>
              <w:snapToGrid w:val="0"/>
              <w:spacing w:line="360" w:lineRule="auto"/>
              <w:ind w:firstLine="480" w:firstLineChars="200"/>
              <w:rPr>
                <w:rFonts w:hint="eastAsia"/>
                <w:sz w:val="24"/>
                <w:lang w:val="zh-CN"/>
              </w:rPr>
            </w:pPr>
            <w:r>
              <w:rPr>
                <w:rFonts w:hint="eastAsia"/>
                <w:sz w:val="24"/>
                <w:lang w:val="en-US" w:eastAsia="zh-CN"/>
              </w:rPr>
              <w:t>a.</w:t>
            </w:r>
            <w:r>
              <w:rPr>
                <w:rFonts w:hint="eastAsia"/>
                <w:sz w:val="24"/>
                <w:lang w:val="zh-CN"/>
              </w:rPr>
              <w:t>烘干过程产生的粉尘和水蒸气</w:t>
            </w:r>
          </w:p>
          <w:p>
            <w:pPr>
              <w:adjustRightInd w:val="0"/>
              <w:snapToGrid w:val="0"/>
              <w:spacing w:line="360" w:lineRule="auto"/>
              <w:ind w:firstLine="480" w:firstLineChars="200"/>
              <w:rPr>
                <w:rFonts w:hint="eastAsia"/>
                <w:sz w:val="24"/>
                <w:lang w:val="zh-CN"/>
              </w:rPr>
            </w:pPr>
            <w:r>
              <w:rPr>
                <w:rFonts w:hint="eastAsia"/>
                <w:sz w:val="24"/>
                <w:lang w:val="en-US" w:eastAsia="zh-CN"/>
              </w:rPr>
              <w:t>竹制半成品加工使用的</w:t>
            </w:r>
            <w:r>
              <w:rPr>
                <w:rFonts w:hint="eastAsia"/>
                <w:sz w:val="24"/>
                <w:lang w:val="zh-CN"/>
              </w:rPr>
              <w:t>原料运输至烘干</w:t>
            </w:r>
            <w:r>
              <w:rPr>
                <w:rFonts w:hint="eastAsia"/>
                <w:sz w:val="24"/>
                <w:lang w:val="en-US" w:eastAsia="zh-CN"/>
              </w:rPr>
              <w:t>房</w:t>
            </w:r>
            <w:r>
              <w:rPr>
                <w:rFonts w:hint="eastAsia"/>
                <w:sz w:val="24"/>
                <w:lang w:val="zh-CN"/>
              </w:rPr>
              <w:t>进行</w:t>
            </w:r>
            <w:r>
              <w:rPr>
                <w:rFonts w:hint="eastAsia"/>
                <w:sz w:val="24"/>
                <w:lang w:val="en-US" w:eastAsia="zh-CN"/>
              </w:rPr>
              <w:t>间接</w:t>
            </w:r>
            <w:r>
              <w:rPr>
                <w:rFonts w:hint="eastAsia"/>
                <w:sz w:val="24"/>
                <w:lang w:val="zh-CN"/>
              </w:rPr>
              <w:t>烘干，类比同类型企业，项目烘干过程粉尘产生量按0.25kg/t计算，项目烘干原材料年使用量为</w:t>
            </w:r>
            <w:r>
              <w:rPr>
                <w:rFonts w:hint="eastAsia"/>
                <w:sz w:val="24"/>
                <w:lang w:val="en-US" w:eastAsia="zh-CN"/>
              </w:rPr>
              <w:t>5000</w:t>
            </w:r>
            <w:r>
              <w:rPr>
                <w:rFonts w:hint="eastAsia"/>
                <w:sz w:val="24"/>
                <w:lang w:val="zh-CN"/>
              </w:rPr>
              <w:t>t，则项目烘干过程产生的粉尘量为</w:t>
            </w:r>
            <w:r>
              <w:rPr>
                <w:rFonts w:hint="eastAsia"/>
                <w:sz w:val="24"/>
                <w:lang w:val="en-US" w:eastAsia="zh-CN"/>
              </w:rPr>
              <w:t>1.25</w:t>
            </w:r>
            <w:r>
              <w:rPr>
                <w:rFonts w:hint="eastAsia"/>
                <w:sz w:val="24"/>
                <w:lang w:val="zh-CN"/>
              </w:rPr>
              <w:t>t/a，</w:t>
            </w:r>
            <w:r>
              <w:rPr>
                <w:rFonts w:hint="eastAsia"/>
                <w:sz w:val="24"/>
                <w:lang w:val="en-US" w:eastAsia="zh-CN"/>
              </w:rPr>
              <w:t>其</w:t>
            </w:r>
            <w:r>
              <w:rPr>
                <w:rFonts w:hint="eastAsia"/>
                <w:sz w:val="24"/>
                <w:lang w:val="zh-CN"/>
              </w:rPr>
              <w:t>粉尘</w:t>
            </w:r>
            <w:r>
              <w:rPr>
                <w:rFonts w:hint="eastAsia"/>
                <w:sz w:val="24"/>
                <w:lang w:val="en-US" w:eastAsia="zh-CN"/>
              </w:rPr>
              <w:t>设通风口收集后</w:t>
            </w:r>
            <w:r>
              <w:rPr>
                <w:rFonts w:hint="eastAsia"/>
                <w:sz w:val="24"/>
                <w:lang w:val="zh-CN"/>
              </w:rPr>
              <w:t>与</w:t>
            </w:r>
            <w:r>
              <w:rPr>
                <w:rFonts w:hint="eastAsia"/>
                <w:sz w:val="24"/>
                <w:lang w:val="en-US" w:eastAsia="zh-CN"/>
              </w:rPr>
              <w:t>炉</w:t>
            </w:r>
            <w:r>
              <w:rPr>
                <w:rFonts w:hint="eastAsia"/>
                <w:sz w:val="24"/>
                <w:lang w:val="zh-CN"/>
              </w:rPr>
              <w:t>窑废气一并进入静电除尘</w:t>
            </w:r>
            <w:r>
              <w:rPr>
                <w:rFonts w:hint="eastAsia"/>
                <w:sz w:val="24"/>
                <w:lang w:val="en-US" w:eastAsia="zh-CN"/>
              </w:rPr>
              <w:t>+布袋除尘</w:t>
            </w:r>
            <w:r>
              <w:rPr>
                <w:rFonts w:hint="eastAsia"/>
                <w:sz w:val="24"/>
                <w:lang w:val="zh-CN"/>
              </w:rPr>
              <w:t>器处理，除尘效率约99%，处理后（</w:t>
            </w:r>
            <w:r>
              <w:rPr>
                <w:rFonts w:hint="eastAsia"/>
                <w:sz w:val="24"/>
                <w:lang w:val="en-US" w:eastAsia="zh-CN"/>
              </w:rPr>
              <w:t>排放量约为0.01t/a</w:t>
            </w:r>
            <w:r>
              <w:rPr>
                <w:rFonts w:hint="eastAsia"/>
                <w:sz w:val="24"/>
                <w:lang w:val="zh-CN"/>
              </w:rPr>
              <w:t>）通过15m高排气筒排放。</w:t>
            </w:r>
          </w:p>
          <w:p>
            <w:pPr>
              <w:adjustRightInd w:val="0"/>
              <w:snapToGrid w:val="0"/>
              <w:spacing w:line="360" w:lineRule="auto"/>
              <w:ind w:firstLine="480" w:firstLineChars="200"/>
              <w:rPr>
                <w:rFonts w:hint="default" w:eastAsia="宋体"/>
                <w:sz w:val="24"/>
                <w:lang w:val="en-US" w:eastAsia="zh-CN"/>
              </w:rPr>
            </w:pPr>
            <w:r>
              <w:rPr>
                <w:rFonts w:hint="eastAsia"/>
                <w:sz w:val="24"/>
                <w:lang w:val="en-US" w:eastAsia="zh-CN"/>
              </w:rPr>
              <w:t>b.炭化废气</w:t>
            </w:r>
          </w:p>
          <w:p>
            <w:pPr>
              <w:adjustRightInd w:val="0"/>
              <w:snapToGrid w:val="0"/>
              <w:spacing w:line="360" w:lineRule="auto"/>
              <w:ind w:firstLine="480" w:firstLineChars="200"/>
              <w:rPr>
                <w:color w:val="FF0000"/>
                <w:sz w:val="24"/>
                <w:highlight w:val="yellow"/>
                <w:u w:val="single"/>
                <w:lang w:val="zh-CN"/>
              </w:rPr>
            </w:pPr>
            <w:r>
              <w:rPr>
                <w:rFonts w:hint="eastAsia"/>
                <w:color w:val="FF0000"/>
                <w:sz w:val="24"/>
                <w:highlight w:val="yellow"/>
                <w:u w:val="single"/>
                <w:lang w:val="zh-CN"/>
              </w:rPr>
              <w:t>根据业主提供的资料，本项目炭化过程种产生的</w:t>
            </w:r>
            <w:r>
              <w:rPr>
                <w:rFonts w:hint="eastAsia"/>
                <w:color w:val="FF0000"/>
                <w:sz w:val="24"/>
                <w:highlight w:val="yellow"/>
                <w:u w:val="single"/>
                <w:lang w:val="en-US" w:eastAsia="zh-CN"/>
              </w:rPr>
              <w:t>竹</w:t>
            </w:r>
            <w:r>
              <w:rPr>
                <w:rFonts w:hint="eastAsia"/>
                <w:color w:val="FF0000"/>
                <w:sz w:val="24"/>
                <w:highlight w:val="yellow"/>
                <w:u w:val="single"/>
                <w:lang w:val="zh-CN"/>
              </w:rPr>
              <w:t>煤气、焦油和醋液等物质在炭化窑内燃烧供热，利用燃烧产生的废气余热对原料进行烘干，废气余热能够对原料进行烘干，废气余热能够提供</w:t>
            </w:r>
            <w:r>
              <w:rPr>
                <w:rFonts w:hint="eastAsia"/>
                <w:color w:val="FF0000"/>
                <w:sz w:val="24"/>
                <w:highlight w:val="yellow"/>
                <w:u w:val="single"/>
                <w:lang w:val="en-US" w:eastAsia="zh-CN"/>
              </w:rPr>
              <w:t>大量</w:t>
            </w:r>
            <w:r>
              <w:rPr>
                <w:rFonts w:hint="eastAsia"/>
                <w:color w:val="FF0000"/>
                <w:sz w:val="24"/>
                <w:highlight w:val="yellow"/>
                <w:u w:val="single"/>
                <w:lang w:val="zh-CN"/>
              </w:rPr>
              <w:t>热量。</w:t>
            </w:r>
          </w:p>
          <w:p>
            <w:pPr>
              <w:adjustRightInd w:val="0"/>
              <w:snapToGrid w:val="0"/>
              <w:spacing w:line="360" w:lineRule="auto"/>
              <w:ind w:firstLine="480" w:firstLineChars="200"/>
              <w:rPr>
                <w:rFonts w:hint="default" w:ascii="Times New Roman" w:cs="Times New Roman"/>
                <w:color w:val="FF0000"/>
                <w:sz w:val="24"/>
                <w:szCs w:val="24"/>
                <w:highlight w:val="yellow"/>
                <w:u w:val="single"/>
                <w:lang w:val="en-US" w:eastAsia="zh-CN"/>
              </w:rPr>
            </w:pPr>
            <w:r>
              <w:rPr>
                <w:rFonts w:hint="eastAsia" w:cs="Times New Roman"/>
                <w:color w:val="FF0000"/>
                <w:sz w:val="24"/>
                <w:szCs w:val="24"/>
                <w:highlight w:val="yellow"/>
                <w:u w:val="single"/>
                <w:lang w:val="en-US" w:eastAsia="zh-CN"/>
              </w:rPr>
              <w:t>设备正常运转的情况下</w:t>
            </w:r>
          </w:p>
          <w:p>
            <w:pPr>
              <w:adjustRightInd w:val="0"/>
              <w:snapToGrid w:val="0"/>
              <w:spacing w:line="360" w:lineRule="auto"/>
              <w:ind w:firstLine="480" w:firstLineChars="200"/>
              <w:rPr>
                <w:sz w:val="24"/>
                <w:lang w:val="zh-CN"/>
              </w:rPr>
            </w:pPr>
            <w:commentRangeStart w:id="13"/>
            <w:commentRangeStart w:id="14"/>
            <w:r>
              <w:rPr>
                <w:rFonts w:hint="eastAsia" w:ascii="Times New Roman" w:cs="Times New Roman"/>
                <w:sz w:val="24"/>
                <w:szCs w:val="24"/>
                <w:lang w:val="en-US" w:eastAsia="zh-CN"/>
              </w:rPr>
              <w:t>本项目机制竹炭原料用量8380t/a，含水量按40%计，则绝干原料量为5028t/a，竹炭产量为1800t/a（产量系数35.8%）、焦油和醋液产量为2363.16t/a（产量系数47%）、竹煤气产量为854.76t/a（产量系数35.8%），损耗15.08t/a（产量系数0.3%）</w:t>
            </w:r>
            <w:commentRangeEnd w:id="13"/>
            <w:r>
              <w:commentReference w:id="13"/>
            </w:r>
            <w:commentRangeEnd w:id="14"/>
            <w:r>
              <w:commentReference w:id="14"/>
            </w:r>
          </w:p>
          <w:p>
            <w:pPr>
              <w:adjustRightInd w:val="0"/>
              <w:snapToGrid w:val="0"/>
              <w:spacing w:line="360" w:lineRule="auto"/>
              <w:ind w:firstLine="480" w:firstLineChars="200"/>
              <w:rPr>
                <w:rFonts w:hint="eastAsia"/>
                <w:color w:val="FF0000"/>
                <w:sz w:val="24"/>
                <w:highlight w:val="yellow"/>
                <w:u w:val="single"/>
                <w:lang w:val="en-US" w:eastAsia="zh-CN"/>
              </w:rPr>
            </w:pPr>
            <w:r>
              <w:rPr>
                <w:rFonts w:hint="eastAsia"/>
                <w:color w:val="FF0000"/>
                <w:sz w:val="24"/>
                <w:highlight w:val="yellow"/>
                <w:u w:val="single"/>
                <w:lang w:val="en-US" w:eastAsia="zh-CN"/>
              </w:rPr>
              <w:t>项目炭化过程中产生的焦油、醋液等物质在炭化窑内充分燃烧产生物质为 CO</w:t>
            </w:r>
            <w:r>
              <w:rPr>
                <w:rFonts w:hint="eastAsia"/>
                <w:color w:val="FF0000"/>
                <w:sz w:val="24"/>
                <w:highlight w:val="yellow"/>
                <w:u w:val="single"/>
                <w:vertAlign w:val="subscript"/>
                <w:lang w:val="en-US" w:eastAsia="zh-CN"/>
              </w:rPr>
              <w:t>2</w:t>
            </w:r>
            <w:r>
              <w:rPr>
                <w:rFonts w:hint="eastAsia"/>
                <w:color w:val="FF0000"/>
                <w:sz w:val="24"/>
                <w:highlight w:val="yellow"/>
                <w:u w:val="single"/>
                <w:lang w:val="en-US" w:eastAsia="zh-CN"/>
              </w:rPr>
              <w:t>和水， 因此本环评仅对竹煤气进行分析。</w:t>
            </w:r>
          </w:p>
          <w:p>
            <w:pPr>
              <w:adjustRightInd w:val="0"/>
              <w:snapToGrid w:val="0"/>
              <w:spacing w:line="360" w:lineRule="auto"/>
              <w:ind w:firstLine="480" w:firstLineChars="200"/>
              <w:rPr>
                <w:rFonts w:hint="eastAsia"/>
                <w:color w:val="FF0000"/>
                <w:sz w:val="24"/>
                <w:highlight w:val="yellow"/>
                <w:u w:val="single"/>
                <w:lang w:val="zh-CN"/>
              </w:rPr>
            </w:pPr>
            <w:r>
              <w:rPr>
                <w:rFonts w:hint="eastAsia"/>
                <w:color w:val="FF0000"/>
                <w:sz w:val="24"/>
                <w:highlight w:val="yellow"/>
                <w:u w:val="single"/>
                <w:lang w:val="en-US" w:eastAsia="zh-CN"/>
              </w:rPr>
              <w:t>参照生态环境部发布的《排放源统计调查产排污核算方法和系数手册》</w:t>
            </w:r>
            <w:r>
              <w:rPr>
                <w:rFonts w:ascii="宋体" w:hAnsi="宋体" w:eastAsia="宋体" w:cs="宋体"/>
                <w:color w:val="FF0000"/>
                <w:sz w:val="24"/>
                <w:szCs w:val="24"/>
                <w:highlight w:val="yellow"/>
                <w:u w:val="single"/>
              </w:rPr>
              <w:t>进行核算</w:t>
            </w:r>
            <w:r>
              <w:rPr>
                <w:rFonts w:hint="eastAsia" w:ascii="宋体" w:hAnsi="宋体" w:cs="宋体"/>
                <w:color w:val="FF0000"/>
                <w:sz w:val="24"/>
                <w:szCs w:val="24"/>
                <w:highlight w:val="yellow"/>
                <w:u w:val="single"/>
                <w:lang w:eastAsia="zh-CN"/>
              </w:rPr>
              <w:t>，</w:t>
            </w:r>
            <w:r>
              <w:rPr>
                <w:rFonts w:hint="default" w:ascii="Times New Roman" w:hAnsi="Times New Roman" w:cs="Times New Roman"/>
                <w:color w:val="FF0000"/>
                <w:sz w:val="24"/>
                <w:szCs w:val="24"/>
                <w:highlight w:val="yellow"/>
                <w:u w:val="single"/>
                <w:lang w:val="en-US" w:eastAsia="zh-CN"/>
              </w:rPr>
              <w:t>采用4430工业锅炉（热力供应）行业系数手册</w:t>
            </w:r>
            <w:r>
              <w:rPr>
                <w:rFonts w:hint="eastAsia" w:ascii="Times New Roman" w:hAnsi="Times New Roman" w:cs="Times New Roman"/>
                <w:color w:val="FF0000"/>
                <w:sz w:val="24"/>
                <w:szCs w:val="24"/>
                <w:highlight w:val="yellow"/>
                <w:u w:val="single"/>
                <w:lang w:val="en-US" w:eastAsia="zh-CN"/>
              </w:rPr>
              <w:t>中燃气工业锅炉—天然气（原料）、室燃炉（工艺名称）的产污系数，氮氧化物系数</w:t>
            </w:r>
            <w:r>
              <w:rPr>
                <w:rFonts w:hint="eastAsia" w:cs="Times New Roman"/>
                <w:color w:val="FF0000"/>
                <w:sz w:val="24"/>
                <w:szCs w:val="24"/>
                <w:highlight w:val="yellow"/>
                <w:u w:val="single"/>
                <w:lang w:val="en-US" w:eastAsia="zh-CN"/>
              </w:rPr>
              <w:t>参照国际领先</w:t>
            </w:r>
            <w:r>
              <w:rPr>
                <w:rFonts w:hint="eastAsia" w:ascii="Times New Roman" w:hAnsi="Times New Roman" w:cs="Times New Roman"/>
                <w:color w:val="FF0000"/>
                <w:sz w:val="24"/>
                <w:szCs w:val="24"/>
                <w:highlight w:val="yellow"/>
                <w:u w:val="single"/>
                <w:lang w:val="en-US" w:eastAsia="zh-CN"/>
              </w:rPr>
              <w:t>低氮燃烧的相关</w:t>
            </w:r>
            <w:r>
              <w:rPr>
                <w:rFonts w:hint="eastAsia" w:cs="Times New Roman"/>
                <w:color w:val="FF0000"/>
                <w:sz w:val="24"/>
                <w:szCs w:val="24"/>
                <w:highlight w:val="yellow"/>
                <w:u w:val="single"/>
                <w:lang w:val="en-US" w:eastAsia="zh-CN"/>
              </w:rPr>
              <w:t>系数（低氮燃烧-国际领先技术的天然气锅炉设计 NOx 排放控制要求一般小于60mg/m</w:t>
            </w:r>
            <w:r>
              <w:rPr>
                <w:rFonts w:hint="eastAsia" w:cs="Times New Roman"/>
                <w:color w:val="FF0000"/>
                <w:sz w:val="24"/>
                <w:szCs w:val="24"/>
                <w:highlight w:val="yellow"/>
                <w:u w:val="single"/>
                <w:vertAlign w:val="superscript"/>
                <w:lang w:val="en-US" w:eastAsia="zh-CN"/>
              </w:rPr>
              <w:t>3</w:t>
            </w:r>
            <w:r>
              <w:rPr>
                <w:rFonts w:hint="eastAsia" w:cs="Times New Roman"/>
                <w:color w:val="FF0000"/>
                <w:sz w:val="24"/>
                <w:szCs w:val="24"/>
                <w:highlight w:val="yellow"/>
                <w:u w:val="single"/>
                <w:vertAlign w:val="baseline"/>
                <w:lang w:val="en-US" w:eastAsia="zh-CN"/>
              </w:rPr>
              <w:t>，根据本项目相关计算，本项目的NOx排放浓度满足其要求</w:t>
            </w:r>
            <w:r>
              <w:rPr>
                <w:rFonts w:hint="eastAsia" w:cs="Times New Roman"/>
                <w:color w:val="FF0000"/>
                <w:sz w:val="24"/>
                <w:szCs w:val="24"/>
                <w:highlight w:val="yellow"/>
                <w:u w:val="single"/>
                <w:lang w:val="en-US" w:eastAsia="zh-CN"/>
              </w:rPr>
              <w:t>）</w:t>
            </w:r>
            <w:r>
              <w:rPr>
                <w:rFonts w:ascii="宋体" w:hAnsi="宋体" w:eastAsia="宋体" w:cs="宋体"/>
                <w:color w:val="FF0000"/>
                <w:sz w:val="24"/>
                <w:szCs w:val="24"/>
                <w:highlight w:val="yellow"/>
                <w:u w:val="single"/>
              </w:rPr>
              <w:t>。</w:t>
            </w:r>
          </w:p>
          <w:p>
            <w:pPr>
              <w:adjustRightInd w:val="0"/>
              <w:snapToGrid w:val="0"/>
              <w:spacing w:line="360" w:lineRule="auto"/>
              <w:ind w:firstLine="480" w:firstLineChars="200"/>
              <w:rPr>
                <w:rFonts w:hint="default" w:eastAsia="宋体"/>
                <w:color w:val="FF0000"/>
                <w:sz w:val="24"/>
                <w:highlight w:val="yellow"/>
                <w:u w:val="single"/>
                <w:lang w:val="en-US" w:eastAsia="zh-CN"/>
              </w:rPr>
            </w:pPr>
            <w:r>
              <w:rPr>
                <w:rFonts w:hint="eastAsia"/>
                <w:color w:val="FF0000"/>
                <w:sz w:val="24"/>
                <w:highlight w:val="yellow"/>
                <w:u w:val="single"/>
                <w:lang w:val="en-US" w:eastAsia="zh-CN"/>
              </w:rPr>
              <w:t>设备点火阶段</w:t>
            </w:r>
          </w:p>
          <w:p>
            <w:pPr>
              <w:adjustRightInd w:val="0"/>
              <w:snapToGrid w:val="0"/>
              <w:spacing w:line="360" w:lineRule="auto"/>
              <w:ind w:firstLine="480" w:firstLineChars="200"/>
              <w:rPr>
                <w:rFonts w:hint="eastAsia" w:cs="Times New Roman"/>
                <w:color w:val="FF0000"/>
                <w:sz w:val="24"/>
                <w:highlight w:val="yellow"/>
                <w:u w:val="single"/>
                <w:lang w:eastAsia="zh-CN"/>
              </w:rPr>
            </w:pPr>
            <w:r>
              <w:rPr>
                <w:sz w:val="24"/>
                <w:lang w:val="zh-CN"/>
              </w:rPr>
              <w:t>本项目为</w:t>
            </w:r>
            <w:r>
              <w:rPr>
                <w:rFonts w:hint="eastAsia"/>
                <w:sz w:val="24"/>
                <w:lang w:val="en-US" w:eastAsia="zh-CN"/>
              </w:rPr>
              <w:t>热风烘干炉</w:t>
            </w:r>
            <w:r>
              <w:rPr>
                <w:sz w:val="24"/>
                <w:lang w:val="zh-CN"/>
              </w:rPr>
              <w:t>，</w:t>
            </w:r>
            <w:r>
              <w:rPr>
                <w:rFonts w:hint="eastAsia"/>
                <w:sz w:val="24"/>
                <w:lang w:val="zh-CN"/>
              </w:rPr>
              <w:t>炉窑燃料主要为炭化过程产生的竹煤气和</w:t>
            </w:r>
            <w:r>
              <w:rPr>
                <w:rFonts w:hint="eastAsia"/>
                <w:sz w:val="24"/>
                <w:lang w:val="en-US" w:eastAsia="zh-CN"/>
              </w:rPr>
              <w:t>竹条、竹片</w:t>
            </w:r>
            <w:r>
              <w:rPr>
                <w:rFonts w:hint="eastAsia"/>
                <w:sz w:val="24"/>
                <w:lang w:val="zh-CN"/>
              </w:rPr>
              <w:t>。</w:t>
            </w:r>
            <w:r>
              <w:rPr>
                <w:rFonts w:hint="eastAsia" w:ascii="Times New Roman" w:hAnsi="Times New Roman" w:cs="Times New Roman"/>
                <w:color w:val="000000" w:themeColor="text1"/>
                <w:sz w:val="24"/>
                <w:highlight w:val="none"/>
                <w:lang w:eastAsia="zh-CN"/>
                <w14:textFill>
                  <w14:solidFill>
                    <w14:schemeClr w14:val="tx1"/>
                  </w14:solidFill>
                </w14:textFill>
              </w:rPr>
              <w:t>当</w:t>
            </w:r>
            <w:r>
              <w:rPr>
                <w:rFonts w:hint="eastAsia" w:cs="Times New Roman"/>
                <w:color w:val="FF0000"/>
                <w:sz w:val="24"/>
                <w:highlight w:val="yellow"/>
                <w:u w:val="single"/>
                <w:lang w:val="en-US" w:eastAsia="zh-CN"/>
              </w:rPr>
              <w:t>在开工阶段或</w:t>
            </w:r>
            <w:r>
              <w:rPr>
                <w:rFonts w:hint="default" w:ascii="Times New Roman" w:hAnsi="Times New Roman" w:cs="Times New Roman"/>
                <w:color w:val="FF0000"/>
                <w:sz w:val="24"/>
                <w:highlight w:val="yellow"/>
                <w:u w:val="single"/>
              </w:rPr>
              <w:t>炭化过程产生的</w:t>
            </w:r>
            <w:r>
              <w:rPr>
                <w:rFonts w:hint="eastAsia" w:cs="Times New Roman"/>
                <w:color w:val="FF0000"/>
                <w:sz w:val="24"/>
                <w:highlight w:val="yellow"/>
                <w:u w:val="single"/>
                <w:lang w:val="en-US" w:eastAsia="zh-CN"/>
              </w:rPr>
              <w:t>炭化废气</w:t>
            </w:r>
            <w:r>
              <w:rPr>
                <w:rFonts w:hint="default" w:ascii="Times New Roman" w:hAnsi="Times New Roman" w:cs="Times New Roman"/>
                <w:color w:val="FF0000"/>
                <w:sz w:val="24"/>
                <w:highlight w:val="yellow"/>
                <w:u w:val="single"/>
              </w:rPr>
              <w:t>不能满足烘干所需的热源</w:t>
            </w:r>
            <w:r>
              <w:rPr>
                <w:rFonts w:hint="eastAsia" w:cs="Times New Roman"/>
                <w:color w:val="FF0000"/>
                <w:sz w:val="24"/>
                <w:highlight w:val="yellow"/>
                <w:u w:val="single"/>
                <w:lang w:val="en-US" w:eastAsia="zh-CN"/>
              </w:rPr>
              <w:t>时，项目生产无木煤气使用或热源不够时，</w:t>
            </w:r>
            <w:r>
              <w:rPr>
                <w:rFonts w:hint="default" w:ascii="Times New Roman" w:hAnsi="Times New Roman" w:cs="Times New Roman"/>
                <w:color w:val="FF0000"/>
                <w:sz w:val="24"/>
                <w:highlight w:val="yellow"/>
                <w:u w:val="single"/>
              </w:rPr>
              <w:t>需补充一定</w:t>
            </w:r>
            <w:r>
              <w:rPr>
                <w:rFonts w:hint="eastAsia" w:cs="Times New Roman"/>
                <w:color w:val="FF0000"/>
                <w:sz w:val="24"/>
                <w:highlight w:val="yellow"/>
                <w:u w:val="single"/>
                <w:lang w:val="en-US" w:eastAsia="zh-CN"/>
              </w:rPr>
              <w:t>竹条、竹片作为燃料</w:t>
            </w:r>
            <w:r>
              <w:rPr>
                <w:rFonts w:hint="eastAsia" w:cs="Times New Roman"/>
                <w:color w:val="FF0000"/>
                <w:sz w:val="24"/>
                <w:highlight w:val="yellow"/>
                <w:u w:val="single"/>
                <w:lang w:eastAsia="zh-CN"/>
              </w:rPr>
              <w:t>。</w:t>
            </w:r>
          </w:p>
          <w:p>
            <w:pPr>
              <w:adjustRightInd w:val="0"/>
              <w:snapToGrid w:val="0"/>
              <w:spacing w:line="360" w:lineRule="auto"/>
              <w:ind w:firstLine="480" w:firstLineChars="200"/>
              <w:rPr>
                <w:rFonts w:hint="eastAsia" w:cs="Times New Roman"/>
                <w:color w:val="FF0000"/>
                <w:sz w:val="24"/>
                <w:highlight w:val="yellow"/>
                <w:u w:val="single"/>
                <w:lang w:eastAsia="zh-CN"/>
              </w:rPr>
            </w:pPr>
            <w:r>
              <w:rPr>
                <w:color w:val="FF0000"/>
                <w:sz w:val="24"/>
                <w:highlight w:val="yellow"/>
                <w:u w:val="single"/>
                <w:lang w:val="zh-CN"/>
              </w:rPr>
              <w:t>根据业主提供的资料，</w:t>
            </w:r>
            <w:r>
              <w:rPr>
                <w:rFonts w:hint="eastAsia"/>
                <w:color w:val="FF0000"/>
                <w:sz w:val="24"/>
                <w:highlight w:val="yellow"/>
                <w:u w:val="single"/>
                <w:lang w:val="en-US" w:eastAsia="zh-CN"/>
              </w:rPr>
              <w:t>辅助燃料用量为20t/a，参照</w:t>
            </w:r>
            <w:r>
              <w:rPr>
                <w:rFonts w:hint="default" w:ascii="Times New Roman" w:hAnsi="Times New Roman" w:cs="Times New Roman"/>
                <w:color w:val="FF0000"/>
                <w:sz w:val="24"/>
                <w:szCs w:val="24"/>
                <w:highlight w:val="yellow"/>
                <w:u w:val="single"/>
                <w:lang w:val="en-US" w:eastAsia="zh-CN"/>
              </w:rPr>
              <w:t>《排污许可证申请与核发技术规范 锅炉》（HJ953-2018）</w:t>
            </w:r>
            <w:r>
              <w:rPr>
                <w:rFonts w:hint="eastAsia" w:ascii="Times New Roman" w:hAnsi="Times New Roman" w:cs="Times New Roman"/>
                <w:color w:val="FF0000"/>
                <w:sz w:val="24"/>
                <w:szCs w:val="24"/>
                <w:highlight w:val="yellow"/>
                <w:u w:val="single"/>
                <w:lang w:val="en-US" w:eastAsia="zh-CN"/>
              </w:rPr>
              <w:t>表</w:t>
            </w:r>
            <w:r>
              <w:rPr>
                <w:rFonts w:hint="default" w:ascii="Times New Roman" w:hAnsi="Times New Roman" w:cs="Times New Roman"/>
                <w:color w:val="FF0000"/>
                <w:sz w:val="24"/>
                <w:szCs w:val="24"/>
                <w:highlight w:val="yellow"/>
                <w:u w:val="single"/>
                <w:lang w:val="en-US" w:eastAsia="zh-CN"/>
              </w:rPr>
              <w:t>F4</w:t>
            </w:r>
            <w:r>
              <w:rPr>
                <w:rFonts w:hint="eastAsia" w:ascii="Times New Roman" w:hAnsi="Times New Roman" w:cs="Times New Roman"/>
                <w:color w:val="FF0000"/>
                <w:sz w:val="24"/>
                <w:szCs w:val="24"/>
                <w:highlight w:val="yellow"/>
                <w:u w:val="single"/>
                <w:lang w:val="en-US" w:eastAsia="zh-CN"/>
              </w:rPr>
              <w:t>中“生物质锅炉的</w:t>
            </w:r>
            <w:r>
              <w:rPr>
                <w:rFonts w:hint="eastAsia" w:cs="Times New Roman"/>
                <w:color w:val="FF0000"/>
                <w:sz w:val="24"/>
                <w:szCs w:val="24"/>
                <w:highlight w:val="yellow"/>
                <w:u w:val="single"/>
                <w:lang w:val="en-US" w:eastAsia="zh-CN"/>
              </w:rPr>
              <w:t>产</w:t>
            </w:r>
            <w:r>
              <w:rPr>
                <w:rFonts w:hint="eastAsia" w:ascii="Times New Roman" w:hAnsi="Times New Roman" w:cs="Times New Roman"/>
                <w:color w:val="FF0000"/>
                <w:sz w:val="24"/>
                <w:szCs w:val="24"/>
                <w:highlight w:val="yellow"/>
                <w:u w:val="single"/>
                <w:lang w:val="en-US" w:eastAsia="zh-CN"/>
              </w:rPr>
              <w:t>排污系数”</w:t>
            </w:r>
            <w:r>
              <w:rPr>
                <w:rFonts w:hint="eastAsia" w:cs="Times New Roman"/>
                <w:color w:val="FF0000"/>
                <w:sz w:val="24"/>
                <w:szCs w:val="24"/>
                <w:highlight w:val="yellow"/>
                <w:u w:val="single"/>
                <w:lang w:val="en-US" w:eastAsia="zh-CN"/>
              </w:rPr>
              <w:t>，炭化</w:t>
            </w:r>
            <w:r>
              <w:rPr>
                <w:color w:val="FF0000"/>
                <w:sz w:val="24"/>
                <w:highlight w:val="yellow"/>
                <w:u w:val="single"/>
                <w:lang w:val="zh-CN"/>
              </w:rPr>
              <w:t>产生的废气主要为二氧化硫、颗粒物和氮氧化物。</w:t>
            </w:r>
            <w:r>
              <w:rPr>
                <w:rFonts w:ascii="宋体" w:hAnsi="宋体" w:eastAsia="宋体" w:cs="宋体"/>
                <w:color w:val="FF0000"/>
                <w:sz w:val="24"/>
                <w:szCs w:val="24"/>
                <w:highlight w:val="yellow"/>
                <w:u w:val="single"/>
              </w:rPr>
              <w:t>项目热风炉废气源强根据《第二次全国污染源普查工业污染源产排污系数手册（试用版）》、《环境统计手册》以及杭州能源协会等编制的《能源管理与节能实用手册》等进行核算</w:t>
            </w:r>
            <w:r>
              <w:rPr>
                <w:rFonts w:hint="eastAsia" w:cs="Times New Roman"/>
                <w:color w:val="FF0000"/>
                <w:sz w:val="24"/>
                <w:highlight w:val="yellow"/>
                <w:u w:val="single"/>
                <w:lang w:eastAsia="zh-CN"/>
              </w:rPr>
              <w:t>。</w:t>
            </w:r>
          </w:p>
          <w:p>
            <w:pPr>
              <w:adjustRightInd w:val="0"/>
              <w:snapToGrid w:val="0"/>
              <w:spacing w:line="360" w:lineRule="auto"/>
              <w:ind w:firstLine="480" w:firstLineChars="200"/>
            </w:pPr>
            <w:commentRangeStart w:id="15"/>
            <w:commentRangeStart w:id="16"/>
            <w:r>
              <w:rPr>
                <w:sz w:val="24"/>
              </w:rPr>
              <w:t>相关污染物的产</w:t>
            </w:r>
            <w:r>
              <w:rPr>
                <w:rFonts w:hint="eastAsia"/>
                <w:sz w:val="24"/>
                <w:lang w:val="en-US" w:eastAsia="zh-CN"/>
              </w:rPr>
              <w:t>污</w:t>
            </w:r>
            <w:r>
              <w:rPr>
                <w:sz w:val="24"/>
              </w:rPr>
              <w:t>系数及污染物产生情况见下表。</w:t>
            </w:r>
            <w:r>
              <w:rPr>
                <w:rFonts w:hint="eastAsia"/>
                <w:sz w:val="24"/>
                <w:lang w:val="en-US" w:eastAsia="zh-CN"/>
              </w:rPr>
              <w:t>风量按5000m</w:t>
            </w:r>
            <w:r>
              <w:rPr>
                <w:rFonts w:hint="eastAsia"/>
                <w:sz w:val="24"/>
                <w:vertAlign w:val="superscript"/>
                <w:lang w:val="en-US" w:eastAsia="zh-CN"/>
              </w:rPr>
              <w:t>3</w:t>
            </w:r>
            <w:r>
              <w:rPr>
                <w:rFonts w:hint="eastAsia"/>
                <w:sz w:val="24"/>
                <w:lang w:val="en-US" w:eastAsia="zh-CN"/>
              </w:rPr>
              <w:t>/h计算。</w:t>
            </w:r>
            <w:commentRangeEnd w:id="15"/>
            <w:r>
              <w:commentReference w:id="15"/>
            </w:r>
          </w:p>
          <w:commentRangeEnd w:id="16"/>
          <w:p>
            <w:pPr>
              <w:adjustRightInd w:val="0"/>
              <w:snapToGrid w:val="0"/>
              <w:spacing w:line="360" w:lineRule="auto"/>
              <w:ind w:firstLine="420" w:firstLineChars="200"/>
              <w:rPr>
                <w:b/>
                <w:bCs/>
                <w:color w:val="FF0000"/>
                <w:sz w:val="21"/>
                <w:szCs w:val="21"/>
                <w:highlight w:val="yellow"/>
                <w:u w:val="single"/>
                <w:lang w:val="en-US" w:eastAsia="zh-CN"/>
              </w:rPr>
            </w:pPr>
            <w:r>
              <w:commentReference w:id="16"/>
            </w:r>
          </w:p>
          <w:p>
            <w:pPr>
              <w:pStyle w:val="17"/>
              <w:jc w:val="both"/>
              <w:rPr>
                <w:b/>
                <w:bCs/>
                <w:color w:val="FF0000"/>
                <w:sz w:val="21"/>
                <w:szCs w:val="21"/>
                <w:highlight w:val="yellow"/>
                <w:u w:val="single"/>
                <w:lang w:val="en-US" w:eastAsia="zh-CN"/>
              </w:rPr>
            </w:pPr>
          </w:p>
          <w:p>
            <w:pPr>
              <w:pStyle w:val="17"/>
              <w:rPr>
                <w:b/>
                <w:bCs/>
                <w:color w:val="FF0000"/>
                <w:sz w:val="21"/>
                <w:szCs w:val="21"/>
                <w:highlight w:val="yellow"/>
                <w:u w:val="single"/>
                <w:lang w:val="en-US" w:eastAsia="zh-CN"/>
              </w:rPr>
            </w:pPr>
          </w:p>
          <w:p>
            <w:pPr>
              <w:pStyle w:val="17"/>
              <w:rPr>
                <w:color w:val="FF0000"/>
                <w:highlight w:val="yellow"/>
                <w:u w:val="single"/>
                <w:lang w:val="en-US" w:eastAsia="zh-CN"/>
              </w:rPr>
            </w:pPr>
            <w:r>
              <w:rPr>
                <w:b/>
                <w:bCs/>
                <w:color w:val="FF0000"/>
                <w:sz w:val="21"/>
                <w:szCs w:val="21"/>
                <w:highlight w:val="yellow"/>
                <w:u w:val="single"/>
                <w:lang w:val="en-US" w:eastAsia="zh-CN"/>
              </w:rPr>
              <w:t>表4-</w:t>
            </w:r>
            <w:r>
              <w:rPr>
                <w:rFonts w:hint="eastAsia"/>
                <w:b/>
                <w:bCs/>
                <w:color w:val="FF0000"/>
                <w:sz w:val="21"/>
                <w:szCs w:val="21"/>
                <w:highlight w:val="yellow"/>
                <w:u w:val="single"/>
                <w:lang w:val="en-US" w:eastAsia="zh-CN"/>
              </w:rPr>
              <w:t>3  炭化废气</w:t>
            </w:r>
            <w:r>
              <w:rPr>
                <w:b/>
                <w:bCs/>
                <w:color w:val="FF0000"/>
                <w:sz w:val="21"/>
                <w:szCs w:val="21"/>
                <w:highlight w:val="yellow"/>
                <w:u w:val="single"/>
                <w:lang w:val="en-US" w:eastAsia="zh-CN"/>
              </w:rPr>
              <w:t>产污系数及情况一览表</w:t>
            </w:r>
            <w:r>
              <w:commentReference w:id="17"/>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114"/>
              <w:gridCol w:w="211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5000" w:type="pct"/>
                  <w:gridSpan w:val="4"/>
                  <w:vAlign w:val="center"/>
                </w:tcPr>
                <w:p>
                  <w:pPr>
                    <w:adjustRightInd w:val="0"/>
                    <w:snapToGrid w:val="0"/>
                    <w:jc w:val="center"/>
                    <w:rPr>
                      <w:rFonts w:hint="default" w:eastAsia="宋体"/>
                      <w:szCs w:val="21"/>
                      <w:lang w:val="en-US" w:eastAsia="zh-CN"/>
                    </w:rPr>
                  </w:pPr>
                  <w:r>
                    <w:rPr>
                      <w:rFonts w:hint="eastAsia"/>
                      <w:szCs w:val="21"/>
                      <w:lang w:val="en-US" w:eastAsia="zh-CN"/>
                    </w:rPr>
                    <w:t>竹煤气、醋液和焦油气体（用量3203.74t/a，换算为</w:t>
                  </w:r>
                  <w:r>
                    <w:rPr>
                      <w:rFonts w:hint="eastAsia" w:hAnsi="宋体"/>
                      <w:color w:val="FF0000"/>
                      <w:sz w:val="21"/>
                      <w:szCs w:val="21"/>
                      <w:u w:val="single"/>
                      <w:lang w:val="en-US" w:eastAsia="zh-CN"/>
                    </w:rPr>
                    <w:t>6.41</w:t>
                  </w:r>
                  <w:r>
                    <w:rPr>
                      <w:rFonts w:hint="eastAsia" w:hAnsi="宋体"/>
                      <w:color w:val="FF0000"/>
                      <w:sz w:val="21"/>
                      <w:szCs w:val="21"/>
                      <w:u w:val="single"/>
                    </w:rPr>
                    <w:t>×</w:t>
                  </w:r>
                  <w:r>
                    <w:rPr>
                      <w:rFonts w:hAnsi="宋体"/>
                      <w:color w:val="FF0000"/>
                      <w:sz w:val="21"/>
                      <w:szCs w:val="21"/>
                      <w:u w:val="single"/>
                    </w:rPr>
                    <w:t>10</w:t>
                  </w:r>
                  <w:r>
                    <w:rPr>
                      <w:rFonts w:hint="eastAsia" w:hAnsi="宋体"/>
                      <w:color w:val="FF0000"/>
                      <w:sz w:val="21"/>
                      <w:szCs w:val="21"/>
                      <w:u w:val="single"/>
                      <w:vertAlign w:val="superscript"/>
                      <w:lang w:val="en-US" w:eastAsia="zh-CN"/>
                    </w:rPr>
                    <w:t>6</w:t>
                  </w:r>
                  <w:r>
                    <w:rPr>
                      <w:rFonts w:hint="eastAsia" w:hAnsi="宋体"/>
                      <w:color w:val="FF0000"/>
                      <w:sz w:val="21"/>
                      <w:szCs w:val="21"/>
                      <w:u w:val="single"/>
                    </w:rPr>
                    <w:t>N</w:t>
                  </w:r>
                  <w:r>
                    <w:rPr>
                      <w:rFonts w:hAnsi="宋体"/>
                      <w:color w:val="FF0000"/>
                      <w:sz w:val="21"/>
                      <w:szCs w:val="21"/>
                      <w:u w:val="single"/>
                    </w:rPr>
                    <w:t>m</w:t>
                  </w:r>
                  <w:r>
                    <w:rPr>
                      <w:rFonts w:hAnsi="宋体"/>
                      <w:color w:val="FF0000"/>
                      <w:sz w:val="21"/>
                      <w:szCs w:val="21"/>
                      <w:u w:val="single"/>
                      <w:vertAlign w:val="superscript"/>
                    </w:rPr>
                    <w:t>3</w:t>
                  </w:r>
                  <w:r>
                    <w:rPr>
                      <w:rFonts w:hint="eastAsia" w:hAnsi="宋体"/>
                      <w:color w:val="FF0000"/>
                      <w:sz w:val="21"/>
                      <w:szCs w:val="21"/>
                      <w:u w:val="single"/>
                      <w:vertAlign w:val="baseline"/>
                      <w:lang w:val="en-US" w:eastAsia="zh-CN"/>
                    </w:rPr>
                    <w:t>/a</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vAlign w:val="center"/>
                </w:tcPr>
                <w:p>
                  <w:pPr>
                    <w:adjustRightInd w:val="0"/>
                    <w:snapToGrid w:val="0"/>
                    <w:jc w:val="center"/>
                    <w:rPr>
                      <w:szCs w:val="21"/>
                    </w:rPr>
                  </w:pPr>
                  <w:r>
                    <w:rPr>
                      <w:szCs w:val="21"/>
                    </w:rPr>
                    <w:t>污染物指标</w:t>
                  </w:r>
                </w:p>
              </w:tc>
              <w:tc>
                <w:tcPr>
                  <w:tcW w:w="1250" w:type="pct"/>
                  <w:vAlign w:val="center"/>
                </w:tcPr>
                <w:p>
                  <w:pPr>
                    <w:adjustRightInd w:val="0"/>
                    <w:snapToGrid w:val="0"/>
                    <w:jc w:val="center"/>
                    <w:rPr>
                      <w:szCs w:val="21"/>
                    </w:rPr>
                  </w:pPr>
                  <w:r>
                    <w:rPr>
                      <w:szCs w:val="21"/>
                    </w:rPr>
                    <w:t>二氧化硫</w:t>
                  </w:r>
                </w:p>
              </w:tc>
              <w:tc>
                <w:tcPr>
                  <w:tcW w:w="1250" w:type="pct"/>
                  <w:vAlign w:val="center"/>
                </w:tcPr>
                <w:p>
                  <w:pPr>
                    <w:adjustRightInd w:val="0"/>
                    <w:snapToGrid w:val="0"/>
                    <w:jc w:val="center"/>
                    <w:rPr>
                      <w:szCs w:val="21"/>
                    </w:rPr>
                  </w:pPr>
                  <w:r>
                    <w:rPr>
                      <w:szCs w:val="21"/>
                    </w:rPr>
                    <w:t>颗粒物</w:t>
                  </w:r>
                </w:p>
              </w:tc>
              <w:tc>
                <w:tcPr>
                  <w:tcW w:w="1252" w:type="pct"/>
                  <w:vAlign w:val="center"/>
                </w:tcPr>
                <w:p>
                  <w:pPr>
                    <w:adjustRightInd w:val="0"/>
                    <w:snapToGrid w:val="0"/>
                    <w:jc w:val="center"/>
                    <w:rPr>
                      <w:szCs w:val="21"/>
                    </w:rPr>
                  </w:pPr>
                  <w:r>
                    <w:rPr>
                      <w:szCs w:val="21"/>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vAlign w:val="center"/>
                </w:tcPr>
                <w:p>
                  <w:pPr>
                    <w:adjustRightInd w:val="0"/>
                    <w:snapToGrid w:val="0"/>
                    <w:jc w:val="center"/>
                    <w:rPr>
                      <w:szCs w:val="21"/>
                    </w:rPr>
                  </w:pPr>
                  <w:r>
                    <w:rPr>
                      <w:szCs w:val="21"/>
                    </w:rPr>
                    <w:t>产</w:t>
                  </w:r>
                  <w:r>
                    <w:rPr>
                      <w:rFonts w:hint="eastAsia"/>
                      <w:szCs w:val="21"/>
                      <w:lang w:val="en-US" w:eastAsia="zh-CN"/>
                    </w:rPr>
                    <w:t>污</w:t>
                  </w:r>
                  <w:r>
                    <w:rPr>
                      <w:szCs w:val="21"/>
                    </w:rPr>
                    <w:t>系数</w:t>
                  </w:r>
                </w:p>
              </w:tc>
              <w:tc>
                <w:tcPr>
                  <w:tcW w:w="2114" w:type="dxa"/>
                  <w:vAlign w:val="center"/>
                </w:tcPr>
                <w:p>
                  <w:pPr>
                    <w:adjustRightInd w:val="0"/>
                    <w:snapToGrid w:val="0"/>
                    <w:jc w:val="center"/>
                    <w:rPr>
                      <w:szCs w:val="21"/>
                    </w:rPr>
                  </w:pPr>
                  <w:r>
                    <w:rPr>
                      <w:rFonts w:hint="eastAsia"/>
                      <w:szCs w:val="21"/>
                      <w:lang w:val="en-US" w:eastAsia="zh-CN"/>
                    </w:rPr>
                    <w:t>0.02</w:t>
                  </w:r>
                  <w:r>
                    <w:rPr>
                      <w:szCs w:val="21"/>
                    </w:rPr>
                    <w:t>S</w:t>
                  </w:r>
                  <w:r>
                    <w:rPr>
                      <w:rFonts w:hint="eastAsia"/>
                      <w:szCs w:val="21"/>
                    </w:rPr>
                    <w:t>千克/万立方米-原料</w:t>
                  </w:r>
                </w:p>
              </w:tc>
              <w:tc>
                <w:tcPr>
                  <w:tcW w:w="2114" w:type="dxa"/>
                  <w:vAlign w:val="center"/>
                </w:tcPr>
                <w:p>
                  <w:pPr>
                    <w:adjustRightInd w:val="0"/>
                    <w:snapToGrid w:val="0"/>
                    <w:jc w:val="center"/>
                    <w:rPr>
                      <w:szCs w:val="21"/>
                    </w:rPr>
                  </w:pPr>
                  <w:r>
                    <w:rPr>
                      <w:rFonts w:hint="eastAsia"/>
                      <w:szCs w:val="21"/>
                      <w:lang w:val="en-US" w:eastAsia="zh-CN"/>
                    </w:rPr>
                    <w:t>2.4千克</w:t>
                  </w:r>
                  <w:r>
                    <w:rPr>
                      <w:szCs w:val="21"/>
                    </w:rPr>
                    <w:t>/</w:t>
                  </w:r>
                  <w:r>
                    <w:rPr>
                      <w:rFonts w:hint="eastAsia"/>
                      <w:szCs w:val="21"/>
                    </w:rPr>
                    <w:t>万立方米-原料</w:t>
                  </w:r>
                </w:p>
              </w:tc>
              <w:tc>
                <w:tcPr>
                  <w:tcW w:w="2119" w:type="dxa"/>
                  <w:vAlign w:val="center"/>
                </w:tcPr>
                <w:p>
                  <w:pPr>
                    <w:adjustRightInd w:val="0"/>
                    <w:snapToGrid w:val="0"/>
                    <w:jc w:val="center"/>
                    <w:rPr>
                      <w:szCs w:val="21"/>
                    </w:rPr>
                  </w:pPr>
                  <w:r>
                    <w:rPr>
                      <w:rFonts w:hint="eastAsia"/>
                      <w:szCs w:val="21"/>
                      <w:lang w:val="en-US" w:eastAsia="zh-CN"/>
                    </w:rPr>
                    <w:t>3.03</w:t>
                  </w:r>
                  <w:r>
                    <w:rPr>
                      <w:rFonts w:hint="eastAsia"/>
                      <w:szCs w:val="21"/>
                    </w:rPr>
                    <w:t>千克/万立方米-原料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vAlign w:val="center"/>
                </w:tcPr>
                <w:p>
                  <w:pPr>
                    <w:adjustRightInd w:val="0"/>
                    <w:snapToGrid w:val="0"/>
                    <w:jc w:val="center"/>
                    <w:rPr>
                      <w:szCs w:val="21"/>
                    </w:rPr>
                  </w:pPr>
                  <w:r>
                    <w:rPr>
                      <w:szCs w:val="21"/>
                    </w:rPr>
                    <w:t>污染物产生量</w:t>
                  </w:r>
                </w:p>
              </w:tc>
              <w:tc>
                <w:tcPr>
                  <w:tcW w:w="1250" w:type="pct"/>
                  <w:vAlign w:val="center"/>
                </w:tcPr>
                <w:p>
                  <w:pPr>
                    <w:adjustRightInd w:val="0"/>
                    <w:snapToGrid w:val="0"/>
                    <w:jc w:val="center"/>
                    <w:rPr>
                      <w:rFonts w:hint="default" w:eastAsia="宋体"/>
                      <w:szCs w:val="21"/>
                      <w:lang w:val="en-US" w:eastAsia="zh-CN"/>
                    </w:rPr>
                  </w:pPr>
                  <w:r>
                    <w:rPr>
                      <w:rFonts w:hint="eastAsia"/>
                      <w:szCs w:val="21"/>
                      <w:lang w:val="en-US" w:eastAsia="zh-CN"/>
                    </w:rPr>
                    <w:t>12.82kg/a</w:t>
                  </w:r>
                </w:p>
              </w:tc>
              <w:tc>
                <w:tcPr>
                  <w:tcW w:w="1250" w:type="pct"/>
                  <w:vAlign w:val="center"/>
                </w:tcPr>
                <w:p>
                  <w:pPr>
                    <w:adjustRightInd w:val="0"/>
                    <w:snapToGrid w:val="0"/>
                    <w:jc w:val="center"/>
                    <w:rPr>
                      <w:rFonts w:hint="default" w:eastAsia="宋体"/>
                      <w:szCs w:val="21"/>
                      <w:lang w:val="en-US" w:eastAsia="zh-CN"/>
                    </w:rPr>
                  </w:pPr>
                  <w:r>
                    <w:rPr>
                      <w:rFonts w:hint="eastAsia"/>
                      <w:szCs w:val="21"/>
                      <w:lang w:val="en-US" w:eastAsia="zh-CN"/>
                    </w:rPr>
                    <w:t>1538.4kg/a</w:t>
                  </w:r>
                </w:p>
              </w:tc>
              <w:tc>
                <w:tcPr>
                  <w:tcW w:w="1252" w:type="pct"/>
                  <w:vAlign w:val="center"/>
                </w:tcPr>
                <w:p>
                  <w:pPr>
                    <w:adjustRightInd w:val="0"/>
                    <w:snapToGrid w:val="0"/>
                    <w:jc w:val="center"/>
                    <w:rPr>
                      <w:rFonts w:hint="default" w:eastAsia="宋体"/>
                      <w:szCs w:val="21"/>
                      <w:lang w:val="en-US" w:eastAsia="zh-CN"/>
                    </w:rPr>
                  </w:pPr>
                  <w:r>
                    <w:rPr>
                      <w:rFonts w:hint="eastAsia"/>
                      <w:szCs w:val="21"/>
                      <w:lang w:val="en-US" w:eastAsia="zh-CN"/>
                    </w:rPr>
                    <w:t>1942.23kg/a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000" w:type="pct"/>
                  <w:gridSpan w:val="4"/>
                  <w:vAlign w:val="center"/>
                </w:tcPr>
                <w:p>
                  <w:pPr>
                    <w:adjustRightInd w:val="0"/>
                    <w:snapToGrid w:val="0"/>
                    <w:jc w:val="center"/>
                    <w:rPr>
                      <w:rFonts w:hint="default" w:eastAsia="宋体"/>
                      <w:szCs w:val="21"/>
                      <w:lang w:val="en-US" w:eastAsia="zh-CN"/>
                    </w:rPr>
                  </w:pPr>
                  <w:r>
                    <w:rPr>
                      <w:rFonts w:hint="eastAsia"/>
                      <w:szCs w:val="21"/>
                      <w:lang w:val="en-US" w:eastAsia="zh-CN"/>
                    </w:rPr>
                    <w:t>竹条、竹片污染源（用量20t/a）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adjustRightInd w:val="0"/>
                    <w:snapToGrid w:val="0"/>
                    <w:jc w:val="center"/>
                    <w:rPr>
                      <w:szCs w:val="21"/>
                    </w:rPr>
                  </w:pPr>
                  <w:r>
                    <w:rPr>
                      <w:szCs w:val="21"/>
                    </w:rPr>
                    <w:t>污染物指标</w:t>
                  </w:r>
                </w:p>
              </w:tc>
              <w:tc>
                <w:tcPr>
                  <w:tcW w:w="1250" w:type="pct"/>
                  <w:vAlign w:val="center"/>
                </w:tcPr>
                <w:p>
                  <w:pPr>
                    <w:adjustRightInd w:val="0"/>
                    <w:snapToGrid w:val="0"/>
                    <w:jc w:val="center"/>
                    <w:rPr>
                      <w:szCs w:val="21"/>
                    </w:rPr>
                  </w:pPr>
                  <w:r>
                    <w:rPr>
                      <w:szCs w:val="21"/>
                    </w:rPr>
                    <w:t>二氧化硫</w:t>
                  </w:r>
                </w:p>
              </w:tc>
              <w:tc>
                <w:tcPr>
                  <w:tcW w:w="1250" w:type="pct"/>
                  <w:vAlign w:val="center"/>
                </w:tcPr>
                <w:p>
                  <w:pPr>
                    <w:adjustRightInd w:val="0"/>
                    <w:snapToGrid w:val="0"/>
                    <w:jc w:val="center"/>
                    <w:rPr>
                      <w:szCs w:val="21"/>
                    </w:rPr>
                  </w:pPr>
                  <w:r>
                    <w:rPr>
                      <w:szCs w:val="21"/>
                    </w:rPr>
                    <w:t>颗粒物</w:t>
                  </w:r>
                </w:p>
              </w:tc>
              <w:tc>
                <w:tcPr>
                  <w:tcW w:w="1252" w:type="pct"/>
                  <w:vAlign w:val="center"/>
                </w:tcPr>
                <w:p>
                  <w:pPr>
                    <w:adjustRightInd w:val="0"/>
                    <w:snapToGrid w:val="0"/>
                    <w:jc w:val="center"/>
                    <w:rPr>
                      <w:szCs w:val="21"/>
                    </w:rPr>
                  </w:pPr>
                  <w:r>
                    <w:rPr>
                      <w:szCs w:val="21"/>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adjustRightInd w:val="0"/>
                    <w:snapToGrid w:val="0"/>
                    <w:jc w:val="center"/>
                    <w:rPr>
                      <w:szCs w:val="21"/>
                    </w:rPr>
                  </w:pPr>
                  <w:r>
                    <w:rPr>
                      <w:szCs w:val="21"/>
                    </w:rPr>
                    <w:t>产</w:t>
                  </w:r>
                  <w:r>
                    <w:rPr>
                      <w:rFonts w:hint="eastAsia"/>
                      <w:szCs w:val="21"/>
                      <w:lang w:val="en-US" w:eastAsia="zh-CN"/>
                    </w:rPr>
                    <w:t>污</w:t>
                  </w:r>
                  <w:r>
                    <w:rPr>
                      <w:szCs w:val="21"/>
                    </w:rPr>
                    <w:t>系数</w:t>
                  </w:r>
                </w:p>
              </w:tc>
              <w:tc>
                <w:tcPr>
                  <w:tcW w:w="1250" w:type="pct"/>
                  <w:vAlign w:val="center"/>
                </w:tcPr>
                <w:p>
                  <w:pPr>
                    <w:adjustRightInd w:val="0"/>
                    <w:snapToGrid w:val="0"/>
                    <w:jc w:val="center"/>
                    <w:rPr>
                      <w:szCs w:val="21"/>
                    </w:rPr>
                  </w:pPr>
                  <w:r>
                    <w:rPr>
                      <w:szCs w:val="21"/>
                    </w:rPr>
                    <w:t>17S kg/t原料</w:t>
                  </w:r>
                </w:p>
              </w:tc>
              <w:tc>
                <w:tcPr>
                  <w:tcW w:w="1250" w:type="pct"/>
                  <w:vAlign w:val="center"/>
                </w:tcPr>
                <w:p>
                  <w:pPr>
                    <w:adjustRightInd w:val="0"/>
                    <w:snapToGrid w:val="0"/>
                    <w:jc w:val="center"/>
                    <w:rPr>
                      <w:szCs w:val="21"/>
                    </w:rPr>
                  </w:pPr>
                  <w:r>
                    <w:rPr>
                      <w:rFonts w:hint="eastAsia"/>
                      <w:szCs w:val="21"/>
                    </w:rPr>
                    <w:t>0.5</w:t>
                  </w:r>
                  <w:r>
                    <w:rPr>
                      <w:szCs w:val="21"/>
                    </w:rPr>
                    <w:t>kg/t原料</w:t>
                  </w:r>
                </w:p>
              </w:tc>
              <w:tc>
                <w:tcPr>
                  <w:tcW w:w="1252" w:type="pct"/>
                  <w:vAlign w:val="center"/>
                </w:tcPr>
                <w:p>
                  <w:pPr>
                    <w:adjustRightInd w:val="0"/>
                    <w:snapToGrid w:val="0"/>
                    <w:jc w:val="center"/>
                    <w:rPr>
                      <w:szCs w:val="21"/>
                    </w:rPr>
                  </w:pPr>
                  <w:r>
                    <w:rPr>
                      <w:szCs w:val="21"/>
                    </w:rPr>
                    <w:t>1.02kg/t原料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adjustRightInd w:val="0"/>
                    <w:snapToGrid w:val="0"/>
                    <w:jc w:val="center"/>
                    <w:rPr>
                      <w:szCs w:val="21"/>
                    </w:rPr>
                  </w:pPr>
                  <w:r>
                    <w:rPr>
                      <w:szCs w:val="21"/>
                    </w:rPr>
                    <w:t>污染物产生量</w:t>
                  </w:r>
                </w:p>
              </w:tc>
              <w:tc>
                <w:tcPr>
                  <w:tcW w:w="1250" w:type="pct"/>
                  <w:vAlign w:val="center"/>
                </w:tcPr>
                <w:p>
                  <w:pPr>
                    <w:adjustRightInd w:val="0"/>
                    <w:snapToGrid w:val="0"/>
                    <w:jc w:val="center"/>
                    <w:rPr>
                      <w:szCs w:val="21"/>
                    </w:rPr>
                  </w:pPr>
                  <w:r>
                    <w:rPr>
                      <w:rFonts w:hint="eastAsia"/>
                      <w:szCs w:val="21"/>
                      <w:u w:val="none"/>
                      <w:lang w:val="en-US" w:eastAsia="zh-CN"/>
                    </w:rPr>
                    <w:t>20.4</w:t>
                  </w:r>
                  <w:r>
                    <w:rPr>
                      <w:szCs w:val="21"/>
                      <w:u w:val="none"/>
                    </w:rPr>
                    <w:t>kg/a</w:t>
                  </w:r>
                </w:p>
              </w:tc>
              <w:tc>
                <w:tcPr>
                  <w:tcW w:w="1250" w:type="pct"/>
                  <w:vAlign w:val="center"/>
                </w:tcPr>
                <w:p>
                  <w:pPr>
                    <w:adjustRightInd w:val="0"/>
                    <w:snapToGrid w:val="0"/>
                    <w:jc w:val="center"/>
                    <w:rPr>
                      <w:szCs w:val="21"/>
                    </w:rPr>
                  </w:pPr>
                  <w:r>
                    <w:rPr>
                      <w:rFonts w:hint="eastAsia"/>
                      <w:szCs w:val="21"/>
                      <w:lang w:val="en-US" w:eastAsia="zh-CN"/>
                    </w:rPr>
                    <w:t>1</w:t>
                  </w:r>
                  <w:r>
                    <w:rPr>
                      <w:rFonts w:hint="eastAsia"/>
                      <w:szCs w:val="21"/>
                    </w:rPr>
                    <w:t>0</w:t>
                  </w:r>
                  <w:r>
                    <w:rPr>
                      <w:szCs w:val="21"/>
                    </w:rPr>
                    <w:t>kg/a</w:t>
                  </w:r>
                </w:p>
              </w:tc>
              <w:tc>
                <w:tcPr>
                  <w:tcW w:w="1252" w:type="pct"/>
                  <w:vAlign w:val="center"/>
                </w:tcPr>
                <w:p>
                  <w:pPr>
                    <w:adjustRightInd w:val="0"/>
                    <w:snapToGrid w:val="0"/>
                    <w:jc w:val="center"/>
                    <w:rPr>
                      <w:szCs w:val="21"/>
                    </w:rPr>
                  </w:pPr>
                  <w:r>
                    <w:rPr>
                      <w:rFonts w:hint="eastAsia"/>
                      <w:szCs w:val="21"/>
                      <w:lang w:val="en-US" w:eastAsia="zh-CN"/>
                    </w:rPr>
                    <w:t>20.4</w:t>
                  </w:r>
                  <w:r>
                    <w:rPr>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vAlign w:val="center"/>
                </w:tcPr>
                <w:p>
                  <w:pPr>
                    <w:adjustRightInd w:val="0"/>
                    <w:snapToGrid w:val="0"/>
                    <w:jc w:val="center"/>
                    <w:rPr>
                      <w:rFonts w:hint="default"/>
                      <w:szCs w:val="21"/>
                      <w:lang w:val="en-US" w:eastAsia="zh-CN"/>
                    </w:rPr>
                  </w:pPr>
                  <w:r>
                    <w:rPr>
                      <w:rFonts w:hint="eastAsia"/>
                      <w:szCs w:val="21"/>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adjustRightInd w:val="0"/>
                    <w:snapToGrid w:val="0"/>
                    <w:jc w:val="center"/>
                    <w:rPr>
                      <w:rFonts w:hint="default" w:eastAsia="宋体"/>
                      <w:szCs w:val="21"/>
                      <w:lang w:val="en-US" w:eastAsia="zh-CN"/>
                    </w:rPr>
                  </w:pPr>
                  <w:r>
                    <w:rPr>
                      <w:szCs w:val="21"/>
                    </w:rPr>
                    <w:t>污染物指标</w:t>
                  </w:r>
                </w:p>
              </w:tc>
              <w:tc>
                <w:tcPr>
                  <w:tcW w:w="1250" w:type="pct"/>
                  <w:vAlign w:val="center"/>
                </w:tcPr>
                <w:p>
                  <w:pPr>
                    <w:adjustRightInd w:val="0"/>
                    <w:snapToGrid w:val="0"/>
                    <w:jc w:val="center"/>
                    <w:rPr>
                      <w:rFonts w:hint="eastAsia"/>
                      <w:szCs w:val="21"/>
                      <w:u w:val="none"/>
                      <w:lang w:val="en-US" w:eastAsia="zh-CN"/>
                    </w:rPr>
                  </w:pPr>
                  <w:r>
                    <w:rPr>
                      <w:szCs w:val="21"/>
                    </w:rPr>
                    <w:t>二氧化硫</w:t>
                  </w:r>
                </w:p>
              </w:tc>
              <w:tc>
                <w:tcPr>
                  <w:tcW w:w="1250" w:type="pct"/>
                  <w:vAlign w:val="center"/>
                </w:tcPr>
                <w:p>
                  <w:pPr>
                    <w:adjustRightInd w:val="0"/>
                    <w:snapToGrid w:val="0"/>
                    <w:jc w:val="center"/>
                    <w:rPr>
                      <w:rFonts w:hint="eastAsia"/>
                      <w:szCs w:val="21"/>
                      <w:lang w:val="en-US" w:eastAsia="zh-CN"/>
                    </w:rPr>
                  </w:pPr>
                  <w:r>
                    <w:rPr>
                      <w:szCs w:val="21"/>
                    </w:rPr>
                    <w:t>颗粒物</w:t>
                  </w:r>
                </w:p>
              </w:tc>
              <w:tc>
                <w:tcPr>
                  <w:tcW w:w="1252" w:type="pct"/>
                  <w:vAlign w:val="center"/>
                </w:tcPr>
                <w:p>
                  <w:pPr>
                    <w:adjustRightInd w:val="0"/>
                    <w:snapToGrid w:val="0"/>
                    <w:jc w:val="center"/>
                    <w:rPr>
                      <w:rFonts w:hint="eastAsia"/>
                      <w:szCs w:val="21"/>
                      <w:lang w:val="en-US" w:eastAsia="zh-CN"/>
                    </w:rPr>
                  </w:pPr>
                  <w:r>
                    <w:rPr>
                      <w:szCs w:val="21"/>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adjustRightInd w:val="0"/>
                    <w:snapToGrid w:val="0"/>
                    <w:jc w:val="center"/>
                    <w:rPr>
                      <w:rFonts w:hint="default"/>
                      <w:szCs w:val="21"/>
                      <w:lang w:val="en-US" w:eastAsia="zh-CN"/>
                    </w:rPr>
                  </w:pPr>
                  <w:r>
                    <w:rPr>
                      <w:rFonts w:hint="eastAsia"/>
                      <w:szCs w:val="21"/>
                      <w:lang w:val="en-US" w:eastAsia="zh-CN"/>
                    </w:rPr>
                    <w:t>污染物产生总量</w:t>
                  </w:r>
                </w:p>
              </w:tc>
              <w:tc>
                <w:tcPr>
                  <w:tcW w:w="1250" w:type="pct"/>
                  <w:vAlign w:val="center"/>
                </w:tcPr>
                <w:p>
                  <w:pPr>
                    <w:adjustRightInd w:val="0"/>
                    <w:snapToGrid w:val="0"/>
                    <w:jc w:val="center"/>
                    <w:rPr>
                      <w:rFonts w:hint="default"/>
                      <w:szCs w:val="21"/>
                      <w:u w:val="none"/>
                      <w:lang w:val="en-US" w:eastAsia="zh-CN"/>
                    </w:rPr>
                  </w:pPr>
                  <w:r>
                    <w:rPr>
                      <w:rFonts w:hint="eastAsia"/>
                      <w:szCs w:val="21"/>
                      <w:u w:val="none"/>
                      <w:lang w:val="en-US" w:eastAsia="zh-CN"/>
                    </w:rPr>
                    <w:t>33.22</w:t>
                  </w:r>
                  <w:r>
                    <w:rPr>
                      <w:rFonts w:hint="eastAsia"/>
                      <w:szCs w:val="21"/>
                      <w:lang w:val="en-US" w:eastAsia="zh-CN"/>
                    </w:rPr>
                    <w:t>kg/a</w:t>
                  </w:r>
                </w:p>
              </w:tc>
              <w:tc>
                <w:tcPr>
                  <w:tcW w:w="1250" w:type="pct"/>
                  <w:vAlign w:val="center"/>
                </w:tcPr>
                <w:p>
                  <w:pPr>
                    <w:adjustRightInd w:val="0"/>
                    <w:snapToGrid w:val="0"/>
                    <w:jc w:val="center"/>
                    <w:rPr>
                      <w:rFonts w:hint="default"/>
                      <w:szCs w:val="21"/>
                      <w:lang w:val="en-US" w:eastAsia="zh-CN"/>
                    </w:rPr>
                  </w:pPr>
                  <w:r>
                    <w:rPr>
                      <w:rFonts w:hint="eastAsia"/>
                      <w:szCs w:val="21"/>
                      <w:lang w:val="en-US" w:eastAsia="zh-CN"/>
                    </w:rPr>
                    <w:t>1538.9kg/a</w:t>
                  </w:r>
                </w:p>
              </w:tc>
              <w:tc>
                <w:tcPr>
                  <w:tcW w:w="1252" w:type="pct"/>
                  <w:vAlign w:val="center"/>
                </w:tcPr>
                <w:p>
                  <w:pPr>
                    <w:adjustRightInd w:val="0"/>
                    <w:snapToGrid w:val="0"/>
                    <w:jc w:val="center"/>
                    <w:rPr>
                      <w:rFonts w:hint="default"/>
                      <w:szCs w:val="21"/>
                      <w:lang w:val="en-US" w:eastAsia="zh-CN"/>
                    </w:rPr>
                  </w:pPr>
                  <w:r>
                    <w:rPr>
                      <w:rFonts w:hint="eastAsia"/>
                      <w:szCs w:val="21"/>
                      <w:lang w:val="en-US" w:eastAsia="zh-CN"/>
                    </w:rPr>
                    <w:t>1962.63kg/a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adjustRightInd w:val="0"/>
                    <w:snapToGrid w:val="0"/>
                    <w:jc w:val="center"/>
                    <w:rPr>
                      <w:szCs w:val="21"/>
                    </w:rPr>
                  </w:pPr>
                  <w:r>
                    <w:rPr>
                      <w:rFonts w:hint="eastAsia"/>
                      <w:szCs w:val="21"/>
                      <w:lang w:val="en-US" w:eastAsia="zh-CN"/>
                    </w:rPr>
                    <w:t>设备总</w:t>
                  </w:r>
                  <w:r>
                    <w:rPr>
                      <w:rFonts w:hint="eastAsia"/>
                      <w:szCs w:val="21"/>
                    </w:rPr>
                    <w:t>风量</w:t>
                  </w:r>
                </w:p>
              </w:tc>
              <w:tc>
                <w:tcPr>
                  <w:tcW w:w="3752" w:type="pct"/>
                  <w:gridSpan w:val="3"/>
                  <w:vAlign w:val="center"/>
                </w:tcPr>
                <w:p>
                  <w:pPr>
                    <w:adjustRightInd w:val="0"/>
                    <w:snapToGrid w:val="0"/>
                    <w:jc w:val="center"/>
                    <w:rPr>
                      <w:rFonts w:hint="eastAsia" w:eastAsia="宋体"/>
                      <w:szCs w:val="21"/>
                      <w:lang w:eastAsia="zh-CN"/>
                    </w:rPr>
                  </w:pPr>
                  <w:r>
                    <w:rPr>
                      <w:rFonts w:hint="eastAsia"/>
                      <w:szCs w:val="21"/>
                      <w:lang w:val="en-US" w:eastAsia="zh-CN"/>
                    </w:rPr>
                    <w:t>7100</w:t>
                  </w:r>
                  <w:r>
                    <w:rPr>
                      <w:rFonts w:hint="eastAsia"/>
                      <w:szCs w:val="21"/>
                    </w:rPr>
                    <w:t>h/a</w:t>
                  </w:r>
                  <w:r>
                    <w:rPr>
                      <w:szCs w:val="21"/>
                    </w:rPr>
                    <w:t>×</w:t>
                  </w:r>
                  <w:r>
                    <w:rPr>
                      <w:rFonts w:hint="eastAsia"/>
                      <w:szCs w:val="21"/>
                    </w:rPr>
                    <w:t>5000m</w:t>
                  </w:r>
                  <w:r>
                    <w:rPr>
                      <w:rFonts w:hint="eastAsia"/>
                      <w:szCs w:val="21"/>
                      <w:vertAlign w:val="superscript"/>
                    </w:rPr>
                    <w:t>3</w:t>
                  </w:r>
                  <w:r>
                    <w:rPr>
                      <w:rFonts w:hint="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adjustRightInd w:val="0"/>
                    <w:snapToGrid w:val="0"/>
                    <w:jc w:val="center"/>
                    <w:rPr>
                      <w:szCs w:val="21"/>
                    </w:rPr>
                  </w:pPr>
                  <w:r>
                    <w:rPr>
                      <w:szCs w:val="21"/>
                    </w:rPr>
                    <w:t>污染物</w:t>
                  </w:r>
                  <w:r>
                    <w:rPr>
                      <w:rFonts w:hint="eastAsia"/>
                      <w:szCs w:val="21"/>
                      <w:lang w:val="en-US" w:eastAsia="zh-CN"/>
                    </w:rPr>
                    <w:t>总量产生</w:t>
                  </w:r>
                  <w:r>
                    <w:rPr>
                      <w:szCs w:val="21"/>
                    </w:rPr>
                    <w:t>浓度</w:t>
                  </w:r>
                </w:p>
              </w:tc>
              <w:tc>
                <w:tcPr>
                  <w:tcW w:w="1250" w:type="pct"/>
                  <w:vAlign w:val="center"/>
                </w:tcPr>
                <w:p>
                  <w:pPr>
                    <w:adjustRightInd w:val="0"/>
                    <w:snapToGrid w:val="0"/>
                    <w:jc w:val="center"/>
                    <w:rPr>
                      <w:szCs w:val="21"/>
                    </w:rPr>
                  </w:pPr>
                  <w:r>
                    <w:rPr>
                      <w:rFonts w:hint="eastAsia"/>
                      <w:szCs w:val="21"/>
                      <w:u w:val="none"/>
                      <w:lang w:val="en-US" w:eastAsia="zh-CN"/>
                    </w:rPr>
                    <w:t>0.94</w:t>
                  </w:r>
                  <w:r>
                    <w:rPr>
                      <w:szCs w:val="21"/>
                      <w:u w:val="none"/>
                    </w:rPr>
                    <w:t>mg/m</w:t>
                  </w:r>
                  <w:r>
                    <w:rPr>
                      <w:szCs w:val="21"/>
                      <w:u w:val="none"/>
                      <w:vertAlign w:val="superscript"/>
                    </w:rPr>
                    <w:t>3</w:t>
                  </w:r>
                </w:p>
              </w:tc>
              <w:tc>
                <w:tcPr>
                  <w:tcW w:w="1250" w:type="pct"/>
                  <w:vAlign w:val="center"/>
                </w:tcPr>
                <w:p>
                  <w:pPr>
                    <w:adjustRightInd w:val="0"/>
                    <w:snapToGrid w:val="0"/>
                    <w:jc w:val="center"/>
                    <w:rPr>
                      <w:szCs w:val="21"/>
                    </w:rPr>
                  </w:pPr>
                  <w:r>
                    <w:rPr>
                      <w:rFonts w:hint="eastAsia"/>
                      <w:szCs w:val="21"/>
                      <w:lang w:val="en-US" w:eastAsia="zh-CN"/>
                    </w:rPr>
                    <w:t>43.33</w:t>
                  </w:r>
                  <w:r>
                    <w:rPr>
                      <w:szCs w:val="21"/>
                    </w:rPr>
                    <w:t>mg/m</w:t>
                  </w:r>
                  <w:r>
                    <w:rPr>
                      <w:szCs w:val="21"/>
                      <w:vertAlign w:val="superscript"/>
                    </w:rPr>
                    <w:t>3</w:t>
                  </w:r>
                </w:p>
              </w:tc>
              <w:tc>
                <w:tcPr>
                  <w:tcW w:w="1252" w:type="pct"/>
                  <w:vAlign w:val="center"/>
                </w:tcPr>
                <w:p>
                  <w:pPr>
                    <w:adjustRightInd w:val="0"/>
                    <w:snapToGrid w:val="0"/>
                    <w:jc w:val="center"/>
                    <w:rPr>
                      <w:szCs w:val="21"/>
                    </w:rPr>
                  </w:pPr>
                  <w:r>
                    <w:rPr>
                      <w:rFonts w:hint="eastAsia"/>
                      <w:szCs w:val="21"/>
                      <w:lang w:val="en-US" w:eastAsia="zh-CN"/>
                    </w:rPr>
                    <w:t>55.28</w:t>
                  </w:r>
                  <w:r>
                    <w:rPr>
                      <w:szCs w:val="21"/>
                    </w:rPr>
                    <w:t>mg/m</w:t>
                  </w:r>
                  <w:r>
                    <w:rPr>
                      <w:szCs w:val="21"/>
                      <w:vertAlign w:val="superscript"/>
                    </w:rPr>
                    <w:t>3</w:t>
                  </w:r>
                </w:p>
              </w:tc>
            </w:tr>
          </w:tbl>
          <w:p>
            <w:pPr>
              <w:adjustRightInd w:val="0"/>
              <w:snapToGrid w:val="0"/>
              <w:spacing w:line="360" w:lineRule="auto"/>
              <w:ind w:firstLine="420" w:firstLineChars="200"/>
              <w:rPr>
                <w:rFonts w:hint="eastAsia" w:eastAsia="宋体"/>
                <w:sz w:val="24"/>
                <w:lang w:val="en-US" w:eastAsia="zh-CN"/>
              </w:rPr>
            </w:pPr>
            <w:r>
              <w:rPr>
                <w:rFonts w:hint="eastAsia"/>
                <w:szCs w:val="21"/>
                <w:lang w:val="en-US" w:eastAsia="zh-CN"/>
              </w:rPr>
              <w:t>注1：</w:t>
            </w:r>
            <w:r>
              <w:rPr>
                <w:rFonts w:hint="eastAsia"/>
                <w:szCs w:val="21"/>
                <w:u w:val="none"/>
              </w:rPr>
              <w:t>产污系数表中气体燃料的二氧化硫的产污系数是以含硫量（S）的形式表示的，其中含硫量（S）是指气体燃料中的硫含量，单位为毫克/立方米。例如燃料中含硫量（S）为200 毫克/立方米，则S=200。本项目</w:t>
            </w:r>
            <w:r>
              <w:rPr>
                <w:rFonts w:hint="eastAsia"/>
                <w:szCs w:val="21"/>
                <w:u w:val="none"/>
                <w:lang w:val="en-US" w:eastAsia="zh-CN"/>
              </w:rPr>
              <w:t>竹煤气、醋液和焦油</w:t>
            </w:r>
            <w:r>
              <w:rPr>
                <w:rFonts w:hint="eastAsia"/>
                <w:szCs w:val="21"/>
                <w:u w:val="none"/>
              </w:rPr>
              <w:t>含硫量质量百分比参照生物质1%，</w:t>
            </w:r>
            <w:r>
              <w:rPr>
                <w:rFonts w:hint="eastAsia"/>
                <w:szCs w:val="21"/>
                <w:u w:val="none"/>
                <w:lang w:val="en-US" w:eastAsia="zh-CN"/>
              </w:rPr>
              <w:t>S取1，</w:t>
            </w:r>
            <w:r>
              <w:rPr>
                <w:rFonts w:hint="eastAsia"/>
                <w:szCs w:val="21"/>
                <w:u w:val="none"/>
              </w:rPr>
              <w:t>折算为燃气收到基硫分含量为200毫克/立方米</w:t>
            </w:r>
            <w:r>
              <w:rPr>
                <w:rFonts w:hint="eastAsia"/>
                <w:szCs w:val="21"/>
                <w:u w:val="none"/>
                <w:lang w:eastAsia="zh-CN"/>
              </w:rPr>
              <w:t>，</w:t>
            </w:r>
            <w:r>
              <w:rPr>
                <w:rFonts w:hint="eastAsia"/>
                <w:szCs w:val="21"/>
                <w:u w:val="none"/>
                <w:lang w:val="en-US" w:eastAsia="zh-CN"/>
              </w:rPr>
              <w:t>竹条、竹片的计算过程中，S取0.6。</w:t>
            </w:r>
          </w:p>
          <w:p>
            <w:pPr>
              <w:pStyle w:val="27"/>
              <w:spacing w:line="360" w:lineRule="auto"/>
              <w:ind w:firstLine="420" w:firstLineChars="200"/>
              <w:rPr>
                <w:rFonts w:hint="default" w:ascii="Times New Roman" w:cs="Times New Roman"/>
                <w:sz w:val="21"/>
                <w:szCs w:val="21"/>
                <w:lang w:val="en-US" w:eastAsia="zh-CN"/>
              </w:rPr>
            </w:pPr>
            <w:r>
              <w:rPr>
                <w:rFonts w:hint="eastAsia" w:ascii="Times New Roman" w:cs="Times New Roman"/>
                <w:color w:val="FF0000"/>
                <w:sz w:val="21"/>
                <w:szCs w:val="21"/>
                <w:highlight w:val="yellow"/>
                <w:u w:val="single"/>
                <w:lang w:val="en-US" w:eastAsia="zh-CN"/>
              </w:rPr>
              <w:t>注2：根据业主介绍，一体化烘干炭化设备运行时长24h/d，一年期间设备停止生产次数在3-5次，每次停止一般约为1d，停止时长按100h/a计。本项目年生产300天，故生产时长取7100h/a。</w:t>
            </w:r>
          </w:p>
          <w:p>
            <w:pPr>
              <w:pStyle w:val="27"/>
              <w:spacing w:line="360" w:lineRule="auto"/>
              <w:ind w:firstLine="420" w:firstLineChars="200"/>
              <w:rPr>
                <w:rFonts w:hint="eastAsia" w:ascii="Times New Roman" w:cs="Times New Roman"/>
                <w:color w:val="FF0000"/>
                <w:sz w:val="21"/>
                <w:szCs w:val="21"/>
                <w:highlight w:val="yellow"/>
                <w:u w:val="single"/>
                <w:lang w:val="en-US" w:eastAsia="zh-CN"/>
              </w:rPr>
            </w:pPr>
            <w:r>
              <w:rPr>
                <w:rFonts w:hint="eastAsia" w:ascii="Times New Roman" w:cs="Times New Roman"/>
                <w:color w:val="FF0000"/>
                <w:sz w:val="21"/>
                <w:szCs w:val="21"/>
                <w:highlight w:val="yellow"/>
                <w:u w:val="single"/>
                <w:lang w:val="en-US" w:eastAsia="zh-CN"/>
              </w:rPr>
              <w:t>注3：竹煤气因与主要成分为N2的工业煤气中不同，煤气中主要成分为CO</w:t>
            </w:r>
            <w:r>
              <w:rPr>
                <w:rFonts w:hint="eastAsia" w:ascii="Times New Roman" w:cs="Times New Roman"/>
                <w:color w:val="FF0000"/>
                <w:sz w:val="21"/>
                <w:szCs w:val="21"/>
                <w:highlight w:val="yellow"/>
                <w:u w:val="single"/>
                <w:vertAlign w:val="subscript"/>
                <w:lang w:val="en-US" w:eastAsia="zh-CN"/>
              </w:rPr>
              <w:t>2</w:t>
            </w:r>
            <w:r>
              <w:rPr>
                <w:rFonts w:hint="eastAsia" w:ascii="Times New Roman" w:cs="Times New Roman"/>
                <w:color w:val="FF0000"/>
                <w:sz w:val="21"/>
                <w:szCs w:val="21"/>
                <w:highlight w:val="yellow"/>
                <w:u w:val="single"/>
                <w:lang w:val="en-US" w:eastAsia="zh-CN"/>
              </w:rPr>
              <w:t>，氮氧化物主要来源于燃烧过程中引入空气，产排污系数参照天然气。</w:t>
            </w:r>
          </w:p>
          <w:p>
            <w:pPr>
              <w:pStyle w:val="27"/>
              <w:spacing w:line="360" w:lineRule="auto"/>
              <w:ind w:firstLine="420" w:firstLineChars="200"/>
              <w:rPr>
                <w:rFonts w:hint="eastAsia" w:ascii="Times New Roman" w:cs="Times New Roman"/>
                <w:color w:val="FF0000"/>
                <w:sz w:val="21"/>
                <w:szCs w:val="21"/>
                <w:highlight w:val="yellow"/>
                <w:u w:val="single"/>
                <w:lang w:val="en-US" w:eastAsia="zh-CN"/>
              </w:rPr>
            </w:pPr>
            <w:r>
              <w:rPr>
                <w:rFonts w:hint="eastAsia" w:ascii="Times New Roman" w:cs="Times New Roman"/>
                <w:color w:val="FF0000"/>
                <w:sz w:val="21"/>
                <w:szCs w:val="21"/>
                <w:highlight w:val="yellow"/>
                <w:u w:val="single"/>
                <w:lang w:val="en-US" w:eastAsia="zh-CN"/>
              </w:rPr>
              <w:t xml:space="preserve"> 注4：竹煤气等烟尘产污系数参考《环境保护实用数据手册》，取2.4千克/万立方米-原料。</w:t>
            </w:r>
          </w:p>
          <w:p>
            <w:pPr>
              <w:pStyle w:val="27"/>
              <w:spacing w:line="360" w:lineRule="auto"/>
              <w:ind w:firstLine="480" w:firstLineChars="200"/>
              <w:rPr>
                <w:rFonts w:hint="eastAsia" w:ascii="Times New Roman" w:cs="Times New Roman"/>
                <w:lang w:val="zh-CN"/>
              </w:rPr>
            </w:pPr>
            <w:r>
              <w:rPr>
                <w:rFonts w:hint="eastAsia" w:ascii="Times New Roman" w:cs="Times New Roman"/>
                <w:lang w:val="en-US" w:eastAsia="zh-CN"/>
              </w:rPr>
              <w:t>根据《生物质热解气化原理与技术》（化学工业出版社 2013 年 4 月出版）中典型的热解产物试验数据，木材热解产物的大致产率，其产物质量分数对应于绝干木材：木炭33~38%，澄清醋液和沉积焦油45~50%，煤气16~18%。另外损耗约为0.3~1.0%。</w:t>
            </w:r>
          </w:p>
          <w:p>
            <w:pPr>
              <w:pStyle w:val="27"/>
              <w:spacing w:line="360" w:lineRule="auto"/>
              <w:ind w:firstLine="480" w:firstLineChars="200"/>
              <w:rPr>
                <w:rFonts w:hint="eastAsia" w:ascii="Times New Roman" w:cs="Times New Roman"/>
                <w:lang w:val="zh-CN"/>
              </w:rPr>
            </w:pPr>
            <w:r>
              <w:rPr>
                <w:rFonts w:hint="eastAsia" w:ascii="Times New Roman" w:cs="Times New Roman"/>
                <w:lang w:val="zh-CN"/>
              </w:rPr>
              <w:t>醋液：是以醋酸为主要成分的</w:t>
            </w:r>
            <w:r>
              <w:rPr>
                <w:rFonts w:hint="eastAsia" w:ascii="Times New Roman" w:cs="Times New Roman"/>
                <w:lang w:val="en-US" w:eastAsia="zh-CN"/>
              </w:rPr>
              <w:t>p</w:t>
            </w:r>
            <w:r>
              <w:rPr>
                <w:rFonts w:hint="eastAsia" w:ascii="Times New Roman" w:cs="Times New Roman"/>
                <w:lang w:val="zh-CN"/>
              </w:rPr>
              <w:t>H=3程度的酸性液体，与食醋的成分和色调极为相似（原来为威士忌色或完全除去木焦油的透明的浅黄色液体），各自按不同的方法精制而成。简单的说就是把木头烧成木炭的过程中冒出的烟气自然冷却液化而得到的。因此醋液是把树木炭化，将其能量转换成气体再自然冷却成浓缩液体而成。含有K，Ca，Mg，Zn，Ge，Mn，Fe等矿物质，此外还含有维他命B1和B</w:t>
            </w:r>
            <w:r>
              <w:rPr>
                <w:rFonts w:hint="eastAsia" w:ascii="Times New Roman" w:cs="Times New Roman"/>
                <w:lang w:val="en-US" w:eastAsia="zh-CN"/>
              </w:rPr>
              <w:t>2。</w:t>
            </w:r>
          </w:p>
          <w:p>
            <w:pPr>
              <w:pStyle w:val="27"/>
              <w:spacing w:line="360" w:lineRule="auto"/>
              <w:ind w:firstLine="480" w:firstLineChars="200"/>
              <w:rPr>
                <w:rFonts w:hint="eastAsia" w:ascii="Times New Roman" w:cs="Times New Roman"/>
                <w:lang w:val="zh-CN"/>
              </w:rPr>
            </w:pPr>
            <w:r>
              <w:rPr>
                <w:rFonts w:hint="eastAsia" w:ascii="Times New Roman" w:cs="Times New Roman"/>
                <w:lang w:val="zh-CN"/>
              </w:rPr>
              <w:t>煤气：木材气化时的要产物，或木材干馏时在冷凝分离出木焦油和才醋液等液体产物后剩下的不凝性气体。含有一氧化碳、氢气、甲烷等可燃性气体，作燃料用。是合成气燃料，可以作为炉子燃料，和车辆替代汽油，柴油或其他燃料。在富氧环境中，这些气体可以作为燃料被焚烧，以产生二氧化碳、水和热量。在一些气化炉此过程之前是裂解（Pyrolysis），其中生物质或煤首先被转换为炭，释放出的甲烷和含有丰富的多环芳香烃的焦油。</w:t>
            </w:r>
          </w:p>
          <w:p>
            <w:pPr>
              <w:pStyle w:val="27"/>
              <w:spacing w:line="360" w:lineRule="auto"/>
              <w:ind w:firstLine="480" w:firstLineChars="200"/>
              <w:rPr>
                <w:rFonts w:ascii="Times New Roman" w:cs="Times New Roman"/>
                <w:lang w:val="zh-CN"/>
              </w:rPr>
            </w:pPr>
            <w:r>
              <w:rPr>
                <w:rFonts w:hint="eastAsia" w:ascii="Times New Roman" w:cs="Times New Roman"/>
                <w:lang w:val="zh-CN"/>
              </w:rPr>
              <w:t>根据实际情况和同类型项目，炭化三个过程中，整个炭化过程耗时24h，炭化初始阶段时间最长，全面炭化阶段时间较短。因此，建设单位应控制全面炭化阶段的发生时间与项目内烘干（</w:t>
            </w:r>
            <w:r>
              <w:rPr>
                <w:rFonts w:hint="eastAsia" w:ascii="Times New Roman" w:cs="Times New Roman"/>
                <w:lang w:val="en-US" w:eastAsia="zh-CN"/>
              </w:rPr>
              <w:t>竹制半成品的</w:t>
            </w:r>
            <w:r>
              <w:rPr>
                <w:rFonts w:hint="eastAsia" w:ascii="Times New Roman" w:cs="Times New Roman"/>
                <w:lang w:val="zh-CN"/>
              </w:rPr>
              <w:t>烘干工序工作时间8h）一致，项目内的炭化烟气可作为燃料燃烧，能有效的减少污染以及提高利用率。烘干</w:t>
            </w:r>
            <w:r>
              <w:rPr>
                <w:rFonts w:hint="eastAsia" w:ascii="Times New Roman" w:cs="Times New Roman"/>
                <w:lang w:val="en-US" w:eastAsia="zh-CN"/>
              </w:rPr>
              <w:t>房烘干</w:t>
            </w:r>
            <w:r>
              <w:rPr>
                <w:rFonts w:hint="eastAsia" w:ascii="Times New Roman" w:cs="Times New Roman"/>
                <w:lang w:val="zh-CN"/>
              </w:rPr>
              <w:t>工序不工作，炭化工序工作时，炭化废气</w:t>
            </w:r>
            <w:r>
              <w:rPr>
                <w:rFonts w:hint="eastAsia" w:ascii="Times New Roman" w:cs="Times New Roman"/>
                <w:lang w:val="en-US" w:eastAsia="zh-CN"/>
              </w:rPr>
              <w:t>仍</w:t>
            </w:r>
            <w:r>
              <w:rPr>
                <w:rFonts w:hint="eastAsia" w:ascii="Times New Roman" w:cs="Times New Roman"/>
                <w:lang w:val="zh-CN"/>
              </w:rPr>
              <w:t>经</w:t>
            </w:r>
            <w:r>
              <w:rPr>
                <w:rFonts w:hint="eastAsia" w:ascii="Times New Roman" w:cs="Times New Roman"/>
                <w:lang w:val="en-US" w:eastAsia="zh-CN"/>
              </w:rPr>
              <w:t>静电除尘+布袋除尘器</w:t>
            </w:r>
            <w:r>
              <w:rPr>
                <w:rFonts w:hint="eastAsia" w:ascii="Times New Roman" w:cs="Times New Roman"/>
                <w:lang w:val="zh-CN"/>
              </w:rPr>
              <w:t>处理后，再外排。</w:t>
            </w:r>
          </w:p>
          <w:p>
            <w:pPr>
              <w:pStyle w:val="27"/>
              <w:spacing w:line="360" w:lineRule="auto"/>
              <w:ind w:firstLine="480" w:firstLineChars="200"/>
              <w:rPr>
                <w:rFonts w:ascii="Times New Roman" w:cs="Times New Roman"/>
              </w:rPr>
            </w:pPr>
            <w:r>
              <w:rPr>
                <w:rFonts w:ascii="Times New Roman" w:cs="Times New Roman"/>
                <w:lang w:val="zh-CN"/>
              </w:rPr>
              <w:t>本项目采用</w:t>
            </w:r>
            <w:r>
              <w:rPr>
                <w:rFonts w:hint="eastAsia" w:ascii="Times New Roman" w:cs="Times New Roman"/>
                <w:lang w:val="en-US" w:eastAsia="zh-CN"/>
              </w:rPr>
              <w:t>静电除尘+布袋除尘</w:t>
            </w:r>
            <w:r>
              <w:rPr>
                <w:rFonts w:hint="eastAsia" w:ascii="Times New Roman" w:cs="Times New Roman"/>
                <w:lang w:eastAsia="zh-CN"/>
              </w:rPr>
              <w:t>器</w:t>
            </w:r>
            <w:r>
              <w:rPr>
                <w:rFonts w:ascii="Times New Roman" w:cs="Times New Roman"/>
                <w:lang w:val="zh-CN"/>
              </w:rPr>
              <w:t>处理</w:t>
            </w:r>
            <w:r>
              <w:rPr>
                <w:rFonts w:hint="eastAsia" w:ascii="Times New Roman" w:cs="Times New Roman"/>
                <w:lang w:val="zh-CN"/>
              </w:rPr>
              <w:t>装置</w:t>
            </w:r>
            <w:r>
              <w:rPr>
                <w:rFonts w:ascii="Times New Roman" w:cs="Times New Roman"/>
                <w:lang w:val="zh-CN"/>
              </w:rPr>
              <w:t>处理废气，主要去除废气中的颗粒物，参照</w:t>
            </w:r>
            <w:r>
              <w:rPr>
                <w:rFonts w:hint="eastAsia"/>
                <w:lang w:val="en-US" w:eastAsia="zh-CN"/>
              </w:rPr>
              <w:t>同类型项目</w:t>
            </w:r>
            <w:r>
              <w:rPr>
                <w:rFonts w:ascii="Times New Roman" w:cs="Times New Roman"/>
                <w:lang w:val="zh-CN"/>
              </w:rPr>
              <w:t>，</w:t>
            </w:r>
            <w:r>
              <w:rPr>
                <w:rFonts w:hint="eastAsia" w:ascii="Times New Roman" w:cs="Times New Roman"/>
                <w:lang w:val="zh-CN"/>
              </w:rPr>
              <w:t>“</w:t>
            </w:r>
            <w:r>
              <w:rPr>
                <w:rFonts w:hint="eastAsia" w:ascii="Times New Roman" w:cs="Times New Roman"/>
                <w:lang w:val="en-US" w:eastAsia="zh-CN"/>
              </w:rPr>
              <w:t>静电除尘+布袋除尘器</w:t>
            </w:r>
            <w:r>
              <w:rPr>
                <w:rFonts w:hint="eastAsia" w:ascii="Times New Roman" w:cs="Times New Roman"/>
                <w:lang w:val="zh-CN"/>
              </w:rPr>
              <w:t>”的</w:t>
            </w:r>
            <w:r>
              <w:rPr>
                <w:rFonts w:hint="eastAsia" w:ascii="Times New Roman" w:cs="Times New Roman"/>
                <w:lang w:val="en-US" w:eastAsia="zh-CN"/>
              </w:rPr>
              <w:t>对颗粒物的</w:t>
            </w:r>
            <w:r>
              <w:rPr>
                <w:rFonts w:hint="eastAsia" w:ascii="Times New Roman" w:cs="Times New Roman"/>
                <w:lang w:val="zh-CN"/>
              </w:rPr>
              <w:t>处理效率</w:t>
            </w:r>
            <w:r>
              <w:rPr>
                <w:rFonts w:hint="eastAsia" w:ascii="Times New Roman" w:cs="Times New Roman"/>
              </w:rPr>
              <w:t>9</w:t>
            </w:r>
            <w:r>
              <w:rPr>
                <w:rFonts w:hint="eastAsia" w:ascii="Times New Roman" w:cs="Times New Roman"/>
                <w:lang w:val="en-US" w:eastAsia="zh-CN"/>
              </w:rPr>
              <w:t>9</w:t>
            </w:r>
            <w:r>
              <w:rPr>
                <w:rFonts w:hint="eastAsia" w:ascii="Times New Roman" w:cs="Times New Roman"/>
              </w:rPr>
              <w:t>%。</w:t>
            </w:r>
          </w:p>
          <w:p>
            <w:pPr>
              <w:pStyle w:val="27"/>
              <w:spacing w:line="360" w:lineRule="auto"/>
              <w:ind w:firstLine="480" w:firstLineChars="200"/>
              <w:rPr>
                <w:rFonts w:ascii="Times New Roman" w:cs="Times New Roman"/>
              </w:rPr>
            </w:pPr>
            <w:r>
              <w:rPr>
                <w:rFonts w:ascii="Times New Roman" w:cs="Times New Roman"/>
                <w:lang w:val="zh-CN"/>
              </w:rPr>
              <w:t>②食堂油烟废气</w:t>
            </w:r>
            <w:r>
              <w:rPr>
                <w:rFonts w:ascii="Times New Roman" w:cs="Times New Roman"/>
              </w:rPr>
              <w:t>（根据《污染源源强核算技术指南 准则》（HJ884-2018），本项目采用类比法计算食堂油烟废气）</w:t>
            </w:r>
            <w:r>
              <w:rPr>
                <w:rFonts w:ascii="Times New Roman" w:cs="Times New Roman"/>
                <w:lang w:val="zh-CN"/>
              </w:rPr>
              <w:t>：本项目员工共计</w:t>
            </w:r>
            <w:r>
              <w:rPr>
                <w:rFonts w:hint="eastAsia" w:ascii="Times New Roman" w:cs="Times New Roman"/>
                <w:lang w:val="en-US" w:eastAsia="zh-CN"/>
              </w:rPr>
              <w:t>12</w:t>
            </w:r>
            <w:r>
              <w:rPr>
                <w:rFonts w:ascii="Times New Roman" w:cs="Times New Roman"/>
              </w:rPr>
              <w:t>人，</w:t>
            </w:r>
            <w:r>
              <w:rPr>
                <w:rFonts w:hint="eastAsia" w:ascii="Times New Roman" w:cs="Times New Roman"/>
              </w:rPr>
              <w:t>1</w:t>
            </w:r>
            <w:r>
              <w:rPr>
                <w:rFonts w:hint="eastAsia" w:ascii="Times New Roman" w:cs="Times New Roman"/>
                <w:lang w:val="en-US" w:eastAsia="zh-CN"/>
              </w:rPr>
              <w:t>2</w:t>
            </w:r>
            <w:r>
              <w:rPr>
                <w:rFonts w:ascii="Times New Roman" w:cs="Times New Roman"/>
              </w:rPr>
              <w:t>人</w:t>
            </w:r>
            <w:r>
              <w:rPr>
                <w:rFonts w:hint="eastAsia" w:ascii="Times New Roman" w:cs="Times New Roman"/>
              </w:rPr>
              <w:t>均</w:t>
            </w:r>
            <w:r>
              <w:rPr>
                <w:rFonts w:ascii="Times New Roman" w:cs="Times New Roman"/>
              </w:rPr>
              <w:t>在厂内吃</w:t>
            </w:r>
            <w:r>
              <w:rPr>
                <w:rFonts w:hint="eastAsia" w:ascii="Times New Roman" w:cs="Times New Roman"/>
              </w:rPr>
              <w:t>中餐</w:t>
            </w:r>
            <w:r>
              <w:rPr>
                <w:rFonts w:ascii="Times New Roman" w:cs="Times New Roman"/>
                <w:lang w:val="zh-CN"/>
              </w:rPr>
              <w:t>。</w:t>
            </w:r>
            <w:r>
              <w:rPr>
                <w:rFonts w:ascii="Times New Roman" w:cs="Times New Roman"/>
              </w:rPr>
              <w:t>设有一个厨房，1个灶台，食堂燃料为液化气，属于清洁能源。根据类比调查，烹饪时动植物油一般油烟挥发量占总耗油量的2～4%，本环评取3%。动植物油以30g/d•人计，年工作时间为</w:t>
            </w:r>
            <w:r>
              <w:rPr>
                <w:rFonts w:hint="eastAsia" w:ascii="Times New Roman" w:cs="Times New Roman"/>
                <w:lang w:val="en-US" w:eastAsia="zh-CN"/>
              </w:rPr>
              <w:t>30</w:t>
            </w:r>
            <w:r>
              <w:rPr>
                <w:rFonts w:ascii="Times New Roman" w:cs="Times New Roman"/>
              </w:rPr>
              <w:t>0天，则耗油量为0.</w:t>
            </w:r>
            <w:r>
              <w:rPr>
                <w:rFonts w:hint="eastAsia" w:ascii="Times New Roman" w:cs="Times New Roman"/>
              </w:rPr>
              <w:t>3</w:t>
            </w:r>
            <w:r>
              <w:rPr>
                <w:rFonts w:hint="eastAsia" w:ascii="Times New Roman" w:cs="Times New Roman"/>
                <w:lang w:val="en-US" w:eastAsia="zh-CN"/>
              </w:rPr>
              <w:t>6</w:t>
            </w:r>
            <w:r>
              <w:rPr>
                <w:rFonts w:ascii="Times New Roman" w:cs="Times New Roman"/>
              </w:rPr>
              <w:t>kg/d，0.</w:t>
            </w:r>
            <w:r>
              <w:rPr>
                <w:rFonts w:hint="eastAsia" w:ascii="Times New Roman" w:cs="Times New Roman"/>
                <w:lang w:val="en-US" w:eastAsia="zh-CN"/>
              </w:rPr>
              <w:t>108</w:t>
            </w:r>
            <w:r>
              <w:rPr>
                <w:rFonts w:ascii="Times New Roman" w:cs="Times New Roman"/>
              </w:rPr>
              <w:t>t/a，经核算，食堂油烟产生量约为</w:t>
            </w:r>
            <w:r>
              <w:rPr>
                <w:rFonts w:hint="eastAsia" w:ascii="Times New Roman" w:cs="Times New Roman"/>
                <w:lang w:val="en-US" w:eastAsia="zh-CN"/>
              </w:rPr>
              <w:t>10.8</w:t>
            </w:r>
            <w:r>
              <w:rPr>
                <w:rFonts w:ascii="Times New Roman" w:cs="Times New Roman"/>
              </w:rPr>
              <w:t>g/d，</w:t>
            </w:r>
            <w:r>
              <w:rPr>
                <w:rFonts w:hint="eastAsia" w:ascii="Times New Roman" w:cs="Times New Roman"/>
                <w:lang w:val="en-US" w:eastAsia="zh-CN"/>
              </w:rPr>
              <w:t>3.24</w:t>
            </w:r>
            <w:r>
              <w:rPr>
                <w:rFonts w:ascii="Times New Roman" w:cs="Times New Roman"/>
              </w:rPr>
              <w:t>kg/a。安装</w:t>
            </w:r>
            <w:r>
              <w:rPr>
                <w:rFonts w:hint="eastAsia" w:ascii="Times New Roman" w:cs="Times New Roman"/>
              </w:rPr>
              <w:t>油烟净化器（收集效率为90%，处理效率不低于60%）</w:t>
            </w:r>
            <w:r>
              <w:rPr>
                <w:rFonts w:ascii="Times New Roman" w:cs="Times New Roman"/>
              </w:rPr>
              <w:t>进行收集处理油烟废气</w:t>
            </w:r>
            <w:r>
              <w:rPr>
                <w:rFonts w:hint="eastAsia" w:ascii="Times New Roman" w:cs="Times New Roman"/>
              </w:rPr>
              <w:t>，风机风量为3000m</w:t>
            </w:r>
            <w:r>
              <w:rPr>
                <w:rFonts w:hint="eastAsia" w:ascii="Times New Roman" w:cs="Times New Roman"/>
                <w:vertAlign w:val="superscript"/>
              </w:rPr>
              <w:t>3</w:t>
            </w:r>
            <w:r>
              <w:rPr>
                <w:rFonts w:hint="eastAsia" w:ascii="Times New Roman" w:cs="Times New Roman"/>
              </w:rPr>
              <w:t>/h，使用时长为做饭过程中炒菜时使用，每天用时1h，总使用时长为</w:t>
            </w:r>
            <w:r>
              <w:rPr>
                <w:rFonts w:hint="eastAsia" w:ascii="Times New Roman" w:cs="Times New Roman"/>
                <w:lang w:val="en-US" w:eastAsia="zh-CN"/>
              </w:rPr>
              <w:t>30</w:t>
            </w:r>
            <w:r>
              <w:rPr>
                <w:rFonts w:hint="eastAsia" w:ascii="Times New Roman" w:cs="Times New Roman"/>
              </w:rPr>
              <w:t>0h/a，处理后以有组织的形式通过屋顶油烟管道排放到外环境。经计算，有组织排放量约为</w:t>
            </w:r>
            <w:r>
              <w:rPr>
                <w:rFonts w:hint="eastAsia" w:ascii="Times New Roman" w:cs="Times New Roman"/>
                <w:lang w:val="en-US" w:eastAsia="zh-CN"/>
              </w:rPr>
              <w:t>1.166</w:t>
            </w:r>
            <w:r>
              <w:rPr>
                <w:rFonts w:hint="eastAsia" w:ascii="Times New Roman" w:cs="Times New Roman"/>
              </w:rPr>
              <w:t>kg/a，有组织排放浓度1.</w:t>
            </w:r>
            <w:r>
              <w:rPr>
                <w:rFonts w:hint="eastAsia" w:ascii="Times New Roman" w:cs="Times New Roman"/>
                <w:lang w:val="en-US" w:eastAsia="zh-CN"/>
              </w:rPr>
              <w:t>30</w:t>
            </w:r>
            <w:r>
              <w:rPr>
                <w:rFonts w:hint="eastAsia" w:ascii="Times New Roman" w:cs="Times New Roman"/>
              </w:rPr>
              <w:t>mg/m</w:t>
            </w:r>
            <w:r>
              <w:rPr>
                <w:rFonts w:hint="eastAsia" w:ascii="Times New Roman" w:cs="Times New Roman"/>
                <w:vertAlign w:val="superscript"/>
              </w:rPr>
              <w:t>3</w:t>
            </w:r>
            <w:r>
              <w:rPr>
                <w:rFonts w:hint="eastAsia" w:ascii="Times New Roman" w:cs="Times New Roman"/>
              </w:rPr>
              <w:t>，少部分油烟废气以无组织的形式排放，无组织排放量约为0.</w:t>
            </w:r>
            <w:r>
              <w:rPr>
                <w:rFonts w:hint="eastAsia" w:ascii="Times New Roman" w:cs="Times New Roman"/>
                <w:lang w:val="en-US" w:eastAsia="zh-CN"/>
              </w:rPr>
              <w:t>324</w:t>
            </w:r>
            <w:r>
              <w:rPr>
                <w:rFonts w:hint="eastAsia" w:ascii="Times New Roman" w:cs="Times New Roman"/>
              </w:rPr>
              <w:t>kg/a</w:t>
            </w:r>
            <w:r>
              <w:rPr>
                <w:rFonts w:ascii="Times New Roman" w:cs="Times New Roman"/>
              </w:rPr>
              <w:t>。</w:t>
            </w:r>
          </w:p>
          <w:p>
            <w:pPr>
              <w:adjustRightInd w:val="0"/>
              <w:snapToGrid w:val="0"/>
              <w:spacing w:line="360" w:lineRule="auto"/>
              <w:ind w:firstLine="442" w:firstLineChars="200"/>
              <w:rPr>
                <w:b/>
                <w:spacing w:val="-10"/>
                <w:sz w:val="24"/>
              </w:rPr>
            </w:pPr>
            <w:r>
              <w:rPr>
                <w:b/>
                <w:spacing w:val="-10"/>
                <w:sz w:val="24"/>
              </w:rPr>
              <w:t>1.3废气排放可行性及环境影响分析</w:t>
            </w:r>
          </w:p>
          <w:p>
            <w:pPr>
              <w:adjustRightInd w:val="0"/>
              <w:snapToGrid w:val="0"/>
              <w:spacing w:line="360" w:lineRule="auto"/>
              <w:ind w:firstLine="440" w:firstLineChars="200"/>
              <w:rPr>
                <w:bCs/>
                <w:spacing w:val="-10"/>
                <w:sz w:val="24"/>
              </w:rPr>
            </w:pPr>
            <w:r>
              <w:rPr>
                <w:rFonts w:hint="eastAsia"/>
                <w:bCs/>
                <w:spacing w:val="-10"/>
                <w:sz w:val="24"/>
              </w:rPr>
              <w:t>本项目位于达标区。根据上述污染源分析及表4-1的污染物产排情况可知，本项目</w:t>
            </w:r>
            <w:r>
              <w:rPr>
                <w:rFonts w:hint="eastAsia"/>
                <w:bCs/>
                <w:spacing w:val="-10"/>
                <w:sz w:val="24"/>
                <w:lang w:val="en-US" w:eastAsia="zh-CN"/>
              </w:rPr>
              <w:t>混合</w:t>
            </w:r>
            <w:r>
              <w:rPr>
                <w:rFonts w:hint="eastAsia"/>
                <w:bCs/>
                <w:spacing w:val="-10"/>
                <w:sz w:val="24"/>
              </w:rPr>
              <w:t>废气在采取</w:t>
            </w:r>
            <w:r>
              <w:rPr>
                <w:rFonts w:hint="eastAsia" w:ascii="Times New Roman" w:cs="Times New Roman"/>
                <w:sz w:val="24"/>
                <w:szCs w:val="24"/>
                <w:lang w:val="zh-CN"/>
              </w:rPr>
              <w:t>“</w:t>
            </w:r>
            <w:r>
              <w:rPr>
                <w:rFonts w:hint="eastAsia" w:cs="Times New Roman"/>
                <w:sz w:val="24"/>
                <w:szCs w:val="24"/>
                <w:lang w:val="en-US" w:eastAsia="zh-CN"/>
              </w:rPr>
              <w:t>静电除尘+布袋除尘器</w:t>
            </w:r>
            <w:r>
              <w:rPr>
                <w:rFonts w:hint="eastAsia" w:ascii="Times New Roman" w:cs="Times New Roman"/>
                <w:sz w:val="24"/>
                <w:szCs w:val="24"/>
                <w:lang w:val="zh-CN"/>
              </w:rPr>
              <w:t>”</w:t>
            </w:r>
            <w:r>
              <w:rPr>
                <w:rFonts w:hint="eastAsia"/>
                <w:bCs/>
                <w:spacing w:val="-10"/>
                <w:sz w:val="24"/>
              </w:rPr>
              <w:t>措施处理后</w:t>
            </w:r>
            <w:r>
              <w:rPr>
                <w:rFonts w:hint="eastAsia"/>
                <w:bCs/>
                <w:spacing w:val="-10"/>
                <w:sz w:val="24"/>
                <w:lang w:eastAsia="zh-CN"/>
              </w:rPr>
              <w:t>，</w:t>
            </w:r>
            <w:r>
              <w:rPr>
                <w:rFonts w:hint="eastAsia"/>
                <w:bCs/>
                <w:spacing w:val="-10"/>
                <w:sz w:val="24"/>
                <w:lang w:val="en-US" w:eastAsia="zh-CN"/>
              </w:rPr>
              <w:t>SO</w:t>
            </w:r>
            <w:r>
              <w:rPr>
                <w:rFonts w:hint="eastAsia"/>
                <w:bCs/>
                <w:spacing w:val="-10"/>
                <w:sz w:val="24"/>
                <w:vertAlign w:val="subscript"/>
                <w:lang w:val="en-US" w:eastAsia="zh-CN"/>
              </w:rPr>
              <w:t>2</w:t>
            </w:r>
            <w:r>
              <w:rPr>
                <w:rFonts w:hint="eastAsia"/>
                <w:bCs/>
                <w:spacing w:val="-10"/>
                <w:sz w:val="24"/>
                <w:lang w:val="en-US" w:eastAsia="zh-CN"/>
              </w:rPr>
              <w:t>的</w:t>
            </w:r>
            <w:r>
              <w:rPr>
                <w:rFonts w:hint="eastAsia"/>
                <w:bCs/>
                <w:spacing w:val="-10"/>
                <w:sz w:val="24"/>
              </w:rPr>
              <w:t>排放浓度能满足《</w:t>
            </w:r>
            <w:r>
              <w:rPr>
                <w:rFonts w:hint="eastAsia"/>
                <w:bCs/>
                <w:spacing w:val="-10"/>
                <w:sz w:val="24"/>
                <w:lang w:val="en-US" w:eastAsia="zh-CN"/>
              </w:rPr>
              <w:t>工业炉窑大气污染物</w:t>
            </w:r>
            <w:r>
              <w:rPr>
                <w:rFonts w:hint="eastAsia"/>
                <w:bCs/>
                <w:spacing w:val="-10"/>
                <w:sz w:val="24"/>
              </w:rPr>
              <w:t>排放标准》（GB</w:t>
            </w:r>
            <w:r>
              <w:rPr>
                <w:rFonts w:hint="eastAsia"/>
                <w:bCs/>
                <w:spacing w:val="-10"/>
                <w:sz w:val="24"/>
                <w:lang w:val="en-US" w:eastAsia="zh-CN"/>
              </w:rPr>
              <w:t>9078</w:t>
            </w:r>
            <w:r>
              <w:rPr>
                <w:rFonts w:hint="eastAsia"/>
                <w:bCs/>
                <w:spacing w:val="-10"/>
                <w:sz w:val="24"/>
              </w:rPr>
              <w:t>-</w:t>
            </w:r>
            <w:r>
              <w:rPr>
                <w:rFonts w:hint="eastAsia"/>
                <w:bCs/>
                <w:spacing w:val="-10"/>
                <w:sz w:val="24"/>
                <w:lang w:val="en-US" w:eastAsia="zh-CN"/>
              </w:rPr>
              <w:t>1996</w:t>
            </w:r>
            <w:r>
              <w:rPr>
                <w:rFonts w:hint="eastAsia"/>
                <w:bCs/>
                <w:spacing w:val="-10"/>
                <w:sz w:val="24"/>
              </w:rPr>
              <w:t>）</w:t>
            </w:r>
            <w:r>
              <w:rPr>
                <w:rFonts w:hint="eastAsia"/>
                <w:bCs/>
                <w:spacing w:val="-10"/>
                <w:sz w:val="24"/>
                <w:u w:val="none"/>
              </w:rPr>
              <w:t>污染物排放限值要求</w:t>
            </w:r>
            <w:r>
              <w:rPr>
                <w:rFonts w:hint="eastAsia"/>
                <w:bCs/>
                <w:spacing w:val="-10"/>
                <w:sz w:val="24"/>
                <w:u w:val="none"/>
                <w:lang w:eastAsia="zh-CN"/>
              </w:rPr>
              <w:t>，</w:t>
            </w:r>
            <w:r>
              <w:rPr>
                <w:rFonts w:hint="eastAsia"/>
                <w:bCs/>
                <w:spacing w:val="-10"/>
                <w:sz w:val="24"/>
                <w:u w:val="none"/>
                <w:lang w:val="en-US" w:eastAsia="zh-CN"/>
              </w:rPr>
              <w:t>NOx和颗粒物的排放浓度能满足《大气污染物综合排放标准》（GB16297-1996）</w:t>
            </w:r>
            <w:r>
              <w:rPr>
                <w:rFonts w:hint="eastAsia"/>
                <w:bCs/>
                <w:spacing w:val="-10"/>
                <w:sz w:val="24"/>
              </w:rPr>
              <w:t>。且本项目吃饭人数较少，食堂油烟废气可达标排放。</w:t>
            </w:r>
          </w:p>
          <w:p>
            <w:pPr>
              <w:adjustRightInd w:val="0"/>
              <w:snapToGrid w:val="0"/>
              <w:spacing w:line="360" w:lineRule="auto"/>
              <w:ind w:firstLine="440" w:firstLineChars="200"/>
              <w:rPr>
                <w:b/>
                <w:spacing w:val="-10"/>
                <w:sz w:val="24"/>
              </w:rPr>
            </w:pPr>
            <w:r>
              <w:rPr>
                <w:rFonts w:hint="eastAsia"/>
                <w:bCs/>
                <w:spacing w:val="-10"/>
                <w:sz w:val="24"/>
              </w:rPr>
              <w:t>因此，本项目的各项废气污染防治措施可行，各污染物因子均可达标排放，对周边环境影响较小。</w:t>
            </w:r>
          </w:p>
          <w:p>
            <w:pPr>
              <w:adjustRightInd w:val="0"/>
              <w:snapToGrid w:val="0"/>
              <w:spacing w:line="360" w:lineRule="auto"/>
              <w:ind w:firstLine="442" w:firstLineChars="200"/>
              <w:rPr>
                <w:b/>
                <w:spacing w:val="-10"/>
                <w:sz w:val="24"/>
              </w:rPr>
            </w:pPr>
            <w:r>
              <w:rPr>
                <w:b/>
                <w:spacing w:val="-10"/>
                <w:sz w:val="24"/>
              </w:rPr>
              <w:t>1.4自行监测要求</w:t>
            </w:r>
          </w:p>
          <w:p>
            <w:pPr>
              <w:pStyle w:val="57"/>
              <w:adjustRightInd/>
              <w:snapToGrid/>
              <w:spacing w:line="360" w:lineRule="auto"/>
              <w:jc w:val="both"/>
            </w:pPr>
            <w:r>
              <w:t xml:space="preserve">根据《排污单位自行监测技术指南 </w:t>
            </w:r>
            <w:r>
              <w:rPr>
                <w:rFonts w:hint="eastAsia"/>
              </w:rPr>
              <w:t>锅炉</w:t>
            </w:r>
            <w:r>
              <w:t>》（HJ9</w:t>
            </w:r>
            <w:r>
              <w:rPr>
                <w:rFonts w:hint="eastAsia"/>
              </w:rPr>
              <w:t>53</w:t>
            </w:r>
            <w:r>
              <w:t>-201</w:t>
            </w:r>
            <w:r>
              <w:rPr>
                <w:rFonts w:hint="eastAsia"/>
              </w:rPr>
              <w:t>8</w:t>
            </w:r>
            <w:r>
              <w:t>）</w:t>
            </w:r>
            <w:r>
              <w:rPr>
                <w:rFonts w:hint="eastAsia"/>
              </w:rPr>
              <w:t>和《排污单位自行监测技术指南 总则》（HJ819-2016），</w:t>
            </w:r>
            <w:r>
              <w:t>项目监测要求如下表所示。</w:t>
            </w:r>
          </w:p>
          <w:p>
            <w:pPr>
              <w:pStyle w:val="56"/>
              <w:adjustRightInd/>
              <w:snapToGrid/>
              <w:spacing w:line="240" w:lineRule="auto"/>
              <w:rPr>
                <w:sz w:val="21"/>
                <w:szCs w:val="21"/>
              </w:rPr>
            </w:pPr>
          </w:p>
          <w:p>
            <w:pPr>
              <w:pStyle w:val="56"/>
              <w:adjustRightInd/>
              <w:snapToGrid/>
              <w:spacing w:line="240" w:lineRule="auto"/>
              <w:rPr>
                <w:sz w:val="21"/>
                <w:szCs w:val="21"/>
              </w:rPr>
            </w:pPr>
            <w:r>
              <w:rPr>
                <w:sz w:val="21"/>
                <w:szCs w:val="21"/>
              </w:rPr>
              <w:t>表4-</w:t>
            </w:r>
            <w:r>
              <w:rPr>
                <w:rFonts w:hint="eastAsia"/>
                <w:sz w:val="21"/>
                <w:szCs w:val="21"/>
                <w:lang w:val="en-US" w:eastAsia="zh-CN"/>
              </w:rPr>
              <w:t>4</w:t>
            </w:r>
            <w:r>
              <w:rPr>
                <w:sz w:val="21"/>
                <w:szCs w:val="21"/>
              </w:rPr>
              <w:t xml:space="preserve">  项目自行监测要求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3"/>
              <w:gridCol w:w="825"/>
              <w:gridCol w:w="918"/>
              <w:gridCol w:w="989"/>
              <w:gridCol w:w="1096"/>
              <w:gridCol w:w="1168"/>
              <w:gridCol w:w="102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98"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序号</w:t>
                  </w:r>
                </w:p>
              </w:tc>
              <w:tc>
                <w:tcPr>
                  <w:tcW w:w="487"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排放口编号/监测点位</w:t>
                  </w:r>
                </w:p>
              </w:tc>
              <w:tc>
                <w:tcPr>
                  <w:tcW w:w="542"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排放口名称/监测点位名称</w:t>
                  </w:r>
                </w:p>
              </w:tc>
              <w:tc>
                <w:tcPr>
                  <w:tcW w:w="584"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监测内容</w:t>
                  </w:r>
                </w:p>
              </w:tc>
              <w:tc>
                <w:tcPr>
                  <w:tcW w:w="647"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污染物名称</w:t>
                  </w:r>
                </w:p>
              </w:tc>
              <w:tc>
                <w:tcPr>
                  <w:tcW w:w="690"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手工监测采样方法及个数</w:t>
                  </w:r>
                </w:p>
              </w:tc>
              <w:tc>
                <w:tcPr>
                  <w:tcW w:w="603"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手工监测频次</w:t>
                  </w:r>
                </w:p>
              </w:tc>
              <w:tc>
                <w:tcPr>
                  <w:tcW w:w="1045"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手工测定方法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98" w:type="pct"/>
                  <w:vMerge w:val="restar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1</w:t>
                  </w:r>
                </w:p>
              </w:tc>
              <w:tc>
                <w:tcPr>
                  <w:tcW w:w="487" w:type="pct"/>
                  <w:vMerge w:val="restar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（混合废气排气筒）</w:t>
                  </w:r>
                  <w:r>
                    <w:rPr>
                      <w:kern w:val="21"/>
                      <w:sz w:val="21"/>
                      <w:szCs w:val="21"/>
                      <w:lang w:val="en-US" w:eastAsia="zh-CN"/>
                    </w:rPr>
                    <w:t>DA00</w:t>
                  </w:r>
                  <w:r>
                    <w:rPr>
                      <w:rFonts w:hint="eastAsia"/>
                      <w:kern w:val="21"/>
                      <w:sz w:val="21"/>
                      <w:szCs w:val="21"/>
                      <w:lang w:val="en-US" w:eastAsia="zh-CN"/>
                    </w:rPr>
                    <w:t>1</w:t>
                  </w:r>
                </w:p>
              </w:tc>
              <w:tc>
                <w:tcPr>
                  <w:tcW w:w="542" w:type="pct"/>
                  <w:vMerge w:val="restar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1#排气筒</w:t>
                  </w:r>
                </w:p>
              </w:tc>
              <w:tc>
                <w:tcPr>
                  <w:tcW w:w="584"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烟气流量、温度、浓度</w:t>
                  </w:r>
                </w:p>
              </w:tc>
              <w:tc>
                <w:tcPr>
                  <w:tcW w:w="647"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颗粒物</w:t>
                  </w:r>
                </w:p>
              </w:tc>
              <w:tc>
                <w:tcPr>
                  <w:tcW w:w="690"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连续采样</w:t>
                  </w:r>
                </w:p>
              </w:tc>
              <w:tc>
                <w:tcPr>
                  <w:tcW w:w="603"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1次/半年</w:t>
                  </w:r>
                </w:p>
              </w:tc>
              <w:tc>
                <w:tcPr>
                  <w:tcW w:w="1045"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固定污染源排气中颗粒物测定与气态污染物采样方法 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98" w:type="pct"/>
                  <w:vMerge w:val="continue"/>
                  <w:vAlign w:val="center"/>
                </w:tcPr>
                <w:p>
                  <w:pPr>
                    <w:pStyle w:val="59"/>
                    <w:adjustRightInd/>
                    <w:snapToGrid/>
                    <w:spacing w:before="0" w:after="0" w:line="240" w:lineRule="auto"/>
                    <w:ind w:right="0"/>
                    <w:rPr>
                      <w:kern w:val="21"/>
                      <w:sz w:val="21"/>
                      <w:szCs w:val="21"/>
                      <w:lang w:val="en-US" w:eastAsia="zh-CN"/>
                    </w:rPr>
                  </w:pPr>
                </w:p>
              </w:tc>
              <w:tc>
                <w:tcPr>
                  <w:tcW w:w="487" w:type="pct"/>
                  <w:vMerge w:val="continue"/>
                  <w:vAlign w:val="center"/>
                </w:tcPr>
                <w:p>
                  <w:pPr>
                    <w:pStyle w:val="59"/>
                    <w:adjustRightInd/>
                    <w:snapToGrid/>
                    <w:spacing w:before="0" w:after="0" w:line="240" w:lineRule="auto"/>
                    <w:ind w:right="0"/>
                    <w:rPr>
                      <w:kern w:val="21"/>
                      <w:sz w:val="21"/>
                      <w:szCs w:val="21"/>
                      <w:lang w:val="en-US" w:eastAsia="zh-CN"/>
                    </w:rPr>
                  </w:pPr>
                </w:p>
              </w:tc>
              <w:tc>
                <w:tcPr>
                  <w:tcW w:w="542" w:type="pct"/>
                  <w:vMerge w:val="continue"/>
                  <w:vAlign w:val="center"/>
                </w:tcPr>
                <w:p>
                  <w:pPr>
                    <w:pStyle w:val="59"/>
                    <w:adjustRightInd/>
                    <w:snapToGrid/>
                    <w:spacing w:before="0" w:after="0" w:line="240" w:lineRule="auto"/>
                    <w:ind w:right="0"/>
                    <w:rPr>
                      <w:kern w:val="21"/>
                      <w:sz w:val="21"/>
                      <w:szCs w:val="21"/>
                      <w:lang w:val="en-US" w:eastAsia="zh-CN"/>
                    </w:rPr>
                  </w:pPr>
                </w:p>
              </w:tc>
              <w:tc>
                <w:tcPr>
                  <w:tcW w:w="584"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烟气流量、温度、浓度</w:t>
                  </w:r>
                </w:p>
              </w:tc>
              <w:tc>
                <w:tcPr>
                  <w:tcW w:w="647"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SO</w:t>
                  </w:r>
                  <w:r>
                    <w:rPr>
                      <w:rFonts w:hint="eastAsia"/>
                      <w:kern w:val="21"/>
                      <w:sz w:val="21"/>
                      <w:szCs w:val="21"/>
                      <w:vertAlign w:val="subscript"/>
                      <w:lang w:val="en-US" w:eastAsia="zh-CN"/>
                    </w:rPr>
                    <w:t>2</w:t>
                  </w:r>
                </w:p>
              </w:tc>
              <w:tc>
                <w:tcPr>
                  <w:tcW w:w="690"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连续采样</w:t>
                  </w:r>
                </w:p>
              </w:tc>
              <w:tc>
                <w:tcPr>
                  <w:tcW w:w="603"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1次/半年</w:t>
                  </w:r>
                </w:p>
              </w:tc>
              <w:tc>
                <w:tcPr>
                  <w:tcW w:w="1045"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固定污染源排气中二氧化硫的测定 定电位电解法HJ 57-2017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98" w:type="pct"/>
                  <w:vMerge w:val="continue"/>
                  <w:vAlign w:val="center"/>
                </w:tcPr>
                <w:p>
                  <w:pPr>
                    <w:pStyle w:val="59"/>
                    <w:adjustRightInd/>
                    <w:snapToGrid/>
                    <w:spacing w:before="0" w:after="0" w:line="240" w:lineRule="auto"/>
                    <w:ind w:right="0"/>
                    <w:rPr>
                      <w:kern w:val="21"/>
                      <w:sz w:val="21"/>
                      <w:szCs w:val="21"/>
                      <w:lang w:val="en-US" w:eastAsia="zh-CN"/>
                    </w:rPr>
                  </w:pPr>
                </w:p>
              </w:tc>
              <w:tc>
                <w:tcPr>
                  <w:tcW w:w="487" w:type="pct"/>
                  <w:vMerge w:val="continue"/>
                  <w:vAlign w:val="center"/>
                </w:tcPr>
                <w:p>
                  <w:pPr>
                    <w:pStyle w:val="59"/>
                    <w:adjustRightInd/>
                    <w:snapToGrid/>
                    <w:spacing w:before="0" w:after="0" w:line="240" w:lineRule="auto"/>
                    <w:ind w:right="0"/>
                    <w:rPr>
                      <w:kern w:val="21"/>
                      <w:sz w:val="21"/>
                      <w:szCs w:val="21"/>
                      <w:lang w:val="en-US" w:eastAsia="zh-CN"/>
                    </w:rPr>
                  </w:pPr>
                </w:p>
              </w:tc>
              <w:tc>
                <w:tcPr>
                  <w:tcW w:w="542" w:type="pct"/>
                  <w:vMerge w:val="continue"/>
                  <w:vAlign w:val="center"/>
                </w:tcPr>
                <w:p>
                  <w:pPr>
                    <w:pStyle w:val="59"/>
                    <w:adjustRightInd/>
                    <w:snapToGrid/>
                    <w:spacing w:before="0" w:after="0" w:line="240" w:lineRule="auto"/>
                    <w:ind w:right="0"/>
                    <w:rPr>
                      <w:kern w:val="21"/>
                      <w:sz w:val="21"/>
                      <w:szCs w:val="21"/>
                      <w:lang w:val="en-US" w:eastAsia="zh-CN"/>
                    </w:rPr>
                  </w:pPr>
                </w:p>
              </w:tc>
              <w:tc>
                <w:tcPr>
                  <w:tcW w:w="584"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烟气流量、温度、浓度</w:t>
                  </w:r>
                </w:p>
              </w:tc>
              <w:tc>
                <w:tcPr>
                  <w:tcW w:w="647"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NOx</w:t>
                  </w:r>
                </w:p>
              </w:tc>
              <w:tc>
                <w:tcPr>
                  <w:tcW w:w="690"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连续采样</w:t>
                  </w:r>
                </w:p>
              </w:tc>
              <w:tc>
                <w:tcPr>
                  <w:tcW w:w="603"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1次/半年</w:t>
                  </w:r>
                </w:p>
              </w:tc>
              <w:tc>
                <w:tcPr>
                  <w:tcW w:w="1045"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固定污染源废气 氮氧化物的测定 定电位电解法HJ 693-2014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98" w:type="pct"/>
                  <w:vMerge w:val="continue"/>
                  <w:vAlign w:val="center"/>
                </w:tcPr>
                <w:p>
                  <w:pPr>
                    <w:pStyle w:val="59"/>
                    <w:adjustRightInd/>
                    <w:snapToGrid/>
                    <w:spacing w:before="0" w:after="0" w:line="240" w:lineRule="auto"/>
                    <w:ind w:right="0"/>
                    <w:rPr>
                      <w:kern w:val="21"/>
                      <w:sz w:val="21"/>
                      <w:szCs w:val="21"/>
                      <w:lang w:val="en-US" w:eastAsia="zh-CN"/>
                    </w:rPr>
                  </w:pPr>
                </w:p>
              </w:tc>
              <w:tc>
                <w:tcPr>
                  <w:tcW w:w="487" w:type="pct"/>
                  <w:vMerge w:val="continue"/>
                  <w:vAlign w:val="center"/>
                </w:tcPr>
                <w:p>
                  <w:pPr>
                    <w:pStyle w:val="59"/>
                    <w:adjustRightInd/>
                    <w:snapToGrid/>
                    <w:spacing w:before="0" w:after="0" w:line="240" w:lineRule="auto"/>
                    <w:ind w:right="0"/>
                    <w:rPr>
                      <w:kern w:val="21"/>
                      <w:sz w:val="21"/>
                      <w:szCs w:val="21"/>
                      <w:lang w:val="en-US" w:eastAsia="zh-CN"/>
                    </w:rPr>
                  </w:pPr>
                </w:p>
              </w:tc>
              <w:tc>
                <w:tcPr>
                  <w:tcW w:w="542" w:type="pct"/>
                  <w:vMerge w:val="continue"/>
                  <w:vAlign w:val="center"/>
                </w:tcPr>
                <w:p>
                  <w:pPr>
                    <w:pStyle w:val="59"/>
                    <w:adjustRightInd/>
                    <w:snapToGrid/>
                    <w:spacing w:before="0" w:after="0" w:line="240" w:lineRule="auto"/>
                    <w:ind w:right="0"/>
                    <w:rPr>
                      <w:kern w:val="21"/>
                      <w:sz w:val="21"/>
                      <w:szCs w:val="21"/>
                      <w:lang w:val="en-US" w:eastAsia="zh-CN"/>
                    </w:rPr>
                  </w:pPr>
                </w:p>
              </w:tc>
              <w:tc>
                <w:tcPr>
                  <w:tcW w:w="584"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烟气流量、温度</w:t>
                  </w:r>
                </w:p>
              </w:tc>
              <w:tc>
                <w:tcPr>
                  <w:tcW w:w="647"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烟气黑度</w:t>
                  </w:r>
                </w:p>
              </w:tc>
              <w:tc>
                <w:tcPr>
                  <w:tcW w:w="690"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连续采样</w:t>
                  </w:r>
                </w:p>
              </w:tc>
              <w:tc>
                <w:tcPr>
                  <w:tcW w:w="603"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1次/半年</w:t>
                  </w:r>
                </w:p>
              </w:tc>
              <w:tc>
                <w:tcPr>
                  <w:tcW w:w="1045"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固定污染源排放烟气黑度的测定 林格曼烟气黑度图法HJ/T 398-2007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98"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2</w:t>
                  </w:r>
                </w:p>
              </w:tc>
              <w:tc>
                <w:tcPr>
                  <w:tcW w:w="487"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（食堂油烟废气排气筒）DA002</w:t>
                  </w:r>
                </w:p>
              </w:tc>
              <w:tc>
                <w:tcPr>
                  <w:tcW w:w="542"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2#排气筒</w:t>
                  </w:r>
                </w:p>
              </w:tc>
              <w:tc>
                <w:tcPr>
                  <w:tcW w:w="584"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烟气流量、温度、浓度</w:t>
                  </w:r>
                </w:p>
              </w:tc>
              <w:tc>
                <w:tcPr>
                  <w:tcW w:w="647"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油烟</w:t>
                  </w:r>
                </w:p>
              </w:tc>
              <w:tc>
                <w:tcPr>
                  <w:tcW w:w="690"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连续采样</w:t>
                  </w:r>
                </w:p>
              </w:tc>
              <w:tc>
                <w:tcPr>
                  <w:tcW w:w="603"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1次/半年</w:t>
                  </w:r>
                </w:p>
              </w:tc>
              <w:tc>
                <w:tcPr>
                  <w:tcW w:w="1045"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98"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3</w:t>
                  </w:r>
                </w:p>
              </w:tc>
              <w:tc>
                <w:tcPr>
                  <w:tcW w:w="487"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w:t>
                  </w:r>
                </w:p>
              </w:tc>
              <w:tc>
                <w:tcPr>
                  <w:tcW w:w="542"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厂界</w:t>
                  </w:r>
                  <w:r>
                    <w:rPr>
                      <w:kern w:val="21"/>
                      <w:sz w:val="21"/>
                      <w:szCs w:val="21"/>
                      <w:lang w:val="en-US" w:eastAsia="zh-CN"/>
                    </w:rPr>
                    <w:t>无组织</w:t>
                  </w:r>
                </w:p>
              </w:tc>
              <w:tc>
                <w:tcPr>
                  <w:tcW w:w="584"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风速、风向、温度、浓度</w:t>
                  </w:r>
                </w:p>
              </w:tc>
              <w:tc>
                <w:tcPr>
                  <w:tcW w:w="647"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颗粒物</w:t>
                  </w:r>
                </w:p>
              </w:tc>
              <w:tc>
                <w:tcPr>
                  <w:tcW w:w="690"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瞬时采样 至少4个瞬时样</w:t>
                  </w:r>
                </w:p>
              </w:tc>
              <w:tc>
                <w:tcPr>
                  <w:tcW w:w="603" w:type="pct"/>
                  <w:vAlign w:val="center"/>
                </w:tcPr>
                <w:p>
                  <w:pPr>
                    <w:pStyle w:val="59"/>
                    <w:adjustRightInd/>
                    <w:snapToGrid/>
                    <w:spacing w:before="0" w:after="0" w:line="240" w:lineRule="auto"/>
                    <w:ind w:right="0"/>
                    <w:rPr>
                      <w:kern w:val="21"/>
                      <w:sz w:val="21"/>
                      <w:szCs w:val="21"/>
                      <w:lang w:val="en-US" w:eastAsia="zh-CN"/>
                    </w:rPr>
                  </w:pPr>
                  <w:r>
                    <w:rPr>
                      <w:kern w:val="21"/>
                      <w:sz w:val="21"/>
                      <w:szCs w:val="21"/>
                      <w:lang w:val="en-US" w:eastAsia="zh-CN"/>
                    </w:rPr>
                    <w:t>1次/半年</w:t>
                  </w:r>
                </w:p>
              </w:tc>
              <w:tc>
                <w:tcPr>
                  <w:tcW w:w="1045" w:type="pct"/>
                  <w:vAlign w:val="center"/>
                </w:tcPr>
                <w:p>
                  <w:pPr>
                    <w:pStyle w:val="59"/>
                    <w:adjustRightInd/>
                    <w:snapToGrid/>
                    <w:spacing w:before="0" w:after="0" w:line="240" w:lineRule="auto"/>
                    <w:ind w:right="0"/>
                    <w:rPr>
                      <w:kern w:val="21"/>
                      <w:sz w:val="21"/>
                      <w:szCs w:val="21"/>
                      <w:lang w:val="en-US" w:eastAsia="zh-CN"/>
                    </w:rPr>
                  </w:pPr>
                  <w:r>
                    <w:rPr>
                      <w:rFonts w:hint="eastAsia"/>
                      <w:kern w:val="21"/>
                      <w:sz w:val="21"/>
                      <w:szCs w:val="21"/>
                      <w:lang w:val="en-US" w:eastAsia="zh-CN"/>
                    </w:rPr>
                    <w:t>/</w:t>
                  </w:r>
                </w:p>
              </w:tc>
            </w:tr>
          </w:tbl>
          <w:p>
            <w:pPr>
              <w:adjustRightInd w:val="0"/>
              <w:snapToGrid w:val="0"/>
              <w:spacing w:line="360" w:lineRule="auto"/>
              <w:rPr>
                <w:b/>
                <w:spacing w:val="-10"/>
                <w:sz w:val="24"/>
              </w:rPr>
            </w:pPr>
          </w:p>
          <w:p>
            <w:pPr>
              <w:adjustRightInd w:val="0"/>
              <w:snapToGrid w:val="0"/>
              <w:spacing w:line="360" w:lineRule="auto"/>
              <w:rPr>
                <w:rFonts w:hint="eastAsia"/>
                <w:b/>
                <w:spacing w:val="-10"/>
                <w:sz w:val="24"/>
              </w:rPr>
            </w:pPr>
          </w:p>
          <w:p>
            <w:pPr>
              <w:adjustRightInd w:val="0"/>
              <w:snapToGrid w:val="0"/>
              <w:spacing w:line="360" w:lineRule="auto"/>
              <w:rPr>
                <w:bCs/>
                <w:spacing w:val="-10"/>
                <w:sz w:val="24"/>
              </w:rPr>
            </w:pPr>
            <w:r>
              <w:rPr>
                <w:rFonts w:hint="eastAsia"/>
                <w:b/>
                <w:spacing w:val="-10"/>
                <w:sz w:val="24"/>
              </w:rPr>
              <w:t>2.废水</w:t>
            </w:r>
          </w:p>
          <w:p>
            <w:pPr>
              <w:adjustRightInd w:val="0"/>
              <w:snapToGrid w:val="0"/>
              <w:spacing w:line="360" w:lineRule="auto"/>
              <w:ind w:firstLine="442" w:firstLineChars="200"/>
              <w:rPr>
                <w:rFonts w:hint="default" w:eastAsia="宋体"/>
                <w:bCs/>
                <w:spacing w:val="-10"/>
                <w:sz w:val="24"/>
                <w:lang w:val="en-US" w:eastAsia="zh-CN"/>
              </w:rPr>
            </w:pPr>
            <w:r>
              <w:rPr>
                <w:rFonts w:hint="eastAsia"/>
                <w:b/>
                <w:bCs w:val="0"/>
                <w:spacing w:val="-10"/>
                <w:sz w:val="24"/>
                <w:lang w:val="en-US" w:eastAsia="zh-CN"/>
              </w:rPr>
              <w:t>2.1废水污染源分析</w:t>
            </w:r>
          </w:p>
          <w:p>
            <w:pPr>
              <w:adjustRightInd w:val="0"/>
              <w:snapToGrid w:val="0"/>
              <w:spacing w:line="360" w:lineRule="auto"/>
              <w:ind w:firstLine="440" w:firstLineChars="200"/>
              <w:rPr>
                <w:bCs/>
                <w:spacing w:val="-10"/>
                <w:sz w:val="24"/>
              </w:rPr>
            </w:pPr>
            <w:r>
              <w:rPr>
                <w:rFonts w:hint="eastAsia"/>
                <w:bCs/>
                <w:spacing w:val="-10"/>
                <w:sz w:val="24"/>
              </w:rPr>
              <w:t>本项目废水主要是员工生活污水。</w:t>
            </w:r>
          </w:p>
          <w:p>
            <w:pPr>
              <w:adjustRightInd w:val="0"/>
              <w:snapToGrid w:val="0"/>
              <w:spacing w:line="360" w:lineRule="auto"/>
              <w:ind w:firstLine="440" w:firstLineChars="200"/>
              <w:rPr>
                <w:bCs/>
                <w:spacing w:val="-10"/>
                <w:sz w:val="24"/>
              </w:rPr>
            </w:pPr>
            <w:r>
              <w:rPr>
                <w:rFonts w:hint="eastAsia"/>
                <w:bCs/>
                <w:spacing w:val="-10"/>
                <w:sz w:val="24"/>
              </w:rPr>
              <w:t>生活污水：1</w:t>
            </w:r>
            <w:r>
              <w:rPr>
                <w:rFonts w:hint="eastAsia"/>
                <w:bCs/>
                <w:spacing w:val="-10"/>
                <w:sz w:val="24"/>
                <w:lang w:val="en-US" w:eastAsia="zh-CN"/>
              </w:rPr>
              <w:t>2</w:t>
            </w:r>
            <w:r>
              <w:rPr>
                <w:rFonts w:hint="eastAsia"/>
                <w:bCs/>
                <w:spacing w:val="-10"/>
                <w:sz w:val="24"/>
              </w:rPr>
              <w:t>名员工在厂内吃中餐，参照《湖南省用水定额》（DB43T388-2020）中表29的“小城市”居民生活用水量（每人用水量为145L/人</w:t>
            </w:r>
            <w:r>
              <w:rPr>
                <w:b/>
                <w:spacing w:val="-10"/>
                <w:sz w:val="24"/>
              </w:rPr>
              <w:t>·</w:t>
            </w:r>
            <w:r>
              <w:rPr>
                <w:rFonts w:hint="eastAsia"/>
                <w:bCs/>
                <w:spacing w:val="-10"/>
                <w:sz w:val="24"/>
              </w:rPr>
              <w:t>d）且结合实际情况。本项目员工不在厂内住宿，用水量按90L/人</w:t>
            </w:r>
            <w:r>
              <w:rPr>
                <w:b/>
                <w:spacing w:val="-10"/>
                <w:sz w:val="24"/>
              </w:rPr>
              <w:t>·</w:t>
            </w:r>
            <w:r>
              <w:rPr>
                <w:rFonts w:hint="eastAsia"/>
                <w:bCs/>
                <w:spacing w:val="-10"/>
                <w:sz w:val="24"/>
              </w:rPr>
              <w:t>d，年生产</w:t>
            </w:r>
            <w:r>
              <w:rPr>
                <w:rFonts w:hint="eastAsia"/>
                <w:bCs/>
                <w:spacing w:val="-10"/>
                <w:sz w:val="24"/>
                <w:lang w:val="en-US" w:eastAsia="zh-CN"/>
              </w:rPr>
              <w:t>300</w:t>
            </w:r>
            <w:r>
              <w:rPr>
                <w:rFonts w:hint="eastAsia"/>
                <w:bCs/>
                <w:spacing w:val="-10"/>
                <w:sz w:val="24"/>
              </w:rPr>
              <w:t>天，经计算总用水量为</w:t>
            </w:r>
            <w:r>
              <w:rPr>
                <w:rFonts w:hint="eastAsia"/>
                <w:bCs/>
                <w:spacing w:val="-10"/>
                <w:sz w:val="24"/>
                <w:lang w:val="en-US" w:eastAsia="zh-CN"/>
              </w:rPr>
              <w:t>324</w:t>
            </w:r>
            <w:r>
              <w:rPr>
                <w:rFonts w:hint="eastAsia"/>
                <w:bCs/>
                <w:spacing w:val="-10"/>
                <w:sz w:val="24"/>
              </w:rPr>
              <w:t>m</w:t>
            </w:r>
            <w:r>
              <w:rPr>
                <w:rFonts w:hint="eastAsia"/>
                <w:bCs/>
                <w:spacing w:val="-10"/>
                <w:sz w:val="24"/>
                <w:vertAlign w:val="superscript"/>
              </w:rPr>
              <w:t>3</w:t>
            </w:r>
            <w:r>
              <w:rPr>
                <w:rFonts w:hint="eastAsia"/>
                <w:bCs/>
                <w:spacing w:val="-10"/>
                <w:sz w:val="24"/>
              </w:rPr>
              <w:t>/a，生活污水产生量为用水量的80%，废水量</w:t>
            </w:r>
            <w:r>
              <w:rPr>
                <w:rFonts w:hint="eastAsia"/>
                <w:bCs/>
                <w:spacing w:val="-10"/>
                <w:sz w:val="24"/>
                <w:lang w:val="en-US" w:eastAsia="zh-CN"/>
              </w:rPr>
              <w:t>259.2</w:t>
            </w:r>
            <w:r>
              <w:rPr>
                <w:rFonts w:hint="eastAsia"/>
                <w:bCs/>
                <w:spacing w:val="-10"/>
                <w:sz w:val="24"/>
              </w:rPr>
              <w:t>m</w:t>
            </w:r>
            <w:r>
              <w:rPr>
                <w:rFonts w:hint="eastAsia"/>
                <w:bCs/>
                <w:spacing w:val="-10"/>
                <w:sz w:val="24"/>
                <w:vertAlign w:val="superscript"/>
              </w:rPr>
              <w:t>3</w:t>
            </w:r>
            <w:r>
              <w:rPr>
                <w:rFonts w:hint="eastAsia"/>
                <w:bCs/>
                <w:spacing w:val="-10"/>
                <w:sz w:val="24"/>
              </w:rPr>
              <w:t>/a，</w:t>
            </w:r>
            <w:r>
              <w:rPr>
                <w:rFonts w:hint="eastAsia"/>
                <w:bCs/>
                <w:spacing w:val="-10"/>
                <w:sz w:val="24"/>
                <w:lang w:eastAsia="zh-CN"/>
              </w:rPr>
              <w:t>生活</w:t>
            </w:r>
            <w:r>
              <w:rPr>
                <w:rFonts w:hint="eastAsia"/>
                <w:bCs/>
                <w:spacing w:val="-10"/>
                <w:sz w:val="24"/>
              </w:rPr>
              <w:t>污水经隔油池、化粪池处理后用作农肥。生活污水中主要因子为COD、BOD</w:t>
            </w:r>
            <w:r>
              <w:rPr>
                <w:rFonts w:hint="eastAsia"/>
                <w:bCs/>
                <w:spacing w:val="-10"/>
                <w:sz w:val="24"/>
                <w:vertAlign w:val="subscript"/>
              </w:rPr>
              <w:t>5</w:t>
            </w:r>
            <w:r>
              <w:rPr>
                <w:rFonts w:hint="eastAsia"/>
                <w:bCs/>
                <w:spacing w:val="-10"/>
                <w:sz w:val="24"/>
              </w:rPr>
              <w:t>、氨氮、SS</w:t>
            </w:r>
            <w:r>
              <w:rPr>
                <w:rFonts w:hint="eastAsia"/>
                <w:bCs/>
                <w:spacing w:val="-10"/>
                <w:sz w:val="24"/>
                <w:lang w:val="en-US" w:eastAsia="zh-CN"/>
              </w:rPr>
              <w:t>和动植物油</w:t>
            </w:r>
            <w:r>
              <w:rPr>
                <w:rFonts w:hint="eastAsia"/>
                <w:bCs/>
                <w:spacing w:val="-10"/>
                <w:sz w:val="24"/>
              </w:rPr>
              <w:t>。</w:t>
            </w:r>
          </w:p>
          <w:p>
            <w:pPr>
              <w:adjustRightInd w:val="0"/>
              <w:snapToGrid w:val="0"/>
              <w:spacing w:line="360" w:lineRule="auto"/>
              <w:ind w:firstLine="440" w:firstLineChars="200"/>
              <w:rPr>
                <w:bCs/>
                <w:spacing w:val="-10"/>
                <w:sz w:val="24"/>
              </w:rPr>
            </w:pPr>
            <w:r>
              <w:rPr>
                <w:rFonts w:hint="eastAsia"/>
                <w:bCs/>
                <w:spacing w:val="-10"/>
                <w:sz w:val="24"/>
              </w:rPr>
              <w:t>生活污水经隔油池、化粪池处理</w:t>
            </w:r>
            <w:r>
              <w:rPr>
                <w:rFonts w:hint="eastAsia"/>
                <w:bCs/>
                <w:spacing w:val="-10"/>
                <w:sz w:val="24"/>
                <w:lang w:val="en-US" w:eastAsia="zh-CN"/>
              </w:rPr>
              <w:t>后用作农肥</w:t>
            </w:r>
            <w:r>
              <w:rPr>
                <w:rFonts w:hint="eastAsia"/>
                <w:bCs/>
                <w:spacing w:val="-10"/>
                <w:sz w:val="24"/>
              </w:rPr>
              <w:t>。</w:t>
            </w:r>
          </w:p>
          <w:p>
            <w:pPr>
              <w:adjustRightInd w:val="0"/>
              <w:snapToGrid w:val="0"/>
              <w:spacing w:line="360" w:lineRule="auto"/>
              <w:ind w:firstLine="440" w:firstLineChars="200"/>
              <w:rPr>
                <w:szCs w:val="21"/>
              </w:rPr>
            </w:pPr>
            <w:r>
              <w:rPr>
                <w:rFonts w:hint="eastAsia"/>
                <w:bCs/>
                <w:spacing w:val="-10"/>
                <w:sz w:val="24"/>
              </w:rPr>
              <w:t>项目废水产生及排放情况见下表。</w:t>
            </w:r>
          </w:p>
          <w:p>
            <w:pPr>
              <w:pStyle w:val="56"/>
              <w:adjustRightInd/>
              <w:snapToGrid/>
              <w:spacing w:line="240" w:lineRule="auto"/>
              <w:rPr>
                <w:sz w:val="21"/>
                <w:szCs w:val="21"/>
                <w:u w:val="none"/>
              </w:rPr>
            </w:pPr>
            <w:r>
              <w:rPr>
                <w:rFonts w:hint="eastAsia"/>
                <w:sz w:val="21"/>
                <w:szCs w:val="21"/>
                <w:u w:val="none"/>
              </w:rPr>
              <w:t>表4-5  废水污染物排放源汇总一览表（单位：量t/a、浓度mg/L）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25"/>
              <w:gridCol w:w="721"/>
              <w:gridCol w:w="872"/>
              <w:gridCol w:w="623"/>
              <w:gridCol w:w="777"/>
              <w:gridCol w:w="809"/>
              <w:gridCol w:w="737"/>
              <w:gridCol w:w="774"/>
              <w:gridCol w:w="842"/>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Merge w:val="restart"/>
                  <w:vAlign w:val="center"/>
                </w:tcPr>
                <w:p>
                  <w:pPr>
                    <w:adjustRightInd w:val="0"/>
                    <w:snapToGrid w:val="0"/>
                    <w:jc w:val="center"/>
                    <w:rPr>
                      <w:b/>
                      <w:spacing w:val="-10"/>
                      <w:szCs w:val="21"/>
                    </w:rPr>
                  </w:pPr>
                  <w:r>
                    <w:rPr>
                      <w:rFonts w:hint="eastAsia"/>
                      <w:b/>
                      <w:spacing w:val="-10"/>
                      <w:szCs w:val="21"/>
                    </w:rPr>
                    <w:t>产排污环节</w:t>
                  </w:r>
                </w:p>
              </w:tc>
              <w:tc>
                <w:tcPr>
                  <w:tcW w:w="825" w:type="dxa"/>
                  <w:vMerge w:val="restart"/>
                  <w:vAlign w:val="center"/>
                </w:tcPr>
                <w:p>
                  <w:pPr>
                    <w:adjustRightInd w:val="0"/>
                    <w:snapToGrid w:val="0"/>
                    <w:jc w:val="center"/>
                    <w:rPr>
                      <w:b/>
                      <w:spacing w:val="-10"/>
                      <w:szCs w:val="21"/>
                    </w:rPr>
                  </w:pPr>
                  <w:r>
                    <w:rPr>
                      <w:rFonts w:hint="eastAsia"/>
                      <w:b/>
                      <w:spacing w:val="-10"/>
                      <w:szCs w:val="21"/>
                    </w:rPr>
                    <w:t>污染物种类</w:t>
                  </w:r>
                </w:p>
              </w:tc>
              <w:tc>
                <w:tcPr>
                  <w:tcW w:w="1593" w:type="dxa"/>
                  <w:gridSpan w:val="2"/>
                  <w:vAlign w:val="center"/>
                </w:tcPr>
                <w:p>
                  <w:pPr>
                    <w:adjustRightInd w:val="0"/>
                    <w:snapToGrid w:val="0"/>
                    <w:jc w:val="center"/>
                    <w:rPr>
                      <w:b/>
                      <w:spacing w:val="-10"/>
                      <w:szCs w:val="21"/>
                    </w:rPr>
                  </w:pPr>
                  <w:r>
                    <w:rPr>
                      <w:rFonts w:hint="eastAsia"/>
                      <w:b/>
                      <w:spacing w:val="-10"/>
                      <w:szCs w:val="21"/>
                    </w:rPr>
                    <w:t>污染物产生情况</w:t>
                  </w:r>
                </w:p>
              </w:tc>
              <w:tc>
                <w:tcPr>
                  <w:tcW w:w="623" w:type="dxa"/>
                  <w:vMerge w:val="restart"/>
                  <w:vAlign w:val="center"/>
                </w:tcPr>
                <w:p>
                  <w:pPr>
                    <w:adjustRightInd w:val="0"/>
                    <w:snapToGrid w:val="0"/>
                    <w:jc w:val="center"/>
                    <w:rPr>
                      <w:b/>
                      <w:spacing w:val="-10"/>
                      <w:szCs w:val="21"/>
                    </w:rPr>
                  </w:pPr>
                  <w:r>
                    <w:rPr>
                      <w:rFonts w:hint="eastAsia"/>
                      <w:b/>
                      <w:spacing w:val="-10"/>
                      <w:szCs w:val="21"/>
                    </w:rPr>
                    <w:t>排放形式</w:t>
                  </w:r>
                </w:p>
              </w:tc>
              <w:tc>
                <w:tcPr>
                  <w:tcW w:w="3097" w:type="dxa"/>
                  <w:gridSpan w:val="4"/>
                  <w:vAlign w:val="center"/>
                </w:tcPr>
                <w:p>
                  <w:pPr>
                    <w:adjustRightInd w:val="0"/>
                    <w:snapToGrid w:val="0"/>
                    <w:jc w:val="center"/>
                    <w:rPr>
                      <w:b/>
                      <w:spacing w:val="-10"/>
                      <w:szCs w:val="21"/>
                    </w:rPr>
                  </w:pPr>
                  <w:r>
                    <w:rPr>
                      <w:rFonts w:hint="eastAsia"/>
                      <w:b/>
                      <w:spacing w:val="-10"/>
                      <w:szCs w:val="21"/>
                    </w:rPr>
                    <w:t>治理设施情况</w:t>
                  </w:r>
                </w:p>
              </w:tc>
              <w:tc>
                <w:tcPr>
                  <w:tcW w:w="1478" w:type="dxa"/>
                  <w:gridSpan w:val="2"/>
                  <w:vAlign w:val="center"/>
                </w:tcPr>
                <w:p>
                  <w:pPr>
                    <w:adjustRightInd w:val="0"/>
                    <w:snapToGrid w:val="0"/>
                    <w:jc w:val="center"/>
                    <w:rPr>
                      <w:b/>
                      <w:spacing w:val="-10"/>
                      <w:szCs w:val="21"/>
                    </w:rPr>
                  </w:pPr>
                  <w:r>
                    <w:rPr>
                      <w:rFonts w:hint="eastAsia"/>
                      <w:b/>
                      <w:spacing w:val="-10"/>
                      <w:szCs w:val="21"/>
                    </w:rPr>
                    <w:t>污染物排放情况（排入</w:t>
                  </w:r>
                  <w:r>
                    <w:rPr>
                      <w:rFonts w:hint="eastAsia"/>
                      <w:b/>
                      <w:spacing w:val="-10"/>
                      <w:szCs w:val="21"/>
                      <w:lang w:val="en-US" w:eastAsia="zh-CN"/>
                    </w:rPr>
                    <w:t>市政管网</w:t>
                  </w:r>
                  <w:r>
                    <w:rPr>
                      <w:rFonts w:hint="eastAsia"/>
                      <w:b/>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Merge w:val="continue"/>
                  <w:vAlign w:val="center"/>
                </w:tcPr>
                <w:p>
                  <w:pPr>
                    <w:adjustRightInd w:val="0"/>
                    <w:snapToGrid w:val="0"/>
                    <w:jc w:val="center"/>
                    <w:rPr>
                      <w:b/>
                      <w:spacing w:val="-10"/>
                      <w:szCs w:val="21"/>
                    </w:rPr>
                  </w:pPr>
                </w:p>
              </w:tc>
              <w:tc>
                <w:tcPr>
                  <w:tcW w:w="825" w:type="dxa"/>
                  <w:vMerge w:val="continue"/>
                  <w:vAlign w:val="center"/>
                </w:tcPr>
                <w:p>
                  <w:pPr>
                    <w:adjustRightInd w:val="0"/>
                    <w:snapToGrid w:val="0"/>
                    <w:jc w:val="center"/>
                    <w:rPr>
                      <w:b/>
                      <w:spacing w:val="-10"/>
                      <w:szCs w:val="21"/>
                    </w:rPr>
                  </w:pPr>
                </w:p>
              </w:tc>
              <w:tc>
                <w:tcPr>
                  <w:tcW w:w="721" w:type="dxa"/>
                  <w:vAlign w:val="center"/>
                </w:tcPr>
                <w:p>
                  <w:pPr>
                    <w:adjustRightInd w:val="0"/>
                    <w:snapToGrid w:val="0"/>
                    <w:jc w:val="center"/>
                    <w:rPr>
                      <w:b/>
                      <w:spacing w:val="-10"/>
                      <w:szCs w:val="21"/>
                    </w:rPr>
                  </w:pPr>
                  <w:r>
                    <w:rPr>
                      <w:rFonts w:hint="eastAsia"/>
                      <w:b/>
                      <w:spacing w:val="-10"/>
                      <w:szCs w:val="21"/>
                    </w:rPr>
                    <w:t>产生量</w:t>
                  </w:r>
                </w:p>
              </w:tc>
              <w:tc>
                <w:tcPr>
                  <w:tcW w:w="872" w:type="dxa"/>
                  <w:vAlign w:val="center"/>
                </w:tcPr>
                <w:p>
                  <w:pPr>
                    <w:adjustRightInd w:val="0"/>
                    <w:snapToGrid w:val="0"/>
                    <w:jc w:val="center"/>
                    <w:rPr>
                      <w:szCs w:val="21"/>
                    </w:rPr>
                  </w:pPr>
                  <w:r>
                    <w:rPr>
                      <w:rFonts w:hint="eastAsia"/>
                      <w:b/>
                      <w:spacing w:val="-10"/>
                      <w:szCs w:val="21"/>
                    </w:rPr>
                    <w:t>产生浓度</w:t>
                  </w:r>
                </w:p>
              </w:tc>
              <w:tc>
                <w:tcPr>
                  <w:tcW w:w="623" w:type="dxa"/>
                  <w:vMerge w:val="continue"/>
                  <w:vAlign w:val="center"/>
                </w:tcPr>
                <w:p>
                  <w:pPr>
                    <w:adjustRightInd w:val="0"/>
                    <w:snapToGrid w:val="0"/>
                    <w:jc w:val="center"/>
                    <w:rPr>
                      <w:b/>
                      <w:spacing w:val="-10"/>
                      <w:szCs w:val="21"/>
                    </w:rPr>
                  </w:pPr>
                </w:p>
              </w:tc>
              <w:tc>
                <w:tcPr>
                  <w:tcW w:w="777" w:type="dxa"/>
                  <w:vAlign w:val="center"/>
                </w:tcPr>
                <w:p>
                  <w:pPr>
                    <w:adjustRightInd w:val="0"/>
                    <w:snapToGrid w:val="0"/>
                    <w:jc w:val="center"/>
                    <w:rPr>
                      <w:b/>
                      <w:spacing w:val="-10"/>
                      <w:szCs w:val="21"/>
                    </w:rPr>
                  </w:pPr>
                  <w:r>
                    <w:rPr>
                      <w:rFonts w:hint="eastAsia"/>
                      <w:b/>
                      <w:spacing w:val="-10"/>
                      <w:szCs w:val="21"/>
                    </w:rPr>
                    <w:t>治理措施</w:t>
                  </w:r>
                </w:p>
              </w:tc>
              <w:tc>
                <w:tcPr>
                  <w:tcW w:w="809" w:type="dxa"/>
                  <w:vAlign w:val="center"/>
                </w:tcPr>
                <w:p>
                  <w:pPr>
                    <w:adjustRightInd w:val="0"/>
                    <w:snapToGrid w:val="0"/>
                    <w:jc w:val="center"/>
                    <w:rPr>
                      <w:szCs w:val="21"/>
                    </w:rPr>
                  </w:pPr>
                  <w:r>
                    <w:rPr>
                      <w:rFonts w:hint="eastAsia"/>
                      <w:b/>
                      <w:spacing w:val="-10"/>
                      <w:szCs w:val="21"/>
                    </w:rPr>
                    <w:t>收集效率</w:t>
                  </w:r>
                </w:p>
              </w:tc>
              <w:tc>
                <w:tcPr>
                  <w:tcW w:w="737" w:type="dxa"/>
                  <w:vAlign w:val="center"/>
                </w:tcPr>
                <w:p>
                  <w:pPr>
                    <w:adjustRightInd w:val="0"/>
                    <w:snapToGrid w:val="0"/>
                    <w:jc w:val="center"/>
                    <w:rPr>
                      <w:szCs w:val="21"/>
                    </w:rPr>
                  </w:pPr>
                  <w:r>
                    <w:rPr>
                      <w:rFonts w:hint="eastAsia"/>
                      <w:b/>
                      <w:spacing w:val="-10"/>
                      <w:szCs w:val="21"/>
                    </w:rPr>
                    <w:t>去除效率</w:t>
                  </w:r>
                </w:p>
              </w:tc>
              <w:tc>
                <w:tcPr>
                  <w:tcW w:w="774" w:type="dxa"/>
                  <w:vAlign w:val="center"/>
                </w:tcPr>
                <w:p>
                  <w:pPr>
                    <w:adjustRightInd w:val="0"/>
                    <w:snapToGrid w:val="0"/>
                    <w:jc w:val="center"/>
                    <w:rPr>
                      <w:szCs w:val="21"/>
                    </w:rPr>
                  </w:pPr>
                  <w:r>
                    <w:rPr>
                      <w:rFonts w:hint="eastAsia"/>
                      <w:b/>
                      <w:spacing w:val="-10"/>
                      <w:szCs w:val="21"/>
                    </w:rPr>
                    <w:t>技术可行</w:t>
                  </w:r>
                </w:p>
              </w:tc>
              <w:tc>
                <w:tcPr>
                  <w:tcW w:w="842" w:type="dxa"/>
                  <w:vAlign w:val="center"/>
                </w:tcPr>
                <w:p>
                  <w:pPr>
                    <w:adjustRightInd w:val="0"/>
                    <w:snapToGrid w:val="0"/>
                    <w:jc w:val="center"/>
                    <w:rPr>
                      <w:b/>
                      <w:spacing w:val="-10"/>
                      <w:szCs w:val="21"/>
                    </w:rPr>
                  </w:pPr>
                  <w:r>
                    <w:rPr>
                      <w:rFonts w:hint="eastAsia"/>
                      <w:b/>
                      <w:spacing w:val="-10"/>
                      <w:szCs w:val="21"/>
                    </w:rPr>
                    <w:t>排放量</w:t>
                  </w:r>
                </w:p>
              </w:tc>
              <w:tc>
                <w:tcPr>
                  <w:tcW w:w="636" w:type="dxa"/>
                  <w:vAlign w:val="center"/>
                </w:tcPr>
                <w:p>
                  <w:pPr>
                    <w:adjustRightInd w:val="0"/>
                    <w:snapToGrid w:val="0"/>
                    <w:jc w:val="center"/>
                    <w:rPr>
                      <w:szCs w:val="21"/>
                    </w:rPr>
                  </w:pPr>
                  <w:r>
                    <w:rPr>
                      <w:rFonts w:hint="eastAsia"/>
                      <w:b/>
                      <w:spacing w:val="-10"/>
                      <w:szCs w:val="21"/>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Merge w:val="restart"/>
                  <w:vAlign w:val="center"/>
                </w:tcPr>
                <w:p>
                  <w:pPr>
                    <w:adjustRightInd w:val="0"/>
                    <w:snapToGrid w:val="0"/>
                    <w:jc w:val="center"/>
                    <w:rPr>
                      <w:bCs/>
                      <w:spacing w:val="-10"/>
                      <w:szCs w:val="21"/>
                    </w:rPr>
                  </w:pPr>
                  <w:r>
                    <w:rPr>
                      <w:rFonts w:hint="eastAsia"/>
                      <w:bCs/>
                      <w:spacing w:val="-10"/>
                      <w:szCs w:val="21"/>
                    </w:rPr>
                    <w:t>生活</w:t>
                  </w:r>
                </w:p>
                <w:p>
                  <w:pPr>
                    <w:adjustRightInd w:val="0"/>
                    <w:snapToGrid w:val="0"/>
                    <w:jc w:val="center"/>
                    <w:rPr>
                      <w:b/>
                      <w:spacing w:val="-10"/>
                      <w:szCs w:val="21"/>
                    </w:rPr>
                  </w:pPr>
                  <w:r>
                    <w:rPr>
                      <w:rFonts w:hint="eastAsia"/>
                      <w:bCs/>
                      <w:spacing w:val="-10"/>
                      <w:szCs w:val="21"/>
                    </w:rPr>
                    <w:t>污水</w:t>
                  </w:r>
                  <w:r>
                    <w:rPr>
                      <w:rFonts w:hint="eastAsia"/>
                      <w:bCs/>
                      <w:spacing w:val="-10"/>
                      <w:szCs w:val="21"/>
                      <w:lang w:val="en-US" w:eastAsia="zh-CN"/>
                    </w:rPr>
                    <w:t>259.2</w:t>
                  </w:r>
                  <w:r>
                    <w:rPr>
                      <w:rFonts w:hint="eastAsia"/>
                      <w:bCs/>
                      <w:spacing w:val="-10"/>
                      <w:szCs w:val="21"/>
                    </w:rPr>
                    <w:t>t/a</w:t>
                  </w:r>
                </w:p>
              </w:tc>
              <w:tc>
                <w:tcPr>
                  <w:tcW w:w="825" w:type="dxa"/>
                  <w:vAlign w:val="center"/>
                </w:tcPr>
                <w:p>
                  <w:pPr>
                    <w:adjustRightInd w:val="0"/>
                    <w:snapToGrid w:val="0"/>
                    <w:jc w:val="center"/>
                    <w:rPr>
                      <w:b/>
                      <w:spacing w:val="-10"/>
                      <w:szCs w:val="21"/>
                    </w:rPr>
                  </w:pPr>
                  <w:r>
                    <w:rPr>
                      <w:rFonts w:hint="eastAsia"/>
                      <w:bCs/>
                      <w:spacing w:val="-10"/>
                      <w:szCs w:val="21"/>
                    </w:rPr>
                    <w:t>COD</w:t>
                  </w:r>
                </w:p>
              </w:tc>
              <w:tc>
                <w:tcPr>
                  <w:tcW w:w="721" w:type="dxa"/>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0.078</w:t>
                  </w:r>
                </w:p>
              </w:tc>
              <w:tc>
                <w:tcPr>
                  <w:tcW w:w="872" w:type="dxa"/>
                  <w:vAlign w:val="center"/>
                </w:tcPr>
                <w:p>
                  <w:pPr>
                    <w:adjustRightInd w:val="0"/>
                    <w:snapToGrid w:val="0"/>
                    <w:jc w:val="center"/>
                    <w:rPr>
                      <w:szCs w:val="21"/>
                    </w:rPr>
                  </w:pPr>
                  <w:r>
                    <w:rPr>
                      <w:rFonts w:hint="eastAsia"/>
                      <w:bCs/>
                      <w:spacing w:val="-10"/>
                      <w:szCs w:val="21"/>
                    </w:rPr>
                    <w:t>300</w:t>
                  </w:r>
                </w:p>
              </w:tc>
              <w:tc>
                <w:tcPr>
                  <w:tcW w:w="623" w:type="dxa"/>
                  <w:vMerge w:val="restart"/>
                  <w:vAlign w:val="center"/>
                </w:tcPr>
                <w:p>
                  <w:pPr>
                    <w:adjustRightInd w:val="0"/>
                    <w:snapToGrid w:val="0"/>
                    <w:jc w:val="center"/>
                    <w:rPr>
                      <w:rFonts w:hint="default" w:eastAsia="宋体"/>
                      <w:b/>
                      <w:spacing w:val="-10"/>
                      <w:szCs w:val="21"/>
                      <w:lang w:val="en-US" w:eastAsia="zh-CN"/>
                    </w:rPr>
                  </w:pPr>
                  <w:r>
                    <w:rPr>
                      <w:rFonts w:hint="eastAsia"/>
                      <w:bCs/>
                      <w:spacing w:val="-10"/>
                      <w:szCs w:val="21"/>
                      <w:lang w:val="en-US" w:eastAsia="zh-CN"/>
                    </w:rPr>
                    <w:t>用作农肥不外排</w:t>
                  </w:r>
                </w:p>
              </w:tc>
              <w:tc>
                <w:tcPr>
                  <w:tcW w:w="777" w:type="dxa"/>
                  <w:vMerge w:val="restart"/>
                  <w:vAlign w:val="center"/>
                </w:tcPr>
                <w:p>
                  <w:pPr>
                    <w:adjustRightInd w:val="0"/>
                    <w:snapToGrid w:val="0"/>
                    <w:jc w:val="center"/>
                    <w:rPr>
                      <w:rFonts w:hint="default" w:eastAsia="宋体"/>
                      <w:b/>
                      <w:spacing w:val="-10"/>
                      <w:szCs w:val="21"/>
                      <w:lang w:val="en-US" w:eastAsia="zh-CN"/>
                    </w:rPr>
                  </w:pPr>
                  <w:r>
                    <w:rPr>
                      <w:rFonts w:hint="eastAsia"/>
                      <w:bCs/>
                      <w:spacing w:val="-10"/>
                      <w:szCs w:val="21"/>
                    </w:rPr>
                    <w:t>隔油池、化粪池</w:t>
                  </w:r>
                </w:p>
              </w:tc>
              <w:tc>
                <w:tcPr>
                  <w:tcW w:w="809" w:type="dxa"/>
                  <w:vMerge w:val="restart"/>
                  <w:vAlign w:val="center"/>
                </w:tcPr>
                <w:p>
                  <w:pPr>
                    <w:adjustRightInd w:val="0"/>
                    <w:snapToGrid w:val="0"/>
                    <w:jc w:val="center"/>
                    <w:rPr>
                      <w:szCs w:val="21"/>
                    </w:rPr>
                  </w:pPr>
                  <w:r>
                    <w:rPr>
                      <w:rFonts w:hint="eastAsia"/>
                      <w:szCs w:val="21"/>
                    </w:rPr>
                    <w:t>100%</w:t>
                  </w:r>
                </w:p>
              </w:tc>
              <w:tc>
                <w:tcPr>
                  <w:tcW w:w="737" w:type="dxa"/>
                  <w:vAlign w:val="center"/>
                </w:tcPr>
                <w:p>
                  <w:pPr>
                    <w:adjustRightInd w:val="0"/>
                    <w:snapToGrid w:val="0"/>
                    <w:jc w:val="center"/>
                    <w:rPr>
                      <w:szCs w:val="21"/>
                    </w:rPr>
                  </w:pPr>
                  <w:r>
                    <w:rPr>
                      <w:rFonts w:hint="eastAsia"/>
                      <w:szCs w:val="21"/>
                    </w:rPr>
                    <w:t>50%</w:t>
                  </w:r>
                </w:p>
              </w:tc>
              <w:tc>
                <w:tcPr>
                  <w:tcW w:w="774" w:type="dxa"/>
                  <w:vMerge w:val="restart"/>
                  <w:vAlign w:val="center"/>
                </w:tcPr>
                <w:p>
                  <w:pPr>
                    <w:adjustRightInd w:val="0"/>
                    <w:snapToGrid w:val="0"/>
                    <w:jc w:val="center"/>
                    <w:rPr>
                      <w:szCs w:val="21"/>
                    </w:rPr>
                  </w:pPr>
                  <w:r>
                    <w:rPr>
                      <w:rFonts w:hint="eastAsia"/>
                      <w:bCs/>
                      <w:spacing w:val="-10"/>
                      <w:szCs w:val="21"/>
                    </w:rPr>
                    <w:t>是</w:t>
                  </w:r>
                </w:p>
              </w:tc>
              <w:tc>
                <w:tcPr>
                  <w:tcW w:w="842" w:type="dxa"/>
                  <w:vAlign w:val="center"/>
                </w:tcPr>
                <w:p>
                  <w:pPr>
                    <w:adjustRightInd w:val="0"/>
                    <w:snapToGrid w:val="0"/>
                    <w:jc w:val="center"/>
                    <w:rPr>
                      <w:rFonts w:hint="default" w:eastAsia="宋体"/>
                      <w:bCs/>
                      <w:spacing w:val="-10"/>
                      <w:szCs w:val="21"/>
                      <w:lang w:val="en-US" w:eastAsia="zh-CN"/>
                    </w:rPr>
                  </w:pPr>
                  <w:r>
                    <w:rPr>
                      <w:rFonts w:hint="eastAsia"/>
                      <w:bCs/>
                      <w:spacing w:val="-10"/>
                      <w:szCs w:val="21"/>
                    </w:rPr>
                    <w:t>0.0</w:t>
                  </w:r>
                  <w:r>
                    <w:rPr>
                      <w:rFonts w:hint="eastAsia"/>
                      <w:bCs/>
                      <w:spacing w:val="-10"/>
                      <w:szCs w:val="21"/>
                      <w:lang w:val="en-US" w:eastAsia="zh-CN"/>
                    </w:rPr>
                    <w:t>39</w:t>
                  </w:r>
                </w:p>
              </w:tc>
              <w:tc>
                <w:tcPr>
                  <w:tcW w:w="636" w:type="dxa"/>
                  <w:vAlign w:val="center"/>
                </w:tcPr>
                <w:p>
                  <w:pPr>
                    <w:adjustRightInd w:val="0"/>
                    <w:snapToGrid w:val="0"/>
                    <w:jc w:val="center"/>
                    <w:rPr>
                      <w:rFonts w:hint="default" w:eastAsia="宋体"/>
                      <w:szCs w:val="21"/>
                      <w:lang w:val="en-US" w:eastAsia="zh-CN"/>
                    </w:rPr>
                  </w:pPr>
                  <w:r>
                    <w:rPr>
                      <w:rFonts w:hint="eastAsia"/>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Merge w:val="continue"/>
                  <w:vAlign w:val="center"/>
                </w:tcPr>
                <w:p>
                  <w:pPr>
                    <w:adjustRightInd w:val="0"/>
                    <w:snapToGrid w:val="0"/>
                    <w:jc w:val="center"/>
                    <w:rPr>
                      <w:b/>
                      <w:spacing w:val="-10"/>
                      <w:szCs w:val="21"/>
                    </w:rPr>
                  </w:pPr>
                </w:p>
              </w:tc>
              <w:tc>
                <w:tcPr>
                  <w:tcW w:w="825" w:type="dxa"/>
                  <w:vAlign w:val="center"/>
                </w:tcPr>
                <w:p>
                  <w:pPr>
                    <w:adjustRightInd w:val="0"/>
                    <w:snapToGrid w:val="0"/>
                    <w:jc w:val="center"/>
                    <w:rPr>
                      <w:b/>
                      <w:spacing w:val="-10"/>
                      <w:szCs w:val="21"/>
                    </w:rPr>
                  </w:pPr>
                  <w:r>
                    <w:rPr>
                      <w:rFonts w:hint="eastAsia"/>
                      <w:bCs/>
                      <w:spacing w:val="-10"/>
                      <w:szCs w:val="21"/>
                    </w:rPr>
                    <w:t>BOD</w:t>
                  </w:r>
                  <w:r>
                    <w:rPr>
                      <w:rFonts w:hint="eastAsia"/>
                      <w:bCs/>
                      <w:spacing w:val="-10"/>
                      <w:szCs w:val="21"/>
                      <w:vertAlign w:val="subscript"/>
                    </w:rPr>
                    <w:t>5</w:t>
                  </w:r>
                </w:p>
              </w:tc>
              <w:tc>
                <w:tcPr>
                  <w:tcW w:w="721" w:type="dxa"/>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0.039</w:t>
                  </w:r>
                </w:p>
              </w:tc>
              <w:tc>
                <w:tcPr>
                  <w:tcW w:w="872" w:type="dxa"/>
                  <w:vAlign w:val="center"/>
                </w:tcPr>
                <w:p>
                  <w:pPr>
                    <w:adjustRightInd w:val="0"/>
                    <w:snapToGrid w:val="0"/>
                    <w:jc w:val="center"/>
                    <w:rPr>
                      <w:szCs w:val="21"/>
                    </w:rPr>
                  </w:pPr>
                  <w:r>
                    <w:rPr>
                      <w:rFonts w:hint="eastAsia"/>
                      <w:szCs w:val="21"/>
                    </w:rPr>
                    <w:t>150</w:t>
                  </w:r>
                </w:p>
              </w:tc>
              <w:tc>
                <w:tcPr>
                  <w:tcW w:w="623" w:type="dxa"/>
                  <w:vMerge w:val="continue"/>
                  <w:vAlign w:val="center"/>
                </w:tcPr>
                <w:p>
                  <w:pPr>
                    <w:adjustRightInd w:val="0"/>
                    <w:snapToGrid w:val="0"/>
                    <w:jc w:val="center"/>
                    <w:rPr>
                      <w:b/>
                      <w:spacing w:val="-10"/>
                      <w:szCs w:val="21"/>
                    </w:rPr>
                  </w:pPr>
                </w:p>
              </w:tc>
              <w:tc>
                <w:tcPr>
                  <w:tcW w:w="777" w:type="dxa"/>
                  <w:vMerge w:val="continue"/>
                  <w:vAlign w:val="center"/>
                </w:tcPr>
                <w:p>
                  <w:pPr>
                    <w:adjustRightInd w:val="0"/>
                    <w:snapToGrid w:val="0"/>
                    <w:jc w:val="center"/>
                    <w:rPr>
                      <w:b/>
                      <w:spacing w:val="-10"/>
                      <w:szCs w:val="21"/>
                    </w:rPr>
                  </w:pPr>
                </w:p>
              </w:tc>
              <w:tc>
                <w:tcPr>
                  <w:tcW w:w="809" w:type="dxa"/>
                  <w:vMerge w:val="continue"/>
                  <w:vAlign w:val="center"/>
                </w:tcPr>
                <w:p>
                  <w:pPr>
                    <w:adjustRightInd w:val="0"/>
                    <w:snapToGrid w:val="0"/>
                    <w:jc w:val="center"/>
                    <w:rPr>
                      <w:szCs w:val="21"/>
                    </w:rPr>
                  </w:pPr>
                </w:p>
              </w:tc>
              <w:tc>
                <w:tcPr>
                  <w:tcW w:w="737" w:type="dxa"/>
                  <w:vAlign w:val="center"/>
                </w:tcPr>
                <w:p>
                  <w:pPr>
                    <w:adjustRightInd w:val="0"/>
                    <w:snapToGrid w:val="0"/>
                    <w:jc w:val="center"/>
                    <w:rPr>
                      <w:szCs w:val="21"/>
                    </w:rPr>
                  </w:pPr>
                  <w:r>
                    <w:rPr>
                      <w:rFonts w:hint="eastAsia"/>
                      <w:szCs w:val="21"/>
                    </w:rPr>
                    <w:t>30%</w:t>
                  </w:r>
                </w:p>
              </w:tc>
              <w:tc>
                <w:tcPr>
                  <w:tcW w:w="774" w:type="dxa"/>
                  <w:vMerge w:val="continue"/>
                  <w:vAlign w:val="center"/>
                </w:tcPr>
                <w:p>
                  <w:pPr>
                    <w:adjustRightInd w:val="0"/>
                    <w:snapToGrid w:val="0"/>
                    <w:jc w:val="center"/>
                    <w:rPr>
                      <w:szCs w:val="21"/>
                    </w:rPr>
                  </w:pPr>
                </w:p>
              </w:tc>
              <w:tc>
                <w:tcPr>
                  <w:tcW w:w="842" w:type="dxa"/>
                  <w:vAlign w:val="center"/>
                </w:tcPr>
                <w:p>
                  <w:pPr>
                    <w:adjustRightInd w:val="0"/>
                    <w:snapToGrid w:val="0"/>
                    <w:jc w:val="center"/>
                    <w:rPr>
                      <w:rFonts w:hint="default" w:eastAsia="宋体"/>
                      <w:bCs/>
                      <w:spacing w:val="-10"/>
                      <w:szCs w:val="21"/>
                      <w:lang w:val="en-US" w:eastAsia="zh-CN"/>
                    </w:rPr>
                  </w:pPr>
                  <w:r>
                    <w:rPr>
                      <w:rFonts w:hint="eastAsia"/>
                      <w:bCs/>
                      <w:spacing w:val="-10"/>
                      <w:szCs w:val="21"/>
                    </w:rPr>
                    <w:t>0.0</w:t>
                  </w:r>
                  <w:r>
                    <w:rPr>
                      <w:rFonts w:hint="eastAsia"/>
                      <w:bCs/>
                      <w:spacing w:val="-10"/>
                      <w:szCs w:val="21"/>
                      <w:lang w:val="en-US" w:eastAsia="zh-CN"/>
                    </w:rPr>
                    <w:t>27</w:t>
                  </w:r>
                </w:p>
              </w:tc>
              <w:tc>
                <w:tcPr>
                  <w:tcW w:w="636" w:type="dxa"/>
                  <w:vAlign w:val="center"/>
                </w:tcPr>
                <w:p>
                  <w:pPr>
                    <w:adjustRightInd w:val="0"/>
                    <w:snapToGrid w:val="0"/>
                    <w:jc w:val="center"/>
                    <w:rPr>
                      <w:rFonts w:hint="default" w:eastAsia="宋体"/>
                      <w:szCs w:val="21"/>
                      <w:lang w:val="en-US" w:eastAsia="zh-CN"/>
                    </w:rPr>
                  </w:pPr>
                  <w:r>
                    <w:rPr>
                      <w:rFonts w:hint="eastAsia"/>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Merge w:val="continue"/>
                  <w:vAlign w:val="center"/>
                </w:tcPr>
                <w:p>
                  <w:pPr>
                    <w:adjustRightInd w:val="0"/>
                    <w:snapToGrid w:val="0"/>
                    <w:jc w:val="center"/>
                    <w:rPr>
                      <w:b/>
                      <w:spacing w:val="-10"/>
                      <w:szCs w:val="21"/>
                    </w:rPr>
                  </w:pPr>
                </w:p>
              </w:tc>
              <w:tc>
                <w:tcPr>
                  <w:tcW w:w="825" w:type="dxa"/>
                  <w:vAlign w:val="center"/>
                </w:tcPr>
                <w:p>
                  <w:pPr>
                    <w:adjustRightInd w:val="0"/>
                    <w:snapToGrid w:val="0"/>
                    <w:jc w:val="center"/>
                    <w:rPr>
                      <w:b/>
                      <w:spacing w:val="-10"/>
                      <w:szCs w:val="21"/>
                    </w:rPr>
                  </w:pPr>
                  <w:r>
                    <w:rPr>
                      <w:rFonts w:hint="eastAsia"/>
                      <w:bCs/>
                      <w:spacing w:val="-10"/>
                      <w:szCs w:val="21"/>
                    </w:rPr>
                    <w:t>NH</w:t>
                  </w:r>
                  <w:r>
                    <w:rPr>
                      <w:rFonts w:hint="eastAsia"/>
                      <w:bCs/>
                      <w:spacing w:val="-10"/>
                      <w:szCs w:val="21"/>
                      <w:vertAlign w:val="subscript"/>
                    </w:rPr>
                    <w:t>3</w:t>
                  </w:r>
                  <w:r>
                    <w:rPr>
                      <w:rFonts w:hint="eastAsia"/>
                      <w:bCs/>
                      <w:spacing w:val="-10"/>
                      <w:szCs w:val="21"/>
                    </w:rPr>
                    <w:t>-N</w:t>
                  </w:r>
                </w:p>
              </w:tc>
              <w:tc>
                <w:tcPr>
                  <w:tcW w:w="721" w:type="dxa"/>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0.005</w:t>
                  </w:r>
                </w:p>
              </w:tc>
              <w:tc>
                <w:tcPr>
                  <w:tcW w:w="872" w:type="dxa"/>
                  <w:vAlign w:val="center"/>
                </w:tcPr>
                <w:p>
                  <w:pPr>
                    <w:adjustRightInd w:val="0"/>
                    <w:snapToGrid w:val="0"/>
                    <w:jc w:val="center"/>
                    <w:rPr>
                      <w:szCs w:val="21"/>
                    </w:rPr>
                  </w:pPr>
                  <w:r>
                    <w:rPr>
                      <w:rFonts w:hint="eastAsia"/>
                      <w:szCs w:val="21"/>
                    </w:rPr>
                    <w:t>20</w:t>
                  </w:r>
                </w:p>
              </w:tc>
              <w:tc>
                <w:tcPr>
                  <w:tcW w:w="623" w:type="dxa"/>
                  <w:vMerge w:val="continue"/>
                  <w:vAlign w:val="center"/>
                </w:tcPr>
                <w:p>
                  <w:pPr>
                    <w:adjustRightInd w:val="0"/>
                    <w:snapToGrid w:val="0"/>
                    <w:jc w:val="center"/>
                    <w:rPr>
                      <w:b/>
                      <w:spacing w:val="-10"/>
                      <w:szCs w:val="21"/>
                    </w:rPr>
                  </w:pPr>
                </w:p>
              </w:tc>
              <w:tc>
                <w:tcPr>
                  <w:tcW w:w="777" w:type="dxa"/>
                  <w:vMerge w:val="continue"/>
                  <w:vAlign w:val="center"/>
                </w:tcPr>
                <w:p>
                  <w:pPr>
                    <w:adjustRightInd w:val="0"/>
                    <w:snapToGrid w:val="0"/>
                    <w:jc w:val="center"/>
                    <w:rPr>
                      <w:b/>
                      <w:spacing w:val="-10"/>
                      <w:szCs w:val="21"/>
                    </w:rPr>
                  </w:pPr>
                </w:p>
              </w:tc>
              <w:tc>
                <w:tcPr>
                  <w:tcW w:w="809" w:type="dxa"/>
                  <w:vMerge w:val="continue"/>
                  <w:vAlign w:val="center"/>
                </w:tcPr>
                <w:p>
                  <w:pPr>
                    <w:adjustRightInd w:val="0"/>
                    <w:snapToGrid w:val="0"/>
                    <w:jc w:val="center"/>
                    <w:rPr>
                      <w:szCs w:val="21"/>
                    </w:rPr>
                  </w:pPr>
                </w:p>
              </w:tc>
              <w:tc>
                <w:tcPr>
                  <w:tcW w:w="737" w:type="dxa"/>
                  <w:vAlign w:val="center"/>
                </w:tcPr>
                <w:p>
                  <w:pPr>
                    <w:adjustRightInd w:val="0"/>
                    <w:snapToGrid w:val="0"/>
                    <w:jc w:val="center"/>
                    <w:rPr>
                      <w:szCs w:val="21"/>
                    </w:rPr>
                  </w:pPr>
                  <w:r>
                    <w:rPr>
                      <w:rFonts w:hint="eastAsia"/>
                      <w:szCs w:val="21"/>
                    </w:rPr>
                    <w:t>10%</w:t>
                  </w:r>
                </w:p>
              </w:tc>
              <w:tc>
                <w:tcPr>
                  <w:tcW w:w="774" w:type="dxa"/>
                  <w:vMerge w:val="continue"/>
                  <w:vAlign w:val="center"/>
                </w:tcPr>
                <w:p>
                  <w:pPr>
                    <w:adjustRightInd w:val="0"/>
                    <w:snapToGrid w:val="0"/>
                    <w:jc w:val="center"/>
                    <w:rPr>
                      <w:szCs w:val="21"/>
                    </w:rPr>
                  </w:pPr>
                </w:p>
              </w:tc>
              <w:tc>
                <w:tcPr>
                  <w:tcW w:w="842" w:type="dxa"/>
                  <w:vAlign w:val="center"/>
                </w:tcPr>
                <w:p>
                  <w:pPr>
                    <w:adjustRightInd w:val="0"/>
                    <w:snapToGrid w:val="0"/>
                    <w:jc w:val="center"/>
                    <w:rPr>
                      <w:rFonts w:hint="eastAsia" w:eastAsia="宋体"/>
                      <w:bCs/>
                      <w:spacing w:val="-10"/>
                      <w:szCs w:val="21"/>
                      <w:lang w:val="en-US" w:eastAsia="zh-CN"/>
                    </w:rPr>
                  </w:pPr>
                  <w:r>
                    <w:rPr>
                      <w:rFonts w:hint="eastAsia"/>
                      <w:bCs/>
                      <w:spacing w:val="-10"/>
                      <w:szCs w:val="21"/>
                    </w:rPr>
                    <w:t>0.00</w:t>
                  </w:r>
                  <w:r>
                    <w:rPr>
                      <w:rFonts w:hint="eastAsia"/>
                      <w:bCs/>
                      <w:spacing w:val="-10"/>
                      <w:szCs w:val="21"/>
                      <w:lang w:val="en-US" w:eastAsia="zh-CN"/>
                    </w:rPr>
                    <w:t>5</w:t>
                  </w:r>
                </w:p>
              </w:tc>
              <w:tc>
                <w:tcPr>
                  <w:tcW w:w="636" w:type="dxa"/>
                  <w:vAlign w:val="center"/>
                </w:tcPr>
                <w:p>
                  <w:pPr>
                    <w:adjustRightInd w:val="0"/>
                    <w:snapToGrid w:val="0"/>
                    <w:jc w:val="center"/>
                    <w:rPr>
                      <w:rFonts w:hint="eastAsia" w:eastAsia="宋体"/>
                      <w:szCs w:val="21"/>
                      <w:lang w:eastAsia="zh-CN"/>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Merge w:val="continue"/>
                  <w:vAlign w:val="center"/>
                </w:tcPr>
                <w:p>
                  <w:pPr>
                    <w:adjustRightInd w:val="0"/>
                    <w:snapToGrid w:val="0"/>
                    <w:jc w:val="center"/>
                    <w:rPr>
                      <w:b/>
                      <w:spacing w:val="-10"/>
                      <w:szCs w:val="21"/>
                    </w:rPr>
                  </w:pPr>
                </w:p>
              </w:tc>
              <w:tc>
                <w:tcPr>
                  <w:tcW w:w="825" w:type="dxa"/>
                  <w:vAlign w:val="center"/>
                </w:tcPr>
                <w:p>
                  <w:pPr>
                    <w:adjustRightInd w:val="0"/>
                    <w:snapToGrid w:val="0"/>
                    <w:jc w:val="center"/>
                    <w:rPr>
                      <w:b/>
                      <w:spacing w:val="-10"/>
                      <w:szCs w:val="21"/>
                    </w:rPr>
                  </w:pPr>
                  <w:r>
                    <w:rPr>
                      <w:rFonts w:hint="eastAsia"/>
                      <w:bCs/>
                      <w:spacing w:val="-10"/>
                      <w:szCs w:val="21"/>
                    </w:rPr>
                    <w:t>SS</w:t>
                  </w:r>
                </w:p>
              </w:tc>
              <w:tc>
                <w:tcPr>
                  <w:tcW w:w="721" w:type="dxa"/>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0.008</w:t>
                  </w:r>
                </w:p>
              </w:tc>
              <w:tc>
                <w:tcPr>
                  <w:tcW w:w="872" w:type="dxa"/>
                  <w:vAlign w:val="center"/>
                </w:tcPr>
                <w:p>
                  <w:pPr>
                    <w:adjustRightInd w:val="0"/>
                    <w:snapToGrid w:val="0"/>
                    <w:jc w:val="center"/>
                    <w:rPr>
                      <w:szCs w:val="21"/>
                    </w:rPr>
                  </w:pPr>
                  <w:r>
                    <w:rPr>
                      <w:rFonts w:hint="eastAsia"/>
                      <w:szCs w:val="21"/>
                    </w:rPr>
                    <w:t>30</w:t>
                  </w:r>
                </w:p>
              </w:tc>
              <w:tc>
                <w:tcPr>
                  <w:tcW w:w="623" w:type="dxa"/>
                  <w:vMerge w:val="continue"/>
                  <w:vAlign w:val="center"/>
                </w:tcPr>
                <w:p>
                  <w:pPr>
                    <w:adjustRightInd w:val="0"/>
                    <w:snapToGrid w:val="0"/>
                    <w:jc w:val="center"/>
                    <w:rPr>
                      <w:b/>
                      <w:spacing w:val="-10"/>
                      <w:szCs w:val="21"/>
                    </w:rPr>
                  </w:pPr>
                </w:p>
              </w:tc>
              <w:tc>
                <w:tcPr>
                  <w:tcW w:w="777" w:type="dxa"/>
                  <w:vMerge w:val="continue"/>
                  <w:vAlign w:val="center"/>
                </w:tcPr>
                <w:p>
                  <w:pPr>
                    <w:adjustRightInd w:val="0"/>
                    <w:snapToGrid w:val="0"/>
                    <w:jc w:val="center"/>
                    <w:rPr>
                      <w:b/>
                      <w:spacing w:val="-10"/>
                      <w:szCs w:val="21"/>
                    </w:rPr>
                  </w:pPr>
                </w:p>
              </w:tc>
              <w:tc>
                <w:tcPr>
                  <w:tcW w:w="809" w:type="dxa"/>
                  <w:vMerge w:val="continue"/>
                  <w:vAlign w:val="center"/>
                </w:tcPr>
                <w:p>
                  <w:pPr>
                    <w:adjustRightInd w:val="0"/>
                    <w:snapToGrid w:val="0"/>
                    <w:jc w:val="center"/>
                    <w:rPr>
                      <w:szCs w:val="21"/>
                    </w:rPr>
                  </w:pPr>
                </w:p>
              </w:tc>
              <w:tc>
                <w:tcPr>
                  <w:tcW w:w="737" w:type="dxa"/>
                  <w:vAlign w:val="center"/>
                </w:tcPr>
                <w:p>
                  <w:pPr>
                    <w:adjustRightInd w:val="0"/>
                    <w:snapToGrid w:val="0"/>
                    <w:jc w:val="center"/>
                    <w:rPr>
                      <w:szCs w:val="21"/>
                    </w:rPr>
                  </w:pPr>
                  <w:r>
                    <w:rPr>
                      <w:rFonts w:hint="eastAsia"/>
                      <w:szCs w:val="21"/>
                    </w:rPr>
                    <w:t>80%</w:t>
                  </w:r>
                </w:p>
              </w:tc>
              <w:tc>
                <w:tcPr>
                  <w:tcW w:w="774" w:type="dxa"/>
                  <w:vMerge w:val="continue"/>
                  <w:vAlign w:val="center"/>
                </w:tcPr>
                <w:p>
                  <w:pPr>
                    <w:adjustRightInd w:val="0"/>
                    <w:snapToGrid w:val="0"/>
                    <w:jc w:val="center"/>
                    <w:rPr>
                      <w:szCs w:val="21"/>
                    </w:rPr>
                  </w:pPr>
                </w:p>
              </w:tc>
              <w:tc>
                <w:tcPr>
                  <w:tcW w:w="842" w:type="dxa"/>
                  <w:vAlign w:val="center"/>
                </w:tcPr>
                <w:p>
                  <w:pPr>
                    <w:adjustRightInd w:val="0"/>
                    <w:snapToGrid w:val="0"/>
                    <w:jc w:val="center"/>
                    <w:rPr>
                      <w:rFonts w:hint="eastAsia" w:eastAsia="宋体"/>
                      <w:bCs/>
                      <w:spacing w:val="-10"/>
                      <w:szCs w:val="21"/>
                      <w:lang w:val="en-US" w:eastAsia="zh-CN"/>
                    </w:rPr>
                  </w:pPr>
                  <w:r>
                    <w:rPr>
                      <w:rFonts w:hint="eastAsia"/>
                      <w:bCs/>
                      <w:spacing w:val="-10"/>
                      <w:szCs w:val="21"/>
                    </w:rPr>
                    <w:t>0.00</w:t>
                  </w:r>
                  <w:r>
                    <w:rPr>
                      <w:rFonts w:hint="eastAsia"/>
                      <w:bCs/>
                      <w:spacing w:val="-10"/>
                      <w:szCs w:val="21"/>
                      <w:lang w:val="en-US" w:eastAsia="zh-CN"/>
                    </w:rPr>
                    <w:t>2</w:t>
                  </w:r>
                </w:p>
              </w:tc>
              <w:tc>
                <w:tcPr>
                  <w:tcW w:w="636" w:type="dxa"/>
                  <w:vAlign w:val="center"/>
                </w:tcPr>
                <w:p>
                  <w:pPr>
                    <w:adjustRightInd w:val="0"/>
                    <w:snapToGrid w:val="0"/>
                    <w:jc w:val="center"/>
                    <w:rPr>
                      <w:rFonts w:hint="default" w:eastAsia="宋体"/>
                      <w:szCs w:val="21"/>
                      <w:lang w:val="en-US" w:eastAsia="zh-CN"/>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Merge w:val="continue"/>
                  <w:vAlign w:val="center"/>
                </w:tcPr>
                <w:p>
                  <w:pPr>
                    <w:adjustRightInd w:val="0"/>
                    <w:snapToGrid w:val="0"/>
                    <w:jc w:val="center"/>
                    <w:rPr>
                      <w:b/>
                      <w:spacing w:val="-10"/>
                      <w:szCs w:val="21"/>
                    </w:rPr>
                  </w:pPr>
                </w:p>
              </w:tc>
              <w:tc>
                <w:tcPr>
                  <w:tcW w:w="825" w:type="dxa"/>
                  <w:vAlign w:val="center"/>
                </w:tcPr>
                <w:p>
                  <w:pPr>
                    <w:adjustRightInd w:val="0"/>
                    <w:snapToGrid w:val="0"/>
                    <w:jc w:val="center"/>
                    <w:rPr>
                      <w:b/>
                      <w:spacing w:val="-10"/>
                      <w:szCs w:val="21"/>
                    </w:rPr>
                  </w:pPr>
                  <w:r>
                    <w:rPr>
                      <w:rFonts w:hint="eastAsia"/>
                      <w:bCs/>
                      <w:spacing w:val="-10"/>
                      <w:szCs w:val="21"/>
                    </w:rPr>
                    <w:t>动植物油</w:t>
                  </w:r>
                </w:p>
              </w:tc>
              <w:tc>
                <w:tcPr>
                  <w:tcW w:w="721" w:type="dxa"/>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0.003</w:t>
                  </w:r>
                </w:p>
              </w:tc>
              <w:tc>
                <w:tcPr>
                  <w:tcW w:w="872" w:type="dxa"/>
                  <w:vAlign w:val="center"/>
                </w:tcPr>
                <w:p>
                  <w:pPr>
                    <w:adjustRightInd w:val="0"/>
                    <w:snapToGrid w:val="0"/>
                    <w:jc w:val="center"/>
                    <w:rPr>
                      <w:szCs w:val="21"/>
                    </w:rPr>
                  </w:pPr>
                  <w:r>
                    <w:rPr>
                      <w:rFonts w:hint="eastAsia"/>
                      <w:szCs w:val="21"/>
                    </w:rPr>
                    <w:t>10</w:t>
                  </w:r>
                </w:p>
              </w:tc>
              <w:tc>
                <w:tcPr>
                  <w:tcW w:w="623" w:type="dxa"/>
                  <w:vMerge w:val="continue"/>
                  <w:vAlign w:val="center"/>
                </w:tcPr>
                <w:p>
                  <w:pPr>
                    <w:adjustRightInd w:val="0"/>
                    <w:snapToGrid w:val="0"/>
                    <w:jc w:val="center"/>
                    <w:rPr>
                      <w:b/>
                      <w:spacing w:val="-10"/>
                      <w:szCs w:val="21"/>
                    </w:rPr>
                  </w:pPr>
                </w:p>
              </w:tc>
              <w:tc>
                <w:tcPr>
                  <w:tcW w:w="777" w:type="dxa"/>
                  <w:vMerge w:val="continue"/>
                  <w:vAlign w:val="center"/>
                </w:tcPr>
                <w:p>
                  <w:pPr>
                    <w:adjustRightInd w:val="0"/>
                    <w:snapToGrid w:val="0"/>
                    <w:jc w:val="center"/>
                    <w:rPr>
                      <w:b/>
                      <w:spacing w:val="-10"/>
                      <w:szCs w:val="21"/>
                    </w:rPr>
                  </w:pPr>
                </w:p>
              </w:tc>
              <w:tc>
                <w:tcPr>
                  <w:tcW w:w="809" w:type="dxa"/>
                  <w:vMerge w:val="continue"/>
                  <w:vAlign w:val="center"/>
                </w:tcPr>
                <w:p>
                  <w:pPr>
                    <w:adjustRightInd w:val="0"/>
                    <w:snapToGrid w:val="0"/>
                    <w:jc w:val="center"/>
                    <w:rPr>
                      <w:szCs w:val="21"/>
                    </w:rPr>
                  </w:pPr>
                </w:p>
              </w:tc>
              <w:tc>
                <w:tcPr>
                  <w:tcW w:w="737" w:type="dxa"/>
                  <w:vAlign w:val="center"/>
                </w:tcPr>
                <w:p>
                  <w:pPr>
                    <w:adjustRightInd w:val="0"/>
                    <w:snapToGrid w:val="0"/>
                    <w:jc w:val="center"/>
                    <w:rPr>
                      <w:szCs w:val="21"/>
                    </w:rPr>
                  </w:pPr>
                  <w:r>
                    <w:rPr>
                      <w:rFonts w:hint="eastAsia"/>
                      <w:szCs w:val="21"/>
                    </w:rPr>
                    <w:t>90%</w:t>
                  </w:r>
                </w:p>
              </w:tc>
              <w:tc>
                <w:tcPr>
                  <w:tcW w:w="774" w:type="dxa"/>
                  <w:vMerge w:val="continue"/>
                  <w:vAlign w:val="center"/>
                </w:tcPr>
                <w:p>
                  <w:pPr>
                    <w:adjustRightInd w:val="0"/>
                    <w:snapToGrid w:val="0"/>
                    <w:jc w:val="center"/>
                    <w:rPr>
                      <w:szCs w:val="21"/>
                    </w:rPr>
                  </w:pPr>
                </w:p>
              </w:tc>
              <w:tc>
                <w:tcPr>
                  <w:tcW w:w="842" w:type="dxa"/>
                  <w:vAlign w:val="center"/>
                </w:tcPr>
                <w:p>
                  <w:pPr>
                    <w:adjustRightInd w:val="0"/>
                    <w:snapToGrid w:val="0"/>
                    <w:jc w:val="center"/>
                    <w:rPr>
                      <w:rFonts w:hint="eastAsia" w:eastAsia="宋体"/>
                      <w:bCs/>
                      <w:spacing w:val="-10"/>
                      <w:szCs w:val="21"/>
                      <w:lang w:val="en-US" w:eastAsia="zh-CN"/>
                    </w:rPr>
                  </w:pPr>
                  <w:r>
                    <w:rPr>
                      <w:rFonts w:hint="eastAsia"/>
                      <w:bCs/>
                      <w:spacing w:val="-10"/>
                      <w:szCs w:val="21"/>
                    </w:rPr>
                    <w:t>0.000</w:t>
                  </w:r>
                  <w:r>
                    <w:rPr>
                      <w:rFonts w:hint="eastAsia"/>
                      <w:bCs/>
                      <w:spacing w:val="-10"/>
                      <w:szCs w:val="21"/>
                      <w:lang w:val="en-US" w:eastAsia="zh-CN"/>
                    </w:rPr>
                    <w:t>3</w:t>
                  </w:r>
                </w:p>
              </w:tc>
              <w:tc>
                <w:tcPr>
                  <w:tcW w:w="636" w:type="dxa"/>
                  <w:vAlign w:val="center"/>
                </w:tcPr>
                <w:p>
                  <w:pPr>
                    <w:adjustRightInd w:val="0"/>
                    <w:snapToGrid w:val="0"/>
                    <w:jc w:val="center"/>
                    <w:rPr>
                      <w:szCs w:val="21"/>
                    </w:rPr>
                  </w:pPr>
                  <w:r>
                    <w:rPr>
                      <w:rFonts w:hint="eastAsia"/>
                      <w:szCs w:val="21"/>
                    </w:rPr>
                    <w:t>1</w:t>
                  </w:r>
                </w:p>
              </w:tc>
            </w:tr>
          </w:tbl>
          <w:p>
            <w:pPr>
              <w:pStyle w:val="58"/>
              <w:spacing w:line="240" w:lineRule="auto"/>
              <w:ind w:firstLine="422"/>
              <w:jc w:val="center"/>
              <w:rPr>
                <w:b/>
                <w:bCs/>
                <w:sz w:val="21"/>
                <w:szCs w:val="21"/>
              </w:rPr>
            </w:pPr>
          </w:p>
          <w:p>
            <w:pPr>
              <w:pStyle w:val="58"/>
              <w:spacing w:line="240" w:lineRule="auto"/>
              <w:ind w:firstLine="422"/>
              <w:jc w:val="center"/>
              <w:rPr>
                <w:b/>
                <w:bCs/>
                <w:sz w:val="21"/>
                <w:szCs w:val="21"/>
              </w:rPr>
            </w:pPr>
          </w:p>
          <w:p>
            <w:pPr>
              <w:pStyle w:val="58"/>
              <w:spacing w:line="240" w:lineRule="auto"/>
              <w:ind w:firstLine="422"/>
              <w:jc w:val="center"/>
              <w:rPr>
                <w:b/>
                <w:bCs/>
                <w:sz w:val="21"/>
                <w:szCs w:val="21"/>
              </w:rPr>
            </w:pPr>
          </w:p>
          <w:p>
            <w:pPr>
              <w:pStyle w:val="58"/>
              <w:spacing w:line="240" w:lineRule="auto"/>
              <w:ind w:firstLine="422"/>
              <w:jc w:val="center"/>
              <w:rPr>
                <w:b/>
                <w:bCs/>
                <w:sz w:val="21"/>
                <w:szCs w:val="21"/>
              </w:rPr>
            </w:pPr>
          </w:p>
          <w:p>
            <w:pPr>
              <w:pStyle w:val="58"/>
              <w:spacing w:line="240" w:lineRule="auto"/>
              <w:ind w:firstLine="422"/>
              <w:jc w:val="center"/>
            </w:pPr>
            <w:r>
              <w:rPr>
                <w:b/>
                <w:bCs/>
                <w:sz w:val="21"/>
                <w:szCs w:val="21"/>
              </w:rPr>
              <w:t>表4-</w:t>
            </w:r>
            <w:r>
              <w:rPr>
                <w:rFonts w:hint="eastAsia"/>
                <w:b/>
                <w:bCs/>
                <w:sz w:val="21"/>
                <w:szCs w:val="21"/>
              </w:rPr>
              <w:t>6</w:t>
            </w:r>
            <w:r>
              <w:rPr>
                <w:b/>
                <w:bCs/>
                <w:sz w:val="21"/>
                <w:szCs w:val="21"/>
              </w:rPr>
              <w:t>废水类别、污染物及污染治理设施信息表</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062"/>
              <w:gridCol w:w="751"/>
              <w:gridCol w:w="793"/>
              <w:gridCol w:w="893"/>
              <w:gridCol w:w="793"/>
              <w:gridCol w:w="819"/>
              <w:gridCol w:w="919"/>
              <w:gridCol w:w="91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Merge w:val="restart"/>
                  <w:vAlign w:val="center"/>
                </w:tcPr>
                <w:p>
                  <w:pPr>
                    <w:autoSpaceDE w:val="0"/>
                    <w:autoSpaceDN w:val="0"/>
                    <w:adjustRightInd w:val="0"/>
                    <w:jc w:val="center"/>
                    <w:rPr>
                      <w:szCs w:val="21"/>
                    </w:rPr>
                  </w:pPr>
                  <w:r>
                    <w:rPr>
                      <w:szCs w:val="21"/>
                    </w:rPr>
                    <w:t>废水类别</w:t>
                  </w:r>
                </w:p>
              </w:tc>
              <w:tc>
                <w:tcPr>
                  <w:tcW w:w="628" w:type="pct"/>
                  <w:vMerge w:val="restart"/>
                  <w:vAlign w:val="center"/>
                </w:tcPr>
                <w:p>
                  <w:pPr>
                    <w:autoSpaceDE w:val="0"/>
                    <w:autoSpaceDN w:val="0"/>
                    <w:adjustRightInd w:val="0"/>
                    <w:jc w:val="center"/>
                    <w:rPr>
                      <w:szCs w:val="21"/>
                    </w:rPr>
                  </w:pPr>
                  <w:r>
                    <w:rPr>
                      <w:szCs w:val="21"/>
                    </w:rPr>
                    <w:t>污染物种类</w:t>
                  </w:r>
                </w:p>
              </w:tc>
              <w:tc>
                <w:tcPr>
                  <w:tcW w:w="444" w:type="pct"/>
                  <w:vMerge w:val="restart"/>
                  <w:vAlign w:val="center"/>
                </w:tcPr>
                <w:p>
                  <w:pPr>
                    <w:autoSpaceDE w:val="0"/>
                    <w:autoSpaceDN w:val="0"/>
                    <w:adjustRightInd w:val="0"/>
                    <w:jc w:val="center"/>
                    <w:rPr>
                      <w:szCs w:val="21"/>
                    </w:rPr>
                  </w:pPr>
                  <w:r>
                    <w:rPr>
                      <w:szCs w:val="21"/>
                    </w:rPr>
                    <w:t>排放去向</w:t>
                  </w:r>
                </w:p>
              </w:tc>
              <w:tc>
                <w:tcPr>
                  <w:tcW w:w="469" w:type="pct"/>
                  <w:vMerge w:val="restart"/>
                  <w:vAlign w:val="center"/>
                </w:tcPr>
                <w:p>
                  <w:pPr>
                    <w:autoSpaceDE w:val="0"/>
                    <w:autoSpaceDN w:val="0"/>
                    <w:adjustRightInd w:val="0"/>
                    <w:jc w:val="center"/>
                    <w:rPr>
                      <w:szCs w:val="21"/>
                    </w:rPr>
                  </w:pPr>
                  <w:r>
                    <w:rPr>
                      <w:szCs w:val="21"/>
                    </w:rPr>
                    <w:t>排放规律</w:t>
                  </w:r>
                </w:p>
              </w:tc>
              <w:tc>
                <w:tcPr>
                  <w:tcW w:w="1481" w:type="pct"/>
                  <w:gridSpan w:val="3"/>
                  <w:vAlign w:val="center"/>
                </w:tcPr>
                <w:p>
                  <w:pPr>
                    <w:autoSpaceDE w:val="0"/>
                    <w:autoSpaceDN w:val="0"/>
                    <w:adjustRightInd w:val="0"/>
                    <w:jc w:val="center"/>
                    <w:rPr>
                      <w:szCs w:val="21"/>
                    </w:rPr>
                  </w:pPr>
                  <w:r>
                    <w:rPr>
                      <w:szCs w:val="21"/>
                    </w:rPr>
                    <w:t>污染治理设施</w:t>
                  </w:r>
                </w:p>
              </w:tc>
              <w:tc>
                <w:tcPr>
                  <w:tcW w:w="543" w:type="pct"/>
                  <w:vMerge w:val="restart"/>
                  <w:vAlign w:val="center"/>
                </w:tcPr>
                <w:p>
                  <w:pPr>
                    <w:autoSpaceDE w:val="0"/>
                    <w:autoSpaceDN w:val="0"/>
                    <w:adjustRightInd w:val="0"/>
                    <w:jc w:val="center"/>
                    <w:rPr>
                      <w:szCs w:val="21"/>
                    </w:rPr>
                  </w:pPr>
                  <w:r>
                    <w:rPr>
                      <w:rFonts w:hint="eastAsia"/>
                      <w:szCs w:val="21"/>
                    </w:rPr>
                    <w:t>是否技术可行</w:t>
                  </w:r>
                </w:p>
              </w:tc>
              <w:tc>
                <w:tcPr>
                  <w:tcW w:w="543" w:type="pct"/>
                  <w:vMerge w:val="restart"/>
                  <w:vAlign w:val="center"/>
                </w:tcPr>
                <w:p>
                  <w:pPr>
                    <w:autoSpaceDE w:val="0"/>
                    <w:autoSpaceDN w:val="0"/>
                    <w:adjustRightInd w:val="0"/>
                    <w:jc w:val="center"/>
                    <w:rPr>
                      <w:szCs w:val="21"/>
                    </w:rPr>
                  </w:pPr>
                  <w:r>
                    <w:rPr>
                      <w:szCs w:val="21"/>
                    </w:rPr>
                    <w:t>排放口编号</w:t>
                  </w:r>
                </w:p>
              </w:tc>
              <w:tc>
                <w:tcPr>
                  <w:tcW w:w="446" w:type="pct"/>
                  <w:vMerge w:val="restart"/>
                  <w:vAlign w:val="center"/>
                </w:tcPr>
                <w:p>
                  <w:pPr>
                    <w:autoSpaceDE w:val="0"/>
                    <w:autoSpaceDN w:val="0"/>
                    <w:adjustRightInd w:val="0"/>
                    <w:jc w:val="center"/>
                    <w:rPr>
                      <w:szCs w:val="21"/>
                    </w:rPr>
                  </w:pPr>
                  <w:r>
                    <w:rPr>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Merge w:val="continue"/>
                  <w:vAlign w:val="center"/>
                </w:tcPr>
                <w:p>
                  <w:pPr>
                    <w:autoSpaceDE w:val="0"/>
                    <w:autoSpaceDN w:val="0"/>
                    <w:adjustRightInd w:val="0"/>
                    <w:jc w:val="center"/>
                    <w:rPr>
                      <w:szCs w:val="21"/>
                    </w:rPr>
                  </w:pPr>
                </w:p>
              </w:tc>
              <w:tc>
                <w:tcPr>
                  <w:tcW w:w="628" w:type="pct"/>
                  <w:vMerge w:val="continue"/>
                  <w:vAlign w:val="center"/>
                </w:tcPr>
                <w:p>
                  <w:pPr>
                    <w:autoSpaceDE w:val="0"/>
                    <w:autoSpaceDN w:val="0"/>
                    <w:adjustRightInd w:val="0"/>
                    <w:jc w:val="center"/>
                    <w:rPr>
                      <w:szCs w:val="21"/>
                    </w:rPr>
                  </w:pPr>
                </w:p>
              </w:tc>
              <w:tc>
                <w:tcPr>
                  <w:tcW w:w="444" w:type="pct"/>
                  <w:vMerge w:val="continue"/>
                  <w:vAlign w:val="center"/>
                </w:tcPr>
                <w:p>
                  <w:pPr>
                    <w:autoSpaceDE w:val="0"/>
                    <w:autoSpaceDN w:val="0"/>
                    <w:adjustRightInd w:val="0"/>
                    <w:jc w:val="center"/>
                    <w:rPr>
                      <w:szCs w:val="21"/>
                    </w:rPr>
                  </w:pPr>
                </w:p>
              </w:tc>
              <w:tc>
                <w:tcPr>
                  <w:tcW w:w="469" w:type="pct"/>
                  <w:vMerge w:val="continue"/>
                  <w:vAlign w:val="center"/>
                </w:tcPr>
                <w:p>
                  <w:pPr>
                    <w:autoSpaceDE w:val="0"/>
                    <w:autoSpaceDN w:val="0"/>
                    <w:adjustRightInd w:val="0"/>
                    <w:jc w:val="center"/>
                    <w:rPr>
                      <w:szCs w:val="21"/>
                    </w:rPr>
                  </w:pPr>
                </w:p>
              </w:tc>
              <w:tc>
                <w:tcPr>
                  <w:tcW w:w="528" w:type="pct"/>
                  <w:vAlign w:val="center"/>
                </w:tcPr>
                <w:p>
                  <w:pPr>
                    <w:autoSpaceDE w:val="0"/>
                    <w:autoSpaceDN w:val="0"/>
                    <w:adjustRightInd w:val="0"/>
                    <w:jc w:val="center"/>
                    <w:rPr>
                      <w:szCs w:val="21"/>
                    </w:rPr>
                  </w:pPr>
                  <w:r>
                    <w:rPr>
                      <w:szCs w:val="21"/>
                    </w:rPr>
                    <w:t>编号</w:t>
                  </w:r>
                </w:p>
              </w:tc>
              <w:tc>
                <w:tcPr>
                  <w:tcW w:w="469" w:type="pct"/>
                  <w:vAlign w:val="center"/>
                </w:tcPr>
                <w:p>
                  <w:pPr>
                    <w:autoSpaceDE w:val="0"/>
                    <w:autoSpaceDN w:val="0"/>
                    <w:adjustRightInd w:val="0"/>
                    <w:jc w:val="center"/>
                    <w:rPr>
                      <w:szCs w:val="21"/>
                    </w:rPr>
                  </w:pPr>
                  <w:r>
                    <w:rPr>
                      <w:szCs w:val="21"/>
                    </w:rPr>
                    <w:t>名称</w:t>
                  </w:r>
                </w:p>
              </w:tc>
              <w:tc>
                <w:tcPr>
                  <w:tcW w:w="484" w:type="pct"/>
                  <w:vAlign w:val="center"/>
                </w:tcPr>
                <w:p>
                  <w:pPr>
                    <w:autoSpaceDE w:val="0"/>
                    <w:autoSpaceDN w:val="0"/>
                    <w:adjustRightInd w:val="0"/>
                    <w:jc w:val="center"/>
                    <w:rPr>
                      <w:szCs w:val="21"/>
                    </w:rPr>
                  </w:pPr>
                  <w:r>
                    <w:rPr>
                      <w:szCs w:val="21"/>
                    </w:rPr>
                    <w:t>工艺</w:t>
                  </w:r>
                </w:p>
              </w:tc>
              <w:tc>
                <w:tcPr>
                  <w:tcW w:w="543" w:type="pct"/>
                  <w:vMerge w:val="continue"/>
                  <w:vAlign w:val="center"/>
                </w:tcPr>
                <w:p>
                  <w:pPr>
                    <w:autoSpaceDE w:val="0"/>
                    <w:autoSpaceDN w:val="0"/>
                    <w:adjustRightInd w:val="0"/>
                    <w:jc w:val="center"/>
                    <w:rPr>
                      <w:szCs w:val="21"/>
                    </w:rPr>
                  </w:pPr>
                </w:p>
              </w:tc>
              <w:tc>
                <w:tcPr>
                  <w:tcW w:w="543" w:type="pct"/>
                  <w:vMerge w:val="continue"/>
                  <w:vAlign w:val="center"/>
                </w:tcPr>
                <w:p>
                  <w:pPr>
                    <w:autoSpaceDE w:val="0"/>
                    <w:autoSpaceDN w:val="0"/>
                    <w:adjustRightInd w:val="0"/>
                    <w:jc w:val="center"/>
                    <w:rPr>
                      <w:szCs w:val="21"/>
                    </w:rPr>
                  </w:pPr>
                </w:p>
              </w:tc>
              <w:tc>
                <w:tcPr>
                  <w:tcW w:w="446" w:type="pct"/>
                  <w:vMerge w:val="continue"/>
                  <w:vAlign w:val="center"/>
                </w:tcPr>
                <w:p>
                  <w:pPr>
                    <w:autoSpaceDE w:val="0"/>
                    <w:autoSpaceDN w:val="0"/>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pct"/>
                  <w:vAlign w:val="center"/>
                </w:tcPr>
                <w:p>
                  <w:pPr>
                    <w:autoSpaceDE w:val="0"/>
                    <w:autoSpaceDN w:val="0"/>
                    <w:adjustRightInd w:val="0"/>
                    <w:jc w:val="center"/>
                    <w:rPr>
                      <w:szCs w:val="21"/>
                    </w:rPr>
                  </w:pPr>
                  <w:r>
                    <w:rPr>
                      <w:szCs w:val="21"/>
                    </w:rPr>
                    <w:t>生活污水</w:t>
                  </w:r>
                </w:p>
              </w:tc>
              <w:tc>
                <w:tcPr>
                  <w:tcW w:w="628" w:type="pct"/>
                  <w:vAlign w:val="center"/>
                </w:tcPr>
                <w:p>
                  <w:pPr>
                    <w:autoSpaceDE w:val="0"/>
                    <w:autoSpaceDN w:val="0"/>
                    <w:adjustRightInd w:val="0"/>
                    <w:jc w:val="center"/>
                    <w:rPr>
                      <w:szCs w:val="21"/>
                    </w:rPr>
                  </w:pPr>
                  <w:r>
                    <w:rPr>
                      <w:szCs w:val="21"/>
                    </w:rPr>
                    <w:t>COD、BOD</w:t>
                  </w:r>
                  <w:r>
                    <w:rPr>
                      <w:szCs w:val="21"/>
                      <w:vertAlign w:val="subscript"/>
                    </w:rPr>
                    <w:t>5</w:t>
                  </w:r>
                  <w:r>
                    <w:rPr>
                      <w:szCs w:val="21"/>
                    </w:rPr>
                    <w:t>、NH</w:t>
                  </w:r>
                  <w:r>
                    <w:rPr>
                      <w:szCs w:val="21"/>
                      <w:vertAlign w:val="subscript"/>
                    </w:rPr>
                    <w:t>3</w:t>
                  </w:r>
                  <w:r>
                    <w:rPr>
                      <w:szCs w:val="21"/>
                    </w:rPr>
                    <w:t>-N、SS、动植物油</w:t>
                  </w:r>
                </w:p>
              </w:tc>
              <w:tc>
                <w:tcPr>
                  <w:tcW w:w="444" w:type="pct"/>
                  <w:vAlign w:val="center"/>
                </w:tcPr>
                <w:p>
                  <w:pPr>
                    <w:autoSpaceDE w:val="0"/>
                    <w:autoSpaceDN w:val="0"/>
                    <w:adjustRightInd w:val="0"/>
                    <w:jc w:val="center"/>
                    <w:rPr>
                      <w:rFonts w:hint="default"/>
                      <w:szCs w:val="21"/>
                      <w:lang w:val="en-US"/>
                    </w:rPr>
                  </w:pPr>
                  <w:r>
                    <w:rPr>
                      <w:rFonts w:hint="eastAsia"/>
                      <w:szCs w:val="21"/>
                      <w:lang w:val="en-US" w:eastAsia="zh-CN"/>
                    </w:rPr>
                    <w:t>用作农肥不外排</w:t>
                  </w:r>
                </w:p>
              </w:tc>
              <w:tc>
                <w:tcPr>
                  <w:tcW w:w="469" w:type="pct"/>
                  <w:vAlign w:val="center"/>
                </w:tcPr>
                <w:p>
                  <w:pPr>
                    <w:autoSpaceDE w:val="0"/>
                    <w:autoSpaceDN w:val="0"/>
                    <w:adjustRightInd w:val="0"/>
                    <w:jc w:val="center"/>
                    <w:rPr>
                      <w:rFonts w:hint="eastAsia" w:eastAsia="宋体"/>
                      <w:szCs w:val="21"/>
                      <w:lang w:eastAsia="zh-CN"/>
                    </w:rPr>
                  </w:pPr>
                  <w:r>
                    <w:rPr>
                      <w:rFonts w:hint="eastAsia"/>
                      <w:szCs w:val="21"/>
                      <w:lang w:val="en-US" w:eastAsia="zh-CN"/>
                    </w:rPr>
                    <w:t>/</w:t>
                  </w:r>
                </w:p>
              </w:tc>
              <w:tc>
                <w:tcPr>
                  <w:tcW w:w="528" w:type="pct"/>
                  <w:vAlign w:val="center"/>
                </w:tcPr>
                <w:p>
                  <w:pPr>
                    <w:autoSpaceDE w:val="0"/>
                    <w:autoSpaceDN w:val="0"/>
                    <w:adjustRightInd w:val="0"/>
                    <w:jc w:val="center"/>
                    <w:rPr>
                      <w:szCs w:val="21"/>
                    </w:rPr>
                  </w:pPr>
                  <w:r>
                    <w:rPr>
                      <w:szCs w:val="21"/>
                    </w:rPr>
                    <w:t>TW001</w:t>
                  </w:r>
                </w:p>
              </w:tc>
              <w:tc>
                <w:tcPr>
                  <w:tcW w:w="469" w:type="pct"/>
                  <w:vAlign w:val="center"/>
                </w:tcPr>
                <w:p>
                  <w:pPr>
                    <w:autoSpaceDE w:val="0"/>
                    <w:autoSpaceDN w:val="0"/>
                    <w:adjustRightInd w:val="0"/>
                    <w:jc w:val="center"/>
                    <w:rPr>
                      <w:szCs w:val="21"/>
                    </w:rPr>
                  </w:pPr>
                  <w:r>
                    <w:rPr>
                      <w:szCs w:val="21"/>
                    </w:rPr>
                    <w:t>隔油池、化粪池</w:t>
                  </w:r>
                </w:p>
              </w:tc>
              <w:tc>
                <w:tcPr>
                  <w:tcW w:w="484" w:type="pct"/>
                  <w:vAlign w:val="center"/>
                </w:tcPr>
                <w:p>
                  <w:pPr>
                    <w:autoSpaceDE w:val="0"/>
                    <w:autoSpaceDN w:val="0"/>
                    <w:adjustRightInd w:val="0"/>
                    <w:jc w:val="center"/>
                    <w:rPr>
                      <w:szCs w:val="21"/>
                    </w:rPr>
                  </w:pPr>
                  <w:r>
                    <w:rPr>
                      <w:szCs w:val="21"/>
                    </w:rPr>
                    <w:t>沉淀、厌氧发酵</w:t>
                  </w:r>
                  <w:r>
                    <w:rPr>
                      <w:rFonts w:hint="eastAsia"/>
                      <w:szCs w:val="21"/>
                    </w:rPr>
                    <w:t>、A/O、</w:t>
                  </w:r>
                  <w:r>
                    <w:rPr>
                      <w:szCs w:val="21"/>
                    </w:rPr>
                    <w:t>沉淀</w:t>
                  </w:r>
                </w:p>
              </w:tc>
              <w:tc>
                <w:tcPr>
                  <w:tcW w:w="543" w:type="pct"/>
                  <w:vAlign w:val="center"/>
                </w:tcPr>
                <w:p>
                  <w:pPr>
                    <w:autoSpaceDE w:val="0"/>
                    <w:autoSpaceDN w:val="0"/>
                    <w:adjustRightInd w:val="0"/>
                    <w:jc w:val="center"/>
                    <w:rPr>
                      <w:szCs w:val="21"/>
                    </w:rPr>
                  </w:pPr>
                  <w:r>
                    <w:rPr>
                      <w:rFonts w:hint="eastAsia"/>
                      <w:szCs w:val="21"/>
                    </w:rPr>
                    <w:t>是</w:t>
                  </w:r>
                </w:p>
              </w:tc>
              <w:tc>
                <w:tcPr>
                  <w:tcW w:w="543" w:type="pct"/>
                  <w:vAlign w:val="center"/>
                </w:tcPr>
                <w:p>
                  <w:pPr>
                    <w:autoSpaceDE w:val="0"/>
                    <w:autoSpaceDN w:val="0"/>
                    <w:adjustRightInd w:val="0"/>
                    <w:jc w:val="center"/>
                    <w:rPr>
                      <w:rFonts w:hint="eastAsia" w:eastAsia="宋体"/>
                      <w:szCs w:val="21"/>
                      <w:lang w:eastAsia="zh-CN"/>
                    </w:rPr>
                  </w:pPr>
                  <w:r>
                    <w:rPr>
                      <w:rFonts w:hint="eastAsia"/>
                      <w:szCs w:val="21"/>
                      <w:lang w:val="en-US" w:eastAsia="zh-CN"/>
                    </w:rPr>
                    <w:t>/</w:t>
                  </w:r>
                </w:p>
              </w:tc>
              <w:tc>
                <w:tcPr>
                  <w:tcW w:w="446" w:type="pct"/>
                  <w:vAlign w:val="center"/>
                </w:tcPr>
                <w:p>
                  <w:pPr>
                    <w:autoSpaceDE w:val="0"/>
                    <w:autoSpaceDN w:val="0"/>
                    <w:adjustRightInd w:val="0"/>
                    <w:jc w:val="center"/>
                    <w:rPr>
                      <w:rFonts w:hint="eastAsia" w:eastAsia="宋体"/>
                      <w:szCs w:val="21"/>
                      <w:lang w:eastAsia="zh-CN"/>
                    </w:rPr>
                  </w:pPr>
                  <w:r>
                    <w:rPr>
                      <w:rFonts w:hint="eastAsia"/>
                      <w:szCs w:val="21"/>
                      <w:lang w:val="en-US" w:eastAsia="zh-CN"/>
                    </w:rPr>
                    <w:t>/</w:t>
                  </w:r>
                </w:p>
              </w:tc>
            </w:tr>
          </w:tbl>
          <w:p>
            <w:pPr>
              <w:adjustRightInd w:val="0"/>
              <w:snapToGrid w:val="0"/>
              <w:spacing w:line="360" w:lineRule="auto"/>
              <w:rPr>
                <w:b/>
                <w:spacing w:val="-10"/>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b/>
                <w:spacing w:val="-10"/>
                <w:sz w:val="24"/>
              </w:rPr>
            </w:pPr>
            <w:r>
              <w:rPr>
                <w:rFonts w:hint="eastAsia"/>
                <w:b/>
                <w:spacing w:val="-10"/>
                <w:sz w:val="24"/>
              </w:rPr>
              <w:t>2.</w:t>
            </w:r>
            <w:r>
              <w:rPr>
                <w:rFonts w:hint="eastAsia"/>
                <w:b/>
                <w:spacing w:val="-10"/>
                <w:sz w:val="24"/>
                <w:lang w:val="en-US" w:eastAsia="zh-CN"/>
              </w:rPr>
              <w:t>2</w:t>
            </w:r>
            <w:r>
              <w:rPr>
                <w:rFonts w:hint="eastAsia"/>
                <w:b/>
                <w:spacing w:val="-10"/>
                <w:sz w:val="24"/>
              </w:rPr>
              <w:t>监测要求</w:t>
            </w:r>
          </w:p>
          <w:p>
            <w:pPr>
              <w:pStyle w:val="2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ascii="Times New Roman" w:cs="Times New Roman"/>
                <w:b/>
                <w:bCs/>
                <w:sz w:val="21"/>
                <w:szCs w:val="21"/>
              </w:rPr>
            </w:pPr>
            <w:r>
              <w:rPr>
                <w:rFonts w:ascii="Times New Roman" w:cs="Times New Roman"/>
                <w:shd w:val="clear" w:color="auto" w:fill="FFFFFF"/>
              </w:rPr>
              <w:t>依据《排污单位自行监测技术指南 总则》(HJ819-2017)和本项目废水排放情况，本项目废水</w:t>
            </w:r>
            <w:r>
              <w:rPr>
                <w:rFonts w:hint="eastAsia" w:ascii="Times New Roman" w:cs="Times New Roman"/>
                <w:shd w:val="clear" w:color="auto" w:fill="FFFFFF"/>
                <w:lang w:val="en-US" w:eastAsia="zh-CN"/>
              </w:rPr>
              <w:t>无需</w:t>
            </w:r>
            <w:r>
              <w:rPr>
                <w:rFonts w:ascii="Times New Roman" w:cs="Times New Roman"/>
                <w:shd w:val="clear" w:color="auto" w:fill="FFFFFF"/>
              </w:rPr>
              <w:t>监测</w:t>
            </w:r>
            <w:r>
              <w:rPr>
                <w:rFonts w:hint="eastAsia" w:ascii="Times New Roman" w:cs="Times New Roman"/>
                <w:shd w:val="clear" w:color="auto" w:fill="FFFFFF"/>
              </w:rPr>
              <w:t>。</w:t>
            </w:r>
          </w:p>
          <w:p>
            <w:pPr>
              <w:adjustRightInd w:val="0"/>
              <w:snapToGrid w:val="0"/>
              <w:spacing w:line="360" w:lineRule="auto"/>
              <w:rPr>
                <w:bCs/>
                <w:spacing w:val="-10"/>
                <w:sz w:val="24"/>
              </w:rPr>
            </w:pPr>
            <w:r>
              <w:rPr>
                <w:rFonts w:hint="eastAsia"/>
                <w:b/>
                <w:spacing w:val="-10"/>
                <w:sz w:val="24"/>
              </w:rPr>
              <w:t>3、噪声</w:t>
            </w:r>
          </w:p>
          <w:p>
            <w:pPr>
              <w:adjustRightInd w:val="0"/>
              <w:snapToGrid w:val="0"/>
              <w:spacing w:line="360" w:lineRule="auto"/>
              <w:ind w:firstLine="442" w:firstLineChars="200"/>
              <w:rPr>
                <w:bCs/>
                <w:spacing w:val="-10"/>
                <w:sz w:val="24"/>
              </w:rPr>
            </w:pPr>
            <w:r>
              <w:rPr>
                <w:rFonts w:hint="eastAsia"/>
                <w:b/>
                <w:spacing w:val="-10"/>
                <w:sz w:val="24"/>
              </w:rPr>
              <w:t>3.1噪声污染源分析</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b/>
                <w:spacing w:val="-10"/>
                <w:szCs w:val="21"/>
              </w:rPr>
            </w:pPr>
            <w:r>
              <w:rPr>
                <w:rFonts w:hint="eastAsia"/>
                <w:bCs/>
                <w:spacing w:val="-10"/>
                <w:sz w:val="24"/>
              </w:rPr>
              <w:t>主要设备噪声</w:t>
            </w:r>
            <w:r>
              <w:rPr>
                <w:rFonts w:hint="eastAsia"/>
                <w:bCs/>
                <w:spacing w:val="-10"/>
                <w:sz w:val="24"/>
                <w:lang w:val="en-US" w:eastAsia="zh-CN"/>
              </w:rPr>
              <w:t>破碎</w:t>
            </w:r>
            <w:r>
              <w:rPr>
                <w:rFonts w:hint="eastAsia"/>
                <w:bCs/>
                <w:spacing w:val="-10"/>
                <w:sz w:val="24"/>
              </w:rPr>
              <w:t>机、制棒机、风机等运行产生的噪声，噪声源强为70～90dB(A)。</w:t>
            </w:r>
          </w:p>
          <w:p>
            <w:pPr>
              <w:adjustRightInd w:val="0"/>
              <w:snapToGrid w:val="0"/>
              <w:ind w:firstLine="382" w:firstLineChars="200"/>
              <w:jc w:val="center"/>
              <w:rPr>
                <w:rFonts w:hint="eastAsia"/>
                <w:b/>
                <w:spacing w:val="-10"/>
                <w:szCs w:val="21"/>
              </w:rPr>
            </w:pPr>
          </w:p>
          <w:p>
            <w:pPr>
              <w:adjustRightInd w:val="0"/>
              <w:snapToGrid w:val="0"/>
              <w:ind w:firstLine="382" w:firstLineChars="200"/>
              <w:jc w:val="center"/>
              <w:rPr>
                <w:bCs/>
                <w:spacing w:val="-10"/>
                <w:sz w:val="24"/>
              </w:rPr>
            </w:pPr>
            <w:r>
              <w:rPr>
                <w:rFonts w:hint="eastAsia"/>
                <w:b/>
                <w:spacing w:val="-10"/>
                <w:szCs w:val="21"/>
              </w:rPr>
              <w:t>表4-</w:t>
            </w:r>
            <w:r>
              <w:rPr>
                <w:rFonts w:hint="eastAsia"/>
                <w:b/>
                <w:spacing w:val="-10"/>
                <w:szCs w:val="21"/>
                <w:lang w:val="en-US" w:eastAsia="zh-CN"/>
              </w:rPr>
              <w:t>7</w:t>
            </w:r>
            <w:r>
              <w:rPr>
                <w:rFonts w:hint="eastAsia"/>
                <w:b/>
                <w:spacing w:val="-10"/>
                <w:szCs w:val="21"/>
              </w:rPr>
              <w:t xml:space="preserve">  设备噪声源强一览表  单位dB（A）</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990"/>
              <w:gridCol w:w="1391"/>
              <w:gridCol w:w="1119"/>
              <w:gridCol w:w="15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 w:type="pct"/>
                  <w:vAlign w:val="center"/>
                </w:tcPr>
                <w:p>
                  <w:pPr>
                    <w:adjustRightInd w:val="0"/>
                    <w:snapToGrid w:val="0"/>
                    <w:jc w:val="center"/>
                    <w:rPr>
                      <w:bCs/>
                      <w:spacing w:val="-10"/>
                      <w:szCs w:val="21"/>
                    </w:rPr>
                  </w:pPr>
                  <w:r>
                    <w:rPr>
                      <w:rFonts w:hint="eastAsia"/>
                      <w:bCs/>
                      <w:spacing w:val="-10"/>
                      <w:szCs w:val="21"/>
                    </w:rPr>
                    <w:t>序号</w:t>
                  </w:r>
                </w:p>
              </w:tc>
              <w:tc>
                <w:tcPr>
                  <w:tcW w:w="1176" w:type="pct"/>
                  <w:vAlign w:val="center"/>
                </w:tcPr>
                <w:p>
                  <w:pPr>
                    <w:adjustRightInd w:val="0"/>
                    <w:snapToGrid w:val="0"/>
                    <w:jc w:val="center"/>
                    <w:rPr>
                      <w:bCs/>
                      <w:spacing w:val="-10"/>
                      <w:szCs w:val="21"/>
                    </w:rPr>
                  </w:pPr>
                  <w:r>
                    <w:rPr>
                      <w:rFonts w:hint="eastAsia"/>
                      <w:bCs/>
                      <w:spacing w:val="-10"/>
                      <w:szCs w:val="21"/>
                    </w:rPr>
                    <w:t>设备名称</w:t>
                  </w:r>
                </w:p>
              </w:tc>
              <w:tc>
                <w:tcPr>
                  <w:tcW w:w="822" w:type="pct"/>
                  <w:vAlign w:val="center"/>
                </w:tcPr>
                <w:p>
                  <w:pPr>
                    <w:adjustRightInd w:val="0"/>
                    <w:snapToGrid w:val="0"/>
                    <w:jc w:val="center"/>
                    <w:rPr>
                      <w:bCs/>
                      <w:spacing w:val="-10"/>
                      <w:szCs w:val="21"/>
                    </w:rPr>
                  </w:pPr>
                  <w:r>
                    <w:rPr>
                      <w:rFonts w:hint="eastAsia"/>
                      <w:bCs/>
                      <w:spacing w:val="-10"/>
                      <w:szCs w:val="21"/>
                    </w:rPr>
                    <w:t>设备数量</w:t>
                  </w:r>
                </w:p>
              </w:tc>
              <w:tc>
                <w:tcPr>
                  <w:tcW w:w="661" w:type="pct"/>
                  <w:vAlign w:val="center"/>
                </w:tcPr>
                <w:p>
                  <w:pPr>
                    <w:adjustRightInd w:val="0"/>
                    <w:snapToGrid w:val="0"/>
                    <w:jc w:val="center"/>
                    <w:rPr>
                      <w:bCs/>
                      <w:spacing w:val="-10"/>
                      <w:szCs w:val="21"/>
                    </w:rPr>
                  </w:pPr>
                  <w:r>
                    <w:rPr>
                      <w:rFonts w:hint="eastAsia"/>
                      <w:bCs/>
                      <w:spacing w:val="-10"/>
                      <w:szCs w:val="21"/>
                    </w:rPr>
                    <w:t>噪声源强</w:t>
                  </w:r>
                </w:p>
              </w:tc>
              <w:tc>
                <w:tcPr>
                  <w:tcW w:w="935" w:type="pct"/>
                  <w:vAlign w:val="center"/>
                </w:tcPr>
                <w:p>
                  <w:pPr>
                    <w:adjustRightInd w:val="0"/>
                    <w:snapToGrid w:val="0"/>
                    <w:jc w:val="center"/>
                    <w:rPr>
                      <w:bCs/>
                      <w:spacing w:val="-10"/>
                      <w:szCs w:val="21"/>
                    </w:rPr>
                  </w:pPr>
                  <w:r>
                    <w:rPr>
                      <w:rFonts w:hint="eastAsia"/>
                      <w:bCs/>
                      <w:spacing w:val="-10"/>
                      <w:szCs w:val="21"/>
                    </w:rPr>
                    <w:t>持续时间</w:t>
                  </w:r>
                </w:p>
              </w:tc>
              <w:tc>
                <w:tcPr>
                  <w:tcW w:w="876" w:type="pct"/>
                  <w:vAlign w:val="center"/>
                </w:tcPr>
                <w:p>
                  <w:pPr>
                    <w:adjustRightInd w:val="0"/>
                    <w:snapToGrid w:val="0"/>
                    <w:jc w:val="center"/>
                    <w:rPr>
                      <w:bCs/>
                      <w:spacing w:val="-10"/>
                      <w:szCs w:val="21"/>
                    </w:rPr>
                  </w:pPr>
                  <w:r>
                    <w:rPr>
                      <w:rFonts w:hint="eastAsia"/>
                      <w:bCs/>
                      <w:spacing w:val="-10"/>
                      <w:szCs w:val="21"/>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 w:type="pct"/>
                  <w:vAlign w:val="center"/>
                </w:tcPr>
                <w:p>
                  <w:pPr>
                    <w:adjustRightInd w:val="0"/>
                    <w:snapToGrid w:val="0"/>
                    <w:jc w:val="center"/>
                    <w:rPr>
                      <w:bCs/>
                      <w:spacing w:val="-10"/>
                      <w:szCs w:val="21"/>
                    </w:rPr>
                  </w:pPr>
                  <w:r>
                    <w:rPr>
                      <w:rFonts w:hint="eastAsia"/>
                      <w:bCs/>
                      <w:spacing w:val="-10"/>
                      <w:szCs w:val="21"/>
                    </w:rPr>
                    <w:t>1</w:t>
                  </w:r>
                </w:p>
              </w:tc>
              <w:tc>
                <w:tcPr>
                  <w:tcW w:w="1176" w:type="pct"/>
                  <w:vAlign w:val="center"/>
                </w:tcPr>
                <w:p>
                  <w:pPr>
                    <w:keepNext/>
                    <w:keepLines/>
                    <w:widowControl/>
                    <w:jc w:val="center"/>
                    <w:rPr>
                      <w:rFonts w:hint="eastAsia" w:eastAsia="宋体"/>
                      <w:bCs/>
                      <w:spacing w:val="-10"/>
                      <w:szCs w:val="21"/>
                      <w:lang w:eastAsia="zh-CN"/>
                    </w:rPr>
                  </w:pPr>
                  <w:r>
                    <w:rPr>
                      <w:rFonts w:hint="eastAsia"/>
                      <w:szCs w:val="21"/>
                      <w:lang w:val="en-US" w:eastAsia="zh-CN"/>
                    </w:rPr>
                    <w:t>破碎机</w:t>
                  </w:r>
                </w:p>
              </w:tc>
              <w:tc>
                <w:tcPr>
                  <w:tcW w:w="822" w:type="pct"/>
                  <w:vAlign w:val="center"/>
                </w:tcPr>
                <w:p>
                  <w:pPr>
                    <w:adjustRightInd w:val="0"/>
                    <w:snapToGrid w:val="0"/>
                    <w:jc w:val="center"/>
                    <w:rPr>
                      <w:rFonts w:hint="eastAsia" w:eastAsia="宋体"/>
                      <w:bCs/>
                      <w:spacing w:val="-10"/>
                      <w:szCs w:val="21"/>
                      <w:lang w:eastAsia="zh-CN"/>
                    </w:rPr>
                  </w:pPr>
                  <w:r>
                    <w:rPr>
                      <w:rFonts w:hint="eastAsia"/>
                      <w:bCs/>
                      <w:spacing w:val="-10"/>
                      <w:szCs w:val="21"/>
                      <w:lang w:val="en-US" w:eastAsia="zh-CN"/>
                    </w:rPr>
                    <w:t>2</w:t>
                  </w:r>
                </w:p>
              </w:tc>
              <w:tc>
                <w:tcPr>
                  <w:tcW w:w="661" w:type="pct"/>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80</w:t>
                  </w:r>
                </w:p>
              </w:tc>
              <w:tc>
                <w:tcPr>
                  <w:tcW w:w="935" w:type="pct"/>
                  <w:vMerge w:val="restart"/>
                  <w:vAlign w:val="center"/>
                </w:tcPr>
                <w:p>
                  <w:pPr>
                    <w:adjustRightInd w:val="0"/>
                    <w:snapToGrid w:val="0"/>
                    <w:jc w:val="center"/>
                    <w:rPr>
                      <w:bCs/>
                      <w:spacing w:val="-10"/>
                      <w:szCs w:val="21"/>
                    </w:rPr>
                  </w:pPr>
                  <w:r>
                    <w:rPr>
                      <w:rFonts w:hint="eastAsia"/>
                      <w:szCs w:val="21"/>
                    </w:rPr>
                    <w:t>8:00-12:00，14:00-18:00</w:t>
                  </w:r>
                </w:p>
              </w:tc>
              <w:tc>
                <w:tcPr>
                  <w:tcW w:w="876" w:type="pct"/>
                  <w:vMerge w:val="restart"/>
                  <w:vAlign w:val="center"/>
                </w:tcPr>
                <w:p>
                  <w:pPr>
                    <w:adjustRightInd w:val="0"/>
                    <w:snapToGrid w:val="0"/>
                    <w:jc w:val="center"/>
                    <w:rPr>
                      <w:bCs/>
                      <w:spacing w:val="-10"/>
                      <w:szCs w:val="21"/>
                    </w:rPr>
                  </w:pPr>
                  <w:r>
                    <w:rPr>
                      <w:rFonts w:hint="eastAsia"/>
                      <w:bCs/>
                      <w:spacing w:val="-10"/>
                      <w:szCs w:val="21"/>
                    </w:rPr>
                    <w:t>基础减震、厂房隔音、合理布局等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 w:type="pct"/>
                  <w:vAlign w:val="center"/>
                </w:tcPr>
                <w:p>
                  <w:pPr>
                    <w:adjustRightInd w:val="0"/>
                    <w:snapToGrid w:val="0"/>
                    <w:jc w:val="center"/>
                    <w:rPr>
                      <w:bCs/>
                      <w:spacing w:val="-10"/>
                      <w:szCs w:val="21"/>
                    </w:rPr>
                  </w:pPr>
                  <w:r>
                    <w:rPr>
                      <w:rFonts w:hint="eastAsia"/>
                      <w:bCs/>
                      <w:spacing w:val="-10"/>
                      <w:szCs w:val="21"/>
                    </w:rPr>
                    <w:t>2</w:t>
                  </w:r>
                </w:p>
              </w:tc>
              <w:tc>
                <w:tcPr>
                  <w:tcW w:w="1176" w:type="pct"/>
                  <w:vAlign w:val="center"/>
                </w:tcPr>
                <w:p>
                  <w:pPr>
                    <w:keepNext/>
                    <w:keepLines/>
                    <w:widowControl/>
                    <w:jc w:val="center"/>
                    <w:rPr>
                      <w:rFonts w:hint="default" w:eastAsia="宋体"/>
                      <w:bCs/>
                      <w:spacing w:val="-10"/>
                      <w:szCs w:val="21"/>
                      <w:lang w:val="en-US" w:eastAsia="zh-CN"/>
                    </w:rPr>
                  </w:pPr>
                  <w:r>
                    <w:rPr>
                      <w:rFonts w:hint="eastAsia"/>
                      <w:szCs w:val="21"/>
                      <w:lang w:val="en-US" w:eastAsia="zh-CN"/>
                    </w:rPr>
                    <w:t>烘干炉</w:t>
                  </w:r>
                </w:p>
              </w:tc>
              <w:tc>
                <w:tcPr>
                  <w:tcW w:w="822" w:type="pct"/>
                  <w:vAlign w:val="center"/>
                </w:tcPr>
                <w:p>
                  <w:pPr>
                    <w:adjustRightInd w:val="0"/>
                    <w:snapToGrid w:val="0"/>
                    <w:jc w:val="center"/>
                    <w:rPr>
                      <w:rFonts w:hint="eastAsia" w:eastAsia="宋体"/>
                      <w:bCs/>
                      <w:spacing w:val="-10"/>
                      <w:szCs w:val="21"/>
                      <w:lang w:eastAsia="zh-CN"/>
                    </w:rPr>
                  </w:pPr>
                  <w:r>
                    <w:rPr>
                      <w:rFonts w:hint="eastAsia"/>
                      <w:bCs/>
                      <w:spacing w:val="-10"/>
                      <w:szCs w:val="21"/>
                      <w:lang w:val="en-US" w:eastAsia="zh-CN"/>
                    </w:rPr>
                    <w:t>1</w:t>
                  </w:r>
                </w:p>
              </w:tc>
              <w:tc>
                <w:tcPr>
                  <w:tcW w:w="661" w:type="pct"/>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80</w:t>
                  </w:r>
                </w:p>
              </w:tc>
              <w:tc>
                <w:tcPr>
                  <w:tcW w:w="935" w:type="pct"/>
                  <w:vMerge w:val="continue"/>
                  <w:vAlign w:val="center"/>
                </w:tcPr>
                <w:p>
                  <w:pPr>
                    <w:adjustRightInd w:val="0"/>
                    <w:snapToGrid w:val="0"/>
                    <w:jc w:val="center"/>
                    <w:rPr>
                      <w:bCs/>
                      <w:spacing w:val="-10"/>
                      <w:szCs w:val="21"/>
                    </w:rPr>
                  </w:pPr>
                </w:p>
              </w:tc>
              <w:tc>
                <w:tcPr>
                  <w:tcW w:w="876" w:type="pct"/>
                  <w:vMerge w:val="continue"/>
                  <w:vAlign w:val="center"/>
                </w:tcPr>
                <w:p>
                  <w:pPr>
                    <w:adjustRightInd w:val="0"/>
                    <w:snapToGrid w:val="0"/>
                    <w:jc w:val="center"/>
                    <w:rPr>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 w:type="pct"/>
                  <w:vAlign w:val="center"/>
                </w:tcPr>
                <w:p>
                  <w:pPr>
                    <w:adjustRightInd w:val="0"/>
                    <w:snapToGrid w:val="0"/>
                    <w:jc w:val="center"/>
                    <w:rPr>
                      <w:bCs/>
                      <w:spacing w:val="-10"/>
                      <w:szCs w:val="21"/>
                    </w:rPr>
                  </w:pPr>
                  <w:r>
                    <w:rPr>
                      <w:rFonts w:hint="eastAsia"/>
                      <w:bCs/>
                      <w:spacing w:val="-10"/>
                      <w:szCs w:val="21"/>
                    </w:rPr>
                    <w:t>3</w:t>
                  </w:r>
                </w:p>
              </w:tc>
              <w:tc>
                <w:tcPr>
                  <w:tcW w:w="1176" w:type="pct"/>
                  <w:vAlign w:val="center"/>
                </w:tcPr>
                <w:p>
                  <w:pPr>
                    <w:keepNext/>
                    <w:keepLines/>
                    <w:widowControl/>
                    <w:jc w:val="center"/>
                    <w:rPr>
                      <w:rFonts w:hint="default" w:eastAsia="宋体"/>
                      <w:bCs/>
                      <w:spacing w:val="-10"/>
                      <w:szCs w:val="21"/>
                      <w:lang w:val="en-US" w:eastAsia="zh-CN"/>
                    </w:rPr>
                  </w:pPr>
                  <w:r>
                    <w:rPr>
                      <w:rFonts w:hint="eastAsia"/>
                      <w:szCs w:val="21"/>
                      <w:lang w:val="en-US" w:eastAsia="zh-CN"/>
                    </w:rPr>
                    <w:t>制棒机</w:t>
                  </w:r>
                </w:p>
              </w:tc>
              <w:tc>
                <w:tcPr>
                  <w:tcW w:w="822" w:type="pct"/>
                  <w:vAlign w:val="center"/>
                </w:tcPr>
                <w:p>
                  <w:pPr>
                    <w:adjustRightInd w:val="0"/>
                    <w:snapToGrid w:val="0"/>
                    <w:jc w:val="center"/>
                    <w:rPr>
                      <w:rFonts w:hint="eastAsia" w:eastAsia="宋体"/>
                      <w:bCs/>
                      <w:spacing w:val="-10"/>
                      <w:szCs w:val="21"/>
                      <w:lang w:eastAsia="zh-CN"/>
                    </w:rPr>
                  </w:pPr>
                  <w:r>
                    <w:rPr>
                      <w:rFonts w:hint="eastAsia"/>
                      <w:bCs/>
                      <w:spacing w:val="-10"/>
                      <w:szCs w:val="21"/>
                      <w:lang w:val="en-US" w:eastAsia="zh-CN"/>
                    </w:rPr>
                    <w:t>1</w:t>
                  </w:r>
                </w:p>
              </w:tc>
              <w:tc>
                <w:tcPr>
                  <w:tcW w:w="661" w:type="pct"/>
                  <w:vAlign w:val="center"/>
                </w:tcPr>
                <w:p>
                  <w:pPr>
                    <w:adjustRightInd w:val="0"/>
                    <w:snapToGrid w:val="0"/>
                    <w:jc w:val="center"/>
                    <w:rPr>
                      <w:bCs/>
                      <w:spacing w:val="-10"/>
                      <w:szCs w:val="21"/>
                    </w:rPr>
                  </w:pPr>
                  <w:r>
                    <w:rPr>
                      <w:rFonts w:hint="eastAsia"/>
                      <w:bCs/>
                      <w:spacing w:val="-10"/>
                      <w:szCs w:val="21"/>
                    </w:rPr>
                    <w:t>85</w:t>
                  </w:r>
                </w:p>
              </w:tc>
              <w:tc>
                <w:tcPr>
                  <w:tcW w:w="935" w:type="pct"/>
                  <w:vMerge w:val="continue"/>
                  <w:vAlign w:val="center"/>
                </w:tcPr>
                <w:p>
                  <w:pPr>
                    <w:adjustRightInd w:val="0"/>
                    <w:snapToGrid w:val="0"/>
                    <w:jc w:val="center"/>
                    <w:rPr>
                      <w:bCs/>
                      <w:spacing w:val="-10"/>
                      <w:szCs w:val="21"/>
                    </w:rPr>
                  </w:pPr>
                </w:p>
              </w:tc>
              <w:tc>
                <w:tcPr>
                  <w:tcW w:w="876" w:type="pct"/>
                  <w:vMerge w:val="continue"/>
                  <w:vAlign w:val="center"/>
                </w:tcPr>
                <w:p>
                  <w:pPr>
                    <w:adjustRightInd w:val="0"/>
                    <w:snapToGrid w:val="0"/>
                    <w:jc w:val="center"/>
                    <w:rPr>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 w:type="pct"/>
                  <w:vAlign w:val="center"/>
                </w:tcPr>
                <w:p>
                  <w:pPr>
                    <w:adjustRightInd w:val="0"/>
                    <w:snapToGrid w:val="0"/>
                    <w:jc w:val="center"/>
                    <w:rPr>
                      <w:bCs/>
                      <w:spacing w:val="-10"/>
                      <w:szCs w:val="21"/>
                    </w:rPr>
                  </w:pPr>
                  <w:r>
                    <w:rPr>
                      <w:rFonts w:hint="eastAsia"/>
                      <w:bCs/>
                      <w:spacing w:val="-10"/>
                      <w:szCs w:val="21"/>
                    </w:rPr>
                    <w:t>4</w:t>
                  </w:r>
                </w:p>
              </w:tc>
              <w:tc>
                <w:tcPr>
                  <w:tcW w:w="1176" w:type="pct"/>
                  <w:vAlign w:val="center"/>
                </w:tcPr>
                <w:p>
                  <w:pPr>
                    <w:keepNext/>
                    <w:keepLines/>
                    <w:widowControl/>
                    <w:jc w:val="center"/>
                    <w:rPr>
                      <w:szCs w:val="21"/>
                    </w:rPr>
                  </w:pPr>
                  <w:r>
                    <w:rPr>
                      <w:rFonts w:hint="eastAsia"/>
                      <w:szCs w:val="21"/>
                    </w:rPr>
                    <w:t>风机</w:t>
                  </w:r>
                </w:p>
              </w:tc>
              <w:tc>
                <w:tcPr>
                  <w:tcW w:w="822" w:type="pct"/>
                  <w:vAlign w:val="center"/>
                </w:tcPr>
                <w:p>
                  <w:pPr>
                    <w:adjustRightInd w:val="0"/>
                    <w:snapToGrid w:val="0"/>
                    <w:jc w:val="center"/>
                    <w:rPr>
                      <w:rFonts w:hint="eastAsia" w:eastAsia="宋体"/>
                      <w:bCs/>
                      <w:spacing w:val="-10"/>
                      <w:szCs w:val="21"/>
                      <w:lang w:eastAsia="zh-CN"/>
                    </w:rPr>
                  </w:pPr>
                  <w:r>
                    <w:rPr>
                      <w:rFonts w:hint="eastAsia"/>
                      <w:bCs/>
                      <w:spacing w:val="-10"/>
                      <w:szCs w:val="21"/>
                      <w:lang w:val="en-US" w:eastAsia="zh-CN"/>
                    </w:rPr>
                    <w:t>2</w:t>
                  </w:r>
                </w:p>
              </w:tc>
              <w:tc>
                <w:tcPr>
                  <w:tcW w:w="661" w:type="pct"/>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90</w:t>
                  </w:r>
                </w:p>
              </w:tc>
              <w:tc>
                <w:tcPr>
                  <w:tcW w:w="935" w:type="pct"/>
                  <w:vMerge w:val="continue"/>
                  <w:vAlign w:val="center"/>
                </w:tcPr>
                <w:p>
                  <w:pPr>
                    <w:adjustRightInd w:val="0"/>
                    <w:snapToGrid w:val="0"/>
                    <w:jc w:val="center"/>
                    <w:rPr>
                      <w:bCs/>
                      <w:spacing w:val="-10"/>
                      <w:szCs w:val="21"/>
                    </w:rPr>
                  </w:pPr>
                </w:p>
              </w:tc>
              <w:tc>
                <w:tcPr>
                  <w:tcW w:w="876" w:type="pct"/>
                  <w:vMerge w:val="continue"/>
                  <w:vAlign w:val="center"/>
                </w:tcPr>
                <w:p>
                  <w:pPr>
                    <w:adjustRightInd w:val="0"/>
                    <w:snapToGrid w:val="0"/>
                    <w:jc w:val="center"/>
                    <w:rPr>
                      <w:bCs/>
                      <w:spacing w:val="-10"/>
                      <w:szCs w:val="21"/>
                    </w:rPr>
                  </w:pPr>
                </w:p>
              </w:tc>
            </w:tr>
          </w:tbl>
          <w:p>
            <w:pPr>
              <w:adjustRightInd w:val="0"/>
              <w:snapToGrid w:val="0"/>
              <w:spacing w:line="360" w:lineRule="auto"/>
              <w:ind w:firstLine="442" w:firstLineChars="200"/>
              <w:rPr>
                <w:bCs/>
                <w:spacing w:val="-10"/>
                <w:sz w:val="24"/>
              </w:rPr>
            </w:pPr>
            <w:r>
              <w:rPr>
                <w:rFonts w:hint="eastAsia"/>
                <w:b/>
                <w:spacing w:val="-10"/>
                <w:sz w:val="24"/>
              </w:rPr>
              <w:t>3.2噪声预测</w:t>
            </w:r>
          </w:p>
          <w:p>
            <w:pPr>
              <w:spacing w:line="360" w:lineRule="auto"/>
              <w:ind w:firstLine="480"/>
              <w:rPr>
                <w:color w:val="000000"/>
                <w:kern w:val="1"/>
                <w:sz w:val="24"/>
              </w:rPr>
            </w:pPr>
            <w:r>
              <w:rPr>
                <w:color w:val="000000"/>
                <w:kern w:val="1"/>
                <w:sz w:val="24"/>
              </w:rPr>
              <w:t>根据《环境影响评价技术导则 声环境》（HJ2.4-2009）的技术要求，本次评价采取导则推荐模式。预测忽略大气吸收及障碍性屏障、阻隔作用，只考虑声源以自由声场的形式传播。衰减模式为：</w:t>
            </w:r>
          </w:p>
          <w:p>
            <w:pPr>
              <w:spacing w:line="360" w:lineRule="auto"/>
              <w:ind w:firstLine="480"/>
              <w:rPr>
                <w:color w:val="FF0000"/>
                <w:kern w:val="1"/>
                <w:szCs w:val="21"/>
              </w:rPr>
            </w:pPr>
            <w:r>
              <w:rPr>
                <w:color w:val="FF0000"/>
                <w:kern w:val="1"/>
                <w:szCs w:val="21"/>
              </w:rPr>
              <w:drawing>
                <wp:inline distT="0" distB="0" distL="114300" distR="114300">
                  <wp:extent cx="2085975" cy="504825"/>
                  <wp:effectExtent l="0" t="0" r="9525" b="952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5"/>
                          <a:stretch>
                            <a:fillRect/>
                          </a:stretch>
                        </pic:blipFill>
                        <pic:spPr>
                          <a:xfrm>
                            <a:off x="0" y="0"/>
                            <a:ext cx="2085975" cy="504825"/>
                          </a:xfrm>
                          <a:prstGeom prst="rect">
                            <a:avLst/>
                          </a:prstGeom>
                          <a:noFill/>
                          <a:ln>
                            <a:noFill/>
                          </a:ln>
                        </pic:spPr>
                      </pic:pic>
                    </a:graphicData>
                  </a:graphic>
                </wp:inline>
              </w:drawing>
            </w:r>
          </w:p>
          <w:p>
            <w:pPr>
              <w:spacing w:line="360" w:lineRule="auto"/>
              <w:ind w:firstLine="480"/>
              <w:rPr>
                <w:color w:val="000000"/>
                <w:kern w:val="1"/>
                <w:sz w:val="24"/>
              </w:rPr>
            </w:pPr>
            <w:r>
              <w:rPr>
                <w:color w:val="000000"/>
                <w:kern w:val="1"/>
                <w:sz w:val="24"/>
              </w:rPr>
              <w:t>式中：L</w:t>
            </w:r>
            <w:r>
              <w:rPr>
                <w:color w:val="000000"/>
                <w:kern w:val="1"/>
                <w:sz w:val="24"/>
                <w:vertAlign w:val="subscript"/>
              </w:rPr>
              <w:t>P</w:t>
            </w:r>
            <w:r>
              <w:rPr>
                <w:color w:val="000000"/>
                <w:kern w:val="1"/>
                <w:sz w:val="24"/>
              </w:rPr>
              <w:t xml:space="preserve">—预测点声级值，dB(A)；  </w:t>
            </w:r>
          </w:p>
          <w:p>
            <w:pPr>
              <w:spacing w:line="360" w:lineRule="auto"/>
              <w:ind w:firstLine="480"/>
              <w:rPr>
                <w:color w:val="000000"/>
                <w:kern w:val="1"/>
                <w:sz w:val="24"/>
              </w:rPr>
            </w:pPr>
            <w:r>
              <w:rPr>
                <w:color w:val="000000"/>
                <w:kern w:val="1"/>
                <w:sz w:val="24"/>
              </w:rPr>
              <w:t>L</w:t>
            </w:r>
            <w:r>
              <w:rPr>
                <w:color w:val="000000"/>
                <w:kern w:val="1"/>
                <w:sz w:val="24"/>
                <w:vertAlign w:val="subscript"/>
              </w:rPr>
              <w:t>P0</w:t>
            </w:r>
            <w:r>
              <w:rPr>
                <w:color w:val="000000"/>
                <w:kern w:val="1"/>
                <w:sz w:val="24"/>
              </w:rPr>
              <w:t xml:space="preserve">—已知参考点声级，dB(A)；  </w:t>
            </w:r>
          </w:p>
          <w:p>
            <w:pPr>
              <w:spacing w:line="360" w:lineRule="auto"/>
              <w:ind w:firstLine="480"/>
              <w:rPr>
                <w:color w:val="000000"/>
                <w:kern w:val="1"/>
                <w:sz w:val="24"/>
              </w:rPr>
            </w:pPr>
            <w:r>
              <w:rPr>
                <w:color w:val="000000"/>
                <w:kern w:val="1"/>
                <w:sz w:val="24"/>
              </w:rPr>
              <w:t xml:space="preserve">r—预测点到声源的距离，m；  </w:t>
            </w:r>
          </w:p>
          <w:p>
            <w:pPr>
              <w:spacing w:line="360" w:lineRule="auto"/>
              <w:ind w:firstLine="480"/>
              <w:rPr>
                <w:color w:val="000000"/>
                <w:kern w:val="1"/>
                <w:sz w:val="24"/>
              </w:rPr>
            </w:pPr>
            <w:r>
              <w:rPr>
                <w:color w:val="000000"/>
                <w:kern w:val="1"/>
                <w:sz w:val="24"/>
              </w:rPr>
              <w:t>r</w:t>
            </w:r>
            <w:r>
              <w:rPr>
                <w:color w:val="000000"/>
                <w:kern w:val="1"/>
                <w:sz w:val="24"/>
                <w:vertAlign w:val="subscript"/>
              </w:rPr>
              <w:t>0</w:t>
            </w:r>
            <w:r>
              <w:rPr>
                <w:color w:val="000000"/>
                <w:kern w:val="1"/>
                <w:sz w:val="24"/>
              </w:rPr>
              <w:t xml:space="preserve">—已知参考点到声源的距离，m。  </w:t>
            </w:r>
          </w:p>
          <w:p>
            <w:pPr>
              <w:spacing w:line="360" w:lineRule="auto"/>
              <w:ind w:firstLine="480"/>
              <w:rPr>
                <w:color w:val="000000"/>
                <w:kern w:val="1"/>
                <w:sz w:val="24"/>
              </w:rPr>
            </w:pPr>
            <w:r>
              <w:rPr>
                <w:rFonts w:hint="eastAsia"/>
                <w:color w:val="000000"/>
                <w:kern w:val="1"/>
                <w:sz w:val="24"/>
              </w:rPr>
              <w:t>△L——各种因素引起的衰减值，本项目取值20dB（A）。</w:t>
            </w:r>
          </w:p>
          <w:p>
            <w:pPr>
              <w:spacing w:line="360" w:lineRule="auto"/>
              <w:ind w:firstLine="480"/>
              <w:rPr>
                <w:color w:val="000000"/>
                <w:kern w:val="1"/>
                <w:sz w:val="24"/>
              </w:rPr>
            </w:pPr>
            <w:r>
              <w:rPr>
                <w:color w:val="000000"/>
                <w:kern w:val="1"/>
                <w:sz w:val="24"/>
              </w:rPr>
              <w:t xml:space="preserve">在噪声源众多的情况下，某预测点的声压级为各噪声对该受声点的噪声级分贝值叠加之和。计算式：   </w:t>
            </w:r>
          </w:p>
          <w:p>
            <w:pPr>
              <w:spacing w:line="360" w:lineRule="auto"/>
              <w:ind w:firstLine="480"/>
              <w:rPr>
                <w:color w:val="000000"/>
                <w:kern w:val="1"/>
                <w:szCs w:val="21"/>
              </w:rPr>
            </w:pPr>
            <w:r>
              <w:rPr>
                <w:color w:val="000000"/>
                <w:kern w:val="1"/>
                <w:szCs w:val="21"/>
              </w:rPr>
              <w:drawing>
                <wp:inline distT="0" distB="0" distL="114300" distR="114300">
                  <wp:extent cx="1647825" cy="571500"/>
                  <wp:effectExtent l="0" t="0" r="9525" b="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6"/>
                          <a:stretch>
                            <a:fillRect/>
                          </a:stretch>
                        </pic:blipFill>
                        <pic:spPr>
                          <a:xfrm>
                            <a:off x="0" y="0"/>
                            <a:ext cx="1647825" cy="571500"/>
                          </a:xfrm>
                          <a:prstGeom prst="rect">
                            <a:avLst/>
                          </a:prstGeom>
                          <a:noFill/>
                          <a:ln>
                            <a:noFill/>
                          </a:ln>
                        </pic:spPr>
                      </pic:pic>
                    </a:graphicData>
                  </a:graphic>
                </wp:inline>
              </w:drawing>
            </w:r>
          </w:p>
          <w:p>
            <w:pPr>
              <w:spacing w:line="360" w:lineRule="auto"/>
              <w:ind w:firstLine="480"/>
              <w:rPr>
                <w:color w:val="000000"/>
                <w:kern w:val="1"/>
                <w:sz w:val="24"/>
              </w:rPr>
            </w:pPr>
            <w:r>
              <w:rPr>
                <w:color w:val="000000"/>
                <w:kern w:val="1"/>
                <w:sz w:val="24"/>
              </w:rPr>
              <w:t xml:space="preserve">式中：L——某点噪声总叠加值，dB(A)；  </w:t>
            </w:r>
          </w:p>
          <w:p>
            <w:pPr>
              <w:spacing w:line="360" w:lineRule="auto"/>
              <w:ind w:firstLine="480"/>
              <w:rPr>
                <w:color w:val="000000"/>
                <w:kern w:val="1"/>
                <w:sz w:val="24"/>
              </w:rPr>
            </w:pPr>
            <w:r>
              <w:rPr>
                <w:color w:val="000000"/>
                <w:kern w:val="1"/>
                <w:sz w:val="24"/>
              </w:rPr>
              <w:t xml:space="preserve">Li——第 i 个声源在预测点产生的 A 声级；  </w:t>
            </w:r>
          </w:p>
          <w:p>
            <w:pPr>
              <w:spacing w:line="360" w:lineRule="auto"/>
              <w:ind w:firstLine="480"/>
              <w:rPr>
                <w:color w:val="000000"/>
                <w:kern w:val="1"/>
                <w:sz w:val="24"/>
              </w:rPr>
            </w:pPr>
            <w:r>
              <w:rPr>
                <w:color w:val="000000"/>
                <w:kern w:val="1"/>
                <w:sz w:val="24"/>
              </w:rPr>
              <w:t xml:space="preserve">N——为噪声源的个数。  </w:t>
            </w:r>
          </w:p>
          <w:p>
            <w:pPr>
              <w:pStyle w:val="27"/>
              <w:spacing w:line="360" w:lineRule="auto"/>
              <w:ind w:firstLine="480" w:firstLineChars="200"/>
              <w:rPr>
                <w:rFonts w:ascii="Times New Roman" w:cs="Times New Roman"/>
              </w:rPr>
            </w:pPr>
            <w:r>
              <w:rPr>
                <w:rFonts w:hint="eastAsia" w:ascii="Times New Roman" w:cs="Times New Roman"/>
              </w:rPr>
              <w:t>本项目噪声源强主要来自生产车间，根据《环境影响评价技术导则声环境》（HJ2.4-2009），新建项目以工程噪声贡献值作为评价量。根据点源叠加原理，将集中在生产车间的主要高噪声设成一个点源，经计算噪声源强约为9</w:t>
            </w:r>
            <w:r>
              <w:rPr>
                <w:rFonts w:hint="eastAsia" w:ascii="Times New Roman" w:cs="Times New Roman"/>
                <w:lang w:val="en-US" w:eastAsia="zh-CN"/>
              </w:rPr>
              <w:t>4.18</w:t>
            </w:r>
            <w:r>
              <w:rPr>
                <w:rFonts w:hint="eastAsia" w:ascii="Times New Roman" w:cs="Times New Roman"/>
              </w:rPr>
              <w:t>dB（A）。该点源至生产车间的四周厂界和</w:t>
            </w:r>
            <w:r>
              <w:rPr>
                <w:rFonts w:hint="eastAsia" w:ascii="Times New Roman" w:cs="Times New Roman"/>
                <w:lang w:eastAsia="zh-CN"/>
              </w:rPr>
              <w:t>最近</w:t>
            </w:r>
            <w:r>
              <w:rPr>
                <w:rFonts w:hint="eastAsia" w:ascii="Times New Roman" w:cs="Times New Roman"/>
              </w:rPr>
              <w:t>敏感点的预测值计算结果见下表</w:t>
            </w:r>
            <w:r>
              <w:rPr>
                <w:rFonts w:ascii="Times New Roman" w:cs="Times New Roman"/>
              </w:rPr>
              <w:t>。</w:t>
            </w:r>
          </w:p>
          <w:p>
            <w:pPr>
              <w:pStyle w:val="56"/>
              <w:adjustRightInd/>
              <w:snapToGrid/>
              <w:spacing w:line="240" w:lineRule="auto"/>
              <w:rPr>
                <w:sz w:val="21"/>
                <w:szCs w:val="21"/>
              </w:rPr>
            </w:pPr>
            <w:r>
              <w:rPr>
                <w:sz w:val="21"/>
                <w:szCs w:val="21"/>
              </w:rPr>
              <w:t>表4-</w:t>
            </w:r>
            <w:r>
              <w:rPr>
                <w:rFonts w:hint="eastAsia"/>
                <w:sz w:val="21"/>
                <w:szCs w:val="21"/>
                <w:lang w:val="en-US" w:eastAsia="zh-CN"/>
              </w:rPr>
              <w:t>8</w:t>
            </w:r>
            <w:r>
              <w:rPr>
                <w:sz w:val="21"/>
                <w:szCs w:val="21"/>
              </w:rPr>
              <w:t xml:space="preserve">  项目厂界噪声贡献值 </w:t>
            </w:r>
            <w:r>
              <w:rPr>
                <w:rFonts w:hint="eastAsia"/>
                <w:sz w:val="21"/>
                <w:szCs w:val="21"/>
              </w:rPr>
              <w:t>声源单位：</w:t>
            </w:r>
            <w:r>
              <w:rPr>
                <w:szCs w:val="22"/>
              </w:rPr>
              <w:t>dB</w:t>
            </w:r>
            <w:r>
              <w:rPr>
                <w:rFonts w:hint="eastAsia"/>
                <w:szCs w:val="22"/>
              </w:rPr>
              <w:t>（A）</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733"/>
              <w:gridCol w:w="733"/>
              <w:gridCol w:w="451"/>
              <w:gridCol w:w="708"/>
              <w:gridCol w:w="451"/>
              <w:gridCol w:w="708"/>
              <w:gridCol w:w="477"/>
              <w:gridCol w:w="708"/>
              <w:gridCol w:w="477"/>
              <w:gridCol w:w="708"/>
              <w:gridCol w:w="477"/>
              <w:gridCol w:w="6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restart"/>
                  <w:vAlign w:val="center"/>
                </w:tcPr>
                <w:p>
                  <w:pPr>
                    <w:pStyle w:val="47"/>
                    <w:rPr>
                      <w:szCs w:val="22"/>
                    </w:rPr>
                  </w:pPr>
                  <w:r>
                    <w:rPr>
                      <w:szCs w:val="22"/>
                    </w:rPr>
                    <w:t>噪声</w:t>
                  </w:r>
                </w:p>
                <w:p>
                  <w:pPr>
                    <w:pStyle w:val="47"/>
                    <w:rPr>
                      <w:szCs w:val="22"/>
                    </w:rPr>
                  </w:pPr>
                  <w:r>
                    <w:rPr>
                      <w:szCs w:val="22"/>
                    </w:rPr>
                    <w:t>源</w:t>
                  </w:r>
                </w:p>
              </w:tc>
              <w:tc>
                <w:tcPr>
                  <w:tcW w:w="0" w:type="auto"/>
                  <w:vMerge w:val="restart"/>
                  <w:vAlign w:val="center"/>
                </w:tcPr>
                <w:p>
                  <w:pPr>
                    <w:pStyle w:val="47"/>
                    <w:rPr>
                      <w:szCs w:val="22"/>
                    </w:rPr>
                  </w:pPr>
                  <w:r>
                    <w:rPr>
                      <w:szCs w:val="22"/>
                    </w:rPr>
                    <w:t>声源强度</w:t>
                  </w:r>
                </w:p>
              </w:tc>
              <w:tc>
                <w:tcPr>
                  <w:tcW w:w="0" w:type="auto"/>
                  <w:vMerge w:val="restart"/>
                  <w:vAlign w:val="center"/>
                </w:tcPr>
                <w:p>
                  <w:pPr>
                    <w:pStyle w:val="47"/>
                    <w:rPr>
                      <w:szCs w:val="22"/>
                    </w:rPr>
                  </w:pPr>
                  <w:r>
                    <w:rPr>
                      <w:szCs w:val="22"/>
                    </w:rPr>
                    <w:t>经处理后</w:t>
                  </w:r>
                </w:p>
              </w:tc>
              <w:tc>
                <w:tcPr>
                  <w:tcW w:w="0" w:type="auto"/>
                  <w:gridSpan w:val="2"/>
                  <w:vAlign w:val="center"/>
                </w:tcPr>
                <w:p>
                  <w:pPr>
                    <w:pStyle w:val="47"/>
                    <w:rPr>
                      <w:szCs w:val="22"/>
                    </w:rPr>
                  </w:pPr>
                  <w:r>
                    <w:rPr>
                      <w:szCs w:val="22"/>
                    </w:rPr>
                    <w:t>东</w:t>
                  </w:r>
                  <w:r>
                    <w:rPr>
                      <w:rFonts w:hint="eastAsia"/>
                      <w:szCs w:val="22"/>
                      <w:lang w:val="en-US" w:eastAsia="zh-CN"/>
                    </w:rPr>
                    <w:t>北</w:t>
                  </w:r>
                  <w:r>
                    <w:rPr>
                      <w:szCs w:val="22"/>
                    </w:rPr>
                    <w:t>厂界</w:t>
                  </w:r>
                </w:p>
              </w:tc>
              <w:tc>
                <w:tcPr>
                  <w:tcW w:w="0" w:type="auto"/>
                  <w:gridSpan w:val="2"/>
                  <w:vAlign w:val="center"/>
                </w:tcPr>
                <w:p>
                  <w:pPr>
                    <w:pStyle w:val="47"/>
                    <w:rPr>
                      <w:szCs w:val="22"/>
                    </w:rPr>
                  </w:pPr>
                  <w:r>
                    <w:rPr>
                      <w:rFonts w:hint="eastAsia"/>
                      <w:szCs w:val="22"/>
                      <w:lang w:val="en-US" w:eastAsia="zh-CN"/>
                    </w:rPr>
                    <w:t>东</w:t>
                  </w:r>
                  <w:r>
                    <w:rPr>
                      <w:szCs w:val="22"/>
                    </w:rPr>
                    <w:t>南厂界</w:t>
                  </w:r>
                </w:p>
              </w:tc>
              <w:tc>
                <w:tcPr>
                  <w:tcW w:w="0" w:type="auto"/>
                  <w:gridSpan w:val="2"/>
                  <w:vAlign w:val="center"/>
                </w:tcPr>
                <w:p>
                  <w:pPr>
                    <w:pStyle w:val="47"/>
                    <w:rPr>
                      <w:szCs w:val="22"/>
                    </w:rPr>
                  </w:pPr>
                  <w:r>
                    <w:rPr>
                      <w:szCs w:val="22"/>
                    </w:rPr>
                    <w:t>西</w:t>
                  </w:r>
                  <w:r>
                    <w:rPr>
                      <w:rFonts w:hint="eastAsia"/>
                      <w:szCs w:val="22"/>
                      <w:lang w:val="en-US" w:eastAsia="zh-CN"/>
                    </w:rPr>
                    <w:t>南</w:t>
                  </w:r>
                  <w:r>
                    <w:rPr>
                      <w:szCs w:val="22"/>
                    </w:rPr>
                    <w:t>厂界</w:t>
                  </w:r>
                </w:p>
              </w:tc>
              <w:tc>
                <w:tcPr>
                  <w:tcW w:w="0" w:type="auto"/>
                  <w:gridSpan w:val="2"/>
                  <w:vAlign w:val="center"/>
                </w:tcPr>
                <w:p>
                  <w:pPr>
                    <w:pStyle w:val="47"/>
                    <w:rPr>
                      <w:szCs w:val="22"/>
                    </w:rPr>
                  </w:pPr>
                  <w:r>
                    <w:rPr>
                      <w:rFonts w:hint="eastAsia"/>
                      <w:szCs w:val="22"/>
                      <w:lang w:val="en-US" w:eastAsia="zh-CN"/>
                    </w:rPr>
                    <w:t>西</w:t>
                  </w:r>
                  <w:r>
                    <w:rPr>
                      <w:szCs w:val="22"/>
                    </w:rPr>
                    <w:t>北厂界</w:t>
                  </w:r>
                </w:p>
              </w:tc>
              <w:tc>
                <w:tcPr>
                  <w:tcW w:w="0" w:type="auto"/>
                  <w:gridSpan w:val="3"/>
                  <w:vAlign w:val="center"/>
                </w:tcPr>
                <w:p>
                  <w:pPr>
                    <w:pStyle w:val="47"/>
                    <w:rPr>
                      <w:rFonts w:hint="default" w:eastAsia="宋体"/>
                      <w:szCs w:val="22"/>
                      <w:lang w:val="en-US" w:eastAsia="zh-CN"/>
                    </w:rPr>
                  </w:pPr>
                  <w:r>
                    <w:rPr>
                      <w:rFonts w:hint="eastAsia"/>
                      <w:szCs w:val="22"/>
                      <w:lang w:val="en-US" w:eastAsia="zh-CN"/>
                    </w:rPr>
                    <w:t>东北侧20m处居民点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vAlign w:val="center"/>
                </w:tcPr>
                <w:p>
                  <w:pPr>
                    <w:pStyle w:val="47"/>
                    <w:rPr>
                      <w:szCs w:val="22"/>
                    </w:rPr>
                  </w:pPr>
                </w:p>
              </w:tc>
              <w:tc>
                <w:tcPr>
                  <w:tcW w:w="0" w:type="auto"/>
                  <w:vMerge w:val="continue"/>
                  <w:vAlign w:val="center"/>
                </w:tcPr>
                <w:p>
                  <w:pPr>
                    <w:pStyle w:val="47"/>
                    <w:rPr>
                      <w:szCs w:val="22"/>
                    </w:rPr>
                  </w:pPr>
                </w:p>
              </w:tc>
              <w:tc>
                <w:tcPr>
                  <w:tcW w:w="0" w:type="auto"/>
                  <w:vMerge w:val="continue"/>
                  <w:vAlign w:val="center"/>
                </w:tcPr>
                <w:p>
                  <w:pPr>
                    <w:pStyle w:val="47"/>
                    <w:rPr>
                      <w:szCs w:val="22"/>
                    </w:rPr>
                  </w:pPr>
                </w:p>
              </w:tc>
              <w:tc>
                <w:tcPr>
                  <w:tcW w:w="0" w:type="auto"/>
                  <w:vAlign w:val="center"/>
                </w:tcPr>
                <w:p>
                  <w:pPr>
                    <w:pStyle w:val="47"/>
                    <w:rPr>
                      <w:szCs w:val="22"/>
                    </w:rPr>
                  </w:pPr>
                  <w:r>
                    <w:rPr>
                      <w:szCs w:val="22"/>
                    </w:rPr>
                    <w:t>距离</w:t>
                  </w:r>
                </w:p>
                <w:p>
                  <w:pPr>
                    <w:pStyle w:val="47"/>
                    <w:rPr>
                      <w:szCs w:val="22"/>
                    </w:rPr>
                  </w:pPr>
                  <w:r>
                    <w:rPr>
                      <w:szCs w:val="22"/>
                    </w:rPr>
                    <w:t>m</w:t>
                  </w:r>
                </w:p>
              </w:tc>
              <w:tc>
                <w:tcPr>
                  <w:tcW w:w="0" w:type="auto"/>
                  <w:vAlign w:val="center"/>
                </w:tcPr>
                <w:p>
                  <w:pPr>
                    <w:pStyle w:val="47"/>
                    <w:rPr>
                      <w:szCs w:val="22"/>
                    </w:rPr>
                  </w:pPr>
                  <w:r>
                    <w:rPr>
                      <w:szCs w:val="22"/>
                    </w:rPr>
                    <w:t>贡献值</w:t>
                  </w:r>
                </w:p>
              </w:tc>
              <w:tc>
                <w:tcPr>
                  <w:tcW w:w="0" w:type="auto"/>
                  <w:vAlign w:val="center"/>
                </w:tcPr>
                <w:p>
                  <w:pPr>
                    <w:pStyle w:val="47"/>
                    <w:rPr>
                      <w:szCs w:val="22"/>
                    </w:rPr>
                  </w:pPr>
                  <w:r>
                    <w:rPr>
                      <w:szCs w:val="22"/>
                    </w:rPr>
                    <w:t>距离</w:t>
                  </w:r>
                </w:p>
                <w:p>
                  <w:pPr>
                    <w:pStyle w:val="47"/>
                    <w:rPr>
                      <w:szCs w:val="22"/>
                    </w:rPr>
                  </w:pPr>
                  <w:r>
                    <w:rPr>
                      <w:szCs w:val="22"/>
                    </w:rPr>
                    <w:t>m</w:t>
                  </w:r>
                </w:p>
              </w:tc>
              <w:tc>
                <w:tcPr>
                  <w:tcW w:w="0" w:type="auto"/>
                  <w:vAlign w:val="center"/>
                </w:tcPr>
                <w:p>
                  <w:pPr>
                    <w:pStyle w:val="47"/>
                    <w:rPr>
                      <w:szCs w:val="22"/>
                    </w:rPr>
                  </w:pPr>
                  <w:r>
                    <w:rPr>
                      <w:szCs w:val="22"/>
                    </w:rPr>
                    <w:t>贡献值</w:t>
                  </w:r>
                </w:p>
              </w:tc>
              <w:tc>
                <w:tcPr>
                  <w:tcW w:w="0" w:type="auto"/>
                  <w:vAlign w:val="center"/>
                </w:tcPr>
                <w:p>
                  <w:pPr>
                    <w:pStyle w:val="47"/>
                    <w:rPr>
                      <w:szCs w:val="22"/>
                    </w:rPr>
                  </w:pPr>
                  <w:r>
                    <w:rPr>
                      <w:szCs w:val="22"/>
                    </w:rPr>
                    <w:t>距离m</w:t>
                  </w:r>
                </w:p>
              </w:tc>
              <w:tc>
                <w:tcPr>
                  <w:tcW w:w="0" w:type="auto"/>
                  <w:vAlign w:val="center"/>
                </w:tcPr>
                <w:p>
                  <w:pPr>
                    <w:pStyle w:val="47"/>
                    <w:rPr>
                      <w:szCs w:val="22"/>
                    </w:rPr>
                  </w:pPr>
                  <w:r>
                    <w:rPr>
                      <w:szCs w:val="22"/>
                    </w:rPr>
                    <w:t>贡献值</w:t>
                  </w:r>
                </w:p>
              </w:tc>
              <w:tc>
                <w:tcPr>
                  <w:tcW w:w="0" w:type="auto"/>
                  <w:vAlign w:val="center"/>
                </w:tcPr>
                <w:p>
                  <w:pPr>
                    <w:pStyle w:val="47"/>
                    <w:rPr>
                      <w:szCs w:val="22"/>
                    </w:rPr>
                  </w:pPr>
                  <w:r>
                    <w:rPr>
                      <w:szCs w:val="22"/>
                    </w:rPr>
                    <w:t>距离m</w:t>
                  </w:r>
                </w:p>
              </w:tc>
              <w:tc>
                <w:tcPr>
                  <w:tcW w:w="0" w:type="auto"/>
                  <w:vAlign w:val="center"/>
                </w:tcPr>
                <w:p>
                  <w:pPr>
                    <w:pStyle w:val="47"/>
                    <w:rPr>
                      <w:szCs w:val="22"/>
                    </w:rPr>
                  </w:pPr>
                  <w:r>
                    <w:rPr>
                      <w:szCs w:val="22"/>
                    </w:rPr>
                    <w:t>贡献值</w:t>
                  </w:r>
                </w:p>
              </w:tc>
              <w:tc>
                <w:tcPr>
                  <w:tcW w:w="0" w:type="auto"/>
                  <w:vAlign w:val="center"/>
                </w:tcPr>
                <w:p>
                  <w:pPr>
                    <w:pStyle w:val="47"/>
                    <w:rPr>
                      <w:rFonts w:hint="eastAsia" w:eastAsia="宋体"/>
                      <w:szCs w:val="22"/>
                      <w:lang w:val="en-US" w:eastAsia="zh-CN"/>
                    </w:rPr>
                  </w:pPr>
                  <w:r>
                    <w:rPr>
                      <w:rFonts w:hint="eastAsia"/>
                      <w:szCs w:val="22"/>
                      <w:lang w:val="en-US" w:eastAsia="zh-CN"/>
                    </w:rPr>
                    <w:t>距离</w:t>
                  </w:r>
                  <w:r>
                    <w:rPr>
                      <w:szCs w:val="22"/>
                    </w:rPr>
                    <w:t>m</w:t>
                  </w:r>
                </w:p>
              </w:tc>
              <w:tc>
                <w:tcPr>
                  <w:tcW w:w="0" w:type="auto"/>
                  <w:vAlign w:val="center"/>
                </w:tcPr>
                <w:p>
                  <w:pPr>
                    <w:pStyle w:val="47"/>
                    <w:rPr>
                      <w:rFonts w:hint="eastAsia" w:eastAsia="宋体"/>
                      <w:szCs w:val="22"/>
                      <w:lang w:val="en-US" w:eastAsia="zh-CN"/>
                    </w:rPr>
                  </w:pPr>
                  <w:r>
                    <w:rPr>
                      <w:rFonts w:hint="eastAsia"/>
                      <w:szCs w:val="22"/>
                      <w:lang w:val="en-US" w:eastAsia="zh-CN"/>
                    </w:rPr>
                    <w:t>背景值</w:t>
                  </w:r>
                </w:p>
              </w:tc>
              <w:tc>
                <w:tcPr>
                  <w:tcW w:w="0" w:type="auto"/>
                  <w:vAlign w:val="center"/>
                </w:tcPr>
                <w:p>
                  <w:pPr>
                    <w:pStyle w:val="47"/>
                    <w:rPr>
                      <w:rFonts w:hint="eastAsia" w:eastAsia="宋体"/>
                      <w:szCs w:val="22"/>
                      <w:lang w:val="en-US" w:eastAsia="zh-CN"/>
                    </w:rPr>
                  </w:pPr>
                  <w:r>
                    <w:rPr>
                      <w:rFonts w:hint="eastAsia"/>
                      <w:szCs w:val="22"/>
                      <w:lang w:val="en-US" w:eastAsia="zh-CN"/>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pStyle w:val="47"/>
                    <w:rPr>
                      <w:szCs w:val="22"/>
                    </w:rPr>
                  </w:pPr>
                  <w:r>
                    <w:rPr>
                      <w:szCs w:val="22"/>
                    </w:rPr>
                    <w:t>生产</w:t>
                  </w:r>
                  <w:r>
                    <w:rPr>
                      <w:rFonts w:hint="eastAsia"/>
                      <w:szCs w:val="22"/>
                    </w:rPr>
                    <w:t>车间</w:t>
                  </w:r>
                </w:p>
              </w:tc>
              <w:tc>
                <w:tcPr>
                  <w:tcW w:w="0" w:type="auto"/>
                  <w:vAlign w:val="center"/>
                </w:tcPr>
                <w:p>
                  <w:pPr>
                    <w:pStyle w:val="47"/>
                    <w:rPr>
                      <w:rFonts w:hint="default" w:eastAsia="宋体"/>
                      <w:szCs w:val="22"/>
                      <w:lang w:val="en-US" w:eastAsia="zh-CN"/>
                    </w:rPr>
                  </w:pPr>
                  <w:r>
                    <w:rPr>
                      <w:rFonts w:hint="eastAsia"/>
                      <w:szCs w:val="22"/>
                    </w:rPr>
                    <w:t>9</w:t>
                  </w:r>
                  <w:r>
                    <w:rPr>
                      <w:rFonts w:hint="eastAsia"/>
                      <w:szCs w:val="22"/>
                      <w:lang w:val="en-US" w:eastAsia="zh-CN"/>
                    </w:rPr>
                    <w:t>4.18</w:t>
                  </w:r>
                </w:p>
              </w:tc>
              <w:tc>
                <w:tcPr>
                  <w:tcW w:w="0" w:type="auto"/>
                  <w:vAlign w:val="center"/>
                </w:tcPr>
                <w:p>
                  <w:pPr>
                    <w:pStyle w:val="47"/>
                    <w:rPr>
                      <w:rFonts w:hint="default" w:eastAsia="宋体"/>
                      <w:szCs w:val="22"/>
                      <w:lang w:val="en-US" w:eastAsia="zh-CN"/>
                    </w:rPr>
                  </w:pPr>
                  <w:r>
                    <w:rPr>
                      <w:rFonts w:hint="eastAsia"/>
                      <w:szCs w:val="22"/>
                      <w:lang w:val="en-US" w:eastAsia="zh-CN"/>
                    </w:rPr>
                    <w:t>74.18</w:t>
                  </w:r>
                </w:p>
              </w:tc>
              <w:tc>
                <w:tcPr>
                  <w:tcW w:w="0" w:type="auto"/>
                  <w:vAlign w:val="center"/>
                </w:tcPr>
                <w:p>
                  <w:pPr>
                    <w:pStyle w:val="47"/>
                    <w:rPr>
                      <w:rFonts w:hint="default" w:eastAsia="宋体"/>
                      <w:szCs w:val="22"/>
                      <w:lang w:val="en-US" w:eastAsia="zh-CN"/>
                    </w:rPr>
                  </w:pPr>
                  <w:r>
                    <w:rPr>
                      <w:rFonts w:hint="eastAsia"/>
                      <w:szCs w:val="22"/>
                      <w:lang w:val="en-US" w:eastAsia="zh-CN"/>
                    </w:rPr>
                    <w:t>10</w:t>
                  </w:r>
                </w:p>
              </w:tc>
              <w:tc>
                <w:tcPr>
                  <w:tcW w:w="0" w:type="auto"/>
                  <w:vAlign w:val="center"/>
                </w:tcPr>
                <w:p>
                  <w:pPr>
                    <w:pStyle w:val="47"/>
                    <w:rPr>
                      <w:rFonts w:hint="default" w:eastAsia="宋体"/>
                      <w:szCs w:val="22"/>
                      <w:lang w:val="en-US" w:eastAsia="zh-CN"/>
                    </w:rPr>
                  </w:pPr>
                  <w:r>
                    <w:rPr>
                      <w:rFonts w:hint="eastAsia"/>
                      <w:szCs w:val="22"/>
                      <w:lang w:val="en-US" w:eastAsia="zh-CN"/>
                    </w:rPr>
                    <w:t>54.18</w:t>
                  </w:r>
                </w:p>
              </w:tc>
              <w:tc>
                <w:tcPr>
                  <w:tcW w:w="0" w:type="auto"/>
                  <w:vAlign w:val="center"/>
                </w:tcPr>
                <w:p>
                  <w:pPr>
                    <w:pStyle w:val="47"/>
                    <w:rPr>
                      <w:rFonts w:hint="default" w:eastAsia="宋体"/>
                      <w:szCs w:val="22"/>
                      <w:lang w:val="en-US" w:eastAsia="zh-CN"/>
                    </w:rPr>
                  </w:pPr>
                  <w:r>
                    <w:rPr>
                      <w:rFonts w:hint="eastAsia"/>
                      <w:szCs w:val="22"/>
                      <w:lang w:val="en-US" w:eastAsia="zh-CN"/>
                    </w:rPr>
                    <w:t>75</w:t>
                  </w:r>
                </w:p>
              </w:tc>
              <w:tc>
                <w:tcPr>
                  <w:tcW w:w="0" w:type="auto"/>
                  <w:vAlign w:val="center"/>
                </w:tcPr>
                <w:p>
                  <w:pPr>
                    <w:pStyle w:val="47"/>
                    <w:rPr>
                      <w:rFonts w:hint="default" w:eastAsia="宋体"/>
                      <w:szCs w:val="22"/>
                      <w:lang w:val="en-US" w:eastAsia="zh-CN"/>
                    </w:rPr>
                  </w:pPr>
                  <w:r>
                    <w:rPr>
                      <w:rFonts w:hint="eastAsia"/>
                      <w:szCs w:val="22"/>
                      <w:lang w:val="en-US" w:eastAsia="zh-CN"/>
                    </w:rPr>
                    <w:t>36.68</w:t>
                  </w:r>
                </w:p>
              </w:tc>
              <w:tc>
                <w:tcPr>
                  <w:tcW w:w="0" w:type="auto"/>
                  <w:vAlign w:val="center"/>
                </w:tcPr>
                <w:p>
                  <w:pPr>
                    <w:pStyle w:val="47"/>
                    <w:rPr>
                      <w:rFonts w:hint="default" w:eastAsia="宋体"/>
                      <w:szCs w:val="22"/>
                      <w:lang w:val="en-US" w:eastAsia="zh-CN"/>
                    </w:rPr>
                  </w:pPr>
                  <w:r>
                    <w:rPr>
                      <w:rFonts w:hint="eastAsia"/>
                      <w:szCs w:val="22"/>
                      <w:lang w:val="en-US" w:eastAsia="zh-CN"/>
                    </w:rPr>
                    <w:t>50</w:t>
                  </w:r>
                </w:p>
              </w:tc>
              <w:tc>
                <w:tcPr>
                  <w:tcW w:w="0" w:type="auto"/>
                  <w:vAlign w:val="center"/>
                </w:tcPr>
                <w:p>
                  <w:pPr>
                    <w:pStyle w:val="47"/>
                    <w:rPr>
                      <w:rFonts w:hint="default" w:eastAsia="宋体"/>
                      <w:szCs w:val="22"/>
                      <w:lang w:val="en-US" w:eastAsia="zh-CN"/>
                    </w:rPr>
                  </w:pPr>
                  <w:r>
                    <w:rPr>
                      <w:rFonts w:hint="eastAsia"/>
                      <w:szCs w:val="22"/>
                      <w:lang w:val="en-US" w:eastAsia="zh-CN"/>
                    </w:rPr>
                    <w:t>40.20</w:t>
                  </w:r>
                </w:p>
              </w:tc>
              <w:tc>
                <w:tcPr>
                  <w:tcW w:w="0" w:type="auto"/>
                  <w:vAlign w:val="center"/>
                </w:tcPr>
                <w:p>
                  <w:pPr>
                    <w:pStyle w:val="47"/>
                    <w:rPr>
                      <w:rFonts w:hint="default" w:eastAsia="宋体"/>
                      <w:szCs w:val="22"/>
                      <w:lang w:val="en-US" w:eastAsia="zh-CN"/>
                    </w:rPr>
                  </w:pPr>
                  <w:r>
                    <w:rPr>
                      <w:rFonts w:hint="eastAsia"/>
                      <w:szCs w:val="22"/>
                      <w:lang w:val="en-US" w:eastAsia="zh-CN"/>
                    </w:rPr>
                    <w:t>50</w:t>
                  </w:r>
                </w:p>
              </w:tc>
              <w:tc>
                <w:tcPr>
                  <w:tcW w:w="0" w:type="auto"/>
                  <w:vAlign w:val="center"/>
                </w:tcPr>
                <w:p>
                  <w:pPr>
                    <w:pStyle w:val="47"/>
                    <w:rPr>
                      <w:rFonts w:hint="default" w:eastAsia="宋体"/>
                      <w:szCs w:val="22"/>
                      <w:lang w:val="en-US" w:eastAsia="zh-CN"/>
                    </w:rPr>
                  </w:pPr>
                  <w:r>
                    <w:rPr>
                      <w:rFonts w:hint="eastAsia"/>
                      <w:szCs w:val="22"/>
                      <w:lang w:val="en-US" w:eastAsia="zh-CN"/>
                    </w:rPr>
                    <w:t>40.20</w:t>
                  </w:r>
                </w:p>
              </w:tc>
              <w:tc>
                <w:tcPr>
                  <w:tcW w:w="0" w:type="auto"/>
                  <w:vAlign w:val="center"/>
                </w:tcPr>
                <w:p>
                  <w:pPr>
                    <w:pStyle w:val="47"/>
                    <w:rPr>
                      <w:rFonts w:hint="default" w:eastAsia="宋体"/>
                      <w:szCs w:val="22"/>
                      <w:lang w:val="en-US" w:eastAsia="zh-CN"/>
                    </w:rPr>
                  </w:pPr>
                  <w:r>
                    <w:rPr>
                      <w:rFonts w:hint="eastAsia"/>
                      <w:szCs w:val="22"/>
                      <w:lang w:val="en-US" w:eastAsia="zh-CN"/>
                    </w:rPr>
                    <w:t>30</w:t>
                  </w:r>
                </w:p>
              </w:tc>
              <w:tc>
                <w:tcPr>
                  <w:tcW w:w="0" w:type="auto"/>
                  <w:vAlign w:val="center"/>
                </w:tcPr>
                <w:p>
                  <w:pPr>
                    <w:pStyle w:val="47"/>
                    <w:rPr>
                      <w:rFonts w:hint="default" w:eastAsia="宋体"/>
                      <w:szCs w:val="22"/>
                      <w:lang w:val="en-US" w:eastAsia="zh-CN"/>
                    </w:rPr>
                  </w:pPr>
                  <w:r>
                    <w:rPr>
                      <w:rFonts w:hint="eastAsia"/>
                      <w:szCs w:val="22"/>
                      <w:lang w:val="en-US" w:eastAsia="zh-CN"/>
                    </w:rPr>
                    <w:t>42.3</w:t>
                  </w:r>
                </w:p>
              </w:tc>
              <w:tc>
                <w:tcPr>
                  <w:tcW w:w="0" w:type="auto"/>
                  <w:vAlign w:val="center"/>
                </w:tcPr>
                <w:p>
                  <w:pPr>
                    <w:pStyle w:val="47"/>
                    <w:rPr>
                      <w:rFonts w:hint="default" w:eastAsia="宋体"/>
                      <w:szCs w:val="22"/>
                      <w:lang w:val="en-US" w:eastAsia="zh-CN"/>
                    </w:rPr>
                  </w:pPr>
                  <w:r>
                    <w:rPr>
                      <w:rFonts w:hint="eastAsia"/>
                      <w:szCs w:val="22"/>
                      <w:lang w:val="en-US" w:eastAsia="zh-CN"/>
                    </w:rPr>
                    <w:t>44.64</w:t>
                  </w:r>
                </w:p>
              </w:tc>
            </w:tr>
          </w:tbl>
          <w:p>
            <w:pPr>
              <w:pStyle w:val="57"/>
              <w:adjustRightInd/>
              <w:snapToGrid/>
              <w:spacing w:line="360" w:lineRule="auto"/>
              <w:ind w:firstLine="480" w:firstLineChars="200"/>
              <w:jc w:val="both"/>
            </w:pPr>
            <w:r>
              <w:rPr>
                <w:rFonts w:hint="eastAsia"/>
              </w:rPr>
              <w:t>根据公式计算噪声源强，生产设备的噪声值为</w:t>
            </w:r>
            <w:r>
              <w:rPr>
                <w:rFonts w:hint="eastAsia"/>
                <w:lang w:val="en-US" w:eastAsia="zh-CN"/>
              </w:rPr>
              <w:t>94.18</w:t>
            </w:r>
            <w:r>
              <w:rPr>
                <w:rFonts w:hint="eastAsia"/>
              </w:rPr>
              <w:t>dB（A），</w:t>
            </w:r>
            <w:r>
              <w:t>从上表可知，项目运营后噪声厂界贡献值较小，本项目建成运营期间，项目厂界噪声贡献值满足《工业企业厂界环境噪声排放标准》（GB12348-2008）中</w:t>
            </w:r>
            <w:r>
              <w:rPr>
                <w:rFonts w:hint="eastAsia"/>
              </w:rPr>
              <w:t>2</w:t>
            </w:r>
            <w:r>
              <w:t>类标准</w:t>
            </w:r>
            <w:r>
              <w:rPr>
                <w:rFonts w:hint="eastAsia"/>
              </w:rPr>
              <w:t>，最近敏感点的噪声</w:t>
            </w:r>
            <w:r>
              <w:rPr>
                <w:rFonts w:hint="eastAsia"/>
                <w:lang w:val="en-US" w:eastAsia="zh-CN"/>
              </w:rPr>
              <w:t>值经计算，叠加</w:t>
            </w:r>
            <w:r>
              <w:rPr>
                <w:rFonts w:hint="eastAsia"/>
              </w:rPr>
              <w:t>预测值</w:t>
            </w:r>
            <w:r>
              <w:rPr>
                <w:rFonts w:hint="eastAsia"/>
                <w:lang w:val="en-US" w:eastAsia="zh-CN"/>
              </w:rPr>
              <w:t>约为46.64dB（A），</w:t>
            </w:r>
            <w:r>
              <w:rPr>
                <w:rFonts w:hint="eastAsia"/>
              </w:rPr>
              <w:t>也可满足《声环境质量标准》（GB3096-2008）</w:t>
            </w:r>
            <w:r>
              <w:t>中</w:t>
            </w:r>
            <w:r>
              <w:rPr>
                <w:rFonts w:hint="eastAsia"/>
              </w:rPr>
              <w:t>2</w:t>
            </w:r>
            <w:r>
              <w:t>类标准</w:t>
            </w:r>
            <w:r>
              <w:rPr>
                <w:rFonts w:hint="eastAsia"/>
              </w:rPr>
              <w:t>。</w:t>
            </w:r>
          </w:p>
          <w:p>
            <w:pPr>
              <w:pStyle w:val="57"/>
              <w:adjustRightInd/>
              <w:snapToGrid/>
              <w:spacing w:line="360" w:lineRule="auto"/>
              <w:ind w:firstLine="480" w:firstLineChars="200"/>
              <w:jc w:val="both"/>
            </w:pPr>
            <w:r>
              <w:t>为</w:t>
            </w:r>
            <w:r>
              <w:rPr>
                <w:rFonts w:hint="eastAsia"/>
              </w:rPr>
              <w:t>进一步</w:t>
            </w:r>
            <w:r>
              <w:t>降低项目营运时噪声对周边声环境的影响，项目应加强管理，采取切实有效的降噪措施：</w:t>
            </w:r>
          </w:p>
          <w:p>
            <w:pPr>
              <w:pStyle w:val="57"/>
              <w:adjustRightInd/>
              <w:snapToGrid/>
              <w:spacing w:line="360" w:lineRule="auto"/>
              <w:ind w:firstLine="480" w:firstLineChars="200"/>
              <w:jc w:val="both"/>
            </w:pPr>
            <w:r>
              <w:t>①选用先进的低噪声设备，从源头上降噪；</w:t>
            </w:r>
          </w:p>
          <w:p>
            <w:pPr>
              <w:pStyle w:val="57"/>
              <w:adjustRightInd/>
              <w:snapToGrid/>
              <w:spacing w:line="360" w:lineRule="auto"/>
              <w:ind w:firstLine="480" w:firstLineChars="200"/>
              <w:jc w:val="both"/>
            </w:pPr>
            <w:r>
              <w:t>②对高噪声设备安装消声、减振、隔声装置并尽量布设在厂房内离厂界较远处；</w:t>
            </w:r>
          </w:p>
          <w:p>
            <w:pPr>
              <w:pStyle w:val="57"/>
              <w:adjustRightInd/>
              <w:snapToGrid/>
              <w:spacing w:line="360" w:lineRule="auto"/>
              <w:ind w:firstLine="480" w:firstLineChars="200"/>
              <w:jc w:val="both"/>
            </w:pPr>
            <w:r>
              <w:rPr>
                <w:rFonts w:hint="eastAsia"/>
              </w:rPr>
              <w:t>在</w:t>
            </w:r>
            <w:r>
              <w:t>采取以上有效的噪声防治措施后，项目厂界噪声能达到《工业企业厂界环境噪声排放标准》（GB12348-2008）</w:t>
            </w:r>
            <w:r>
              <w:rPr>
                <w:rFonts w:hint="eastAsia"/>
              </w:rPr>
              <w:t>2</w:t>
            </w:r>
            <w:r>
              <w:t>类标准要求，</w:t>
            </w:r>
            <w:r>
              <w:rPr>
                <w:rFonts w:hint="eastAsia"/>
              </w:rPr>
              <w:t>根据预测结果可知，敏感点的预测值可满足《声环境质量标准》（GB3096-2008）中2类标准。</w:t>
            </w:r>
          </w:p>
          <w:p>
            <w:pPr>
              <w:pStyle w:val="57"/>
              <w:adjustRightInd/>
              <w:snapToGrid/>
              <w:spacing w:line="360" w:lineRule="auto"/>
              <w:ind w:firstLine="480" w:firstLineChars="200"/>
              <w:jc w:val="both"/>
            </w:pPr>
            <w:r>
              <w:rPr>
                <w:rFonts w:hint="eastAsia"/>
              </w:rPr>
              <w:t>综上，</w:t>
            </w:r>
            <w:r>
              <w:t>项目运营</w:t>
            </w:r>
            <w:r>
              <w:rPr>
                <w:rFonts w:hint="eastAsia"/>
              </w:rPr>
              <w:t>时噪声</w:t>
            </w:r>
            <w:r>
              <w:t>对周边环境影响不大。</w:t>
            </w:r>
          </w:p>
          <w:p>
            <w:pPr>
              <w:pStyle w:val="27"/>
              <w:spacing w:line="360" w:lineRule="auto"/>
              <w:ind w:firstLine="482" w:firstLineChars="200"/>
              <w:rPr>
                <w:rFonts w:ascii="Times New Roman" w:cs="Times New Roman"/>
                <w:b/>
                <w:bCs/>
              </w:rPr>
            </w:pPr>
            <w:r>
              <w:rPr>
                <w:rFonts w:hint="eastAsia" w:ascii="Times New Roman" w:cs="Times New Roman"/>
                <w:b/>
                <w:bCs/>
              </w:rPr>
              <w:t>3.3</w:t>
            </w:r>
            <w:r>
              <w:rPr>
                <w:rFonts w:ascii="Times New Roman" w:cs="Times New Roman"/>
                <w:b/>
                <w:bCs/>
              </w:rPr>
              <w:t>监测要求</w:t>
            </w:r>
          </w:p>
          <w:p>
            <w:pPr>
              <w:pStyle w:val="27"/>
              <w:spacing w:line="360" w:lineRule="auto"/>
              <w:ind w:firstLine="480" w:firstLineChars="200"/>
              <w:rPr>
                <w:rFonts w:ascii="Times New Roman" w:cs="Times New Roman"/>
                <w:b/>
                <w:bCs/>
                <w:sz w:val="21"/>
                <w:szCs w:val="21"/>
              </w:rPr>
            </w:pPr>
            <w:r>
              <w:rPr>
                <w:rFonts w:ascii="Times New Roman" w:cs="Times New Roman"/>
                <w:color w:val="auto"/>
              </w:rPr>
              <w:t>依据《排污单位自行监测技术指南 总则》(HJ819-2017)和本项目</w:t>
            </w:r>
            <w:r>
              <w:rPr>
                <w:rFonts w:hint="eastAsia" w:ascii="Times New Roman" w:cs="Times New Roman"/>
                <w:color w:val="auto"/>
              </w:rPr>
              <w:t>实际生产</w:t>
            </w:r>
            <w:r>
              <w:rPr>
                <w:rFonts w:ascii="Times New Roman" w:cs="Times New Roman"/>
                <w:color w:val="auto"/>
              </w:rPr>
              <w:t>情况，对本项目噪声的日常监测要求见下表：</w:t>
            </w:r>
          </w:p>
          <w:p>
            <w:pPr>
              <w:pStyle w:val="27"/>
              <w:spacing w:line="240" w:lineRule="auto"/>
              <w:jc w:val="center"/>
              <w:rPr>
                <w:rFonts w:ascii="Times New Roman" w:cs="Times New Roman"/>
                <w:b/>
                <w:bCs/>
                <w:sz w:val="21"/>
                <w:szCs w:val="21"/>
              </w:rPr>
            </w:pPr>
            <w:r>
              <w:rPr>
                <w:rFonts w:ascii="Times New Roman" w:cs="Times New Roman"/>
                <w:b/>
                <w:bCs/>
                <w:sz w:val="21"/>
                <w:szCs w:val="21"/>
              </w:rPr>
              <w:t>表4-</w:t>
            </w:r>
            <w:r>
              <w:rPr>
                <w:rFonts w:hint="eastAsia" w:ascii="Times New Roman" w:cs="Times New Roman"/>
                <w:b/>
                <w:bCs/>
                <w:sz w:val="21"/>
                <w:szCs w:val="21"/>
                <w:lang w:val="en-US" w:eastAsia="zh-CN"/>
              </w:rPr>
              <w:t>9</w:t>
            </w:r>
            <w:r>
              <w:rPr>
                <w:rFonts w:ascii="Times New Roman" w:cs="Times New Roman"/>
                <w:b/>
                <w:bCs/>
                <w:sz w:val="21"/>
                <w:szCs w:val="21"/>
              </w:rPr>
              <w:t xml:space="preserve">  噪声监测要求</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2819"/>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Align w:val="center"/>
                </w:tcPr>
                <w:p>
                  <w:pPr>
                    <w:pStyle w:val="27"/>
                    <w:spacing w:line="240" w:lineRule="auto"/>
                    <w:jc w:val="center"/>
                    <w:rPr>
                      <w:rFonts w:ascii="Times New Roman" w:cs="Times New Roman"/>
                      <w:b/>
                      <w:bCs/>
                      <w:sz w:val="21"/>
                      <w:szCs w:val="21"/>
                    </w:rPr>
                  </w:pPr>
                  <w:r>
                    <w:rPr>
                      <w:rFonts w:ascii="Times New Roman" w:cs="Times New Roman"/>
                      <w:b/>
                      <w:bCs/>
                      <w:sz w:val="21"/>
                      <w:szCs w:val="21"/>
                    </w:rPr>
                    <w:t>监测点位</w:t>
                  </w:r>
                </w:p>
              </w:tc>
              <w:tc>
                <w:tcPr>
                  <w:tcW w:w="1666" w:type="pct"/>
                  <w:vAlign w:val="center"/>
                </w:tcPr>
                <w:p>
                  <w:pPr>
                    <w:pStyle w:val="27"/>
                    <w:spacing w:line="240" w:lineRule="auto"/>
                    <w:jc w:val="center"/>
                    <w:rPr>
                      <w:rFonts w:ascii="Times New Roman" w:cs="Times New Roman"/>
                      <w:b/>
                      <w:bCs/>
                      <w:sz w:val="21"/>
                      <w:szCs w:val="21"/>
                    </w:rPr>
                  </w:pPr>
                  <w:r>
                    <w:rPr>
                      <w:rFonts w:ascii="Times New Roman" w:cs="Times New Roman"/>
                      <w:b/>
                      <w:bCs/>
                      <w:sz w:val="21"/>
                      <w:szCs w:val="21"/>
                    </w:rPr>
                    <w:t>监测频次</w:t>
                  </w:r>
                </w:p>
              </w:tc>
              <w:tc>
                <w:tcPr>
                  <w:tcW w:w="1666" w:type="pct"/>
                  <w:vAlign w:val="center"/>
                </w:tcPr>
                <w:p>
                  <w:pPr>
                    <w:pStyle w:val="27"/>
                    <w:spacing w:line="240" w:lineRule="auto"/>
                    <w:jc w:val="center"/>
                    <w:rPr>
                      <w:rFonts w:ascii="Times New Roman" w:cs="Times New Roman"/>
                      <w:b/>
                      <w:bCs/>
                      <w:sz w:val="21"/>
                      <w:szCs w:val="21"/>
                    </w:rPr>
                  </w:pPr>
                  <w:r>
                    <w:rPr>
                      <w:rFonts w:ascii="Times New Roman"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Align w:val="center"/>
                </w:tcPr>
                <w:p>
                  <w:pPr>
                    <w:pStyle w:val="27"/>
                    <w:spacing w:line="240" w:lineRule="auto"/>
                    <w:jc w:val="center"/>
                    <w:rPr>
                      <w:rFonts w:hint="default" w:ascii="Times New Roman" w:eastAsia="宋体" w:cs="Times New Roman"/>
                      <w:sz w:val="21"/>
                      <w:szCs w:val="21"/>
                      <w:lang w:val="en-US" w:eastAsia="zh-CN"/>
                    </w:rPr>
                  </w:pPr>
                  <w:r>
                    <w:rPr>
                      <w:rFonts w:ascii="Times New Roman" w:cs="Times New Roman"/>
                      <w:sz w:val="21"/>
                      <w:szCs w:val="21"/>
                    </w:rPr>
                    <w:t>四周厂界外1m</w:t>
                  </w:r>
                  <w:r>
                    <w:rPr>
                      <w:rFonts w:hint="eastAsia" w:ascii="Times New Roman" w:cs="Times New Roman"/>
                      <w:sz w:val="21"/>
                      <w:szCs w:val="21"/>
                      <w:lang w:val="en-US" w:eastAsia="zh-CN"/>
                    </w:rPr>
                    <w:t>及东北侧20m处居民点</w:t>
                  </w:r>
                </w:p>
              </w:tc>
              <w:tc>
                <w:tcPr>
                  <w:tcW w:w="1666"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半年/次</w:t>
                  </w:r>
                </w:p>
              </w:tc>
              <w:tc>
                <w:tcPr>
                  <w:tcW w:w="1666" w:type="pct"/>
                  <w:vAlign w:val="center"/>
                </w:tcPr>
                <w:p>
                  <w:pPr>
                    <w:pStyle w:val="27"/>
                    <w:spacing w:line="240" w:lineRule="auto"/>
                    <w:jc w:val="center"/>
                    <w:rPr>
                      <w:rFonts w:ascii="Times New Roman" w:cs="Times New Roman"/>
                      <w:sz w:val="21"/>
                      <w:szCs w:val="21"/>
                    </w:rPr>
                  </w:pPr>
                  <w:r>
                    <w:rPr>
                      <w:rFonts w:ascii="Times New Roman" w:cs="Times New Roman"/>
                      <w:sz w:val="21"/>
                      <w:szCs w:val="21"/>
                    </w:rPr>
                    <w:t>昼间监测，夜间不生产无需监测。</w:t>
                  </w:r>
                </w:p>
              </w:tc>
            </w:tr>
          </w:tbl>
          <w:p>
            <w:pPr>
              <w:adjustRightInd w:val="0"/>
              <w:snapToGrid w:val="0"/>
              <w:spacing w:line="360" w:lineRule="auto"/>
              <w:ind w:firstLine="440" w:firstLineChars="200"/>
              <w:rPr>
                <w:bCs/>
                <w:spacing w:val="-10"/>
                <w:sz w:val="24"/>
              </w:rPr>
            </w:pPr>
          </w:p>
          <w:p>
            <w:pPr>
              <w:adjustRightInd w:val="0"/>
              <w:snapToGrid w:val="0"/>
              <w:spacing w:line="360" w:lineRule="auto"/>
              <w:rPr>
                <w:rFonts w:hint="eastAsia"/>
                <w:b/>
                <w:spacing w:val="-10"/>
                <w:sz w:val="24"/>
              </w:rPr>
            </w:pPr>
          </w:p>
          <w:p>
            <w:pPr>
              <w:adjustRightInd w:val="0"/>
              <w:snapToGrid w:val="0"/>
              <w:spacing w:line="360" w:lineRule="auto"/>
              <w:rPr>
                <w:bCs/>
                <w:spacing w:val="-10"/>
                <w:sz w:val="24"/>
              </w:rPr>
            </w:pPr>
            <w:r>
              <w:rPr>
                <w:rFonts w:hint="eastAsia"/>
                <w:b/>
                <w:spacing w:val="-10"/>
                <w:sz w:val="24"/>
              </w:rPr>
              <w:t>4、固废</w:t>
            </w:r>
          </w:p>
          <w:p>
            <w:pPr>
              <w:adjustRightInd w:val="0"/>
              <w:snapToGrid w:val="0"/>
              <w:spacing w:line="360" w:lineRule="auto"/>
              <w:ind w:firstLine="440" w:firstLineChars="200"/>
              <w:rPr>
                <w:rFonts w:hint="eastAsia" w:eastAsia="宋体"/>
                <w:bCs/>
                <w:spacing w:val="-10"/>
                <w:sz w:val="24"/>
                <w:lang w:eastAsia="zh-CN"/>
              </w:rPr>
            </w:pPr>
            <w:r>
              <w:rPr>
                <w:rFonts w:hint="eastAsia"/>
                <w:bCs/>
                <w:spacing w:val="-10"/>
                <w:sz w:val="24"/>
              </w:rPr>
              <w:t>本项目营运期主要固体废物有：生活垃圾、炉渣、沉淀池沉渣、粉尘</w:t>
            </w:r>
            <w:r>
              <w:rPr>
                <w:rFonts w:hint="eastAsia"/>
                <w:bCs/>
                <w:spacing w:val="-10"/>
                <w:sz w:val="24"/>
                <w:lang w:val="en-US" w:eastAsia="zh-CN"/>
              </w:rPr>
              <w:t>和</w:t>
            </w:r>
            <w:r>
              <w:rPr>
                <w:rFonts w:hint="eastAsia"/>
                <w:bCs/>
                <w:spacing w:val="-10"/>
                <w:sz w:val="24"/>
              </w:rPr>
              <w:t>废包装材料</w:t>
            </w:r>
            <w:r>
              <w:rPr>
                <w:rFonts w:hint="eastAsia"/>
                <w:bCs/>
                <w:spacing w:val="-10"/>
                <w:sz w:val="24"/>
                <w:lang w:eastAsia="zh-CN"/>
              </w:rPr>
              <w:t>。</w:t>
            </w:r>
          </w:p>
          <w:p>
            <w:pPr>
              <w:spacing w:line="360" w:lineRule="auto"/>
              <w:ind w:firstLine="480" w:firstLineChars="200"/>
              <w:rPr>
                <w:sz w:val="24"/>
              </w:rPr>
            </w:pPr>
            <w:r>
              <w:rPr>
                <w:rFonts w:hint="eastAsia"/>
                <w:sz w:val="24"/>
              </w:rPr>
              <w:t>（1）</w:t>
            </w:r>
            <w:r>
              <w:rPr>
                <w:rFonts w:hint="eastAsia"/>
                <w:sz w:val="24"/>
                <w:lang w:val="en-US" w:eastAsia="zh-CN"/>
              </w:rPr>
              <w:t>生活垃圾</w:t>
            </w:r>
            <w:r>
              <w:rPr>
                <w:rFonts w:hint="eastAsia"/>
                <w:sz w:val="24"/>
              </w:rPr>
              <w:t>：</w:t>
            </w:r>
            <w:r>
              <w:rPr>
                <w:sz w:val="24"/>
              </w:rPr>
              <w:t>本项目员工共计</w:t>
            </w:r>
            <w:r>
              <w:rPr>
                <w:rFonts w:hint="eastAsia"/>
                <w:sz w:val="24"/>
              </w:rPr>
              <w:t>1</w:t>
            </w:r>
            <w:r>
              <w:rPr>
                <w:rFonts w:hint="eastAsia"/>
                <w:sz w:val="24"/>
                <w:lang w:val="en-US" w:eastAsia="zh-CN"/>
              </w:rPr>
              <w:t>2</w:t>
            </w:r>
            <w:r>
              <w:rPr>
                <w:sz w:val="24"/>
              </w:rPr>
              <w:t>人，职工生活垃圾产生量按每人每天0.5kg计，年</w:t>
            </w:r>
            <w:r>
              <w:rPr>
                <w:rFonts w:hint="eastAsia"/>
                <w:sz w:val="24"/>
                <w:lang w:val="en-US" w:eastAsia="zh-CN"/>
              </w:rPr>
              <w:t>生产300</w:t>
            </w:r>
            <w:r>
              <w:rPr>
                <w:sz w:val="24"/>
              </w:rPr>
              <w:t>天，则生活垃圾产生量</w:t>
            </w:r>
            <w:r>
              <w:rPr>
                <w:rFonts w:hint="eastAsia"/>
                <w:sz w:val="24"/>
                <w:lang w:val="en-US" w:eastAsia="zh-CN"/>
              </w:rPr>
              <w:t>1.8</w:t>
            </w:r>
            <w:r>
              <w:rPr>
                <w:sz w:val="24"/>
              </w:rPr>
              <w:t>t/a。用垃圾桶收集后交由环卫部门处置。</w:t>
            </w:r>
          </w:p>
          <w:p>
            <w:pPr>
              <w:spacing w:line="360" w:lineRule="auto"/>
              <w:ind w:firstLine="480" w:firstLineChars="200"/>
              <w:rPr>
                <w:rFonts w:hint="eastAsia" w:eastAsia="宋体"/>
                <w:bCs/>
                <w:spacing w:val="-10"/>
                <w:sz w:val="24"/>
                <w:lang w:eastAsia="zh-CN"/>
              </w:rPr>
            </w:pPr>
            <w:r>
              <w:rPr>
                <w:rFonts w:hint="eastAsia"/>
                <w:sz w:val="24"/>
              </w:rPr>
              <w:t>（2）</w:t>
            </w:r>
            <w:r>
              <w:rPr>
                <w:rFonts w:hint="eastAsia"/>
                <w:bCs/>
                <w:spacing w:val="-10"/>
                <w:sz w:val="24"/>
                <w:lang w:val="en-US" w:eastAsia="zh-CN"/>
              </w:rPr>
              <w:t>炉渣：项目竹条、竹片燃烧产生的灰渣产生量为其用量的 10%，则炉渣年产生量约为2t/a，收集后作为农肥外售至周边农户。</w:t>
            </w:r>
          </w:p>
          <w:p>
            <w:pPr>
              <w:spacing w:line="360" w:lineRule="auto"/>
              <w:ind w:firstLine="440" w:firstLineChars="200"/>
              <w:rPr>
                <w:bCs/>
                <w:spacing w:val="-10"/>
                <w:sz w:val="24"/>
              </w:rPr>
            </w:pPr>
            <w:r>
              <w:rPr>
                <w:rFonts w:hint="eastAsia"/>
                <w:bCs/>
                <w:spacing w:val="-10"/>
                <w:sz w:val="24"/>
              </w:rPr>
              <w:t>（3）</w:t>
            </w:r>
            <w:r>
              <w:rPr>
                <w:rFonts w:hint="eastAsia"/>
                <w:bCs/>
                <w:spacing w:val="-10"/>
                <w:sz w:val="24"/>
                <w:lang w:val="en-US" w:eastAsia="zh-CN"/>
              </w:rPr>
              <w:t>沉淀池沉渣</w:t>
            </w:r>
            <w:r>
              <w:rPr>
                <w:rFonts w:hint="eastAsia"/>
                <w:bCs/>
                <w:spacing w:val="-10"/>
                <w:sz w:val="24"/>
              </w:rPr>
              <w:t>：项目二次破碎、烘干、制棒工序粉尘采用二级水喷淋+静电除尘处理，沉淀的粉尘的量约为</w:t>
            </w:r>
            <w:r>
              <w:rPr>
                <w:rFonts w:hint="eastAsia"/>
                <w:bCs/>
                <w:spacing w:val="-10"/>
                <w:sz w:val="24"/>
                <w:lang w:val="en-US" w:eastAsia="zh-CN"/>
              </w:rPr>
              <w:t>2</w:t>
            </w:r>
            <w:r>
              <w:rPr>
                <w:rFonts w:hint="eastAsia"/>
                <w:bCs/>
                <w:spacing w:val="-10"/>
                <w:sz w:val="24"/>
              </w:rPr>
              <w:t>t/a，打捞后回用于生产。</w:t>
            </w:r>
          </w:p>
          <w:p>
            <w:pPr>
              <w:spacing w:line="360" w:lineRule="auto"/>
              <w:ind w:firstLine="440" w:firstLineChars="200"/>
              <w:rPr>
                <w:sz w:val="24"/>
              </w:rPr>
            </w:pPr>
            <w:r>
              <w:rPr>
                <w:rFonts w:hint="eastAsia"/>
                <w:bCs/>
                <w:spacing w:val="-10"/>
                <w:sz w:val="24"/>
              </w:rPr>
              <w:t>（4）</w:t>
            </w:r>
            <w:r>
              <w:rPr>
                <w:rFonts w:hint="eastAsia"/>
                <w:bCs/>
                <w:spacing w:val="-10"/>
                <w:sz w:val="24"/>
                <w:lang w:val="en-US" w:eastAsia="zh-CN"/>
              </w:rPr>
              <w:t>粉尘</w:t>
            </w:r>
            <w:r>
              <w:rPr>
                <w:rFonts w:hint="eastAsia"/>
                <w:bCs/>
                <w:spacing w:val="-10"/>
                <w:sz w:val="24"/>
              </w:rPr>
              <w:t>：</w:t>
            </w:r>
            <w:r>
              <w:rPr>
                <w:rFonts w:hint="eastAsia"/>
                <w:sz w:val="24"/>
              </w:rPr>
              <w:t>根据</w:t>
            </w:r>
            <w:r>
              <w:rPr>
                <w:rFonts w:hint="eastAsia"/>
                <w:sz w:val="24"/>
                <w:lang w:val="en-US" w:eastAsia="zh-CN"/>
              </w:rPr>
              <w:t>前文废气污染源</w:t>
            </w:r>
            <w:r>
              <w:rPr>
                <w:rFonts w:hint="eastAsia"/>
                <w:sz w:val="24"/>
              </w:rPr>
              <w:t>分析可知，地面沉降的粉尘约为</w:t>
            </w:r>
            <w:r>
              <w:rPr>
                <w:rFonts w:hint="eastAsia"/>
                <w:sz w:val="24"/>
                <w:lang w:val="en-US" w:eastAsia="zh-CN"/>
              </w:rPr>
              <w:t>0.2</w:t>
            </w:r>
            <w:r>
              <w:rPr>
                <w:rFonts w:hint="eastAsia"/>
                <w:sz w:val="24"/>
              </w:rPr>
              <w:t>t/a，</w:t>
            </w:r>
            <w:r>
              <w:rPr>
                <w:rFonts w:hint="eastAsia"/>
                <w:sz w:val="24"/>
                <w:lang w:val="en-US" w:eastAsia="zh-CN"/>
              </w:rPr>
              <w:t>布袋除尘器收集的粉尘0.4374t/a，地面粉尘</w:t>
            </w:r>
            <w:r>
              <w:rPr>
                <w:rFonts w:hint="eastAsia"/>
                <w:sz w:val="24"/>
              </w:rPr>
              <w:t>通过清扫收集</w:t>
            </w:r>
            <w:r>
              <w:rPr>
                <w:rFonts w:hint="eastAsia"/>
                <w:sz w:val="24"/>
                <w:lang w:val="en-US" w:eastAsia="zh-CN"/>
              </w:rPr>
              <w:t>后和布袋除尘器收集的粉尘一并</w:t>
            </w:r>
            <w:r>
              <w:rPr>
                <w:rFonts w:hint="eastAsia"/>
                <w:sz w:val="24"/>
              </w:rPr>
              <w:t>回用于生产</w:t>
            </w:r>
            <w:r>
              <w:rPr>
                <w:sz w:val="24"/>
              </w:rPr>
              <w:t>。</w:t>
            </w:r>
          </w:p>
          <w:p>
            <w:pPr>
              <w:spacing w:line="360" w:lineRule="auto"/>
              <w:ind w:firstLine="480" w:firstLineChars="200"/>
              <w:rPr>
                <w:sz w:val="24"/>
              </w:rPr>
            </w:pPr>
            <w:r>
              <w:rPr>
                <w:rFonts w:hint="eastAsia"/>
                <w:sz w:val="24"/>
              </w:rPr>
              <w:t>（5）废</w:t>
            </w:r>
            <w:r>
              <w:rPr>
                <w:rFonts w:hint="eastAsia"/>
                <w:sz w:val="24"/>
                <w:lang w:val="en-US" w:eastAsia="zh-CN"/>
              </w:rPr>
              <w:t>包装材料</w:t>
            </w:r>
            <w:r>
              <w:rPr>
                <w:rFonts w:hint="eastAsia"/>
                <w:sz w:val="24"/>
              </w:rPr>
              <w:t>：项目原料采用散装汽运，车厢加盖篷布，成品用纸箱包装，因此，项目运营期间所产生的的废包装材料主要为破损的篷布和破损纸箱，约为 0.1t/a，厂内收集，能回收利用的回收利用，不能回收利用委托环卫部门统一清运处理。</w:t>
            </w:r>
          </w:p>
          <w:p>
            <w:pPr>
              <w:spacing w:line="360" w:lineRule="auto"/>
              <w:ind w:firstLine="480" w:firstLineChars="200"/>
              <w:rPr>
                <w:rFonts w:hint="eastAsia" w:eastAsia="宋体"/>
                <w:color w:val="FF0000"/>
                <w:sz w:val="24"/>
                <w:highlight w:val="yellow"/>
                <w:u w:val="single"/>
                <w:lang w:eastAsia="zh-CN"/>
              </w:rPr>
            </w:pPr>
            <w:r>
              <w:rPr>
                <w:rFonts w:hint="eastAsia"/>
                <w:color w:val="FF0000"/>
                <w:sz w:val="24"/>
                <w:highlight w:val="yellow"/>
                <w:u w:val="single"/>
                <w:lang w:eastAsia="zh-CN"/>
              </w:rPr>
              <w:t>（</w:t>
            </w:r>
            <w:r>
              <w:rPr>
                <w:rFonts w:hint="eastAsia"/>
                <w:color w:val="FF0000"/>
                <w:sz w:val="24"/>
                <w:highlight w:val="yellow"/>
                <w:u w:val="single"/>
                <w:lang w:val="en-US" w:eastAsia="zh-CN"/>
              </w:rPr>
              <w:t>6</w:t>
            </w:r>
            <w:r>
              <w:rPr>
                <w:rFonts w:hint="eastAsia"/>
                <w:color w:val="FF0000"/>
                <w:sz w:val="24"/>
                <w:highlight w:val="yellow"/>
                <w:u w:val="single"/>
                <w:lang w:eastAsia="zh-CN"/>
              </w:rPr>
              <w:t>）</w:t>
            </w:r>
            <w:r>
              <w:rPr>
                <w:rFonts w:hint="eastAsia"/>
                <w:color w:val="FF0000"/>
                <w:sz w:val="24"/>
                <w:highlight w:val="yellow"/>
                <w:u w:val="single"/>
                <w:lang w:val="en-US" w:eastAsia="zh-CN"/>
              </w:rPr>
              <w:t>不合格产品：</w:t>
            </w:r>
            <w:r>
              <w:rPr>
                <w:rFonts w:hint="eastAsia"/>
                <w:color w:val="FF0000"/>
                <w:sz w:val="24"/>
                <w:highlight w:val="yellow"/>
                <w:u w:val="single"/>
                <w:lang w:eastAsia="zh-CN"/>
              </w:rPr>
              <w:t>炭化炉在炭化过程中会产生机制木炭次品（碎炭），生产过程中制棒机产生的少量不合格品约为</w:t>
            </w:r>
            <w:r>
              <w:rPr>
                <w:rFonts w:hint="eastAsia"/>
                <w:color w:val="FF0000"/>
                <w:sz w:val="24"/>
                <w:highlight w:val="yellow"/>
                <w:u w:val="single"/>
                <w:lang w:val="en-US" w:eastAsia="zh-CN"/>
              </w:rPr>
              <w:t>5</w:t>
            </w:r>
            <w:r>
              <w:rPr>
                <w:rFonts w:hint="eastAsia"/>
                <w:color w:val="FF0000"/>
                <w:sz w:val="24"/>
                <w:highlight w:val="yellow"/>
                <w:u w:val="single"/>
                <w:lang w:eastAsia="zh-CN"/>
              </w:rPr>
              <w:t>t/a，集中收集后</w:t>
            </w:r>
            <w:r>
              <w:rPr>
                <w:rFonts w:hint="eastAsia"/>
                <w:color w:val="FF0000"/>
                <w:sz w:val="24"/>
                <w:highlight w:val="yellow"/>
                <w:u w:val="single"/>
                <w:lang w:val="en-US" w:eastAsia="zh-CN"/>
              </w:rPr>
              <w:t>返回破碎工序进行二次加工</w:t>
            </w:r>
            <w:r>
              <w:rPr>
                <w:rFonts w:hint="eastAsia"/>
                <w:color w:val="FF0000"/>
                <w:sz w:val="24"/>
                <w:highlight w:val="yellow"/>
                <w:u w:val="singl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eastAsia="宋体"/>
                <w:sz w:val="24"/>
                <w:lang w:eastAsia="zh-CN"/>
              </w:rPr>
            </w:pPr>
            <w:r>
              <w:rPr>
                <w:rFonts w:hint="eastAsia"/>
                <w:sz w:val="24"/>
                <w:lang w:eastAsia="zh-CN"/>
              </w:rPr>
              <w:t>（</w:t>
            </w:r>
            <w:r>
              <w:rPr>
                <w:rFonts w:hint="eastAsia"/>
                <w:sz w:val="24"/>
                <w:lang w:val="en-US" w:eastAsia="zh-CN"/>
              </w:rPr>
              <w:t>7</w:t>
            </w:r>
            <w:r>
              <w:rPr>
                <w:rFonts w:hint="eastAsia"/>
                <w:sz w:val="24"/>
                <w:lang w:eastAsia="zh-CN"/>
              </w:rPr>
              <w:t>）</w:t>
            </w:r>
            <w:r>
              <w:rPr>
                <w:rFonts w:hint="eastAsia"/>
                <w:sz w:val="24"/>
                <w:lang w:val="en-US" w:eastAsia="zh-CN"/>
              </w:rPr>
              <w:t>危险废物：竹炭生产过程中</w:t>
            </w:r>
            <w:r>
              <w:rPr>
                <w:rFonts w:hint="default" w:ascii="Times New Roman" w:hAnsi="Times New Roman" w:cs="Times New Roman"/>
                <w:color w:val="000000" w:themeColor="text1"/>
                <w:sz w:val="24"/>
                <w:highlight w:val="none"/>
                <w14:textFill>
                  <w14:solidFill>
                    <w14:schemeClr w14:val="tx1"/>
                  </w14:solidFill>
                </w14:textFill>
              </w:rPr>
              <w:t>会有少量</w:t>
            </w:r>
            <w:bookmarkStart w:id="8" w:name="OLE_LINK8"/>
            <w:r>
              <w:rPr>
                <w:rFonts w:hint="eastAsia" w:cs="Times New Roman"/>
                <w:color w:val="000000" w:themeColor="text1"/>
                <w:sz w:val="24"/>
                <w:highlight w:val="none"/>
                <w:lang w:val="en-US" w:eastAsia="zh-CN"/>
                <w14:textFill>
                  <w14:solidFill>
                    <w14:schemeClr w14:val="tx1"/>
                  </w14:solidFill>
                </w14:textFill>
              </w:rPr>
              <w:t>液态</w:t>
            </w:r>
            <w:r>
              <w:rPr>
                <w:rFonts w:hint="eastAsia" w:ascii="Times New Roman" w:hAnsi="Times New Roman" w:cs="Times New Roman"/>
                <w:color w:val="000000" w:themeColor="text1"/>
                <w:sz w:val="24"/>
                <w:highlight w:val="none"/>
                <w:lang w:eastAsia="zh-CN"/>
                <w14:textFill>
                  <w14:solidFill>
                    <w14:schemeClr w14:val="tx1"/>
                  </w14:solidFill>
                </w14:textFill>
              </w:rPr>
              <w:t>竹</w:t>
            </w:r>
            <w:bookmarkEnd w:id="8"/>
            <w:r>
              <w:rPr>
                <w:rFonts w:hint="default" w:ascii="Times New Roman" w:hAnsi="Times New Roman" w:cs="Times New Roman"/>
                <w:color w:val="000000" w:themeColor="text1"/>
                <w:sz w:val="24"/>
                <w:highlight w:val="none"/>
                <w14:textFill>
                  <w14:solidFill>
                    <w14:schemeClr w14:val="tx1"/>
                  </w14:solidFill>
                </w14:textFill>
              </w:rPr>
              <w:t>醋液、</w:t>
            </w:r>
            <w:r>
              <w:rPr>
                <w:rFonts w:hint="eastAsia" w:ascii="Times New Roman" w:hAnsi="Times New Roman" w:cs="Times New Roman"/>
                <w:color w:val="000000" w:themeColor="text1"/>
                <w:sz w:val="24"/>
                <w:highlight w:val="none"/>
                <w:lang w:eastAsia="zh-CN"/>
                <w14:textFill>
                  <w14:solidFill>
                    <w14:schemeClr w14:val="tx1"/>
                  </w14:solidFill>
                </w14:textFill>
              </w:rPr>
              <w:t>竹</w:t>
            </w:r>
            <w:r>
              <w:rPr>
                <w:rFonts w:hint="default" w:ascii="Times New Roman" w:hAnsi="Times New Roman" w:cs="Times New Roman"/>
                <w:color w:val="000000" w:themeColor="text1"/>
                <w:sz w:val="24"/>
                <w:highlight w:val="none"/>
                <w14:textFill>
                  <w14:solidFill>
                    <w14:schemeClr w14:val="tx1"/>
                  </w14:solidFill>
                </w14:textFill>
              </w:rPr>
              <w:t>焦油产生</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绝大部分在炭化阶段生成气体，最后分解变成二氧化碳和水蒸气</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FF0000"/>
                <w:sz w:val="24"/>
                <w:highlight w:val="none"/>
                <w:u w:val="single"/>
              </w:rPr>
              <w:t>本项目在炭化过程中产生的粗</w:t>
            </w:r>
            <w:r>
              <w:rPr>
                <w:rFonts w:hint="eastAsia" w:cs="Times New Roman"/>
                <w:color w:val="FF0000"/>
                <w:sz w:val="24"/>
                <w:highlight w:val="none"/>
                <w:u w:val="single"/>
                <w:lang w:eastAsia="zh-CN"/>
              </w:rPr>
              <w:t>焦油、</w:t>
            </w:r>
            <w:r>
              <w:rPr>
                <w:rFonts w:hint="default" w:ascii="Times New Roman" w:hAnsi="Times New Roman" w:cs="Times New Roman"/>
                <w:color w:val="FF0000"/>
                <w:sz w:val="24"/>
                <w:highlight w:val="none"/>
                <w:u w:val="single"/>
              </w:rPr>
              <w:t>醋液约</w:t>
            </w:r>
            <w:r>
              <w:rPr>
                <w:rFonts w:hint="eastAsia" w:cs="Times New Roman"/>
                <w:color w:val="FF0000"/>
                <w:sz w:val="24"/>
                <w:highlight w:val="none"/>
                <w:u w:val="single"/>
                <w:lang w:val="en-US" w:eastAsia="zh-CN"/>
              </w:rPr>
              <w:t>2363.16</w:t>
            </w:r>
            <w:r>
              <w:rPr>
                <w:rFonts w:hint="default" w:ascii="Times New Roman" w:hAnsi="Times New Roman" w:cs="Times New Roman"/>
                <w:color w:val="FF0000"/>
                <w:sz w:val="24"/>
                <w:highlight w:val="none"/>
                <w:u w:val="single"/>
              </w:rPr>
              <w:t>t/a（水分约占</w:t>
            </w:r>
            <w:r>
              <w:rPr>
                <w:rFonts w:hint="eastAsia" w:cs="Times New Roman"/>
                <w:color w:val="FF0000"/>
                <w:sz w:val="24"/>
                <w:highlight w:val="none"/>
                <w:u w:val="single"/>
                <w:lang w:val="en-US" w:eastAsia="zh-CN"/>
              </w:rPr>
              <w:t>4</w:t>
            </w:r>
            <w:r>
              <w:rPr>
                <w:rFonts w:hint="default" w:ascii="Times New Roman" w:hAnsi="Times New Roman" w:cs="Times New Roman"/>
                <w:color w:val="FF0000"/>
                <w:sz w:val="24"/>
                <w:highlight w:val="none"/>
                <w:u w:val="single"/>
              </w:rPr>
              <w:t>0%），在炭化过程中会以气态形式存在，大部分在炭化炉中消耗，去除水分后冷凝收集的木醋液及木焦油混合物占比约</w:t>
            </w:r>
            <w:r>
              <w:rPr>
                <w:rFonts w:hint="eastAsia" w:cs="Times New Roman"/>
                <w:color w:val="FF0000"/>
                <w:sz w:val="24"/>
                <w:highlight w:val="none"/>
                <w:u w:val="single"/>
                <w:lang w:val="en-US" w:eastAsia="zh-CN"/>
              </w:rPr>
              <w:t>1</w:t>
            </w:r>
            <w:r>
              <w:rPr>
                <w:rFonts w:hint="default" w:ascii="Times New Roman" w:hAnsi="Times New Roman" w:cs="Times New Roman"/>
                <w:color w:val="FF0000"/>
                <w:sz w:val="24"/>
                <w:highlight w:val="none"/>
                <w:u w:val="single"/>
              </w:rPr>
              <w:t>%，即项目炭化炉中冷凝收集的醋液及焦油混合物约为</w:t>
            </w:r>
            <w:r>
              <w:rPr>
                <w:rFonts w:hint="eastAsia" w:cs="Times New Roman"/>
                <w:color w:val="FF0000"/>
                <w:sz w:val="24"/>
                <w:highlight w:val="none"/>
                <w:u w:val="single"/>
                <w:lang w:val="en-US" w:eastAsia="zh-CN"/>
              </w:rPr>
              <w:t>14.18</w:t>
            </w:r>
            <w:r>
              <w:rPr>
                <w:rFonts w:hint="default" w:ascii="Times New Roman" w:hAnsi="Times New Roman" w:cs="Times New Roman"/>
                <w:color w:val="FF0000"/>
                <w:sz w:val="24"/>
                <w:highlight w:val="none"/>
                <w:u w:val="single"/>
              </w:rPr>
              <w:t>t/a。</w:t>
            </w:r>
            <w:r>
              <w:rPr>
                <w:rFonts w:hint="eastAsia" w:ascii="Times New Roman" w:hAnsi="Times New Roman" w:cs="Times New Roman"/>
                <w:color w:val="000000" w:themeColor="text1"/>
                <w:sz w:val="24"/>
                <w:highlight w:val="none"/>
                <w:lang w:eastAsia="zh-CN"/>
                <w14:textFill>
                  <w14:solidFill>
                    <w14:schemeClr w14:val="tx1"/>
                  </w14:solidFill>
                </w14:textFill>
              </w:rPr>
              <w:t>竹</w:t>
            </w:r>
            <w:r>
              <w:rPr>
                <w:rFonts w:hint="default" w:ascii="Times New Roman" w:hAnsi="Times New Roman" w:cs="Times New Roman"/>
                <w:color w:val="000000" w:themeColor="text1"/>
                <w:sz w:val="24"/>
                <w:highlight w:val="none"/>
                <w14:textFill>
                  <w14:solidFill>
                    <w14:schemeClr w14:val="tx1"/>
                  </w14:solidFill>
                </w14:textFill>
              </w:rPr>
              <w:t>焦油、竹醋液的主要成分是一种含酚类、酸类和烃类的混合物。竹醋液、</w:t>
            </w:r>
            <w:r>
              <w:rPr>
                <w:rFonts w:hint="eastAsia" w:ascii="Times New Roman" w:hAnsi="Times New Roman" w:cs="Times New Roman"/>
                <w:color w:val="000000" w:themeColor="text1"/>
                <w:sz w:val="24"/>
                <w:highlight w:val="none"/>
                <w:lang w:eastAsia="zh-CN"/>
                <w14:textFill>
                  <w14:solidFill>
                    <w14:schemeClr w14:val="tx1"/>
                  </w14:solidFill>
                </w14:textFill>
              </w:rPr>
              <w:t>竹</w:t>
            </w:r>
            <w:r>
              <w:rPr>
                <w:rFonts w:hint="default" w:ascii="Times New Roman" w:hAnsi="Times New Roman" w:cs="Times New Roman"/>
                <w:color w:val="000000" w:themeColor="text1"/>
                <w:sz w:val="24"/>
                <w:highlight w:val="none"/>
                <w14:textFill>
                  <w14:solidFill>
                    <w14:schemeClr w14:val="tx1"/>
                  </w14:solidFill>
                </w14:textFill>
              </w:rPr>
              <w:t>焦油属于《国家危险废物名录》</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2021年版</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编号HW11精（蒸）馏残渣中代码900-013-11的危险废物，应委托具有危废处理资质的单位进行处理。</w:t>
            </w:r>
            <w:r>
              <w:rPr>
                <w:rFonts w:hint="default" w:ascii="Times New Roman" w:hAnsi="Times New Roman" w:cs="Times New Roman"/>
                <w:color w:val="FF0000"/>
                <w:sz w:val="24"/>
                <w:highlight w:val="none"/>
                <w:u w:val="single"/>
              </w:rPr>
              <w:t>本项目冷凝后的粗木焦油、木醋液经收集池（</w:t>
            </w:r>
            <w:r>
              <w:rPr>
                <w:rFonts w:hint="eastAsia" w:cs="Times New Roman"/>
                <w:color w:val="FF0000"/>
                <w:sz w:val="24"/>
                <w:highlight w:val="none"/>
                <w:u w:val="single"/>
                <w:lang w:val="en-US" w:eastAsia="zh-CN"/>
              </w:rPr>
              <w:t>1</w:t>
            </w:r>
            <w:r>
              <w:rPr>
                <w:rFonts w:hint="default" w:ascii="Times New Roman" w:hAnsi="Times New Roman" w:cs="Times New Roman"/>
                <w:color w:val="FF0000"/>
                <w:sz w:val="24"/>
                <w:highlight w:val="none"/>
                <w:u w:val="single"/>
              </w:rPr>
              <w:t>m×0.5m×0.5m）收集后，采用防渗防漏的专用容器盛装密封</w:t>
            </w:r>
            <w:r>
              <w:rPr>
                <w:rFonts w:hint="eastAsia" w:cs="Times New Roman"/>
                <w:color w:val="FF0000"/>
                <w:sz w:val="24"/>
                <w:highlight w:val="none"/>
                <w:u w:val="single"/>
                <w:lang w:eastAsia="zh-CN"/>
              </w:rPr>
              <w:t>。本环评建议建设单位应设不低于</w:t>
            </w:r>
            <w:r>
              <w:rPr>
                <w:rFonts w:hint="eastAsia" w:cs="Times New Roman"/>
                <w:color w:val="FF0000"/>
                <w:sz w:val="24"/>
                <w:highlight w:val="none"/>
                <w:u w:val="single"/>
                <w:lang w:val="en-US" w:eastAsia="zh-CN"/>
              </w:rPr>
              <w:t>3个（总容量不低于10t）的容器。且应及时交由有资质的危险废物单位进行转运处理。</w:t>
            </w:r>
          </w:p>
          <w:p>
            <w:pPr>
              <w:spacing w:line="360" w:lineRule="auto"/>
              <w:ind w:firstLine="480" w:firstLineChars="200"/>
              <w:rPr>
                <w:sz w:val="24"/>
              </w:rPr>
            </w:pPr>
            <w:r>
              <w:rPr>
                <w:sz w:val="24"/>
              </w:rPr>
              <w:t>根据</w:t>
            </w:r>
            <w:r>
              <w:rPr>
                <w:rFonts w:hint="eastAsia"/>
                <w:sz w:val="24"/>
              </w:rPr>
              <w:t>《一般固体废物分类与代码》（GB/T39198-2020）、</w:t>
            </w:r>
            <w:r>
              <w:rPr>
                <w:sz w:val="24"/>
              </w:rPr>
              <w:t>《固体废物鉴别</w:t>
            </w:r>
            <w:r>
              <w:rPr>
                <w:rFonts w:hint="eastAsia"/>
                <w:sz w:val="24"/>
              </w:rPr>
              <w:t>标准 通则</w:t>
            </w:r>
            <w:r>
              <w:rPr>
                <w:sz w:val="24"/>
              </w:rPr>
              <w:t>》</w:t>
            </w:r>
            <w:r>
              <w:rPr>
                <w:rFonts w:hint="eastAsia"/>
                <w:sz w:val="24"/>
              </w:rPr>
              <w:t>（GB34330-2017）</w:t>
            </w:r>
            <w:r>
              <w:rPr>
                <w:sz w:val="24"/>
              </w:rPr>
              <w:t>和《国家危险废物名录</w:t>
            </w:r>
            <w:r>
              <w:rPr>
                <w:rFonts w:hint="eastAsia"/>
                <w:sz w:val="24"/>
              </w:rPr>
              <w:t>（</w:t>
            </w:r>
            <w:r>
              <w:rPr>
                <w:sz w:val="24"/>
              </w:rPr>
              <w:t>2021年</w:t>
            </w:r>
            <w:r>
              <w:rPr>
                <w:rFonts w:hint="eastAsia"/>
                <w:sz w:val="24"/>
              </w:rPr>
              <w:t>）</w:t>
            </w:r>
            <w:r>
              <w:rPr>
                <w:sz w:val="24"/>
              </w:rPr>
              <w:t>》等相关文件进行固体废物及危险废物的判定，具体鉴别分析情况汇总于如下表</w:t>
            </w:r>
            <w:r>
              <w:rPr>
                <w:rFonts w:hint="eastAsia"/>
                <w:sz w:val="24"/>
              </w:rPr>
              <w:t>4-1</w:t>
            </w:r>
            <w:r>
              <w:rPr>
                <w:rFonts w:hint="eastAsia"/>
                <w:sz w:val="24"/>
                <w:lang w:val="en-US" w:eastAsia="zh-CN"/>
              </w:rPr>
              <w:t>0</w:t>
            </w:r>
            <w:r>
              <w:rPr>
                <w:sz w:val="24"/>
              </w:rPr>
              <w:t xml:space="preserve">。 </w:t>
            </w:r>
          </w:p>
          <w:p>
            <w:pPr>
              <w:jc w:val="center"/>
              <w:rPr>
                <w:b/>
                <w:szCs w:val="21"/>
              </w:rPr>
            </w:pPr>
            <w:r>
              <w:rPr>
                <w:b/>
                <w:szCs w:val="21"/>
              </w:rPr>
              <w:t>表</w:t>
            </w:r>
            <w:r>
              <w:rPr>
                <w:rFonts w:hint="eastAsia"/>
                <w:b/>
                <w:szCs w:val="21"/>
              </w:rPr>
              <w:t>4-1</w:t>
            </w:r>
            <w:r>
              <w:rPr>
                <w:rFonts w:hint="eastAsia"/>
                <w:b/>
                <w:szCs w:val="21"/>
                <w:lang w:val="en-US" w:eastAsia="zh-CN"/>
              </w:rPr>
              <w:t>0</w:t>
            </w:r>
            <w:r>
              <w:rPr>
                <w:b/>
                <w:szCs w:val="21"/>
              </w:rPr>
              <w:t xml:space="preserve">  工业固体废物分析结果汇总表</w:t>
            </w:r>
          </w:p>
          <w:tbl>
            <w:tblPr>
              <w:tblStyle w:val="22"/>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001"/>
              <w:gridCol w:w="846"/>
              <w:gridCol w:w="941"/>
              <w:gridCol w:w="1196"/>
              <w:gridCol w:w="827"/>
              <w:gridCol w:w="626"/>
              <w:gridCol w:w="857"/>
              <w:gridCol w:w="62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szCs w:val="21"/>
                    </w:rPr>
                  </w:pPr>
                  <w:r>
                    <w:rPr>
                      <w:szCs w:val="21"/>
                    </w:rPr>
                    <w:t>序号</w:t>
                  </w:r>
                </w:p>
              </w:tc>
              <w:tc>
                <w:tcPr>
                  <w:tcW w:w="1001" w:type="dxa"/>
                  <w:vAlign w:val="center"/>
                </w:tcPr>
                <w:p>
                  <w:pPr>
                    <w:jc w:val="center"/>
                    <w:rPr>
                      <w:szCs w:val="21"/>
                    </w:rPr>
                  </w:pPr>
                  <w:r>
                    <w:rPr>
                      <w:szCs w:val="21"/>
                    </w:rPr>
                    <w:t>固废名称</w:t>
                  </w:r>
                </w:p>
              </w:tc>
              <w:tc>
                <w:tcPr>
                  <w:tcW w:w="846" w:type="dxa"/>
                  <w:vAlign w:val="center"/>
                </w:tcPr>
                <w:p>
                  <w:pPr>
                    <w:jc w:val="center"/>
                    <w:rPr>
                      <w:szCs w:val="21"/>
                    </w:rPr>
                  </w:pPr>
                  <w:r>
                    <w:rPr>
                      <w:szCs w:val="21"/>
                    </w:rPr>
                    <w:t>产生量（t/a）</w:t>
                  </w:r>
                </w:p>
              </w:tc>
              <w:tc>
                <w:tcPr>
                  <w:tcW w:w="941" w:type="dxa"/>
                  <w:vAlign w:val="center"/>
                </w:tcPr>
                <w:p>
                  <w:pPr>
                    <w:jc w:val="center"/>
                    <w:rPr>
                      <w:szCs w:val="21"/>
                    </w:rPr>
                  </w:pPr>
                  <w:r>
                    <w:rPr>
                      <w:szCs w:val="21"/>
                    </w:rPr>
                    <w:t>分类</w:t>
                  </w:r>
                </w:p>
              </w:tc>
              <w:tc>
                <w:tcPr>
                  <w:tcW w:w="1196" w:type="dxa"/>
                  <w:vAlign w:val="center"/>
                </w:tcPr>
                <w:p>
                  <w:pPr>
                    <w:jc w:val="center"/>
                    <w:rPr>
                      <w:szCs w:val="21"/>
                    </w:rPr>
                  </w:pPr>
                  <w:r>
                    <w:rPr>
                      <w:rFonts w:hint="eastAsia"/>
                      <w:szCs w:val="21"/>
                    </w:rPr>
                    <w:t>固废代码</w:t>
                  </w:r>
                </w:p>
              </w:tc>
              <w:tc>
                <w:tcPr>
                  <w:tcW w:w="827" w:type="dxa"/>
                  <w:vAlign w:val="center"/>
                </w:tcPr>
                <w:p>
                  <w:pPr>
                    <w:jc w:val="center"/>
                    <w:rPr>
                      <w:szCs w:val="21"/>
                    </w:rPr>
                  </w:pPr>
                  <w:r>
                    <w:rPr>
                      <w:rFonts w:hint="eastAsia"/>
                      <w:szCs w:val="21"/>
                    </w:rPr>
                    <w:t>主要有毒有害物质名称</w:t>
                  </w:r>
                </w:p>
              </w:tc>
              <w:tc>
                <w:tcPr>
                  <w:tcW w:w="626" w:type="dxa"/>
                  <w:vAlign w:val="center"/>
                </w:tcPr>
                <w:p>
                  <w:pPr>
                    <w:jc w:val="center"/>
                    <w:rPr>
                      <w:szCs w:val="21"/>
                    </w:rPr>
                  </w:pPr>
                  <w:r>
                    <w:rPr>
                      <w:rFonts w:hint="eastAsia"/>
                      <w:szCs w:val="21"/>
                    </w:rPr>
                    <w:t>物理性状</w:t>
                  </w:r>
                </w:p>
              </w:tc>
              <w:tc>
                <w:tcPr>
                  <w:tcW w:w="857" w:type="dxa"/>
                  <w:vAlign w:val="center"/>
                </w:tcPr>
                <w:p>
                  <w:pPr>
                    <w:jc w:val="center"/>
                    <w:rPr>
                      <w:szCs w:val="21"/>
                    </w:rPr>
                  </w:pPr>
                  <w:r>
                    <w:rPr>
                      <w:szCs w:val="21"/>
                    </w:rPr>
                    <w:t>环境危险特性</w:t>
                  </w:r>
                </w:p>
              </w:tc>
              <w:tc>
                <w:tcPr>
                  <w:tcW w:w="626" w:type="dxa"/>
                  <w:vAlign w:val="center"/>
                </w:tcPr>
                <w:p>
                  <w:pPr>
                    <w:jc w:val="center"/>
                    <w:rPr>
                      <w:szCs w:val="21"/>
                    </w:rPr>
                  </w:pPr>
                  <w:r>
                    <w:rPr>
                      <w:rFonts w:hint="eastAsia"/>
                      <w:szCs w:val="21"/>
                    </w:rPr>
                    <w:t>贮存</w:t>
                  </w:r>
                  <w:r>
                    <w:rPr>
                      <w:szCs w:val="21"/>
                    </w:rPr>
                    <w:t>方式</w:t>
                  </w:r>
                </w:p>
              </w:tc>
              <w:tc>
                <w:tcPr>
                  <w:tcW w:w="1091" w:type="dxa"/>
                  <w:vAlign w:val="center"/>
                </w:tcPr>
                <w:p>
                  <w:pPr>
                    <w:jc w:val="center"/>
                    <w:rPr>
                      <w:szCs w:val="21"/>
                    </w:rPr>
                  </w:pPr>
                  <w:r>
                    <w:rPr>
                      <w:szCs w:val="21"/>
                    </w:rPr>
                    <w:t>处置措施及去向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szCs w:val="21"/>
                    </w:rPr>
                  </w:pPr>
                  <w:r>
                    <w:rPr>
                      <w:szCs w:val="21"/>
                    </w:rPr>
                    <w:t>1</w:t>
                  </w:r>
                </w:p>
              </w:tc>
              <w:tc>
                <w:tcPr>
                  <w:tcW w:w="1001" w:type="dxa"/>
                  <w:vAlign w:val="center"/>
                </w:tcPr>
                <w:p>
                  <w:pPr>
                    <w:jc w:val="center"/>
                    <w:rPr>
                      <w:rFonts w:hint="default" w:eastAsia="宋体"/>
                      <w:szCs w:val="21"/>
                      <w:lang w:val="en-US" w:eastAsia="zh-CN"/>
                    </w:rPr>
                  </w:pPr>
                  <w:r>
                    <w:rPr>
                      <w:rFonts w:hint="eastAsia"/>
                      <w:szCs w:val="21"/>
                      <w:lang w:val="en-US" w:eastAsia="zh-CN"/>
                    </w:rPr>
                    <w:t>生活垃圾</w:t>
                  </w:r>
                </w:p>
              </w:tc>
              <w:tc>
                <w:tcPr>
                  <w:tcW w:w="846" w:type="dxa"/>
                  <w:vAlign w:val="center"/>
                </w:tcPr>
                <w:p>
                  <w:pPr>
                    <w:jc w:val="center"/>
                    <w:rPr>
                      <w:rFonts w:hint="default" w:eastAsia="宋体"/>
                      <w:szCs w:val="21"/>
                      <w:lang w:val="en-US" w:eastAsia="zh-CN"/>
                    </w:rPr>
                  </w:pPr>
                  <w:r>
                    <w:rPr>
                      <w:rFonts w:hint="eastAsia"/>
                      <w:szCs w:val="21"/>
                      <w:lang w:val="en-US" w:eastAsia="zh-CN"/>
                    </w:rPr>
                    <w:t>1.8</w:t>
                  </w:r>
                </w:p>
              </w:tc>
              <w:tc>
                <w:tcPr>
                  <w:tcW w:w="941" w:type="dxa"/>
                  <w:vAlign w:val="center"/>
                </w:tcPr>
                <w:p>
                  <w:pPr>
                    <w:jc w:val="center"/>
                    <w:rPr>
                      <w:szCs w:val="21"/>
                    </w:rPr>
                  </w:pPr>
                  <w:r>
                    <w:rPr>
                      <w:szCs w:val="21"/>
                    </w:rPr>
                    <w:t>生活垃圾</w:t>
                  </w:r>
                </w:p>
              </w:tc>
              <w:tc>
                <w:tcPr>
                  <w:tcW w:w="1196" w:type="dxa"/>
                  <w:vAlign w:val="center"/>
                </w:tcPr>
                <w:p>
                  <w:pPr>
                    <w:jc w:val="center"/>
                    <w:rPr>
                      <w:rFonts w:hint="default" w:eastAsia="宋体"/>
                      <w:szCs w:val="21"/>
                      <w:lang w:val="en-US" w:eastAsia="zh-CN"/>
                    </w:rPr>
                  </w:pPr>
                  <w:r>
                    <w:rPr>
                      <w:rFonts w:hint="eastAsia"/>
                      <w:szCs w:val="21"/>
                      <w:lang w:val="en-US" w:eastAsia="zh-CN"/>
                    </w:rPr>
                    <w:t>/</w:t>
                  </w:r>
                </w:p>
              </w:tc>
              <w:tc>
                <w:tcPr>
                  <w:tcW w:w="82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固态</w:t>
                  </w:r>
                </w:p>
              </w:tc>
              <w:tc>
                <w:tcPr>
                  <w:tcW w:w="85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w:t>
                  </w:r>
                </w:p>
              </w:tc>
              <w:tc>
                <w:tcPr>
                  <w:tcW w:w="1091" w:type="dxa"/>
                  <w:vAlign w:val="center"/>
                </w:tcPr>
                <w:p>
                  <w:pPr>
                    <w:jc w:val="center"/>
                    <w:rPr>
                      <w:szCs w:val="21"/>
                    </w:rPr>
                  </w:pPr>
                  <w:r>
                    <w:rPr>
                      <w:szCs w:val="21"/>
                    </w:rPr>
                    <w:t>经收集后交由环卫部门处理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szCs w:val="21"/>
                    </w:rPr>
                  </w:pPr>
                  <w:r>
                    <w:rPr>
                      <w:rFonts w:hint="eastAsia"/>
                      <w:szCs w:val="21"/>
                    </w:rPr>
                    <w:t>2</w:t>
                  </w:r>
                </w:p>
              </w:tc>
              <w:tc>
                <w:tcPr>
                  <w:tcW w:w="1001" w:type="dxa"/>
                  <w:vAlign w:val="center"/>
                </w:tcPr>
                <w:p>
                  <w:pPr>
                    <w:jc w:val="center"/>
                    <w:rPr>
                      <w:rFonts w:hint="eastAsia" w:eastAsia="宋体"/>
                      <w:szCs w:val="21"/>
                      <w:lang w:val="en-US" w:eastAsia="zh-CN"/>
                    </w:rPr>
                  </w:pPr>
                  <w:r>
                    <w:rPr>
                      <w:rFonts w:hint="eastAsia"/>
                      <w:szCs w:val="21"/>
                      <w:lang w:val="en-US" w:eastAsia="zh-CN"/>
                    </w:rPr>
                    <w:t>炉渣</w:t>
                  </w:r>
                </w:p>
              </w:tc>
              <w:tc>
                <w:tcPr>
                  <w:tcW w:w="846" w:type="dxa"/>
                  <w:vAlign w:val="center"/>
                </w:tcPr>
                <w:p>
                  <w:pPr>
                    <w:jc w:val="center"/>
                    <w:rPr>
                      <w:rFonts w:hint="eastAsia" w:eastAsia="宋体"/>
                      <w:szCs w:val="21"/>
                      <w:lang w:eastAsia="zh-CN"/>
                    </w:rPr>
                  </w:pPr>
                  <w:r>
                    <w:rPr>
                      <w:rFonts w:hint="eastAsia"/>
                      <w:szCs w:val="21"/>
                      <w:lang w:val="en-US" w:eastAsia="zh-CN"/>
                    </w:rPr>
                    <w:t>2</w:t>
                  </w:r>
                </w:p>
              </w:tc>
              <w:tc>
                <w:tcPr>
                  <w:tcW w:w="941" w:type="dxa"/>
                  <w:vAlign w:val="center"/>
                </w:tcPr>
                <w:p>
                  <w:pPr>
                    <w:jc w:val="center"/>
                    <w:rPr>
                      <w:szCs w:val="21"/>
                    </w:rPr>
                  </w:pPr>
                  <w:r>
                    <w:rPr>
                      <w:rFonts w:hint="eastAsia"/>
                      <w:szCs w:val="21"/>
                    </w:rPr>
                    <w:t>一般工业固废</w:t>
                  </w:r>
                </w:p>
              </w:tc>
              <w:tc>
                <w:tcPr>
                  <w:tcW w:w="1196" w:type="dxa"/>
                  <w:vAlign w:val="center"/>
                </w:tcPr>
                <w:p>
                  <w:pPr>
                    <w:jc w:val="center"/>
                    <w:rPr>
                      <w:szCs w:val="21"/>
                    </w:rPr>
                  </w:pPr>
                  <w:r>
                    <w:rPr>
                      <w:rFonts w:hint="eastAsia"/>
                      <w:szCs w:val="21"/>
                      <w:lang w:val="en-US" w:eastAsia="zh-CN"/>
                    </w:rPr>
                    <w:t>422</w:t>
                  </w:r>
                  <w:r>
                    <w:rPr>
                      <w:rFonts w:hint="eastAsia"/>
                      <w:szCs w:val="21"/>
                    </w:rPr>
                    <w:t>-0</w:t>
                  </w:r>
                  <w:r>
                    <w:rPr>
                      <w:rFonts w:hint="eastAsia"/>
                      <w:szCs w:val="21"/>
                      <w:lang w:val="en-US" w:eastAsia="zh-CN"/>
                    </w:rPr>
                    <w:t>01</w:t>
                  </w:r>
                  <w:r>
                    <w:rPr>
                      <w:rFonts w:hint="eastAsia"/>
                      <w:szCs w:val="21"/>
                    </w:rPr>
                    <w:t>-</w:t>
                  </w:r>
                  <w:r>
                    <w:rPr>
                      <w:rFonts w:hint="eastAsia"/>
                      <w:szCs w:val="21"/>
                      <w:lang w:val="en-US" w:eastAsia="zh-CN"/>
                    </w:rPr>
                    <w:t>01</w:t>
                  </w:r>
                </w:p>
              </w:tc>
              <w:tc>
                <w:tcPr>
                  <w:tcW w:w="82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固态</w:t>
                  </w:r>
                </w:p>
              </w:tc>
              <w:tc>
                <w:tcPr>
                  <w:tcW w:w="85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w:t>
                  </w:r>
                </w:p>
              </w:tc>
              <w:tc>
                <w:tcPr>
                  <w:tcW w:w="1091" w:type="dxa"/>
                  <w:vAlign w:val="center"/>
                </w:tcPr>
                <w:p>
                  <w:pPr>
                    <w:jc w:val="center"/>
                    <w:rPr>
                      <w:szCs w:val="21"/>
                    </w:rPr>
                  </w:pPr>
                  <w:r>
                    <w:rPr>
                      <w:rFonts w:hint="eastAsia"/>
                      <w:szCs w:val="21"/>
                    </w:rPr>
                    <w:t>外售处置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szCs w:val="21"/>
                    </w:rPr>
                  </w:pPr>
                  <w:r>
                    <w:rPr>
                      <w:rFonts w:hint="eastAsia"/>
                      <w:szCs w:val="21"/>
                    </w:rPr>
                    <w:t>3</w:t>
                  </w:r>
                </w:p>
              </w:tc>
              <w:tc>
                <w:tcPr>
                  <w:tcW w:w="1001" w:type="dxa"/>
                  <w:vAlign w:val="center"/>
                </w:tcPr>
                <w:p>
                  <w:pPr>
                    <w:jc w:val="center"/>
                    <w:rPr>
                      <w:rFonts w:hint="default" w:eastAsia="宋体"/>
                      <w:szCs w:val="21"/>
                      <w:lang w:val="en-US" w:eastAsia="zh-CN"/>
                    </w:rPr>
                  </w:pPr>
                  <w:r>
                    <w:rPr>
                      <w:rFonts w:hint="eastAsia"/>
                      <w:szCs w:val="21"/>
                      <w:lang w:val="en-US" w:eastAsia="zh-CN"/>
                    </w:rPr>
                    <w:t>沉淀池沉渣</w:t>
                  </w:r>
                </w:p>
              </w:tc>
              <w:tc>
                <w:tcPr>
                  <w:tcW w:w="846" w:type="dxa"/>
                  <w:vAlign w:val="center"/>
                </w:tcPr>
                <w:p>
                  <w:pPr>
                    <w:jc w:val="center"/>
                    <w:rPr>
                      <w:szCs w:val="21"/>
                    </w:rPr>
                  </w:pPr>
                  <w:r>
                    <w:rPr>
                      <w:rFonts w:hint="eastAsia"/>
                      <w:szCs w:val="21"/>
                    </w:rPr>
                    <w:t>0.14</w:t>
                  </w:r>
                </w:p>
              </w:tc>
              <w:tc>
                <w:tcPr>
                  <w:tcW w:w="941" w:type="dxa"/>
                  <w:vAlign w:val="center"/>
                </w:tcPr>
                <w:p>
                  <w:pPr>
                    <w:jc w:val="center"/>
                    <w:rPr>
                      <w:szCs w:val="21"/>
                    </w:rPr>
                  </w:pPr>
                  <w:r>
                    <w:rPr>
                      <w:rFonts w:hint="eastAsia"/>
                      <w:szCs w:val="21"/>
                    </w:rPr>
                    <w:t>一般工业固废</w:t>
                  </w:r>
                </w:p>
              </w:tc>
              <w:tc>
                <w:tcPr>
                  <w:tcW w:w="1196" w:type="dxa"/>
                  <w:vAlign w:val="center"/>
                </w:tcPr>
                <w:p>
                  <w:pPr>
                    <w:jc w:val="center"/>
                    <w:rPr>
                      <w:szCs w:val="21"/>
                    </w:rPr>
                  </w:pPr>
                  <w:r>
                    <w:rPr>
                      <w:rFonts w:hint="eastAsia"/>
                      <w:szCs w:val="21"/>
                      <w:lang w:val="en-US" w:eastAsia="zh-CN"/>
                    </w:rPr>
                    <w:t>422</w:t>
                  </w:r>
                  <w:r>
                    <w:rPr>
                      <w:rFonts w:hint="eastAsia"/>
                      <w:szCs w:val="21"/>
                    </w:rPr>
                    <w:t>-0</w:t>
                  </w:r>
                  <w:r>
                    <w:rPr>
                      <w:rFonts w:hint="eastAsia"/>
                      <w:szCs w:val="21"/>
                      <w:lang w:val="en-US" w:eastAsia="zh-CN"/>
                    </w:rPr>
                    <w:t>01</w:t>
                  </w:r>
                  <w:r>
                    <w:rPr>
                      <w:rFonts w:hint="eastAsia"/>
                      <w:szCs w:val="21"/>
                    </w:rPr>
                    <w:t>-</w:t>
                  </w:r>
                  <w:r>
                    <w:rPr>
                      <w:rFonts w:hint="eastAsia"/>
                      <w:szCs w:val="21"/>
                      <w:lang w:val="en-US" w:eastAsia="zh-CN"/>
                    </w:rPr>
                    <w:t>01</w:t>
                  </w:r>
                </w:p>
              </w:tc>
              <w:tc>
                <w:tcPr>
                  <w:tcW w:w="82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固态</w:t>
                  </w:r>
                </w:p>
              </w:tc>
              <w:tc>
                <w:tcPr>
                  <w:tcW w:w="85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w:t>
                  </w:r>
                </w:p>
              </w:tc>
              <w:tc>
                <w:tcPr>
                  <w:tcW w:w="1091" w:type="dxa"/>
                  <w:vMerge w:val="restart"/>
                  <w:vAlign w:val="center"/>
                </w:tcPr>
                <w:p>
                  <w:pPr>
                    <w:jc w:val="center"/>
                    <w:rPr>
                      <w:szCs w:val="21"/>
                    </w:rPr>
                  </w:pPr>
                  <w:r>
                    <w:rPr>
                      <w:szCs w:val="21"/>
                    </w:rPr>
                    <w:t>经收集后交由环卫部门处理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szCs w:val="21"/>
                    </w:rPr>
                  </w:pPr>
                  <w:r>
                    <w:rPr>
                      <w:rFonts w:hint="eastAsia"/>
                      <w:szCs w:val="21"/>
                    </w:rPr>
                    <w:t>4</w:t>
                  </w:r>
                </w:p>
              </w:tc>
              <w:tc>
                <w:tcPr>
                  <w:tcW w:w="1001" w:type="dxa"/>
                  <w:vAlign w:val="center"/>
                </w:tcPr>
                <w:p>
                  <w:pPr>
                    <w:jc w:val="center"/>
                    <w:rPr>
                      <w:rFonts w:hint="eastAsia" w:eastAsia="宋体"/>
                      <w:szCs w:val="21"/>
                      <w:lang w:eastAsia="zh-CN"/>
                    </w:rPr>
                  </w:pPr>
                  <w:r>
                    <w:rPr>
                      <w:rFonts w:hint="eastAsia"/>
                      <w:szCs w:val="21"/>
                      <w:lang w:val="en-US" w:eastAsia="zh-CN"/>
                    </w:rPr>
                    <w:t>粉尘</w:t>
                  </w:r>
                </w:p>
              </w:tc>
              <w:tc>
                <w:tcPr>
                  <w:tcW w:w="846" w:type="dxa"/>
                  <w:vAlign w:val="center"/>
                </w:tcPr>
                <w:p>
                  <w:pPr>
                    <w:jc w:val="center"/>
                    <w:rPr>
                      <w:rFonts w:hint="default" w:eastAsia="宋体"/>
                      <w:szCs w:val="21"/>
                      <w:lang w:val="en-US" w:eastAsia="zh-CN"/>
                    </w:rPr>
                  </w:pPr>
                  <w:r>
                    <w:rPr>
                      <w:rFonts w:hint="eastAsia"/>
                      <w:szCs w:val="21"/>
                      <w:lang w:val="en-US" w:eastAsia="zh-CN"/>
                    </w:rPr>
                    <w:t>0.6374</w:t>
                  </w:r>
                </w:p>
              </w:tc>
              <w:tc>
                <w:tcPr>
                  <w:tcW w:w="941" w:type="dxa"/>
                  <w:vAlign w:val="center"/>
                </w:tcPr>
                <w:p>
                  <w:pPr>
                    <w:jc w:val="center"/>
                    <w:rPr>
                      <w:szCs w:val="21"/>
                    </w:rPr>
                  </w:pPr>
                  <w:r>
                    <w:rPr>
                      <w:rFonts w:hint="eastAsia"/>
                      <w:szCs w:val="21"/>
                    </w:rPr>
                    <w:t>一般工业固废</w:t>
                  </w:r>
                </w:p>
              </w:tc>
              <w:tc>
                <w:tcPr>
                  <w:tcW w:w="1196" w:type="dxa"/>
                  <w:vAlign w:val="center"/>
                </w:tcPr>
                <w:p>
                  <w:pPr>
                    <w:jc w:val="center"/>
                    <w:rPr>
                      <w:szCs w:val="21"/>
                    </w:rPr>
                  </w:pPr>
                  <w:r>
                    <w:rPr>
                      <w:rFonts w:hint="eastAsia"/>
                      <w:szCs w:val="21"/>
                      <w:lang w:val="en-US" w:eastAsia="zh-CN"/>
                    </w:rPr>
                    <w:t>422</w:t>
                  </w:r>
                  <w:r>
                    <w:rPr>
                      <w:rFonts w:hint="eastAsia"/>
                      <w:szCs w:val="21"/>
                    </w:rPr>
                    <w:t>-0</w:t>
                  </w:r>
                  <w:r>
                    <w:rPr>
                      <w:rFonts w:hint="eastAsia"/>
                      <w:szCs w:val="21"/>
                      <w:lang w:val="en-US" w:eastAsia="zh-CN"/>
                    </w:rPr>
                    <w:t>01</w:t>
                  </w:r>
                  <w:r>
                    <w:rPr>
                      <w:rFonts w:hint="eastAsia"/>
                      <w:szCs w:val="21"/>
                    </w:rPr>
                    <w:t>-</w:t>
                  </w:r>
                  <w:r>
                    <w:rPr>
                      <w:rFonts w:hint="eastAsia"/>
                      <w:szCs w:val="21"/>
                      <w:lang w:val="en-US" w:eastAsia="zh-CN"/>
                    </w:rPr>
                    <w:t>01</w:t>
                  </w:r>
                </w:p>
              </w:tc>
              <w:tc>
                <w:tcPr>
                  <w:tcW w:w="82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固态</w:t>
                  </w:r>
                </w:p>
              </w:tc>
              <w:tc>
                <w:tcPr>
                  <w:tcW w:w="85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w:t>
                  </w:r>
                </w:p>
              </w:tc>
              <w:tc>
                <w:tcPr>
                  <w:tcW w:w="109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szCs w:val="21"/>
                    </w:rPr>
                  </w:pPr>
                  <w:r>
                    <w:rPr>
                      <w:rFonts w:hint="eastAsia"/>
                      <w:szCs w:val="21"/>
                    </w:rPr>
                    <w:t>5</w:t>
                  </w:r>
                </w:p>
              </w:tc>
              <w:tc>
                <w:tcPr>
                  <w:tcW w:w="1001" w:type="dxa"/>
                  <w:vAlign w:val="center"/>
                </w:tcPr>
                <w:p>
                  <w:pPr>
                    <w:jc w:val="center"/>
                    <w:rPr>
                      <w:rFonts w:hint="default" w:eastAsia="宋体"/>
                      <w:szCs w:val="21"/>
                      <w:lang w:val="en-US" w:eastAsia="zh-CN"/>
                    </w:rPr>
                  </w:pPr>
                  <w:r>
                    <w:rPr>
                      <w:rFonts w:hint="eastAsia"/>
                      <w:szCs w:val="21"/>
                      <w:lang w:val="en-US" w:eastAsia="zh-CN"/>
                    </w:rPr>
                    <w:t>废包装材料</w:t>
                  </w:r>
                </w:p>
              </w:tc>
              <w:tc>
                <w:tcPr>
                  <w:tcW w:w="846" w:type="dxa"/>
                  <w:vAlign w:val="center"/>
                </w:tcPr>
                <w:p>
                  <w:pPr>
                    <w:jc w:val="center"/>
                    <w:rPr>
                      <w:rFonts w:hint="default" w:eastAsia="宋体"/>
                      <w:szCs w:val="21"/>
                      <w:lang w:val="en-US" w:eastAsia="zh-CN"/>
                    </w:rPr>
                  </w:pPr>
                  <w:r>
                    <w:rPr>
                      <w:rFonts w:hint="eastAsia"/>
                      <w:szCs w:val="21"/>
                      <w:lang w:val="en-US" w:eastAsia="zh-CN"/>
                    </w:rPr>
                    <w:t>0.1</w:t>
                  </w:r>
                </w:p>
              </w:tc>
              <w:tc>
                <w:tcPr>
                  <w:tcW w:w="941" w:type="dxa"/>
                  <w:vAlign w:val="center"/>
                </w:tcPr>
                <w:p>
                  <w:pPr>
                    <w:jc w:val="center"/>
                    <w:rPr>
                      <w:szCs w:val="21"/>
                    </w:rPr>
                  </w:pPr>
                  <w:r>
                    <w:rPr>
                      <w:rFonts w:hint="eastAsia"/>
                      <w:szCs w:val="21"/>
                    </w:rPr>
                    <w:t>一般工业固废</w:t>
                  </w:r>
                </w:p>
              </w:tc>
              <w:tc>
                <w:tcPr>
                  <w:tcW w:w="1196" w:type="dxa"/>
                  <w:vAlign w:val="center"/>
                </w:tcPr>
                <w:p>
                  <w:pPr>
                    <w:jc w:val="center"/>
                    <w:rPr>
                      <w:szCs w:val="21"/>
                    </w:rPr>
                  </w:pPr>
                  <w:r>
                    <w:rPr>
                      <w:rFonts w:hint="eastAsia"/>
                      <w:szCs w:val="21"/>
                      <w:lang w:val="en-US" w:eastAsia="zh-CN"/>
                    </w:rPr>
                    <w:t>422</w:t>
                  </w:r>
                  <w:r>
                    <w:rPr>
                      <w:rFonts w:hint="eastAsia"/>
                      <w:szCs w:val="21"/>
                    </w:rPr>
                    <w:t>-0</w:t>
                  </w:r>
                  <w:r>
                    <w:rPr>
                      <w:rFonts w:hint="eastAsia"/>
                      <w:szCs w:val="21"/>
                      <w:lang w:val="en-US" w:eastAsia="zh-CN"/>
                    </w:rPr>
                    <w:t>01</w:t>
                  </w:r>
                  <w:r>
                    <w:rPr>
                      <w:rFonts w:hint="eastAsia"/>
                      <w:szCs w:val="21"/>
                    </w:rPr>
                    <w:t>-</w:t>
                  </w:r>
                  <w:r>
                    <w:rPr>
                      <w:rFonts w:hint="eastAsia"/>
                      <w:szCs w:val="21"/>
                      <w:lang w:val="en-US" w:eastAsia="zh-CN"/>
                    </w:rPr>
                    <w:t>01</w:t>
                  </w:r>
                </w:p>
              </w:tc>
              <w:tc>
                <w:tcPr>
                  <w:tcW w:w="82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固态</w:t>
                  </w:r>
                </w:p>
              </w:tc>
              <w:tc>
                <w:tcPr>
                  <w:tcW w:w="857" w:type="dxa"/>
                  <w:vAlign w:val="center"/>
                </w:tcPr>
                <w:p>
                  <w:pPr>
                    <w:jc w:val="center"/>
                    <w:rPr>
                      <w:szCs w:val="21"/>
                    </w:rPr>
                  </w:pPr>
                  <w:r>
                    <w:rPr>
                      <w:rFonts w:hint="eastAsia"/>
                      <w:szCs w:val="21"/>
                    </w:rPr>
                    <w:t>/</w:t>
                  </w:r>
                </w:p>
              </w:tc>
              <w:tc>
                <w:tcPr>
                  <w:tcW w:w="626" w:type="dxa"/>
                  <w:vAlign w:val="center"/>
                </w:tcPr>
                <w:p>
                  <w:pPr>
                    <w:jc w:val="center"/>
                    <w:rPr>
                      <w:szCs w:val="21"/>
                    </w:rPr>
                  </w:pPr>
                  <w:r>
                    <w:rPr>
                      <w:rFonts w:hint="eastAsia"/>
                      <w:szCs w:val="21"/>
                    </w:rPr>
                    <w:t>/</w:t>
                  </w:r>
                </w:p>
              </w:tc>
              <w:tc>
                <w:tcPr>
                  <w:tcW w:w="109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rFonts w:hint="eastAsia" w:eastAsia="宋体"/>
                      <w:szCs w:val="21"/>
                      <w:lang w:val="en-US" w:eastAsia="zh-CN"/>
                    </w:rPr>
                  </w:pPr>
                  <w:r>
                    <w:rPr>
                      <w:rFonts w:hint="eastAsia"/>
                      <w:szCs w:val="21"/>
                      <w:lang w:val="en-US" w:eastAsia="zh-CN"/>
                    </w:rPr>
                    <w:t>6</w:t>
                  </w:r>
                </w:p>
              </w:tc>
              <w:tc>
                <w:tcPr>
                  <w:tcW w:w="1001" w:type="dxa"/>
                  <w:vAlign w:val="center"/>
                </w:tcPr>
                <w:p>
                  <w:pPr>
                    <w:jc w:val="center"/>
                    <w:rPr>
                      <w:rFonts w:hint="default"/>
                      <w:szCs w:val="21"/>
                      <w:lang w:val="en-US" w:eastAsia="zh-CN"/>
                    </w:rPr>
                  </w:pPr>
                  <w:r>
                    <w:rPr>
                      <w:rFonts w:hint="eastAsia"/>
                      <w:szCs w:val="21"/>
                      <w:lang w:val="en-US" w:eastAsia="zh-CN"/>
                    </w:rPr>
                    <w:t>不合格产品</w:t>
                  </w:r>
                </w:p>
              </w:tc>
              <w:tc>
                <w:tcPr>
                  <w:tcW w:w="846" w:type="dxa"/>
                  <w:vAlign w:val="center"/>
                </w:tcPr>
                <w:p>
                  <w:pPr>
                    <w:jc w:val="center"/>
                    <w:rPr>
                      <w:rFonts w:hint="default"/>
                      <w:szCs w:val="21"/>
                      <w:lang w:val="en-US" w:eastAsia="zh-CN"/>
                    </w:rPr>
                  </w:pPr>
                  <w:r>
                    <w:rPr>
                      <w:rFonts w:hint="eastAsia"/>
                      <w:szCs w:val="21"/>
                      <w:lang w:val="en-US" w:eastAsia="zh-CN"/>
                    </w:rPr>
                    <w:t>5</w:t>
                  </w:r>
                </w:p>
              </w:tc>
              <w:tc>
                <w:tcPr>
                  <w:tcW w:w="941" w:type="dxa"/>
                  <w:vAlign w:val="center"/>
                </w:tcPr>
                <w:p>
                  <w:pPr>
                    <w:jc w:val="center"/>
                    <w:rPr>
                      <w:rFonts w:hint="eastAsia"/>
                      <w:szCs w:val="21"/>
                    </w:rPr>
                  </w:pPr>
                  <w:r>
                    <w:rPr>
                      <w:rFonts w:hint="eastAsia"/>
                      <w:szCs w:val="21"/>
                    </w:rPr>
                    <w:t>一般工业固废</w:t>
                  </w:r>
                </w:p>
              </w:tc>
              <w:tc>
                <w:tcPr>
                  <w:tcW w:w="1196" w:type="dxa"/>
                  <w:vAlign w:val="center"/>
                </w:tcPr>
                <w:p>
                  <w:pPr>
                    <w:jc w:val="center"/>
                    <w:rPr>
                      <w:rFonts w:hint="eastAsia"/>
                      <w:szCs w:val="21"/>
                      <w:lang w:val="en-US" w:eastAsia="zh-CN"/>
                    </w:rPr>
                  </w:pPr>
                  <w:r>
                    <w:rPr>
                      <w:rFonts w:hint="eastAsia"/>
                      <w:szCs w:val="21"/>
                      <w:lang w:val="en-US" w:eastAsia="zh-CN"/>
                    </w:rPr>
                    <w:t>422</w:t>
                  </w:r>
                  <w:r>
                    <w:rPr>
                      <w:rFonts w:hint="eastAsia"/>
                      <w:szCs w:val="21"/>
                    </w:rPr>
                    <w:t>-0</w:t>
                  </w:r>
                  <w:r>
                    <w:rPr>
                      <w:rFonts w:hint="eastAsia"/>
                      <w:szCs w:val="21"/>
                      <w:lang w:val="en-US" w:eastAsia="zh-CN"/>
                    </w:rPr>
                    <w:t>01</w:t>
                  </w:r>
                  <w:r>
                    <w:rPr>
                      <w:rFonts w:hint="eastAsia"/>
                      <w:szCs w:val="21"/>
                    </w:rPr>
                    <w:t>-</w:t>
                  </w:r>
                  <w:r>
                    <w:rPr>
                      <w:rFonts w:hint="eastAsia"/>
                      <w:szCs w:val="21"/>
                      <w:lang w:val="en-US" w:eastAsia="zh-CN"/>
                    </w:rPr>
                    <w:t>01</w:t>
                  </w:r>
                </w:p>
              </w:tc>
              <w:tc>
                <w:tcPr>
                  <w:tcW w:w="827" w:type="dxa"/>
                  <w:vAlign w:val="center"/>
                </w:tcPr>
                <w:p>
                  <w:pPr>
                    <w:jc w:val="center"/>
                    <w:rPr>
                      <w:rFonts w:hint="eastAsia"/>
                      <w:szCs w:val="21"/>
                    </w:rPr>
                  </w:pPr>
                  <w:r>
                    <w:rPr>
                      <w:rFonts w:hint="eastAsia"/>
                      <w:szCs w:val="21"/>
                    </w:rPr>
                    <w:t>/</w:t>
                  </w:r>
                </w:p>
              </w:tc>
              <w:tc>
                <w:tcPr>
                  <w:tcW w:w="626" w:type="dxa"/>
                  <w:vAlign w:val="center"/>
                </w:tcPr>
                <w:p>
                  <w:pPr>
                    <w:jc w:val="center"/>
                    <w:rPr>
                      <w:rFonts w:hint="eastAsia"/>
                      <w:szCs w:val="21"/>
                    </w:rPr>
                  </w:pPr>
                  <w:r>
                    <w:rPr>
                      <w:rFonts w:hint="eastAsia"/>
                      <w:szCs w:val="21"/>
                    </w:rPr>
                    <w:t>固态</w:t>
                  </w:r>
                </w:p>
              </w:tc>
              <w:tc>
                <w:tcPr>
                  <w:tcW w:w="857" w:type="dxa"/>
                  <w:vAlign w:val="center"/>
                </w:tcPr>
                <w:p>
                  <w:pPr>
                    <w:jc w:val="center"/>
                    <w:rPr>
                      <w:rFonts w:hint="eastAsia"/>
                      <w:szCs w:val="21"/>
                    </w:rPr>
                  </w:pPr>
                  <w:r>
                    <w:rPr>
                      <w:rFonts w:hint="eastAsia"/>
                      <w:szCs w:val="21"/>
                    </w:rPr>
                    <w:t>/</w:t>
                  </w:r>
                </w:p>
              </w:tc>
              <w:tc>
                <w:tcPr>
                  <w:tcW w:w="626" w:type="dxa"/>
                  <w:vAlign w:val="center"/>
                </w:tcPr>
                <w:p>
                  <w:pPr>
                    <w:jc w:val="center"/>
                    <w:rPr>
                      <w:rFonts w:hint="eastAsia"/>
                      <w:szCs w:val="21"/>
                    </w:rPr>
                  </w:pPr>
                  <w:r>
                    <w:rPr>
                      <w:rFonts w:hint="eastAsia"/>
                      <w:szCs w:val="21"/>
                    </w:rPr>
                    <w:t>/</w:t>
                  </w:r>
                </w:p>
              </w:tc>
              <w:tc>
                <w:tcPr>
                  <w:tcW w:w="1091" w:type="dxa"/>
                  <w:vAlign w:val="center"/>
                </w:tcPr>
                <w:p>
                  <w:pPr>
                    <w:jc w:val="center"/>
                    <w:rPr>
                      <w:rFonts w:hint="default" w:eastAsia="宋体"/>
                      <w:szCs w:val="21"/>
                      <w:lang w:val="en-US" w:eastAsia="zh-CN"/>
                    </w:rPr>
                  </w:pPr>
                  <w:r>
                    <w:rPr>
                      <w:rFonts w:hint="eastAsia"/>
                      <w:szCs w:val="21"/>
                      <w:lang w:val="en-US" w:eastAsia="zh-CN"/>
                    </w:rPr>
                    <w:t>返回破碎工序二次加工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 w:type="dxa"/>
                  <w:vAlign w:val="center"/>
                </w:tcPr>
                <w:p>
                  <w:pPr>
                    <w:jc w:val="center"/>
                    <w:rPr>
                      <w:rFonts w:hint="default"/>
                      <w:szCs w:val="21"/>
                      <w:lang w:val="en-US" w:eastAsia="zh-CN"/>
                    </w:rPr>
                  </w:pPr>
                  <w:r>
                    <w:rPr>
                      <w:rFonts w:hint="eastAsia"/>
                      <w:szCs w:val="21"/>
                      <w:lang w:val="en-US" w:eastAsia="zh-CN"/>
                    </w:rPr>
                    <w:t>7</w:t>
                  </w:r>
                </w:p>
              </w:tc>
              <w:tc>
                <w:tcPr>
                  <w:tcW w:w="1001" w:type="dxa"/>
                  <w:vAlign w:val="center"/>
                </w:tcPr>
                <w:p>
                  <w:pPr>
                    <w:jc w:val="center"/>
                    <w:rPr>
                      <w:rFonts w:hint="eastAsia"/>
                      <w:szCs w:val="21"/>
                      <w:lang w:val="en-US" w:eastAsia="zh-CN"/>
                    </w:rPr>
                  </w:pPr>
                  <w:r>
                    <w:rPr>
                      <w:rFonts w:hint="default" w:ascii="Times New Roman" w:hAnsi="Times New Roman" w:cs="Times New Roman"/>
                      <w:color w:val="000000" w:themeColor="text1"/>
                      <w:sz w:val="21"/>
                      <w:szCs w:val="21"/>
                      <w:highlight w:val="none"/>
                      <w14:textFill>
                        <w14:solidFill>
                          <w14:schemeClr w14:val="tx1"/>
                        </w14:solidFill>
                      </w14:textFill>
                    </w:rPr>
                    <w:t>竹醋液、竹焦油</w:t>
                  </w:r>
                </w:p>
              </w:tc>
              <w:tc>
                <w:tcPr>
                  <w:tcW w:w="846" w:type="dxa"/>
                  <w:vAlign w:val="center"/>
                </w:tcPr>
                <w:p>
                  <w:pPr>
                    <w:jc w:val="center"/>
                    <w:rPr>
                      <w:rFonts w:hint="default"/>
                      <w:szCs w:val="21"/>
                      <w:lang w:val="en-US" w:eastAsia="zh-CN"/>
                    </w:rPr>
                  </w:pPr>
                  <w:r>
                    <w:rPr>
                      <w:rFonts w:hint="eastAsia"/>
                      <w:szCs w:val="21"/>
                      <w:lang w:val="en-US" w:eastAsia="zh-CN"/>
                    </w:rPr>
                    <w:t>14.18</w:t>
                  </w:r>
                </w:p>
              </w:tc>
              <w:tc>
                <w:tcPr>
                  <w:tcW w:w="941" w:type="dxa"/>
                  <w:vAlign w:val="center"/>
                </w:tcPr>
                <w:p>
                  <w:pPr>
                    <w:jc w:val="center"/>
                    <w:rPr>
                      <w:rFonts w:hint="eastAsia"/>
                      <w:szCs w:val="21"/>
                    </w:rPr>
                  </w:pPr>
                  <w:r>
                    <w:rPr>
                      <w:rFonts w:hint="eastAsia"/>
                      <w:szCs w:val="21"/>
                      <w:lang w:val="en-US" w:eastAsia="zh-CN"/>
                    </w:rPr>
                    <w:t>危险废物</w:t>
                  </w:r>
                </w:p>
              </w:tc>
              <w:tc>
                <w:tcPr>
                  <w:tcW w:w="1196" w:type="dxa"/>
                  <w:vAlign w:val="center"/>
                </w:tcPr>
                <w:p>
                  <w:pPr>
                    <w:jc w:val="center"/>
                    <w:rPr>
                      <w:rFonts w:hint="eastAsia"/>
                      <w:szCs w:val="21"/>
                      <w:lang w:val="en-US" w:eastAsia="zh-CN"/>
                    </w:rPr>
                  </w:pPr>
                  <w:r>
                    <w:rPr>
                      <w:rFonts w:hint="eastAsia"/>
                      <w:szCs w:val="21"/>
                      <w:lang w:val="en-US" w:eastAsia="zh-CN"/>
                    </w:rPr>
                    <w:t>900-013-11</w:t>
                  </w:r>
                </w:p>
              </w:tc>
              <w:tc>
                <w:tcPr>
                  <w:tcW w:w="827" w:type="dxa"/>
                  <w:vAlign w:val="center"/>
                </w:tcPr>
                <w:p>
                  <w:pPr>
                    <w:jc w:val="center"/>
                    <w:rPr>
                      <w:rFonts w:hint="eastAsia"/>
                      <w:szCs w:val="21"/>
                    </w:rPr>
                  </w:pPr>
                  <w:r>
                    <w:rPr>
                      <w:rFonts w:hint="eastAsia"/>
                      <w:szCs w:val="21"/>
                      <w:lang w:val="en-US" w:eastAsia="zh-CN"/>
                    </w:rPr>
                    <w:t>/</w:t>
                  </w:r>
                </w:p>
              </w:tc>
              <w:tc>
                <w:tcPr>
                  <w:tcW w:w="626" w:type="dxa"/>
                  <w:vAlign w:val="center"/>
                </w:tcPr>
                <w:p>
                  <w:pPr>
                    <w:jc w:val="center"/>
                    <w:rPr>
                      <w:rFonts w:hint="eastAsia"/>
                      <w:szCs w:val="21"/>
                    </w:rPr>
                  </w:pPr>
                  <w:r>
                    <w:rPr>
                      <w:rFonts w:hint="eastAsia"/>
                      <w:szCs w:val="21"/>
                      <w:lang w:val="en-US" w:eastAsia="zh-CN"/>
                    </w:rPr>
                    <w:t>液态</w:t>
                  </w:r>
                </w:p>
              </w:tc>
              <w:tc>
                <w:tcPr>
                  <w:tcW w:w="857" w:type="dxa"/>
                  <w:vAlign w:val="center"/>
                </w:tcPr>
                <w:p>
                  <w:pPr>
                    <w:jc w:val="center"/>
                    <w:rPr>
                      <w:rFonts w:hint="eastAsia"/>
                      <w:szCs w:val="21"/>
                    </w:rPr>
                  </w:pPr>
                  <w:r>
                    <w:rPr>
                      <w:rFonts w:hint="eastAsia"/>
                      <w:szCs w:val="21"/>
                      <w:lang w:val="en-US" w:eastAsia="zh-CN"/>
                    </w:rPr>
                    <w:t>T</w:t>
                  </w:r>
                </w:p>
              </w:tc>
              <w:tc>
                <w:tcPr>
                  <w:tcW w:w="626" w:type="dxa"/>
                  <w:vAlign w:val="center"/>
                </w:tcPr>
                <w:p>
                  <w:pPr>
                    <w:jc w:val="center"/>
                    <w:rPr>
                      <w:rFonts w:hint="eastAsia"/>
                      <w:szCs w:val="21"/>
                    </w:rPr>
                  </w:pPr>
                  <w:r>
                    <w:rPr>
                      <w:rFonts w:hint="eastAsia"/>
                      <w:szCs w:val="21"/>
                      <w:lang w:val="en-US" w:eastAsia="zh-CN"/>
                    </w:rPr>
                    <w:t>特定容器</w:t>
                  </w:r>
                </w:p>
              </w:tc>
              <w:tc>
                <w:tcPr>
                  <w:tcW w:w="1091" w:type="dxa"/>
                  <w:vAlign w:val="center"/>
                </w:tcPr>
                <w:p>
                  <w:pPr>
                    <w:jc w:val="center"/>
                    <w:rPr>
                      <w:rFonts w:hint="eastAsia"/>
                      <w:szCs w:val="21"/>
                      <w:lang w:val="en-US" w:eastAsia="zh-CN"/>
                    </w:rPr>
                  </w:pPr>
                  <w:r>
                    <w:rPr>
                      <w:rFonts w:hint="eastAsia"/>
                      <w:szCs w:val="21"/>
                      <w:lang w:val="en-US" w:eastAsia="zh-CN"/>
                    </w:rPr>
                    <w:t>收集于危废暂存间，定期交由有资质单位回收处置</w:t>
                  </w:r>
                </w:p>
              </w:tc>
            </w:tr>
          </w:tbl>
          <w:p>
            <w:pPr>
              <w:pStyle w:val="57"/>
              <w:adjustRightInd/>
              <w:snapToGrid/>
              <w:spacing w:line="360" w:lineRule="auto"/>
              <w:ind w:firstLine="482" w:firstLineChars="200"/>
              <w:jc w:val="both"/>
              <w:rPr>
                <w:b/>
                <w:bCs/>
              </w:rPr>
            </w:pPr>
            <w:r>
              <w:rPr>
                <w:b/>
                <w:bCs/>
              </w:rPr>
              <w:t>一般固废管理要求：</w:t>
            </w:r>
          </w:p>
          <w:p>
            <w:pPr>
              <w:adjustRightInd w:val="0"/>
              <w:snapToGrid w:val="0"/>
              <w:spacing w:line="360" w:lineRule="auto"/>
              <w:ind w:firstLine="480" w:firstLineChars="200"/>
              <w:rPr>
                <w:sz w:val="24"/>
              </w:rPr>
            </w:pPr>
            <w:r>
              <w:rPr>
                <w:sz w:val="24"/>
              </w:rPr>
              <w:t>建设项目需强化废物产生、收集、贮运各环节的管理，杜绝固废在厂区内的散失、渗漏。做好固体废物在厂区内的收集和储存相关防护工作，收集后进行有效处置或者回用。建立完善的规章制度，以降低固体废物散落对周围环境的影响。</w:t>
            </w:r>
          </w:p>
          <w:p>
            <w:pPr>
              <w:pStyle w:val="57"/>
              <w:adjustRightInd/>
              <w:snapToGrid/>
              <w:spacing w:line="360" w:lineRule="auto"/>
              <w:ind w:firstLine="482" w:firstLineChars="200"/>
              <w:jc w:val="both"/>
              <w:rPr>
                <w:b/>
                <w:bCs/>
              </w:rPr>
            </w:pPr>
            <w:r>
              <w:rPr>
                <w:b/>
                <w:bCs/>
              </w:rPr>
              <w:t>危险废物管理要求：</w:t>
            </w:r>
          </w:p>
          <w:p>
            <w:pPr>
              <w:pStyle w:val="57"/>
              <w:adjustRightInd/>
              <w:snapToGrid/>
              <w:spacing w:line="360" w:lineRule="auto"/>
              <w:ind w:firstLine="480" w:firstLineChars="200"/>
              <w:jc w:val="both"/>
              <w:rPr>
                <w:color w:val="FF0000"/>
                <w:u w:val="single"/>
              </w:rPr>
            </w:pPr>
            <w:r>
              <w:rPr>
                <w:color w:val="FF0000"/>
                <w:u w:val="single"/>
              </w:rPr>
              <w:t>按照《危险废物污染防治技术政策》和《危险废物贮存污染控制标准》（GB18597-2001）的要求，危险废物的临时贮存需设置专门的储存厂房，采用密闭式贮存。危废间建设应满足《危险废物贮存污染控制标准》（GB18597-2001）规定的以下要求：</w:t>
            </w:r>
          </w:p>
          <w:p>
            <w:pPr>
              <w:pStyle w:val="57"/>
              <w:adjustRightInd/>
              <w:snapToGrid/>
              <w:spacing w:line="360" w:lineRule="auto"/>
              <w:ind w:firstLine="480" w:firstLineChars="200"/>
              <w:jc w:val="both"/>
              <w:rPr>
                <w:color w:val="FF0000"/>
                <w:u w:val="single"/>
              </w:rPr>
            </w:pPr>
            <w:r>
              <w:rPr>
                <w:color w:val="FF0000"/>
                <w:u w:val="single"/>
              </w:rPr>
              <w:t>1）按危险废物贮存设施</w:t>
            </w:r>
            <w:r>
              <w:rPr>
                <w:rFonts w:hint="eastAsia"/>
                <w:color w:val="FF0000"/>
                <w:u w:val="single"/>
              </w:rPr>
              <w:t>（</w:t>
            </w:r>
            <w:r>
              <w:rPr>
                <w:color w:val="FF0000"/>
                <w:u w:val="single"/>
              </w:rPr>
              <w:t>仓库式</w:t>
            </w:r>
            <w:r>
              <w:rPr>
                <w:rFonts w:hint="eastAsia"/>
                <w:color w:val="FF0000"/>
                <w:u w:val="single"/>
              </w:rPr>
              <w:t>）</w:t>
            </w:r>
            <w:r>
              <w:rPr>
                <w:color w:val="FF0000"/>
                <w:u w:val="single"/>
              </w:rPr>
              <w:t>的要求进行设计；</w:t>
            </w:r>
          </w:p>
          <w:p>
            <w:pPr>
              <w:pStyle w:val="57"/>
              <w:adjustRightInd/>
              <w:snapToGrid/>
              <w:spacing w:line="360" w:lineRule="auto"/>
              <w:ind w:firstLine="480" w:firstLineChars="200"/>
              <w:jc w:val="both"/>
              <w:rPr>
                <w:color w:val="FF0000"/>
                <w:u w:val="single"/>
              </w:rPr>
            </w:pPr>
            <w:r>
              <w:rPr>
                <w:color w:val="FF0000"/>
                <w:u w:val="single"/>
              </w:rPr>
              <w:t>2）存放危险废物的地方，必须有耐腐蚀的硬化地面，且表面无裂隙；</w:t>
            </w:r>
          </w:p>
          <w:p>
            <w:pPr>
              <w:pStyle w:val="57"/>
              <w:adjustRightInd/>
              <w:snapToGrid/>
              <w:spacing w:line="360" w:lineRule="auto"/>
              <w:ind w:firstLine="480" w:firstLineChars="200"/>
              <w:jc w:val="both"/>
              <w:rPr>
                <w:color w:val="FF0000"/>
                <w:u w:val="single"/>
              </w:rPr>
            </w:pPr>
            <w:r>
              <w:rPr>
                <w:color w:val="FF0000"/>
                <w:u w:val="single"/>
              </w:rPr>
              <w:t>3）基础的防渗层采用双层防渗，低层敷设1m厚</w:t>
            </w:r>
            <w:r>
              <w:rPr>
                <w:rFonts w:hint="eastAsia"/>
                <w:color w:val="FF0000"/>
                <w:u w:val="single"/>
              </w:rPr>
              <w:t>黏土</w:t>
            </w:r>
            <w:r>
              <w:rPr>
                <w:color w:val="FF0000"/>
                <w:u w:val="single"/>
              </w:rPr>
              <w:t>层（渗透系数≤10</w:t>
            </w:r>
            <w:r>
              <w:rPr>
                <w:color w:val="FF0000"/>
                <w:u w:val="single"/>
                <w:vertAlign w:val="superscript"/>
              </w:rPr>
              <w:t>-7</w:t>
            </w:r>
            <w:r>
              <w:rPr>
                <w:color w:val="FF0000"/>
                <w:u w:val="single"/>
              </w:rPr>
              <w:t>cm/秒），仅次敷设2mm厚高密度聚乙烯，或至少2mm厚的其它人工材料，渗透系数≤10</w:t>
            </w:r>
            <w:r>
              <w:rPr>
                <w:color w:val="FF0000"/>
                <w:u w:val="single"/>
                <w:vertAlign w:val="superscript"/>
              </w:rPr>
              <w:t>-10</w:t>
            </w:r>
            <w:r>
              <w:rPr>
                <w:color w:val="FF0000"/>
                <w:u w:val="single"/>
              </w:rPr>
              <w:t>cm/s；</w:t>
            </w:r>
          </w:p>
          <w:p>
            <w:pPr>
              <w:pStyle w:val="57"/>
              <w:adjustRightInd/>
              <w:snapToGrid/>
              <w:spacing w:line="360" w:lineRule="auto"/>
              <w:ind w:firstLine="480" w:firstLineChars="200"/>
              <w:jc w:val="both"/>
              <w:rPr>
                <w:color w:val="FF0000"/>
                <w:u w:val="single"/>
              </w:rPr>
            </w:pPr>
            <w:r>
              <w:rPr>
                <w:color w:val="FF0000"/>
                <w:u w:val="single"/>
              </w:rPr>
              <w:t>4）堆放危险废物的高度应根据地面承载能力确定；</w:t>
            </w:r>
          </w:p>
          <w:p>
            <w:pPr>
              <w:pStyle w:val="57"/>
              <w:adjustRightInd/>
              <w:snapToGrid/>
              <w:spacing w:line="360" w:lineRule="auto"/>
              <w:ind w:firstLine="480" w:firstLineChars="200"/>
              <w:jc w:val="both"/>
              <w:rPr>
                <w:color w:val="FF0000"/>
                <w:u w:val="single"/>
              </w:rPr>
            </w:pPr>
            <w:r>
              <w:rPr>
                <w:color w:val="FF0000"/>
                <w:u w:val="single"/>
              </w:rPr>
              <w:t>5）地面与裙脚要用坚固、防渗的材料建造，建筑材料必须与危险废物相容；</w:t>
            </w:r>
          </w:p>
          <w:p>
            <w:pPr>
              <w:pStyle w:val="57"/>
              <w:adjustRightInd/>
              <w:snapToGrid/>
              <w:spacing w:line="360" w:lineRule="auto"/>
              <w:ind w:firstLine="480" w:firstLineChars="200"/>
              <w:jc w:val="both"/>
              <w:rPr>
                <w:color w:val="FF0000"/>
                <w:u w:val="single"/>
              </w:rPr>
            </w:pPr>
            <w:r>
              <w:rPr>
                <w:color w:val="FF0000"/>
                <w:u w:val="single"/>
              </w:rPr>
              <w:t>6）设施内要有安全照明设施和观察窗口；</w:t>
            </w:r>
          </w:p>
          <w:p>
            <w:pPr>
              <w:pStyle w:val="57"/>
              <w:adjustRightInd/>
              <w:snapToGrid/>
              <w:spacing w:line="360" w:lineRule="auto"/>
              <w:ind w:firstLine="480" w:firstLineChars="200"/>
              <w:jc w:val="both"/>
              <w:rPr>
                <w:color w:val="FF0000"/>
                <w:u w:val="single"/>
              </w:rPr>
            </w:pPr>
            <w:r>
              <w:rPr>
                <w:color w:val="FF0000"/>
                <w:u w:val="single"/>
              </w:rPr>
              <w:t>7）应设计堵截泄漏的裙脚，地面与裙脚所围建的容积不低于堵截最大容器的最大储量或总储量的五分之一；</w:t>
            </w:r>
          </w:p>
          <w:p>
            <w:pPr>
              <w:pStyle w:val="57"/>
              <w:adjustRightInd/>
              <w:snapToGrid/>
              <w:spacing w:line="360" w:lineRule="auto"/>
              <w:ind w:firstLine="480" w:firstLineChars="200"/>
              <w:jc w:val="both"/>
              <w:rPr>
                <w:color w:val="FF0000"/>
                <w:u w:val="single"/>
              </w:rPr>
            </w:pPr>
            <w:r>
              <w:rPr>
                <w:color w:val="FF0000"/>
                <w:u w:val="single"/>
              </w:rPr>
              <w:t>8）危废暂存间上设置危险废物警示标志。</w:t>
            </w:r>
          </w:p>
          <w:p>
            <w:pPr>
              <w:pStyle w:val="57"/>
              <w:adjustRightInd/>
              <w:snapToGrid/>
              <w:spacing w:line="360" w:lineRule="auto"/>
              <w:ind w:firstLine="480" w:firstLineChars="200"/>
              <w:jc w:val="both"/>
              <w:rPr>
                <w:color w:val="FF0000"/>
                <w:u w:val="single"/>
              </w:rPr>
            </w:pPr>
            <w:r>
              <w:rPr>
                <w:color w:val="FF0000"/>
                <w:u w:val="single"/>
              </w:rPr>
              <w:t>危险废物，在收集、贮存、处置方面采取如下措施：</w:t>
            </w:r>
          </w:p>
          <w:p>
            <w:pPr>
              <w:pStyle w:val="57"/>
              <w:adjustRightInd/>
              <w:snapToGrid/>
              <w:spacing w:line="360" w:lineRule="auto"/>
              <w:ind w:firstLine="480" w:firstLineChars="200"/>
              <w:jc w:val="both"/>
              <w:rPr>
                <w:color w:val="FF0000"/>
                <w:u w:val="single"/>
              </w:rPr>
            </w:pPr>
            <w:r>
              <w:rPr>
                <w:color w:val="FF0000"/>
                <w:u w:val="single"/>
              </w:rPr>
              <w:t>①收集和贮存</w:t>
            </w:r>
          </w:p>
          <w:p>
            <w:pPr>
              <w:pStyle w:val="57"/>
              <w:adjustRightInd/>
              <w:snapToGrid/>
              <w:spacing w:line="360" w:lineRule="auto"/>
              <w:ind w:firstLine="480" w:firstLineChars="200"/>
              <w:jc w:val="both"/>
              <w:rPr>
                <w:color w:val="FF0000"/>
                <w:u w:val="single"/>
              </w:rPr>
            </w:pPr>
            <w:r>
              <w:rPr>
                <w:color w:val="FF0000"/>
                <w:u w:val="single"/>
              </w:rPr>
              <w:t>废物的收集和贮存严格按照《危险废物贮存和污染控制标准》（GB18597-2001及2013修改单）要求进行分类收集，根据危险废物的性质分类贮存于危险废物暂存间（防渗、防漏、防遗撒等方面的工程措施符合《危险废物贮存和污染控制标准》（GB18597-2001及2013修改单）。</w:t>
            </w:r>
          </w:p>
          <w:p>
            <w:pPr>
              <w:pStyle w:val="57"/>
              <w:adjustRightInd/>
              <w:snapToGrid/>
              <w:spacing w:line="360" w:lineRule="auto"/>
              <w:ind w:firstLine="480" w:firstLineChars="200"/>
              <w:jc w:val="both"/>
              <w:rPr>
                <w:color w:val="FF0000"/>
                <w:u w:val="single"/>
              </w:rPr>
            </w:pPr>
            <w:r>
              <w:rPr>
                <w:color w:val="FF0000"/>
                <w:u w:val="single"/>
              </w:rPr>
              <w:t>②转移</w:t>
            </w:r>
          </w:p>
          <w:p>
            <w:pPr>
              <w:pStyle w:val="57"/>
              <w:adjustRightInd/>
              <w:snapToGrid/>
              <w:spacing w:line="360" w:lineRule="auto"/>
              <w:ind w:firstLine="480" w:firstLineChars="200"/>
              <w:jc w:val="both"/>
              <w:rPr>
                <w:color w:val="FF0000"/>
                <w:u w:val="single"/>
              </w:rPr>
            </w:pPr>
            <w:r>
              <w:rPr>
                <w:color w:val="FF0000"/>
                <w:u w:val="single"/>
              </w:rPr>
              <w:t>危险废物转移过程中严格执行《危险废物转移联单管理办法》，防止危险废物在转移过程中污染环境。</w:t>
            </w:r>
          </w:p>
          <w:p>
            <w:pPr>
              <w:pStyle w:val="57"/>
              <w:adjustRightInd/>
              <w:snapToGrid/>
              <w:spacing w:line="360" w:lineRule="auto"/>
              <w:ind w:firstLine="480" w:firstLineChars="200"/>
              <w:jc w:val="both"/>
              <w:rPr>
                <w:color w:val="FF0000"/>
                <w:u w:val="single"/>
              </w:rPr>
            </w:pPr>
            <w:r>
              <w:rPr>
                <w:color w:val="FF0000"/>
                <w:u w:val="single"/>
              </w:rPr>
              <w:t>③处置</w:t>
            </w:r>
          </w:p>
          <w:p>
            <w:pPr>
              <w:pStyle w:val="57"/>
              <w:adjustRightInd/>
              <w:snapToGrid/>
              <w:spacing w:line="360" w:lineRule="auto"/>
              <w:ind w:firstLine="480" w:firstLineChars="200"/>
              <w:jc w:val="both"/>
              <w:rPr>
                <w:rStyle w:val="26"/>
                <w:color w:val="FF0000"/>
                <w:kern w:val="0"/>
                <w:szCs w:val="20"/>
                <w:u w:val="single"/>
              </w:rPr>
            </w:pPr>
            <w:r>
              <w:rPr>
                <w:color w:val="FF0000"/>
                <w:u w:val="single"/>
              </w:rPr>
              <w:t>本项目产生的固体废物中属于危险废物的部分，收集暂存于危废暂存间后交有资质单位处置。</w:t>
            </w:r>
          </w:p>
          <w:p>
            <w:pPr>
              <w:adjustRightInd w:val="0"/>
              <w:snapToGrid w:val="0"/>
              <w:spacing w:line="360" w:lineRule="auto"/>
              <w:ind w:firstLine="480" w:firstLineChars="200"/>
              <w:rPr>
                <w:rFonts w:ascii="Times New Roman" w:cs="Times New Roman"/>
                <w:b/>
                <w:bCs/>
                <w:color w:val="FF0000"/>
                <w:u w:val="single"/>
              </w:rPr>
            </w:pPr>
            <w:r>
              <w:rPr>
                <w:rStyle w:val="26"/>
                <w:color w:val="FF0000"/>
                <w:kern w:val="0"/>
                <w:sz w:val="24"/>
                <w:u w:val="single"/>
              </w:rPr>
              <w:t>④设立企业固废管理台账，规范各类废物情况的记录，记录上须注明危险废物的名称、来源、数量、特性和包装容器的类别、入库日期、存放库位、废物出库日期及接收单位名称，确保厂内所有危险废物流向清楚规范。</w:t>
            </w:r>
          </w:p>
          <w:p>
            <w:pPr>
              <w:pStyle w:val="27"/>
              <w:spacing w:line="360" w:lineRule="auto"/>
              <w:rPr>
                <w:rFonts w:ascii="Times New Roman" w:cs="Times New Roman"/>
              </w:rPr>
            </w:pPr>
            <w:r>
              <w:rPr>
                <w:rFonts w:ascii="Times New Roman" w:cs="Times New Roman"/>
                <w:b/>
                <w:bCs/>
              </w:rPr>
              <w:t>5</w:t>
            </w:r>
            <w:r>
              <w:rPr>
                <w:rFonts w:hint="eastAsia" w:ascii="Times New Roman" w:cs="Times New Roman"/>
                <w:b/>
                <w:bCs/>
              </w:rPr>
              <w:t>、</w:t>
            </w:r>
            <w:r>
              <w:rPr>
                <w:rFonts w:ascii="Times New Roman" w:cs="Times New Roman"/>
                <w:b/>
                <w:bCs/>
              </w:rPr>
              <w:t>地下水及土壤环境</w:t>
            </w:r>
          </w:p>
          <w:p>
            <w:pPr>
              <w:pStyle w:val="27"/>
              <w:spacing w:line="360" w:lineRule="auto"/>
              <w:ind w:firstLine="482" w:firstLineChars="200"/>
              <w:rPr>
                <w:rFonts w:ascii="Times New Roman" w:cs="Times New Roman"/>
              </w:rPr>
            </w:pPr>
            <w:r>
              <w:rPr>
                <w:rFonts w:hint="eastAsia" w:ascii="Times New Roman" w:cs="Times New Roman"/>
                <w:b/>
                <w:bCs/>
              </w:rPr>
              <w:t>5.1地下水</w:t>
            </w:r>
          </w:p>
          <w:p>
            <w:pPr>
              <w:pStyle w:val="27"/>
              <w:adjustRightInd/>
              <w:spacing w:line="360" w:lineRule="auto"/>
              <w:ind w:firstLine="480" w:firstLineChars="200"/>
              <w:rPr>
                <w:rFonts w:ascii="Times New Roman" w:cs="Times New Roman"/>
                <w:color w:val="auto"/>
              </w:rPr>
            </w:pPr>
            <w:bookmarkStart w:id="9" w:name="_Hlk22048823"/>
            <w:r>
              <w:rPr>
                <w:rFonts w:ascii="Times New Roman" w:cs="Times New Roman"/>
                <w:color w:val="auto"/>
              </w:rPr>
              <w:t>本项目营运期可能造成地下水污染的途径主要为</w:t>
            </w:r>
            <w:r>
              <w:rPr>
                <w:rFonts w:hint="eastAsia" w:ascii="Times New Roman" w:cs="Times New Roman"/>
                <w:color w:val="auto"/>
                <w:lang w:val="en-US" w:eastAsia="zh-CN"/>
              </w:rPr>
              <w:t>化粪</w:t>
            </w:r>
            <w:r>
              <w:rPr>
                <w:rFonts w:hint="eastAsia" w:ascii="Times New Roman" w:cs="Times New Roman"/>
                <w:color w:val="auto"/>
              </w:rPr>
              <w:t>池</w:t>
            </w:r>
            <w:r>
              <w:rPr>
                <w:rFonts w:ascii="Times New Roman" w:cs="Times New Roman"/>
                <w:color w:val="auto"/>
              </w:rPr>
              <w:t>管理不善，有跑、冒、滴、漏现象而污染地下水；化粪池</w:t>
            </w:r>
            <w:r>
              <w:rPr>
                <w:rFonts w:hint="eastAsia" w:ascii="Times New Roman" w:cs="Times New Roman"/>
                <w:color w:val="auto"/>
              </w:rPr>
              <w:t>等</w:t>
            </w:r>
            <w:r>
              <w:rPr>
                <w:rFonts w:ascii="Times New Roman" w:cs="Times New Roman"/>
                <w:color w:val="auto"/>
              </w:rPr>
              <w:t>渗漏污染地下水。</w:t>
            </w:r>
          </w:p>
          <w:p>
            <w:pPr>
              <w:pStyle w:val="27"/>
              <w:adjustRightInd/>
              <w:spacing w:line="360" w:lineRule="auto"/>
              <w:ind w:firstLine="480" w:firstLineChars="200"/>
              <w:rPr>
                <w:rFonts w:ascii="Times New Roman" w:cs="Times New Roman"/>
                <w:color w:val="auto"/>
              </w:rPr>
            </w:pPr>
            <w:r>
              <w:rPr>
                <w:rFonts w:ascii="Times New Roman" w:cs="Times New Roman"/>
                <w:color w:val="auto"/>
              </w:rPr>
              <w:t>为防止污染地下水，</w:t>
            </w:r>
            <w:r>
              <w:rPr>
                <w:rFonts w:hint="eastAsia" w:ascii="Times New Roman" w:cs="Times New Roman"/>
                <w:color w:val="auto"/>
              </w:rPr>
              <w:t>建议</w:t>
            </w:r>
            <w:r>
              <w:rPr>
                <w:rFonts w:ascii="Times New Roman" w:cs="Times New Roman"/>
                <w:color w:val="auto"/>
              </w:rPr>
              <w:t>建设单位采取以下措施：</w:t>
            </w:r>
          </w:p>
          <w:p>
            <w:pPr>
              <w:pStyle w:val="27"/>
              <w:adjustRightInd/>
              <w:spacing w:line="360" w:lineRule="auto"/>
              <w:ind w:firstLine="480" w:firstLineChars="200"/>
              <w:rPr>
                <w:rFonts w:ascii="Times New Roman" w:cs="Times New Roman"/>
                <w:color w:val="auto"/>
              </w:rPr>
            </w:pPr>
            <w:r>
              <w:rPr>
                <w:rFonts w:ascii="Times New Roman" w:cs="Times New Roman"/>
                <w:color w:val="auto"/>
              </w:rPr>
              <w:t>①项目车间地面采用粘土夯实及进行水泥硬化处理。</w:t>
            </w:r>
          </w:p>
          <w:p>
            <w:pPr>
              <w:pStyle w:val="27"/>
              <w:adjustRightInd/>
              <w:spacing w:line="360" w:lineRule="auto"/>
              <w:ind w:firstLine="480" w:firstLineChars="200"/>
              <w:rPr>
                <w:rFonts w:ascii="Times New Roman" w:cs="Times New Roman"/>
                <w:color w:val="auto"/>
              </w:rPr>
            </w:pPr>
            <w:r>
              <w:rPr>
                <w:rFonts w:ascii="Times New Roman" w:cs="Times New Roman"/>
                <w:color w:val="auto"/>
              </w:rPr>
              <w:t>②项目对</w:t>
            </w:r>
            <w:r>
              <w:rPr>
                <w:rFonts w:hint="eastAsia" w:ascii="Times New Roman" w:cs="Times New Roman"/>
                <w:color w:val="auto"/>
              </w:rPr>
              <w:t>隔油池</w:t>
            </w:r>
            <w:r>
              <w:rPr>
                <w:rFonts w:hint="eastAsia" w:ascii="Times New Roman" w:cs="Times New Roman"/>
                <w:color w:val="auto"/>
                <w:lang w:val="en-US" w:eastAsia="zh-CN"/>
              </w:rPr>
              <w:t>和</w:t>
            </w:r>
            <w:r>
              <w:rPr>
                <w:rFonts w:ascii="Times New Roman" w:cs="Times New Roman"/>
                <w:color w:val="auto"/>
              </w:rPr>
              <w:t>化粪池</w:t>
            </w:r>
            <w:r>
              <w:rPr>
                <w:rFonts w:hint="eastAsia" w:ascii="Times New Roman" w:cs="Times New Roman"/>
                <w:color w:val="auto"/>
                <w:lang w:val="en-US" w:eastAsia="zh-CN"/>
              </w:rPr>
              <w:t>等</w:t>
            </w:r>
            <w:r>
              <w:rPr>
                <w:rFonts w:ascii="Times New Roman" w:cs="Times New Roman"/>
                <w:color w:val="auto"/>
              </w:rPr>
              <w:t>应进行基础防渗。同时建设单位定期检查防渗措施，若发现有损害，及时修补。采取以上措施后，可有效防止废水中污染物通过跑、冒、滴、漏对地下水环境带来的威胁。</w:t>
            </w:r>
          </w:p>
          <w:p>
            <w:pPr>
              <w:pStyle w:val="27"/>
              <w:adjustRightInd/>
              <w:spacing w:line="360" w:lineRule="auto"/>
              <w:ind w:firstLine="480" w:firstLineChars="200"/>
              <w:rPr>
                <w:rFonts w:ascii="Times New Roman" w:cs="Times New Roman"/>
                <w:color w:val="auto"/>
              </w:rPr>
            </w:pPr>
            <w:r>
              <w:rPr>
                <w:rFonts w:ascii="Times New Roman" w:cs="Times New Roman"/>
                <w:color w:val="auto"/>
              </w:rPr>
              <w:t>在采取以上措施后，可有效防止污染物进入地下水体，从而减轻乃至杜绝对地下水环境的影响。</w:t>
            </w:r>
          </w:p>
          <w:bookmarkEnd w:id="9"/>
          <w:p>
            <w:pPr>
              <w:pStyle w:val="27"/>
              <w:spacing w:line="360" w:lineRule="auto"/>
              <w:ind w:firstLine="482" w:firstLineChars="200"/>
              <w:rPr>
                <w:rFonts w:ascii="Times New Roman" w:cs="Times New Roman"/>
                <w:b/>
                <w:bCs/>
              </w:rPr>
            </w:pPr>
            <w:r>
              <w:rPr>
                <w:rFonts w:hint="eastAsia" w:ascii="Times New Roman" w:cs="Times New Roman"/>
                <w:b/>
                <w:bCs/>
              </w:rPr>
              <w:t>5.2土壤</w:t>
            </w:r>
          </w:p>
          <w:p>
            <w:pPr>
              <w:pStyle w:val="27"/>
              <w:adjustRightInd/>
              <w:spacing w:line="360" w:lineRule="auto"/>
              <w:ind w:firstLine="480" w:firstLineChars="200"/>
              <w:rPr>
                <w:rFonts w:ascii="Times New Roman" w:cs="Times New Roman"/>
                <w:b/>
                <w:bCs/>
              </w:rPr>
            </w:pPr>
            <w:r>
              <w:rPr>
                <w:rFonts w:ascii="Times New Roman" w:cs="Times New Roman"/>
                <w:color w:val="auto"/>
                <w:shd w:val="clear" w:color="auto" w:fill="FFFFFF"/>
              </w:rPr>
              <w:t>本项目</w:t>
            </w:r>
            <w:r>
              <w:rPr>
                <w:rFonts w:hint="eastAsia" w:ascii="Times New Roman" w:cs="Times New Roman"/>
                <w:color w:val="auto"/>
                <w:shd w:val="clear" w:color="auto" w:fill="FFFFFF"/>
                <w:lang w:val="en-US" w:eastAsia="zh-CN"/>
              </w:rPr>
              <w:t>主要从事竹炭加工</w:t>
            </w:r>
            <w:r>
              <w:rPr>
                <w:rFonts w:ascii="Times New Roman" w:cs="Times New Roman"/>
                <w:color w:val="auto"/>
                <w:shd w:val="clear" w:color="auto" w:fill="FFFFFF"/>
              </w:rPr>
              <w:t>生产，为污染影响型建设项目。重点分析为运营期对项目地及周边区域土壤环境的影响。根据前文分析，运营期后本项</w:t>
            </w:r>
            <w:r>
              <w:rPr>
                <w:rFonts w:hint="eastAsia" w:ascii="Times New Roman" w:cs="Times New Roman"/>
                <w:color w:val="auto"/>
                <w:shd w:val="clear" w:color="auto" w:fill="FFFFFF"/>
              </w:rPr>
              <w:t>生活污水经隔油池、化粪池处理</w:t>
            </w:r>
            <w:r>
              <w:rPr>
                <w:rFonts w:hint="eastAsia" w:ascii="Times New Roman" w:cs="Times New Roman"/>
                <w:color w:val="auto"/>
                <w:shd w:val="clear" w:color="auto" w:fill="FFFFFF"/>
                <w:lang w:val="en-US" w:eastAsia="zh-CN"/>
              </w:rPr>
              <w:t>后用作农肥</w:t>
            </w:r>
            <w:r>
              <w:rPr>
                <w:rFonts w:hint="eastAsia" w:ascii="Times New Roman" w:cs="Times New Roman"/>
                <w:color w:val="auto"/>
                <w:shd w:val="clear" w:color="auto" w:fill="FFFFFF"/>
              </w:rPr>
              <w:t>；</w:t>
            </w:r>
            <w:r>
              <w:rPr>
                <w:rFonts w:ascii="Times New Roman" w:cs="Times New Roman"/>
                <w:color w:val="auto"/>
                <w:shd w:val="clear" w:color="auto" w:fill="FFFFFF"/>
              </w:rPr>
              <w:t>生产过程中不涉及重金属使用，主要生产废气为</w:t>
            </w:r>
            <w:r>
              <w:rPr>
                <w:rFonts w:hint="eastAsia" w:ascii="Times New Roman" w:cs="Times New Roman"/>
                <w:color w:val="auto"/>
                <w:shd w:val="clear" w:color="auto" w:fill="FFFFFF"/>
                <w:lang w:val="en-US" w:eastAsia="zh-CN"/>
              </w:rPr>
              <w:t>粉尘、混合</w:t>
            </w:r>
            <w:r>
              <w:rPr>
                <w:rFonts w:hint="eastAsia" w:ascii="Times New Roman" w:cs="Times New Roman"/>
                <w:color w:val="auto"/>
                <w:shd w:val="clear" w:color="auto" w:fill="FFFFFF"/>
              </w:rPr>
              <w:t>废气</w:t>
            </w:r>
            <w:r>
              <w:rPr>
                <w:rFonts w:hint="eastAsia" w:ascii="Times New Roman" w:cs="Times New Roman"/>
                <w:color w:val="auto"/>
                <w:shd w:val="clear" w:color="auto" w:fill="FFFFFF"/>
                <w:lang w:val="en-US" w:eastAsia="zh-CN"/>
              </w:rPr>
              <w:t>和</w:t>
            </w:r>
            <w:r>
              <w:rPr>
                <w:rFonts w:hint="eastAsia" w:ascii="Times New Roman" w:cs="Times New Roman"/>
                <w:color w:val="auto"/>
                <w:shd w:val="clear" w:color="auto" w:fill="FFFFFF"/>
              </w:rPr>
              <w:t>食堂油烟废气</w:t>
            </w:r>
            <w:r>
              <w:rPr>
                <w:rFonts w:ascii="Times New Roman" w:cs="Times New Roman"/>
                <w:color w:val="auto"/>
                <w:shd w:val="clear" w:color="auto" w:fill="FFFFFF"/>
              </w:rPr>
              <w:t>等。正常工况下，本项目潜在污染土壤的防治措施均达到设计要求，防渗性能完好，对周边土壤环境的影响小</w:t>
            </w:r>
            <w:r>
              <w:rPr>
                <w:rFonts w:hint="eastAsia" w:ascii="Times New Roman" w:cs="Times New Roman"/>
                <w:color w:val="auto"/>
                <w:shd w:val="clear" w:color="auto" w:fill="FFFFFF"/>
              </w:rPr>
              <w:t>。</w:t>
            </w:r>
          </w:p>
          <w:p>
            <w:pPr>
              <w:pStyle w:val="27"/>
              <w:spacing w:line="360" w:lineRule="auto"/>
              <w:rPr>
                <w:rFonts w:ascii="Times New Roman" w:cs="Times New Roman"/>
                <w:b/>
                <w:bCs/>
              </w:rPr>
            </w:pPr>
            <w:r>
              <w:rPr>
                <w:rFonts w:hint="eastAsia" w:ascii="Times New Roman" w:cs="Times New Roman"/>
                <w:b/>
                <w:bCs/>
              </w:rPr>
              <w:t>6、生态环境</w:t>
            </w:r>
          </w:p>
          <w:p>
            <w:pPr>
              <w:pStyle w:val="27"/>
              <w:spacing w:line="360" w:lineRule="auto"/>
              <w:ind w:firstLine="480" w:firstLineChars="200"/>
              <w:rPr>
                <w:rFonts w:ascii="Times New Roman" w:cs="Times New Roman"/>
                <w:b/>
                <w:bCs/>
              </w:rPr>
            </w:pPr>
            <w:r>
              <w:rPr>
                <w:rFonts w:hint="eastAsia" w:ascii="Times New Roman" w:cs="Times New Roman"/>
                <w:color w:val="auto"/>
                <w:shd w:val="clear" w:color="auto" w:fill="FFFFFF"/>
              </w:rPr>
              <w:t>本项目位于衡山县</w:t>
            </w:r>
            <w:r>
              <w:rPr>
                <w:rFonts w:hint="eastAsia" w:ascii="Times New Roman" w:cs="Times New Roman"/>
                <w:color w:val="auto"/>
                <w:shd w:val="clear" w:color="auto" w:fill="FFFFFF"/>
                <w:lang w:val="en-US" w:eastAsia="zh-CN"/>
              </w:rPr>
              <w:t>新桥镇</w:t>
            </w:r>
            <w:r>
              <w:rPr>
                <w:rFonts w:hint="eastAsia" w:ascii="Times New Roman" w:cs="Times New Roman"/>
                <w:color w:val="auto"/>
                <w:shd w:val="clear" w:color="auto" w:fill="FFFFFF"/>
              </w:rPr>
              <w:t>，新增用地范围无生态环境保护目标。</w:t>
            </w:r>
          </w:p>
          <w:p>
            <w:pPr>
              <w:pStyle w:val="27"/>
              <w:spacing w:line="360" w:lineRule="auto"/>
              <w:rPr>
                <w:rFonts w:ascii="Times New Roman" w:cs="Times New Roman"/>
              </w:rPr>
            </w:pPr>
            <w:r>
              <w:rPr>
                <w:rFonts w:hint="eastAsia" w:ascii="Times New Roman" w:cs="Times New Roman"/>
                <w:b/>
                <w:bCs/>
              </w:rPr>
              <w:t>7、</w:t>
            </w:r>
            <w:r>
              <w:rPr>
                <w:rFonts w:ascii="Times New Roman" w:cs="Times New Roman"/>
                <w:b/>
                <w:bCs/>
              </w:rPr>
              <w:t>环境风险</w:t>
            </w:r>
          </w:p>
          <w:p>
            <w:pPr>
              <w:pStyle w:val="27"/>
              <w:spacing w:line="360" w:lineRule="auto"/>
              <w:ind w:firstLine="480" w:firstLineChars="200"/>
              <w:rPr>
                <w:rFonts w:ascii="Times New Roman" w:cs="Times New Roman"/>
              </w:rPr>
            </w:pPr>
            <w:r>
              <w:rPr>
                <w:rFonts w:ascii="Times New Roman" w:cs="Times New Roman"/>
              </w:rPr>
              <w:t>对照《建设项目环境风险评价技术导则》（HJ169-2018）</w:t>
            </w:r>
            <w:r>
              <w:rPr>
                <w:rFonts w:hint="eastAsia" w:ascii="Times New Roman" w:cs="Times New Roman"/>
              </w:rPr>
              <w:t>附录B</w:t>
            </w:r>
            <w:r>
              <w:rPr>
                <w:rFonts w:ascii="Times New Roman" w:cs="Times New Roman"/>
              </w:rPr>
              <w:t>、《危险化学品重大危险源辨识》（GB18218-2018），原材料均不属于危险物质或危险化学品。</w:t>
            </w:r>
          </w:p>
          <w:p>
            <w:pPr>
              <w:pStyle w:val="27"/>
              <w:spacing w:line="360" w:lineRule="auto"/>
              <w:ind w:firstLine="480" w:firstLineChars="200"/>
              <w:rPr>
                <w:rFonts w:ascii="Times New Roman" w:cs="Times New Roman"/>
              </w:rPr>
            </w:pPr>
            <w:r>
              <w:rPr>
                <w:rFonts w:ascii="Times New Roman" w:cs="Times New Roman"/>
              </w:rPr>
              <w:t>本项目主要风险为火灾事故</w:t>
            </w:r>
            <w:r>
              <w:rPr>
                <w:rFonts w:hint="eastAsia" w:ascii="Times New Roman" w:cs="Times New Roman"/>
              </w:rPr>
              <w:t>，</w:t>
            </w:r>
            <w:r>
              <w:rPr>
                <w:rFonts w:ascii="Times New Roman" w:cs="Times New Roman"/>
              </w:rPr>
              <w:t>环境风险防范措施及应急要求</w:t>
            </w:r>
            <w:r>
              <w:rPr>
                <w:rFonts w:hint="eastAsia" w:ascii="Times New Roman" w:cs="Times New Roman"/>
              </w:rPr>
              <w:t>如下</w:t>
            </w:r>
          </w:p>
          <w:p>
            <w:pPr>
              <w:pStyle w:val="27"/>
              <w:spacing w:line="360" w:lineRule="auto"/>
              <w:ind w:firstLine="480" w:firstLineChars="200"/>
              <w:rPr>
                <w:rFonts w:ascii="Times New Roman" w:cs="Times New Roman"/>
              </w:rPr>
            </w:pPr>
            <w:r>
              <w:rPr>
                <w:rFonts w:ascii="Times New Roman" w:cs="Times New Roman"/>
              </w:rPr>
              <w:t>（1）项目应加强对原辅材料、产品及用电设备的管理，电线线路及设备线路定期进行检查，加强管理和安全知识教育，增强防范意识，防止火灾发生，厂区内严禁吸烟。要有充分的应急措施，项目应按照相关规定设置逃生系统，并能够有足够并匹配的消防器材及备用应急电源。</w:t>
            </w:r>
          </w:p>
          <w:p>
            <w:pPr>
              <w:pStyle w:val="27"/>
              <w:spacing w:line="360" w:lineRule="auto"/>
              <w:ind w:firstLine="480" w:firstLineChars="200"/>
              <w:rPr>
                <w:rFonts w:ascii="Times New Roman" w:cs="Times New Roman"/>
              </w:rPr>
            </w:pPr>
            <w:r>
              <w:rPr>
                <w:rFonts w:ascii="Times New Roman" w:cs="Times New Roman"/>
              </w:rPr>
              <w:t xml:space="preserve">（2）在厂区内尤其是生产车间和仓库设立严禁吸烟及明火作业标识牌。 </w:t>
            </w:r>
          </w:p>
          <w:p>
            <w:pPr>
              <w:pStyle w:val="27"/>
              <w:spacing w:line="360" w:lineRule="auto"/>
              <w:ind w:firstLine="480" w:firstLineChars="200"/>
              <w:rPr>
                <w:rFonts w:ascii="Times New Roman" w:cs="Times New Roman"/>
              </w:rPr>
            </w:pPr>
            <w:r>
              <w:rPr>
                <w:rFonts w:ascii="Times New Roman" w:cs="Times New Roman"/>
              </w:rPr>
              <w:t>（3）定期检查设备的运行状况，发现不良问题及时解决；同时注重加强安全教育，提供了职工的安全意识和安全防范能力。</w:t>
            </w:r>
          </w:p>
          <w:p>
            <w:pPr>
              <w:pStyle w:val="27"/>
              <w:spacing w:line="360" w:lineRule="auto"/>
              <w:ind w:firstLine="480" w:firstLineChars="200"/>
              <w:rPr>
                <w:rFonts w:ascii="Times New Roman" w:cs="Times New Roman"/>
              </w:rPr>
            </w:pPr>
            <w:r>
              <w:rPr>
                <w:rFonts w:ascii="Times New Roman" w:cs="Times New Roman"/>
              </w:rPr>
              <w:t xml:space="preserve">（4）按照相关规定设施逃生系统，并能够有足够并匹配的消防器材。 </w:t>
            </w:r>
          </w:p>
          <w:p>
            <w:pPr>
              <w:pStyle w:val="27"/>
              <w:spacing w:line="360" w:lineRule="auto"/>
              <w:ind w:firstLine="480" w:firstLineChars="200"/>
              <w:rPr>
                <w:rFonts w:ascii="Times New Roman" w:cs="Times New Roman"/>
                <w:sz w:val="21"/>
                <w:szCs w:val="21"/>
              </w:rPr>
            </w:pPr>
            <w:r>
              <w:rPr>
                <w:rFonts w:ascii="Times New Roman" w:cs="Times New Roman"/>
              </w:rPr>
              <w:t>采取上述措施后，项目的环境风险在可接受范围内。</w:t>
            </w:r>
          </w:p>
          <w:p>
            <w:pPr>
              <w:pStyle w:val="27"/>
              <w:spacing w:line="360" w:lineRule="auto"/>
              <w:rPr>
                <w:rFonts w:ascii="Times New Roman" w:cs="Times New Roman"/>
                <w:b/>
                <w:bCs/>
              </w:rPr>
            </w:pPr>
            <w:r>
              <w:rPr>
                <w:rFonts w:hint="eastAsia" w:ascii="Times New Roman" w:cs="Times New Roman"/>
                <w:b/>
                <w:bCs/>
              </w:rPr>
              <w:t>8、电磁辐射</w:t>
            </w:r>
          </w:p>
          <w:p>
            <w:pPr>
              <w:adjustRightInd w:val="0"/>
              <w:snapToGrid w:val="0"/>
              <w:spacing w:line="360" w:lineRule="auto"/>
              <w:ind w:firstLine="480" w:firstLineChars="200"/>
              <w:rPr>
                <w:rFonts w:hint="eastAsia"/>
                <w:sz w:val="24"/>
              </w:rPr>
            </w:pPr>
            <w:r>
              <w:rPr>
                <w:sz w:val="24"/>
              </w:rPr>
              <w:t>本项目不涉及电磁辐射设备，不进行电磁辐射影响评价</w:t>
            </w:r>
            <w:r>
              <w:rPr>
                <w:rFonts w:hint="eastAsia"/>
                <w:sz w:val="24"/>
              </w:rPr>
              <w:t>。</w:t>
            </w:r>
          </w:p>
          <w:p>
            <w:pPr>
              <w:adjustRightInd w:val="0"/>
              <w:snapToGrid w:val="0"/>
              <w:spacing w:line="360" w:lineRule="auto"/>
              <w:rPr>
                <w:rFonts w:hint="eastAsia"/>
                <w:sz w:val="24"/>
                <w:lang w:val="en-US" w:eastAsia="zh-CN"/>
              </w:rPr>
            </w:pPr>
            <w:r>
              <w:rPr>
                <w:rFonts w:hint="eastAsia"/>
                <w:b/>
                <w:bCs/>
                <w:sz w:val="24"/>
                <w:lang w:val="en-US" w:eastAsia="zh-CN"/>
              </w:rPr>
              <w:t>9、总量指标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Cs/>
                <w:spacing w:val="-10"/>
                <w:sz w:val="24"/>
                <w:lang w:eastAsia="zh-CN"/>
              </w:rPr>
            </w:pPr>
            <w:r>
              <w:rPr>
                <w:rFonts w:hint="eastAsia"/>
                <w:sz w:val="24"/>
                <w:u w:val="none"/>
                <w:lang w:val="en-US" w:eastAsia="zh-CN"/>
              </w:rPr>
              <w:t>根据上述废气和废水污染源分析，最终得出本项目大气污染物总量控制指标为（SO</w:t>
            </w:r>
            <w:r>
              <w:rPr>
                <w:rFonts w:hint="eastAsia"/>
                <w:sz w:val="24"/>
                <w:u w:val="none"/>
                <w:vertAlign w:val="subscript"/>
                <w:lang w:val="en-US" w:eastAsia="zh-CN"/>
              </w:rPr>
              <w:t>2</w:t>
            </w:r>
            <w:r>
              <w:rPr>
                <w:rFonts w:hint="eastAsia"/>
                <w:sz w:val="24"/>
                <w:u w:val="none"/>
                <w:lang w:val="en-US" w:eastAsia="zh-CN"/>
              </w:rPr>
              <w:t>：0.033t/a、NOx：1.963t/a）</w:t>
            </w:r>
            <w:r>
              <w:rPr>
                <w:rFonts w:hint="eastAsia"/>
                <w:sz w:val="24"/>
                <w:u w:val="none"/>
                <w:lang w:eastAsia="zh-CN"/>
              </w:rPr>
              <w:t>。</w:t>
            </w: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ascii="黑体" w:hAnsi="黑体" w:eastAsia="黑体"/>
          <w:snapToGrid w:val="0"/>
          <w:sz w:val="30"/>
          <w:szCs w:val="30"/>
        </w:rPr>
      </w:pPr>
      <w:bookmarkStart w:id="10" w:name="_Toc8809"/>
      <w:r>
        <w:rPr>
          <w:rFonts w:hint="eastAsia" w:ascii="黑体" w:hAnsi="黑体" w:eastAsia="黑体"/>
          <w:snapToGrid w:val="0"/>
          <w:sz w:val="30"/>
          <w:szCs w:val="30"/>
        </w:rPr>
        <w:t>五、</w:t>
      </w:r>
      <w:bookmarkStart w:id="11" w:name="_Hlk54167917"/>
      <w:r>
        <w:rPr>
          <w:rFonts w:hint="eastAsia" w:ascii="黑体" w:hAnsi="黑体" w:eastAsia="黑体"/>
          <w:snapToGrid w:val="0"/>
          <w:sz w:val="30"/>
          <w:szCs w:val="30"/>
        </w:rPr>
        <w:t>环境保护措施监督检查清单</w:t>
      </w:r>
      <w:bookmarkEnd w:id="10"/>
      <w:bookmarkEnd w:id="11"/>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szCs w:val="21"/>
              </w:rPr>
            </w:pPr>
            <w:r>
              <w:rPr>
                <w:szCs w:val="21"/>
              </w:rPr>
              <w:t>内容</w:t>
            </w:r>
          </w:p>
          <w:p>
            <w:pPr>
              <w:adjustRightInd w:val="0"/>
              <w:snapToGrid w:val="0"/>
              <w:rPr>
                <w:szCs w:val="21"/>
              </w:rPr>
            </w:pPr>
            <w:r>
              <w:rPr>
                <w:szCs w:val="21"/>
              </w:rPr>
              <w:t>要素</w:t>
            </w:r>
          </w:p>
        </w:tc>
        <w:tc>
          <w:tcPr>
            <w:tcW w:w="1755" w:type="dxa"/>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1755" w:type="dxa"/>
            <w:vAlign w:val="center"/>
          </w:tcPr>
          <w:p>
            <w:pPr>
              <w:adjustRightInd w:val="0"/>
              <w:snapToGrid w:val="0"/>
              <w:jc w:val="center"/>
              <w:rPr>
                <w:szCs w:val="21"/>
              </w:rPr>
            </w:pPr>
            <w:r>
              <w:rPr>
                <w:szCs w:val="21"/>
              </w:rPr>
              <w:t>污染物项目</w:t>
            </w:r>
          </w:p>
        </w:tc>
        <w:tc>
          <w:tcPr>
            <w:tcW w:w="1755" w:type="dxa"/>
            <w:vAlign w:val="center"/>
          </w:tcPr>
          <w:p>
            <w:pPr>
              <w:adjustRightInd w:val="0"/>
              <w:snapToGrid w:val="0"/>
              <w:jc w:val="center"/>
              <w:rPr>
                <w:szCs w:val="21"/>
              </w:rPr>
            </w:pPr>
            <w:r>
              <w:rPr>
                <w:szCs w:val="21"/>
              </w:rPr>
              <w:t>环境保护措施</w:t>
            </w:r>
          </w:p>
        </w:tc>
        <w:tc>
          <w:tcPr>
            <w:tcW w:w="1757" w:type="dxa"/>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szCs w:val="21"/>
              </w:rPr>
            </w:pPr>
            <w:r>
              <w:rPr>
                <w:szCs w:val="21"/>
              </w:rPr>
              <w:t>大气环境</w:t>
            </w:r>
          </w:p>
        </w:tc>
        <w:tc>
          <w:tcPr>
            <w:tcW w:w="1755" w:type="dxa"/>
            <w:vAlign w:val="center"/>
          </w:tcPr>
          <w:p>
            <w:pPr>
              <w:adjustRightInd w:val="0"/>
              <w:snapToGrid w:val="0"/>
              <w:jc w:val="center"/>
              <w:rPr>
                <w:szCs w:val="21"/>
              </w:rPr>
            </w:pPr>
            <w:r>
              <w:rPr>
                <w:rFonts w:hint="eastAsia"/>
                <w:szCs w:val="21"/>
                <w:lang w:val="en-US" w:eastAsia="zh-CN"/>
              </w:rPr>
              <w:t>混合</w:t>
            </w:r>
            <w:r>
              <w:rPr>
                <w:rFonts w:hint="eastAsia"/>
                <w:szCs w:val="21"/>
              </w:rPr>
              <w:t>废气排气筒</w:t>
            </w:r>
            <w:r>
              <w:rPr>
                <w:szCs w:val="21"/>
              </w:rPr>
              <w:t>DA001</w:t>
            </w:r>
          </w:p>
        </w:tc>
        <w:tc>
          <w:tcPr>
            <w:tcW w:w="1755" w:type="dxa"/>
            <w:vAlign w:val="center"/>
          </w:tcPr>
          <w:p>
            <w:pPr>
              <w:adjustRightInd w:val="0"/>
              <w:snapToGrid w:val="0"/>
              <w:jc w:val="center"/>
              <w:rPr>
                <w:szCs w:val="21"/>
              </w:rPr>
            </w:pPr>
            <w:r>
              <w:rPr>
                <w:rFonts w:hint="eastAsia"/>
                <w:szCs w:val="21"/>
              </w:rPr>
              <w:t>颗粒物、SO</w:t>
            </w:r>
            <w:r>
              <w:rPr>
                <w:rFonts w:hint="eastAsia"/>
                <w:szCs w:val="21"/>
                <w:vertAlign w:val="subscript"/>
              </w:rPr>
              <w:t>2</w:t>
            </w:r>
            <w:r>
              <w:rPr>
                <w:rFonts w:hint="eastAsia"/>
                <w:szCs w:val="21"/>
              </w:rPr>
              <w:t>、NOx、烟气黑度</w:t>
            </w:r>
          </w:p>
        </w:tc>
        <w:tc>
          <w:tcPr>
            <w:tcW w:w="1755" w:type="dxa"/>
            <w:vAlign w:val="center"/>
          </w:tcPr>
          <w:p>
            <w:pPr>
              <w:adjustRightInd w:val="0"/>
              <w:snapToGrid w:val="0"/>
              <w:jc w:val="center"/>
              <w:rPr>
                <w:szCs w:val="21"/>
              </w:rPr>
            </w:pPr>
            <w:r>
              <w:rPr>
                <w:rFonts w:hint="eastAsia"/>
                <w:szCs w:val="21"/>
                <w:lang w:val="en-US" w:eastAsia="zh-CN"/>
              </w:rPr>
              <w:t>静电</w:t>
            </w:r>
            <w:r>
              <w:rPr>
                <w:rFonts w:hint="eastAsia"/>
                <w:szCs w:val="21"/>
              </w:rPr>
              <w:t>除尘</w:t>
            </w:r>
            <w:r>
              <w:rPr>
                <w:rFonts w:hint="eastAsia"/>
                <w:szCs w:val="21"/>
                <w:lang w:val="en-US" w:eastAsia="zh-CN"/>
              </w:rPr>
              <w:t>+布袋除尘</w:t>
            </w:r>
            <w:r>
              <w:rPr>
                <w:rFonts w:hint="eastAsia"/>
                <w:szCs w:val="21"/>
              </w:rPr>
              <w:t>装置+</w:t>
            </w:r>
            <w:r>
              <w:rPr>
                <w:rFonts w:hint="eastAsia"/>
                <w:szCs w:val="21"/>
                <w:lang w:val="en-US" w:eastAsia="zh-CN"/>
              </w:rPr>
              <w:t>15</w:t>
            </w:r>
            <w:r>
              <w:rPr>
                <w:rFonts w:hint="eastAsia"/>
                <w:szCs w:val="21"/>
              </w:rPr>
              <w:t>m高</w:t>
            </w:r>
            <w:r>
              <w:rPr>
                <w:rFonts w:hint="eastAsia"/>
                <w:szCs w:val="21"/>
                <w:lang w:val="en-US" w:eastAsia="zh-CN"/>
              </w:rPr>
              <w:t>1#</w:t>
            </w:r>
            <w:r>
              <w:rPr>
                <w:rFonts w:hint="eastAsia"/>
                <w:szCs w:val="21"/>
              </w:rPr>
              <w:t>排气筒</w:t>
            </w:r>
          </w:p>
        </w:tc>
        <w:tc>
          <w:tcPr>
            <w:tcW w:w="1757" w:type="dxa"/>
            <w:vAlign w:val="center"/>
          </w:tcPr>
          <w:p>
            <w:pPr>
              <w:adjustRightInd w:val="0"/>
              <w:snapToGrid w:val="0"/>
              <w:jc w:val="center"/>
              <w:rPr>
                <w:rFonts w:hint="default" w:eastAsia="宋体"/>
                <w:szCs w:val="21"/>
                <w:lang w:val="en-US" w:eastAsia="zh-CN"/>
              </w:rPr>
            </w:pPr>
            <w:r>
              <w:rPr>
                <w:rFonts w:hint="eastAsia"/>
                <w:szCs w:val="21"/>
                <w:lang w:val="en-US" w:eastAsia="zh-CN"/>
              </w:rPr>
              <w:t>SO</w:t>
            </w:r>
            <w:r>
              <w:rPr>
                <w:rFonts w:hint="eastAsia"/>
                <w:szCs w:val="21"/>
                <w:vertAlign w:val="subscript"/>
                <w:lang w:val="en-US" w:eastAsia="zh-CN"/>
              </w:rPr>
              <w:t>2</w:t>
            </w:r>
            <w:r>
              <w:rPr>
                <w:rFonts w:hint="eastAsia"/>
                <w:szCs w:val="21"/>
                <w:lang w:val="en-US" w:eastAsia="zh-CN"/>
              </w:rPr>
              <w:t>：</w:t>
            </w:r>
            <w:r>
              <w:rPr>
                <w:rFonts w:hint="eastAsia"/>
                <w:szCs w:val="21"/>
              </w:rPr>
              <w:t>《工业炉窑大气污染物排放标准》GB9087-1996</w:t>
            </w:r>
            <w:r>
              <w:rPr>
                <w:rFonts w:hint="eastAsia"/>
                <w:szCs w:val="21"/>
                <w:lang w:eastAsia="zh-CN"/>
              </w:rPr>
              <w:t>；</w:t>
            </w:r>
            <w:r>
              <w:rPr>
                <w:rFonts w:hint="eastAsia"/>
                <w:szCs w:val="21"/>
                <w:lang w:val="en-US" w:eastAsia="zh-CN"/>
              </w:rPr>
              <w:t>NOx和颗粒物：《大气污染物综合排放标准》GB16297-1996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szCs w:val="21"/>
              </w:rPr>
            </w:pPr>
          </w:p>
        </w:tc>
        <w:tc>
          <w:tcPr>
            <w:tcW w:w="1755" w:type="dxa"/>
            <w:vAlign w:val="center"/>
          </w:tcPr>
          <w:p>
            <w:pPr>
              <w:adjustRightInd w:val="0"/>
              <w:snapToGrid w:val="0"/>
              <w:jc w:val="center"/>
              <w:rPr>
                <w:rFonts w:hint="default" w:eastAsia="宋体"/>
                <w:szCs w:val="21"/>
                <w:lang w:val="en-US" w:eastAsia="zh-CN"/>
              </w:rPr>
            </w:pPr>
            <w:r>
              <w:rPr>
                <w:rFonts w:hint="eastAsia"/>
                <w:szCs w:val="21"/>
              </w:rPr>
              <w:t>食堂</w:t>
            </w:r>
            <w:r>
              <w:rPr>
                <w:rFonts w:hint="eastAsia"/>
                <w:szCs w:val="21"/>
                <w:lang w:eastAsia="zh-CN"/>
              </w:rPr>
              <w:t>油烟废气排气筒</w:t>
            </w:r>
            <w:r>
              <w:rPr>
                <w:rFonts w:hint="eastAsia"/>
                <w:szCs w:val="21"/>
                <w:lang w:val="en-US" w:eastAsia="zh-CN"/>
              </w:rPr>
              <w:t>DA002</w:t>
            </w:r>
          </w:p>
        </w:tc>
        <w:tc>
          <w:tcPr>
            <w:tcW w:w="1755" w:type="dxa"/>
            <w:vAlign w:val="center"/>
          </w:tcPr>
          <w:p>
            <w:pPr>
              <w:adjustRightInd w:val="0"/>
              <w:snapToGrid w:val="0"/>
              <w:jc w:val="center"/>
              <w:rPr>
                <w:szCs w:val="21"/>
              </w:rPr>
            </w:pPr>
            <w:r>
              <w:rPr>
                <w:rFonts w:hint="eastAsia"/>
                <w:szCs w:val="21"/>
              </w:rPr>
              <w:t>食堂油烟</w:t>
            </w:r>
          </w:p>
        </w:tc>
        <w:tc>
          <w:tcPr>
            <w:tcW w:w="1755" w:type="dxa"/>
            <w:vAlign w:val="center"/>
          </w:tcPr>
          <w:p>
            <w:pPr>
              <w:adjustRightInd w:val="0"/>
              <w:snapToGrid w:val="0"/>
              <w:jc w:val="center"/>
              <w:rPr>
                <w:szCs w:val="21"/>
              </w:rPr>
            </w:pPr>
            <w:r>
              <w:rPr>
                <w:rFonts w:hint="eastAsia"/>
                <w:szCs w:val="21"/>
              </w:rPr>
              <w:t>油烟净化器+</w:t>
            </w:r>
            <w:r>
              <w:rPr>
                <w:rFonts w:hint="eastAsia"/>
                <w:szCs w:val="21"/>
                <w:lang w:val="en-US" w:eastAsia="zh-CN"/>
              </w:rPr>
              <w:t>4</w:t>
            </w:r>
            <w:r>
              <w:rPr>
                <w:rFonts w:hint="eastAsia"/>
                <w:szCs w:val="21"/>
              </w:rPr>
              <w:t>m</w:t>
            </w:r>
            <w:r>
              <w:rPr>
                <w:rFonts w:hint="eastAsia"/>
                <w:szCs w:val="21"/>
                <w:lang w:eastAsia="zh-CN"/>
              </w:rPr>
              <w:t>高</w:t>
            </w:r>
            <w:r>
              <w:rPr>
                <w:rFonts w:hint="eastAsia"/>
                <w:szCs w:val="21"/>
                <w:lang w:val="en-US" w:eastAsia="zh-CN"/>
              </w:rPr>
              <w:t>2#</w:t>
            </w:r>
            <w:r>
              <w:rPr>
                <w:rFonts w:hint="eastAsia"/>
                <w:szCs w:val="21"/>
              </w:rPr>
              <w:t>排气筒（</w:t>
            </w:r>
            <w:r>
              <w:rPr>
                <w:rFonts w:hint="eastAsia"/>
                <w:szCs w:val="21"/>
                <w:lang w:eastAsia="zh-CN"/>
              </w:rPr>
              <w:t>高于屋顶</w:t>
            </w:r>
            <w:r>
              <w:rPr>
                <w:rFonts w:hint="eastAsia"/>
                <w:szCs w:val="21"/>
              </w:rPr>
              <w:t>）</w:t>
            </w:r>
          </w:p>
        </w:tc>
        <w:tc>
          <w:tcPr>
            <w:tcW w:w="1757" w:type="dxa"/>
            <w:vAlign w:val="center"/>
          </w:tcPr>
          <w:p>
            <w:pPr>
              <w:adjustRightInd w:val="0"/>
              <w:snapToGrid w:val="0"/>
              <w:jc w:val="center"/>
              <w:rPr>
                <w:szCs w:val="21"/>
              </w:rPr>
            </w:pPr>
            <w:r>
              <w:rPr>
                <w:szCs w:val="21"/>
              </w:rPr>
              <w:t>《饮食业油烟排放标准（试行）》GB 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szCs w:val="21"/>
              </w:rPr>
            </w:pPr>
          </w:p>
        </w:tc>
        <w:tc>
          <w:tcPr>
            <w:tcW w:w="1755" w:type="dxa"/>
            <w:vAlign w:val="center"/>
          </w:tcPr>
          <w:p>
            <w:pPr>
              <w:adjustRightInd w:val="0"/>
              <w:snapToGrid w:val="0"/>
              <w:jc w:val="center"/>
              <w:rPr>
                <w:szCs w:val="21"/>
              </w:rPr>
            </w:pPr>
            <w:r>
              <w:rPr>
                <w:rFonts w:hint="eastAsia"/>
                <w:szCs w:val="21"/>
              </w:rPr>
              <w:t>厂界</w:t>
            </w:r>
          </w:p>
        </w:tc>
        <w:tc>
          <w:tcPr>
            <w:tcW w:w="1755" w:type="dxa"/>
            <w:vAlign w:val="center"/>
          </w:tcPr>
          <w:p>
            <w:pPr>
              <w:adjustRightInd w:val="0"/>
              <w:snapToGrid w:val="0"/>
              <w:jc w:val="center"/>
              <w:rPr>
                <w:rFonts w:hint="eastAsia" w:eastAsia="宋体"/>
                <w:szCs w:val="21"/>
                <w:lang w:eastAsia="zh-CN"/>
              </w:rPr>
            </w:pPr>
            <w:r>
              <w:rPr>
                <w:rFonts w:hint="eastAsia"/>
                <w:szCs w:val="21"/>
                <w:lang w:val="en-US" w:eastAsia="zh-CN"/>
              </w:rPr>
              <w:t>颗粒物</w:t>
            </w:r>
          </w:p>
        </w:tc>
        <w:tc>
          <w:tcPr>
            <w:tcW w:w="1755" w:type="dxa"/>
            <w:vAlign w:val="center"/>
          </w:tcPr>
          <w:p>
            <w:pPr>
              <w:adjustRightInd w:val="0"/>
              <w:snapToGrid w:val="0"/>
              <w:jc w:val="center"/>
              <w:rPr>
                <w:szCs w:val="21"/>
              </w:rPr>
            </w:pPr>
            <w:r>
              <w:rPr>
                <w:rFonts w:hint="eastAsia"/>
                <w:szCs w:val="21"/>
              </w:rPr>
              <w:t>做好保洁工作</w:t>
            </w:r>
          </w:p>
        </w:tc>
        <w:tc>
          <w:tcPr>
            <w:tcW w:w="1757" w:type="dxa"/>
            <w:vAlign w:val="center"/>
          </w:tcPr>
          <w:p>
            <w:pPr>
              <w:adjustRightInd w:val="0"/>
              <w:snapToGrid w:val="0"/>
              <w:jc w:val="center"/>
              <w:rPr>
                <w:szCs w:val="21"/>
              </w:rPr>
            </w:pPr>
            <w:r>
              <w:rPr>
                <w:rFonts w:hint="eastAsia"/>
                <w:szCs w:val="21"/>
                <w:lang w:val="en-US"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szCs w:val="21"/>
              </w:rPr>
            </w:pPr>
            <w:r>
              <w:rPr>
                <w:szCs w:val="21"/>
              </w:rPr>
              <w:t>地表水环境</w:t>
            </w:r>
          </w:p>
        </w:tc>
        <w:tc>
          <w:tcPr>
            <w:tcW w:w="1755" w:type="dxa"/>
            <w:vAlign w:val="center"/>
          </w:tcPr>
          <w:p>
            <w:pPr>
              <w:adjustRightInd w:val="0"/>
              <w:snapToGrid w:val="0"/>
              <w:jc w:val="center"/>
              <w:rPr>
                <w:szCs w:val="21"/>
              </w:rPr>
            </w:pPr>
            <w:r>
              <w:rPr>
                <w:rFonts w:hint="eastAsia"/>
                <w:szCs w:val="21"/>
              </w:rPr>
              <w:t>生活污水</w:t>
            </w:r>
          </w:p>
        </w:tc>
        <w:tc>
          <w:tcPr>
            <w:tcW w:w="1755" w:type="dxa"/>
            <w:vAlign w:val="center"/>
          </w:tcPr>
          <w:p>
            <w:pPr>
              <w:adjustRightInd w:val="0"/>
              <w:snapToGrid w:val="0"/>
              <w:jc w:val="center"/>
              <w:rPr>
                <w:szCs w:val="21"/>
              </w:rPr>
            </w:pPr>
            <w:r>
              <w:rPr>
                <w:rFonts w:hint="eastAsia"/>
                <w:szCs w:val="21"/>
              </w:rPr>
              <w:t>COD、BOD</w:t>
            </w:r>
            <w:r>
              <w:rPr>
                <w:rFonts w:hint="eastAsia"/>
                <w:szCs w:val="21"/>
                <w:vertAlign w:val="subscript"/>
              </w:rPr>
              <w:t>5</w:t>
            </w:r>
            <w:r>
              <w:rPr>
                <w:rFonts w:hint="eastAsia"/>
                <w:szCs w:val="21"/>
              </w:rPr>
              <w:t>、NH</w:t>
            </w:r>
            <w:r>
              <w:rPr>
                <w:rFonts w:hint="eastAsia"/>
                <w:szCs w:val="21"/>
                <w:vertAlign w:val="subscript"/>
              </w:rPr>
              <w:t>3</w:t>
            </w:r>
            <w:r>
              <w:rPr>
                <w:rFonts w:hint="eastAsia"/>
                <w:szCs w:val="21"/>
              </w:rPr>
              <w:t>-N、SS、动植物油</w:t>
            </w:r>
          </w:p>
        </w:tc>
        <w:tc>
          <w:tcPr>
            <w:tcW w:w="1755" w:type="dxa"/>
            <w:vAlign w:val="center"/>
          </w:tcPr>
          <w:p>
            <w:pPr>
              <w:adjustRightInd w:val="0"/>
              <w:snapToGrid w:val="0"/>
              <w:jc w:val="center"/>
              <w:rPr>
                <w:rFonts w:hint="eastAsia" w:eastAsia="宋体"/>
                <w:szCs w:val="21"/>
                <w:lang w:eastAsia="zh-CN"/>
              </w:rPr>
            </w:pPr>
            <w:r>
              <w:rPr>
                <w:rFonts w:hint="eastAsia"/>
                <w:szCs w:val="21"/>
              </w:rPr>
              <w:t>隔油池、化粪池</w:t>
            </w:r>
          </w:p>
        </w:tc>
        <w:tc>
          <w:tcPr>
            <w:tcW w:w="1757" w:type="dxa"/>
            <w:vAlign w:val="center"/>
          </w:tcPr>
          <w:p>
            <w:pPr>
              <w:adjustRightInd w:val="0"/>
              <w:snapToGrid w:val="0"/>
              <w:jc w:val="center"/>
              <w:rPr>
                <w:rFonts w:hint="default" w:eastAsia="宋体"/>
                <w:szCs w:val="21"/>
                <w:lang w:val="en-US" w:eastAsia="zh-CN"/>
              </w:rPr>
            </w:pPr>
            <w:r>
              <w:rPr>
                <w:rFonts w:hint="eastAsia"/>
                <w:szCs w:val="21"/>
                <w:lang w:val="en-US" w:eastAsia="zh-CN"/>
              </w:rPr>
              <w:t>用作农肥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szCs w:val="21"/>
              </w:rPr>
            </w:pPr>
            <w:r>
              <w:rPr>
                <w:szCs w:val="21"/>
              </w:rPr>
              <w:t>声环境</w:t>
            </w:r>
          </w:p>
        </w:tc>
        <w:tc>
          <w:tcPr>
            <w:tcW w:w="1755" w:type="dxa"/>
            <w:vAlign w:val="center"/>
          </w:tcPr>
          <w:p>
            <w:pPr>
              <w:adjustRightInd w:val="0"/>
              <w:snapToGrid w:val="0"/>
              <w:jc w:val="center"/>
              <w:rPr>
                <w:szCs w:val="21"/>
              </w:rPr>
            </w:pPr>
            <w:r>
              <w:rPr>
                <w:rFonts w:hint="eastAsia"/>
                <w:szCs w:val="21"/>
              </w:rPr>
              <w:t>生产设备</w:t>
            </w:r>
          </w:p>
        </w:tc>
        <w:tc>
          <w:tcPr>
            <w:tcW w:w="1755" w:type="dxa"/>
            <w:vAlign w:val="center"/>
          </w:tcPr>
          <w:p>
            <w:pPr>
              <w:adjustRightInd w:val="0"/>
              <w:snapToGrid w:val="0"/>
              <w:jc w:val="center"/>
              <w:rPr>
                <w:szCs w:val="21"/>
              </w:rPr>
            </w:pPr>
            <w:r>
              <w:rPr>
                <w:rFonts w:hint="eastAsia"/>
                <w:szCs w:val="21"/>
              </w:rPr>
              <w:t>设备噪声</w:t>
            </w:r>
          </w:p>
        </w:tc>
        <w:tc>
          <w:tcPr>
            <w:tcW w:w="1755" w:type="dxa"/>
            <w:vAlign w:val="center"/>
          </w:tcPr>
          <w:p>
            <w:pPr>
              <w:adjustRightInd w:val="0"/>
              <w:snapToGrid w:val="0"/>
              <w:jc w:val="center"/>
              <w:rPr>
                <w:szCs w:val="21"/>
              </w:rPr>
            </w:pPr>
            <w:r>
              <w:t>基础减震、建筑隔声</w:t>
            </w:r>
          </w:p>
        </w:tc>
        <w:tc>
          <w:tcPr>
            <w:tcW w:w="1757" w:type="dxa"/>
            <w:vAlign w:val="center"/>
          </w:tcPr>
          <w:p>
            <w:pPr>
              <w:adjustRightInd w:val="0"/>
              <w:snapToGrid w:val="0"/>
              <w:jc w:val="left"/>
            </w:pPr>
            <w:r>
              <w:t>《工业企业厂界环境噪声排放标准》GB12348-2008</w:t>
            </w:r>
          </w:p>
          <w:p>
            <w:pPr>
              <w:adjustRightInd w:val="0"/>
              <w:snapToGrid w:val="0"/>
              <w:jc w:val="left"/>
            </w:pPr>
            <w:r>
              <w:rPr>
                <w:rFonts w:hint="eastAsia"/>
              </w:rPr>
              <w:t>2</w:t>
            </w:r>
            <w: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szCs w:val="21"/>
              </w:rPr>
            </w:pPr>
            <w:r>
              <w:rPr>
                <w:szCs w:val="21"/>
              </w:rPr>
              <w:t>电磁辐射</w:t>
            </w:r>
          </w:p>
        </w:tc>
        <w:tc>
          <w:tcPr>
            <w:tcW w:w="1755" w:type="dxa"/>
            <w:vAlign w:val="center"/>
          </w:tcPr>
          <w:p>
            <w:pPr>
              <w:adjustRightInd w:val="0"/>
              <w:snapToGrid w:val="0"/>
              <w:jc w:val="center"/>
              <w:rPr>
                <w:szCs w:val="21"/>
              </w:rPr>
            </w:pPr>
            <w:r>
              <w:rPr>
                <w:rFonts w:hint="eastAsia"/>
                <w:szCs w:val="21"/>
              </w:rPr>
              <w:t>/</w:t>
            </w:r>
          </w:p>
        </w:tc>
        <w:tc>
          <w:tcPr>
            <w:tcW w:w="1755" w:type="dxa"/>
            <w:vAlign w:val="center"/>
          </w:tcPr>
          <w:p>
            <w:pPr>
              <w:adjustRightInd w:val="0"/>
              <w:snapToGrid w:val="0"/>
              <w:jc w:val="center"/>
              <w:rPr>
                <w:szCs w:val="21"/>
              </w:rPr>
            </w:pPr>
            <w:r>
              <w:rPr>
                <w:rFonts w:hint="eastAsia"/>
                <w:szCs w:val="21"/>
              </w:rPr>
              <w:t>/</w:t>
            </w:r>
          </w:p>
        </w:tc>
        <w:tc>
          <w:tcPr>
            <w:tcW w:w="1755" w:type="dxa"/>
            <w:vAlign w:val="center"/>
          </w:tcPr>
          <w:p>
            <w:pPr>
              <w:adjustRightInd w:val="0"/>
              <w:snapToGrid w:val="0"/>
              <w:jc w:val="center"/>
              <w:rPr>
                <w:szCs w:val="21"/>
              </w:rPr>
            </w:pPr>
            <w:r>
              <w:rPr>
                <w:rFonts w:hint="eastAsia"/>
                <w:szCs w:val="21"/>
              </w:rPr>
              <w:t>/</w:t>
            </w:r>
          </w:p>
        </w:tc>
        <w:tc>
          <w:tcPr>
            <w:tcW w:w="1757" w:type="dxa"/>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szCs w:val="21"/>
              </w:rPr>
            </w:pPr>
            <w:r>
              <w:rPr>
                <w:szCs w:val="21"/>
              </w:rPr>
              <w:t>固体废物</w:t>
            </w:r>
          </w:p>
        </w:tc>
        <w:tc>
          <w:tcPr>
            <w:tcW w:w="7022" w:type="dxa"/>
            <w:gridSpan w:val="4"/>
            <w:vAlign w:val="center"/>
          </w:tcPr>
          <w:p>
            <w:pPr>
              <w:adjustRightInd w:val="0"/>
              <w:snapToGrid w:val="0"/>
              <w:jc w:val="center"/>
              <w:rPr>
                <w:rFonts w:hint="default" w:eastAsia="宋体"/>
                <w:szCs w:val="21"/>
                <w:lang w:val="en-US" w:eastAsia="zh-CN"/>
              </w:rPr>
            </w:pPr>
            <w:r>
              <w:rPr>
                <w:rFonts w:hint="eastAsia"/>
                <w:szCs w:val="21"/>
              </w:rPr>
              <w:t>生活垃圾</w:t>
            </w:r>
            <w:r>
              <w:rPr>
                <w:rFonts w:hint="eastAsia"/>
                <w:szCs w:val="21"/>
                <w:lang w:val="en-US" w:eastAsia="zh-CN"/>
              </w:rPr>
              <w:t>设垃圾桶收集后交由环卫部门处理，炉渣收集后用作农肥外售，沉淀池沉渣和粉尘收集后回用，</w:t>
            </w:r>
            <w:r>
              <w:rPr>
                <w:rFonts w:hint="eastAsia"/>
                <w:szCs w:val="21"/>
              </w:rPr>
              <w:t>废包装袋</w:t>
            </w:r>
            <w:r>
              <w:rPr>
                <w:rFonts w:hint="eastAsia"/>
                <w:szCs w:val="21"/>
                <w:lang w:val="en-US" w:eastAsia="zh-CN"/>
              </w:rPr>
              <w:t>能回收的回收利用，不能回收的一同生活垃圾用垃圾桶收集后交由环卫部门处置</w:t>
            </w:r>
            <w:r>
              <w:rPr>
                <w:rFonts w:hint="eastAsia"/>
                <w:szCs w:val="21"/>
              </w:rPr>
              <w:t>。</w:t>
            </w:r>
            <w:r>
              <w:rPr>
                <w:rFonts w:hint="eastAsia"/>
                <w:szCs w:val="21"/>
                <w:lang w:val="en-US" w:eastAsia="zh-CN"/>
              </w:rPr>
              <w:t>不合格产品返回生产线进行二次加工。</w:t>
            </w:r>
            <w:r>
              <w:rPr>
                <w:rFonts w:hint="eastAsia"/>
                <w:szCs w:val="21"/>
              </w:rPr>
              <w:t>竹醋液、竹焦油</w:t>
            </w:r>
            <w:r>
              <w:rPr>
                <w:rFonts w:hint="eastAsia"/>
                <w:szCs w:val="21"/>
                <w:lang w:val="en-US" w:eastAsia="zh-CN"/>
              </w:rPr>
              <w:t>设专用容器收集于危废暂存间，定期交由有资质单位回收处理。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7022" w:type="dxa"/>
            <w:gridSpan w:val="4"/>
            <w:vAlign w:val="center"/>
          </w:tcPr>
          <w:p>
            <w:pPr>
              <w:adjustRightInd w:val="0"/>
              <w:snapToGrid w:val="0"/>
              <w:jc w:val="center"/>
              <w:rPr>
                <w:szCs w:val="21"/>
              </w:rPr>
            </w:pPr>
            <w:r>
              <w:rPr>
                <w:rFonts w:hint="eastAsia"/>
                <w:szCs w:val="21"/>
              </w:rPr>
              <w:t>隔油池、化粪池</w:t>
            </w:r>
            <w:r>
              <w:rPr>
                <w:rFonts w:hint="eastAsia"/>
                <w:szCs w:val="21"/>
                <w:lang w:val="en-US" w:eastAsia="zh-CN"/>
              </w:rPr>
              <w:t>和危废暂存间</w:t>
            </w:r>
            <w:r>
              <w:rPr>
                <w:rFonts w:hint="eastAsia"/>
                <w:szCs w:val="21"/>
              </w:rPr>
              <w:t>等做好防渗、防漏等措施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szCs w:val="21"/>
              </w:rPr>
            </w:pPr>
            <w:r>
              <w:rPr>
                <w:szCs w:val="21"/>
              </w:rPr>
              <w:t>生态保护措施</w:t>
            </w:r>
          </w:p>
        </w:tc>
        <w:tc>
          <w:tcPr>
            <w:tcW w:w="7022" w:type="dxa"/>
            <w:gridSpan w:val="4"/>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7022" w:type="dxa"/>
            <w:gridSpan w:val="4"/>
            <w:vAlign w:val="center"/>
          </w:tcPr>
          <w:p>
            <w:pPr>
              <w:ind w:firstLine="420" w:firstLineChars="200"/>
              <w:jc w:val="left"/>
              <w:rPr>
                <w:color w:val="FF0000"/>
                <w:szCs w:val="21"/>
                <w:u w:val="single"/>
              </w:rPr>
            </w:pPr>
            <w:r>
              <w:rPr>
                <w:rFonts w:hint="eastAsia"/>
                <w:color w:val="FF0000"/>
                <w:szCs w:val="21"/>
                <w:u w:val="single"/>
              </w:rPr>
              <w:t>1、在对</w:t>
            </w:r>
            <w:r>
              <w:rPr>
                <w:rFonts w:hint="eastAsia"/>
                <w:color w:val="FF0000"/>
                <w:szCs w:val="21"/>
                <w:u w:val="single"/>
                <w:lang w:eastAsia="zh-CN"/>
              </w:rPr>
              <w:t>竹</w:t>
            </w:r>
            <w:r>
              <w:rPr>
                <w:rFonts w:hint="eastAsia"/>
                <w:color w:val="FF0000"/>
                <w:szCs w:val="21"/>
                <w:u w:val="single"/>
              </w:rPr>
              <w:t>煤气设施运行及停气检修时必须严格按照有关安全生产的规定进行。供气管道及木煤气燃烧设备的设计和施工中，应参照《工业企业煤气安全规程》（</w:t>
            </w:r>
            <w:r>
              <w:rPr>
                <w:color w:val="FF0000"/>
                <w:szCs w:val="21"/>
                <w:u w:val="single"/>
              </w:rPr>
              <w:t>GB 6222-86</w:t>
            </w:r>
            <w:r>
              <w:rPr>
                <w:rFonts w:hint="eastAsia"/>
                <w:color w:val="FF0000"/>
                <w:szCs w:val="21"/>
                <w:u w:val="single"/>
              </w:rPr>
              <w:t>）等安全生产的有关规定进行。</w:t>
            </w:r>
          </w:p>
          <w:p>
            <w:pPr>
              <w:ind w:firstLine="420" w:firstLineChars="200"/>
              <w:jc w:val="left"/>
              <w:rPr>
                <w:color w:val="FF0000"/>
                <w:szCs w:val="21"/>
                <w:u w:val="single"/>
              </w:rPr>
            </w:pPr>
            <w:r>
              <w:rPr>
                <w:rFonts w:hint="eastAsia"/>
                <w:color w:val="FF0000"/>
                <w:szCs w:val="21"/>
                <w:u w:val="single"/>
              </w:rPr>
              <w:t>2、加强员工的思想、道德教育，提高员工的责任心和主观能动性：完善并严格遵守相关的操作规程，加强岗位培训，落实岗位责任制；加强设备管理，特别是对易产生有毒物质泄漏的部位加强检查。</w:t>
            </w:r>
          </w:p>
          <w:p>
            <w:pPr>
              <w:ind w:firstLine="420" w:firstLineChars="200"/>
              <w:jc w:val="left"/>
              <w:rPr>
                <w:color w:val="FF0000"/>
                <w:szCs w:val="21"/>
                <w:u w:val="single"/>
              </w:rPr>
            </w:pPr>
            <w:r>
              <w:rPr>
                <w:rFonts w:hint="eastAsia"/>
                <w:color w:val="FF0000"/>
                <w:szCs w:val="21"/>
                <w:u w:val="single"/>
              </w:rPr>
              <w:t>3、提高项目生产的自动化控制水平，减少生产系统的操作偏差，确保拟建项目的生产安全。</w:t>
            </w:r>
          </w:p>
          <w:p>
            <w:pPr>
              <w:ind w:firstLine="420" w:firstLineChars="200"/>
              <w:jc w:val="left"/>
              <w:rPr>
                <w:szCs w:val="21"/>
              </w:rPr>
            </w:pPr>
            <w:r>
              <w:rPr>
                <w:rFonts w:hint="eastAsia"/>
                <w:color w:val="FF0000"/>
                <w:szCs w:val="21"/>
                <w:u w:val="single"/>
              </w:rPr>
              <w:t>4、加强事故管理，在生产过程中注意对其它单位相关事故的研究，充分吸取经验和教训。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7022" w:type="dxa"/>
            <w:gridSpan w:val="4"/>
            <w:vAlign w:val="center"/>
          </w:tcPr>
          <w:p>
            <w:pPr>
              <w:pStyle w:val="59"/>
              <w:adjustRightInd/>
              <w:snapToGrid/>
              <w:spacing w:before="0" w:after="0"/>
              <w:jc w:val="left"/>
              <w:rPr>
                <w:sz w:val="21"/>
                <w:szCs w:val="21"/>
                <w:lang w:val="en-US" w:eastAsia="zh-CN"/>
              </w:rPr>
            </w:pPr>
            <w:r>
              <w:rPr>
                <w:sz w:val="21"/>
                <w:szCs w:val="21"/>
                <w:lang w:val="en-US" w:eastAsia="zh-CN"/>
              </w:rPr>
              <w:t>1、项目建成投产排污前，应办理排污许可证</w:t>
            </w:r>
          </w:p>
          <w:p>
            <w:pPr>
              <w:adjustRightInd w:val="0"/>
              <w:snapToGrid w:val="0"/>
              <w:rPr>
                <w:szCs w:val="21"/>
              </w:rPr>
            </w:pPr>
            <w:r>
              <w:rPr>
                <w:szCs w:val="21"/>
              </w:rPr>
              <w:t>2、项目建成试运行，及时进行环保竣工验收</w:t>
            </w:r>
          </w:p>
        </w:tc>
      </w:tr>
    </w:tbl>
    <w:p>
      <w:pPr>
        <w:pStyle w:val="20"/>
        <w:jc w:val="center"/>
        <w:outlineLvl w:val="0"/>
        <w:rPr>
          <w:rFonts w:ascii="黑体" w:hAnsi="黑体" w:eastAsia="黑体"/>
          <w:snapToGrid w:val="0"/>
          <w:sz w:val="30"/>
          <w:szCs w:val="30"/>
        </w:rPr>
      </w:pPr>
      <w:r>
        <w:rPr>
          <w:snapToGrid w:val="0"/>
        </w:rPr>
        <w:br w:type="page"/>
      </w:r>
      <w:bookmarkStart w:id="12" w:name="_Toc14135"/>
      <w:r>
        <w:rPr>
          <w:rFonts w:hint="eastAsia" w:ascii="黑体" w:hAnsi="黑体" w:eastAsia="黑体"/>
          <w:snapToGrid w:val="0"/>
          <w:sz w:val="30"/>
          <w:szCs w:val="30"/>
        </w:rPr>
        <w:t>六、结论</w:t>
      </w:r>
      <w:bookmarkEnd w:id="12"/>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rPr>
                <w:sz w:val="24"/>
              </w:rPr>
            </w:pPr>
            <w:r>
              <w:rPr>
                <w:rFonts w:hint="eastAsia"/>
                <w:sz w:val="24"/>
              </w:rPr>
              <w:t>本</w:t>
            </w:r>
            <w:r>
              <w:rPr>
                <w:sz w:val="24"/>
              </w:rPr>
              <w:t>项目符合国家产业政策；项目选址符合相关要求，通过采取有效的环保措施可实现</w:t>
            </w:r>
            <w:r>
              <w:rPr>
                <w:rFonts w:hint="eastAsia"/>
                <w:sz w:val="24"/>
              </w:rPr>
              <w:t>废气、废水</w:t>
            </w:r>
            <w:r>
              <w:rPr>
                <w:sz w:val="24"/>
              </w:rPr>
              <w:t>达标排放，</w:t>
            </w:r>
            <w:r>
              <w:rPr>
                <w:rFonts w:hint="eastAsia"/>
                <w:sz w:val="24"/>
              </w:rPr>
              <w:t>固体废物妥善处置，</w:t>
            </w:r>
            <w:r>
              <w:rPr>
                <w:sz w:val="24"/>
              </w:rPr>
              <w:t>对周边环境的影响也能控制在可接受程度。因此，建设单位在严格执行环保“三同时”制度，严格落实本报告提出的各项环保措施后，项目建设对环境的影响是可接受的。</w:t>
            </w:r>
          </w:p>
          <w:p>
            <w:pPr>
              <w:spacing w:line="360" w:lineRule="auto"/>
              <w:ind w:firstLine="480" w:firstLineChars="200"/>
              <w:rPr>
                <w:rFonts w:ascii="宋体" w:cs="宋体"/>
                <w:sz w:val="24"/>
              </w:rPr>
            </w:pPr>
            <w:r>
              <w:rPr>
                <w:sz w:val="24"/>
              </w:rPr>
              <w:t>因此，从环保的角度分析，本项目的建设是可行的。</w:t>
            </w: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outlineLvl w:val="0"/>
        <w:rPr>
          <w:rFonts w:ascii="黑体" w:hAnsi="黑体" w:eastAsia="黑体"/>
          <w:snapToGrid w:val="0"/>
          <w:sz w:val="32"/>
          <w:szCs w:val="32"/>
        </w:rPr>
      </w:pPr>
      <w:bookmarkStart w:id="13" w:name="_Toc5991"/>
      <w:r>
        <w:rPr>
          <w:rFonts w:hint="eastAsia" w:ascii="黑体" w:hAnsi="黑体" w:eastAsia="黑体"/>
          <w:snapToGrid w:val="0"/>
          <w:sz w:val="32"/>
          <w:szCs w:val="32"/>
        </w:rPr>
        <w:t>附表</w:t>
      </w:r>
      <w:bookmarkEnd w:id="13"/>
    </w:p>
    <w:p>
      <w:pPr>
        <w:pStyle w:val="20"/>
        <w:adjustRightInd w:val="0"/>
        <w:snapToGrid w:val="0"/>
        <w:spacing w:before="0" w:beforeAutospacing="0" w:after="0" w:afterAutospacing="0"/>
        <w:jc w:val="center"/>
        <w:outlineLvl w:val="0"/>
        <w:rPr>
          <w:rFonts w:ascii="方正小标宋_GBK" w:hAnsi="黑体" w:eastAsia="方正小标宋_GBK"/>
          <w:snapToGrid w:val="0"/>
          <w:sz w:val="38"/>
          <w:szCs w:val="38"/>
        </w:rPr>
      </w:pPr>
      <w:bookmarkStart w:id="14" w:name="_Toc8125"/>
      <w:r>
        <w:rPr>
          <w:rFonts w:hint="eastAsia" w:ascii="方正小标宋_GBK" w:hAnsi="黑体" w:eastAsia="方正小标宋_GBK"/>
          <w:snapToGrid w:val="0"/>
          <w:sz w:val="38"/>
          <w:szCs w:val="38"/>
        </w:rPr>
        <w:t>建设项目污染物排放量汇总表</w:t>
      </w:r>
      <w:bookmarkEnd w:id="14"/>
    </w:p>
    <w:tbl>
      <w:tblPr>
        <w:tblStyle w:val="22"/>
        <w:tblW w:w="0" w:type="auto"/>
        <w:tblInd w:w="-8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2"/>
              <w:spacing w:beforeLines="0" w:afterLines="0" w:line="240" w:lineRule="auto"/>
              <w:jc w:val="right"/>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项目</w:t>
            </w:r>
          </w:p>
          <w:p>
            <w:pPr>
              <w:pStyle w:val="42"/>
              <w:spacing w:beforeLines="0" w:afterLines="0" w:line="240" w:lineRule="auto"/>
              <w:jc w:val="left"/>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分类</w:t>
            </w:r>
          </w:p>
        </w:tc>
        <w:tc>
          <w:tcPr>
            <w:tcW w:w="1417" w:type="dxa"/>
            <w:tcMar>
              <w:left w:w="28" w:type="dxa"/>
              <w:right w:w="28" w:type="dxa"/>
            </w:tcMar>
            <w:vAlign w:val="center"/>
          </w:tcPr>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污染物名称</w:t>
            </w:r>
          </w:p>
        </w:tc>
        <w:tc>
          <w:tcPr>
            <w:tcW w:w="1701" w:type="dxa"/>
            <w:tcMar>
              <w:left w:w="28" w:type="dxa"/>
              <w:right w:w="28" w:type="dxa"/>
            </w:tcMar>
            <w:vAlign w:val="center"/>
          </w:tcPr>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现有工程</w:t>
            </w:r>
          </w:p>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排放量（固体废物产生量）</w:t>
            </w: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1 \* GB3 \* MERGEFORMAT </w:instrText>
            </w:r>
            <w:r>
              <w:rPr>
                <w:rFonts w:ascii="Times New Roman" w:eastAsia="黑体"/>
                <w:snapToGrid w:val="0"/>
                <w:color w:val="000000"/>
                <w:spacing w:val="-6"/>
                <w:kern w:val="21"/>
                <w:szCs w:val="21"/>
                <w:lang w:val="en-US" w:eastAsia="zh-CN"/>
              </w:rPr>
              <w:fldChar w:fldCharType="separate"/>
            </w:r>
            <w:r>
              <w:rPr>
                <w:rFonts w:ascii="Times New Roman" w:eastAsia="黑体"/>
                <w:kern w:val="2"/>
                <w:szCs w:val="21"/>
                <w:lang w:val="en-US" w:eastAsia="zh-CN"/>
              </w:rPr>
              <w:t>①</w:t>
            </w:r>
            <w:r>
              <w:rPr>
                <w:rFonts w:ascii="Times New Roman" w:eastAsia="黑体"/>
                <w:snapToGrid w:val="0"/>
                <w:color w:val="000000"/>
                <w:spacing w:val="-6"/>
                <w:kern w:val="21"/>
                <w:szCs w:val="21"/>
                <w:lang w:val="en-US" w:eastAsia="zh-CN"/>
              </w:rPr>
              <w:fldChar w:fldCharType="end"/>
            </w:r>
          </w:p>
        </w:tc>
        <w:tc>
          <w:tcPr>
            <w:tcW w:w="1276" w:type="dxa"/>
            <w:tcMar>
              <w:left w:w="28" w:type="dxa"/>
              <w:right w:w="28" w:type="dxa"/>
            </w:tcMar>
            <w:vAlign w:val="center"/>
          </w:tcPr>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现有工程</w:t>
            </w:r>
          </w:p>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许可排放量</w:t>
            </w:r>
          </w:p>
          <w:p>
            <w:pPr>
              <w:pStyle w:val="42"/>
              <w:spacing w:beforeLines="0" w:afterLines="0"/>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2 \* GB3 \* MERGEFORMAT </w:instrText>
            </w:r>
            <w:r>
              <w:rPr>
                <w:rFonts w:ascii="Times New Roman" w:eastAsia="黑体"/>
                <w:snapToGrid w:val="0"/>
                <w:color w:val="000000"/>
                <w:spacing w:val="-6"/>
                <w:kern w:val="21"/>
                <w:szCs w:val="21"/>
                <w:lang w:val="en-US" w:eastAsia="zh-CN"/>
              </w:rPr>
              <w:fldChar w:fldCharType="separate"/>
            </w:r>
            <w:r>
              <w:rPr>
                <w:rFonts w:ascii="Times New Roman" w:eastAsia="黑体"/>
                <w:snapToGrid w:val="0"/>
                <w:color w:val="000000"/>
                <w:spacing w:val="-6"/>
                <w:kern w:val="21"/>
                <w:szCs w:val="21"/>
                <w:lang w:val="en-US" w:eastAsia="zh-CN"/>
              </w:rPr>
              <w:t>②</w:t>
            </w:r>
            <w:r>
              <w:rPr>
                <w:rFonts w:ascii="Times New Roman" w:eastAsia="黑体"/>
                <w:snapToGrid w:val="0"/>
                <w:color w:val="000000"/>
                <w:spacing w:val="-6"/>
                <w:kern w:val="21"/>
                <w:szCs w:val="21"/>
                <w:lang w:val="en-US" w:eastAsia="zh-CN"/>
              </w:rPr>
              <w:fldChar w:fldCharType="end"/>
            </w:r>
          </w:p>
        </w:tc>
        <w:tc>
          <w:tcPr>
            <w:tcW w:w="1701" w:type="dxa"/>
            <w:tcMar>
              <w:left w:w="28" w:type="dxa"/>
              <w:right w:w="28" w:type="dxa"/>
            </w:tcMar>
            <w:vAlign w:val="center"/>
          </w:tcPr>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在建工程</w:t>
            </w:r>
          </w:p>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排放量（固体废物产生量）</w:t>
            </w: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3 \* GB3 \* MERGEFORMAT </w:instrText>
            </w:r>
            <w:r>
              <w:rPr>
                <w:rFonts w:ascii="Times New Roman" w:eastAsia="黑体"/>
                <w:snapToGrid w:val="0"/>
                <w:color w:val="000000"/>
                <w:spacing w:val="-6"/>
                <w:kern w:val="21"/>
                <w:szCs w:val="21"/>
                <w:lang w:val="en-US" w:eastAsia="zh-CN"/>
              </w:rPr>
              <w:fldChar w:fldCharType="separate"/>
            </w:r>
            <w:r>
              <w:rPr>
                <w:rFonts w:ascii="Times New Roman" w:eastAsia="黑体"/>
                <w:kern w:val="2"/>
                <w:szCs w:val="21"/>
                <w:lang w:val="en-US" w:eastAsia="zh-CN"/>
              </w:rPr>
              <w:t>③</w:t>
            </w:r>
            <w:r>
              <w:rPr>
                <w:rFonts w:ascii="Times New Roman" w:eastAsia="黑体"/>
                <w:snapToGrid w:val="0"/>
                <w:color w:val="000000"/>
                <w:spacing w:val="-6"/>
                <w:kern w:val="21"/>
                <w:szCs w:val="21"/>
                <w:lang w:val="en-US" w:eastAsia="zh-CN"/>
              </w:rPr>
              <w:fldChar w:fldCharType="end"/>
            </w:r>
          </w:p>
        </w:tc>
        <w:tc>
          <w:tcPr>
            <w:tcW w:w="1559" w:type="dxa"/>
            <w:tcMar>
              <w:left w:w="28" w:type="dxa"/>
              <w:right w:w="28" w:type="dxa"/>
            </w:tcMar>
            <w:vAlign w:val="center"/>
          </w:tcPr>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本项目</w:t>
            </w:r>
          </w:p>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排放量（固体废物产生量）</w:t>
            </w: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4 \* GB3 \* MERGEFORMAT </w:instrText>
            </w:r>
            <w:r>
              <w:rPr>
                <w:rFonts w:ascii="Times New Roman" w:eastAsia="黑体"/>
                <w:snapToGrid w:val="0"/>
                <w:color w:val="000000"/>
                <w:spacing w:val="-6"/>
                <w:kern w:val="21"/>
                <w:szCs w:val="21"/>
                <w:lang w:val="en-US" w:eastAsia="zh-CN"/>
              </w:rPr>
              <w:fldChar w:fldCharType="separate"/>
            </w:r>
            <w:r>
              <w:rPr>
                <w:rFonts w:ascii="Times New Roman" w:eastAsia="黑体"/>
                <w:kern w:val="2"/>
                <w:szCs w:val="21"/>
                <w:lang w:val="en-US" w:eastAsia="zh-CN"/>
              </w:rPr>
              <w:t>④</w:t>
            </w:r>
            <w:r>
              <w:rPr>
                <w:rFonts w:ascii="Times New Roman" w:eastAsia="黑体"/>
                <w:snapToGrid w:val="0"/>
                <w:color w:val="000000"/>
                <w:spacing w:val="-6"/>
                <w:kern w:val="21"/>
                <w:szCs w:val="21"/>
                <w:lang w:val="en-US" w:eastAsia="zh-CN"/>
              </w:rPr>
              <w:fldChar w:fldCharType="end"/>
            </w:r>
          </w:p>
        </w:tc>
        <w:tc>
          <w:tcPr>
            <w:tcW w:w="1761" w:type="dxa"/>
            <w:tcMar>
              <w:left w:w="28" w:type="dxa"/>
              <w:right w:w="28" w:type="dxa"/>
            </w:tcMar>
            <w:vAlign w:val="center"/>
          </w:tcPr>
          <w:p>
            <w:pPr>
              <w:pStyle w:val="42"/>
              <w:spacing w:beforeLines="0" w:afterLines="0" w:line="240" w:lineRule="auto"/>
              <w:rPr>
                <w:rFonts w:ascii="Times New Roman" w:eastAsia="黑体"/>
                <w:snapToGrid w:val="0"/>
                <w:color w:val="000000"/>
                <w:spacing w:val="-16"/>
                <w:kern w:val="21"/>
                <w:szCs w:val="21"/>
                <w:lang w:val="en-US" w:eastAsia="zh-CN"/>
              </w:rPr>
            </w:pPr>
            <w:r>
              <w:rPr>
                <w:rFonts w:ascii="Times New Roman" w:eastAsia="黑体"/>
                <w:snapToGrid w:val="0"/>
                <w:color w:val="000000"/>
                <w:spacing w:val="-16"/>
                <w:kern w:val="21"/>
                <w:szCs w:val="21"/>
                <w:lang w:val="en-US" w:eastAsia="zh-CN"/>
              </w:rPr>
              <w:t>以新带老削减量</w:t>
            </w:r>
          </w:p>
          <w:p>
            <w:pPr>
              <w:pStyle w:val="42"/>
              <w:spacing w:beforeLines="0" w:afterLines="0" w:line="240" w:lineRule="auto"/>
              <w:rPr>
                <w:rFonts w:ascii="Times New Roman" w:eastAsia="黑体"/>
                <w:snapToGrid w:val="0"/>
                <w:color w:val="000000"/>
                <w:spacing w:val="-16"/>
                <w:kern w:val="21"/>
                <w:szCs w:val="21"/>
                <w:lang w:val="en-US" w:eastAsia="zh-CN"/>
              </w:rPr>
            </w:pPr>
            <w:r>
              <w:rPr>
                <w:rFonts w:ascii="Times New Roman" w:eastAsia="黑体"/>
                <w:snapToGrid w:val="0"/>
                <w:color w:val="000000"/>
                <w:spacing w:val="-16"/>
                <w:kern w:val="21"/>
                <w:szCs w:val="21"/>
                <w:lang w:val="en-US" w:eastAsia="zh-CN"/>
              </w:rPr>
              <w:t>（新建项目不填）</w:t>
            </w:r>
            <w:r>
              <w:rPr>
                <w:rFonts w:ascii="Times New Roman" w:eastAsia="黑体"/>
                <w:snapToGrid w:val="0"/>
                <w:color w:val="000000"/>
                <w:spacing w:val="-16"/>
                <w:kern w:val="21"/>
                <w:szCs w:val="21"/>
                <w:lang w:val="en-US" w:eastAsia="zh-CN"/>
              </w:rPr>
              <w:fldChar w:fldCharType="begin"/>
            </w:r>
            <w:r>
              <w:rPr>
                <w:rFonts w:ascii="Times New Roman" w:eastAsia="黑体"/>
                <w:snapToGrid w:val="0"/>
                <w:color w:val="000000"/>
                <w:spacing w:val="-16"/>
                <w:kern w:val="21"/>
                <w:szCs w:val="21"/>
                <w:lang w:val="en-US" w:eastAsia="zh-CN"/>
              </w:rPr>
              <w:instrText xml:space="preserve"> = 5 \* GB3 \* MERGEFORMAT </w:instrText>
            </w:r>
            <w:r>
              <w:rPr>
                <w:rFonts w:ascii="Times New Roman" w:eastAsia="黑体"/>
                <w:snapToGrid w:val="0"/>
                <w:color w:val="000000"/>
                <w:spacing w:val="-16"/>
                <w:kern w:val="21"/>
                <w:szCs w:val="21"/>
                <w:lang w:val="en-US" w:eastAsia="zh-CN"/>
              </w:rPr>
              <w:fldChar w:fldCharType="separate"/>
            </w:r>
            <w:r>
              <w:rPr>
                <w:rFonts w:ascii="Times New Roman" w:eastAsia="黑体"/>
                <w:kern w:val="2"/>
                <w:szCs w:val="21"/>
                <w:lang w:val="en-US" w:eastAsia="zh-CN"/>
              </w:rPr>
              <w:t>⑤</w:t>
            </w:r>
            <w:r>
              <w:rPr>
                <w:rFonts w:ascii="Times New Roman" w:eastAsia="黑体"/>
                <w:snapToGrid w:val="0"/>
                <w:color w:val="000000"/>
                <w:spacing w:val="-16"/>
                <w:kern w:val="21"/>
                <w:szCs w:val="21"/>
                <w:lang w:val="en-US" w:eastAsia="zh-CN"/>
              </w:rPr>
              <w:fldChar w:fldCharType="end"/>
            </w:r>
          </w:p>
        </w:tc>
        <w:tc>
          <w:tcPr>
            <w:tcW w:w="1959" w:type="dxa"/>
            <w:tcMar>
              <w:left w:w="28" w:type="dxa"/>
              <w:right w:w="28" w:type="dxa"/>
            </w:tcMar>
            <w:vAlign w:val="center"/>
          </w:tcPr>
          <w:p>
            <w:pPr>
              <w:pStyle w:val="42"/>
              <w:spacing w:beforeLines="0" w:afterLines="0" w:line="240" w:lineRule="auto"/>
              <w:rPr>
                <w:rFonts w:ascii="Times New Roman" w:eastAsia="黑体"/>
                <w:snapToGrid w:val="0"/>
                <w:color w:val="000000"/>
                <w:spacing w:val="-16"/>
                <w:kern w:val="21"/>
                <w:szCs w:val="21"/>
                <w:lang w:val="en-US" w:eastAsia="zh-CN"/>
              </w:rPr>
            </w:pPr>
            <w:r>
              <w:rPr>
                <w:rFonts w:ascii="Times New Roman" w:eastAsia="黑体"/>
                <w:snapToGrid w:val="0"/>
                <w:color w:val="000000"/>
                <w:spacing w:val="-16"/>
                <w:kern w:val="21"/>
                <w:szCs w:val="21"/>
                <w:lang w:val="en-US" w:eastAsia="zh-CN"/>
              </w:rPr>
              <w:t>本项目建成后</w:t>
            </w:r>
          </w:p>
          <w:p>
            <w:pPr>
              <w:pStyle w:val="42"/>
              <w:spacing w:beforeLines="0" w:afterLines="0" w:line="240" w:lineRule="auto"/>
              <w:rPr>
                <w:rFonts w:ascii="Times New Roman" w:eastAsia="黑体"/>
                <w:snapToGrid w:val="0"/>
                <w:color w:val="000000"/>
                <w:spacing w:val="-16"/>
                <w:kern w:val="21"/>
                <w:szCs w:val="21"/>
                <w:lang w:val="en-US" w:eastAsia="zh-CN"/>
              </w:rPr>
            </w:pPr>
            <w:r>
              <w:rPr>
                <w:rFonts w:ascii="Times New Roman" w:eastAsia="黑体"/>
                <w:snapToGrid w:val="0"/>
                <w:color w:val="000000"/>
                <w:spacing w:val="-16"/>
                <w:kern w:val="21"/>
                <w:szCs w:val="21"/>
                <w:lang w:val="en-US" w:eastAsia="zh-CN"/>
              </w:rPr>
              <w:t>全厂排放量（固体废物产生量）</w:t>
            </w:r>
            <w:r>
              <w:rPr>
                <w:rFonts w:ascii="Times New Roman" w:eastAsia="黑体"/>
                <w:snapToGrid w:val="0"/>
                <w:color w:val="000000"/>
                <w:spacing w:val="-16"/>
                <w:kern w:val="21"/>
                <w:szCs w:val="21"/>
                <w:lang w:val="en-US" w:eastAsia="zh-CN"/>
              </w:rPr>
              <w:fldChar w:fldCharType="begin"/>
            </w:r>
            <w:r>
              <w:rPr>
                <w:rFonts w:ascii="Times New Roman" w:eastAsia="黑体"/>
                <w:snapToGrid w:val="0"/>
                <w:color w:val="000000"/>
                <w:spacing w:val="-16"/>
                <w:kern w:val="21"/>
                <w:szCs w:val="21"/>
                <w:lang w:val="en-US" w:eastAsia="zh-CN"/>
              </w:rPr>
              <w:instrText xml:space="preserve"> = 6 \* GB3 \* MERGEFORMAT </w:instrText>
            </w:r>
            <w:r>
              <w:rPr>
                <w:rFonts w:ascii="Times New Roman" w:eastAsia="黑体"/>
                <w:snapToGrid w:val="0"/>
                <w:color w:val="000000"/>
                <w:spacing w:val="-16"/>
                <w:kern w:val="21"/>
                <w:szCs w:val="21"/>
                <w:lang w:val="en-US" w:eastAsia="zh-CN"/>
              </w:rPr>
              <w:fldChar w:fldCharType="separate"/>
            </w:r>
            <w:r>
              <w:rPr>
                <w:rFonts w:ascii="Times New Roman" w:eastAsia="黑体"/>
                <w:kern w:val="2"/>
                <w:szCs w:val="21"/>
                <w:lang w:val="en-US" w:eastAsia="zh-CN"/>
              </w:rPr>
              <w:t>⑥</w:t>
            </w:r>
            <w:r>
              <w:rPr>
                <w:rFonts w:ascii="Times New Roman" w:eastAsia="黑体"/>
                <w:snapToGrid w:val="0"/>
                <w:color w:val="000000"/>
                <w:spacing w:val="-16"/>
                <w:kern w:val="21"/>
                <w:szCs w:val="21"/>
                <w:lang w:val="en-US" w:eastAsia="zh-CN"/>
              </w:rPr>
              <w:fldChar w:fldCharType="end"/>
            </w:r>
          </w:p>
        </w:tc>
        <w:tc>
          <w:tcPr>
            <w:tcW w:w="826" w:type="dxa"/>
            <w:tcMar>
              <w:left w:w="28" w:type="dxa"/>
              <w:right w:w="28" w:type="dxa"/>
            </w:tcMar>
            <w:vAlign w:val="center"/>
          </w:tcPr>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变化量</w:t>
            </w:r>
          </w:p>
          <w:p>
            <w:pPr>
              <w:pStyle w:val="42"/>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7 \* GB3 \* MERGEFORMAT </w:instrText>
            </w:r>
            <w:r>
              <w:rPr>
                <w:rFonts w:ascii="Times New Roman" w:eastAsia="黑体"/>
                <w:snapToGrid w:val="0"/>
                <w:color w:val="000000"/>
                <w:spacing w:val="-6"/>
                <w:kern w:val="21"/>
                <w:szCs w:val="21"/>
                <w:lang w:val="en-US" w:eastAsia="zh-CN"/>
              </w:rPr>
              <w:fldChar w:fldCharType="separate"/>
            </w:r>
            <w:r>
              <w:rPr>
                <w:rFonts w:ascii="Times New Roman" w:eastAsia="黑体"/>
                <w:kern w:val="2"/>
                <w:szCs w:val="21"/>
                <w:lang w:val="en-US" w:eastAsia="zh-CN"/>
              </w:rPr>
              <w:t>⑦</w:t>
            </w:r>
            <w:r>
              <w:rPr>
                <w:rFonts w:ascii="Times New Roman" w:eastAsia="黑体"/>
                <w:snapToGrid w:val="0"/>
                <w:color w:val="000000"/>
                <w:spacing w:val="-6"/>
                <w:kern w:val="21"/>
                <w:szCs w:val="21"/>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2"/>
              <w:spacing w:beforeLines="0" w:afterLines="0" w:line="240" w:lineRule="auto"/>
              <w:rPr>
                <w:rFonts w:ascii="Times New Roman"/>
                <w:snapToGrid w:val="0"/>
                <w:color w:val="000000"/>
                <w:kern w:val="21"/>
                <w:szCs w:val="21"/>
                <w:lang w:val="en-US" w:eastAsia="zh-CN"/>
              </w:rPr>
            </w:pPr>
            <w:r>
              <w:rPr>
                <w:rFonts w:ascii="Times New Roman"/>
                <w:snapToGrid w:val="0"/>
                <w:color w:val="000000"/>
                <w:kern w:val="21"/>
                <w:szCs w:val="21"/>
                <w:lang w:val="en-US" w:eastAsia="zh-CN"/>
              </w:rPr>
              <w:t>废气</w:t>
            </w: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ascii="Times New Roman"/>
                <w:snapToGrid w:val="0"/>
                <w:color w:val="000000"/>
                <w:kern w:val="21"/>
                <w:szCs w:val="21"/>
                <w:lang w:val="en-US" w:eastAsia="zh-CN"/>
              </w:rPr>
              <w:t>SO</w:t>
            </w:r>
            <w:r>
              <w:rPr>
                <w:rFonts w:ascii="Times New Roman"/>
                <w:snapToGrid w:val="0"/>
                <w:color w:val="000000"/>
                <w:kern w:val="21"/>
                <w:szCs w:val="21"/>
                <w:vertAlign w:val="subscript"/>
                <w:lang w:val="en-US" w:eastAsia="zh-CN"/>
              </w:rPr>
              <w:t>2</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0.033</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0.033</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NOx</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1.963</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1.963</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颗粒物</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1.27</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1.27</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油烟废气</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0.0014</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0.0014</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2"/>
              <w:spacing w:beforeLines="0" w:afterLines="0" w:line="240" w:lineRule="auto"/>
              <w:rPr>
                <w:rFonts w:ascii="Times New Roman"/>
                <w:snapToGrid w:val="0"/>
                <w:color w:val="000000"/>
                <w:kern w:val="21"/>
                <w:szCs w:val="21"/>
                <w:lang w:val="en-US" w:eastAsia="zh-CN"/>
              </w:rPr>
            </w:pPr>
            <w:r>
              <w:rPr>
                <w:rFonts w:ascii="Times New Roman"/>
                <w:snapToGrid w:val="0"/>
                <w:color w:val="000000"/>
                <w:kern w:val="21"/>
                <w:szCs w:val="21"/>
                <w:lang w:val="en-US" w:eastAsia="zh-CN"/>
              </w:rPr>
              <w:t>废水</w:t>
            </w: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COD</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adjustRightInd w:val="0"/>
              <w:snapToGrid w:val="0"/>
              <w:jc w:val="center"/>
              <w:rPr>
                <w:rFonts w:hint="default" w:ascii="Times New Roman"/>
                <w:snapToGrid w:val="0"/>
                <w:color w:val="000000"/>
                <w:kern w:val="21"/>
                <w:szCs w:val="21"/>
                <w:lang w:val="en-US" w:eastAsia="zh-CN"/>
              </w:rPr>
            </w:pPr>
            <w:r>
              <w:rPr>
                <w:rFonts w:hint="eastAsia"/>
                <w:snapToGrid w:val="0"/>
                <w:color w:val="000000"/>
                <w:kern w:val="21"/>
                <w:szCs w:val="21"/>
              </w:rPr>
              <w:t>/</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adjustRightInd w:val="0"/>
              <w:snapToGrid w:val="0"/>
              <w:jc w:val="center"/>
              <w:rPr>
                <w:rFonts w:ascii="Times New Roman"/>
                <w:snapToGrid w:val="0"/>
                <w:color w:val="000000"/>
                <w:kern w:val="21"/>
                <w:szCs w:val="21"/>
                <w:lang w:val="en-US" w:eastAsia="zh-CN"/>
              </w:rPr>
            </w:pPr>
            <w:r>
              <w:rPr>
                <w:rFonts w:hint="eastAsia"/>
                <w:snapToGrid w:val="0"/>
                <w:color w:val="000000"/>
                <w:kern w:val="21"/>
                <w:szCs w:val="21"/>
              </w:rPr>
              <w:t>/</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BOD</w:t>
            </w:r>
            <w:r>
              <w:rPr>
                <w:rFonts w:hint="eastAsia" w:ascii="Times New Roman"/>
                <w:snapToGrid w:val="0"/>
                <w:color w:val="000000"/>
                <w:kern w:val="21"/>
                <w:szCs w:val="21"/>
                <w:vertAlign w:val="subscript"/>
                <w:lang w:val="en-US" w:eastAsia="zh-CN"/>
              </w:rPr>
              <w:t>5</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adjustRightInd w:val="0"/>
              <w:snapToGrid w:val="0"/>
              <w:jc w:val="center"/>
              <w:rPr>
                <w:rFonts w:hint="eastAsia" w:ascii="Times New Roman" w:eastAsia="宋体"/>
                <w:snapToGrid w:val="0"/>
                <w:color w:val="000000"/>
                <w:kern w:val="21"/>
                <w:szCs w:val="21"/>
                <w:lang w:val="en-US" w:eastAsia="zh-CN"/>
              </w:rPr>
            </w:pPr>
            <w:r>
              <w:rPr>
                <w:rFonts w:hint="eastAsia"/>
                <w:snapToGrid w:val="0"/>
                <w:color w:val="000000"/>
                <w:kern w:val="21"/>
                <w:szCs w:val="21"/>
              </w:rPr>
              <w:t>/</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adjustRightInd w:val="0"/>
              <w:snapToGrid w:val="0"/>
              <w:jc w:val="center"/>
              <w:rPr>
                <w:rFonts w:ascii="Times New Roman"/>
                <w:snapToGrid w:val="0"/>
                <w:color w:val="000000"/>
                <w:kern w:val="21"/>
                <w:szCs w:val="21"/>
                <w:lang w:val="en-US" w:eastAsia="zh-CN"/>
              </w:rPr>
            </w:pPr>
            <w:r>
              <w:rPr>
                <w:rFonts w:hint="eastAsia"/>
                <w:snapToGrid w:val="0"/>
                <w:color w:val="000000"/>
                <w:kern w:val="21"/>
                <w:szCs w:val="21"/>
              </w:rPr>
              <w:t>/</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NH</w:t>
            </w:r>
            <w:r>
              <w:rPr>
                <w:rFonts w:hint="eastAsia" w:ascii="Times New Roman"/>
                <w:snapToGrid w:val="0"/>
                <w:color w:val="000000"/>
                <w:kern w:val="21"/>
                <w:szCs w:val="21"/>
                <w:vertAlign w:val="subscript"/>
                <w:lang w:val="en-US" w:eastAsia="zh-CN"/>
              </w:rPr>
              <w:t>3</w:t>
            </w:r>
            <w:r>
              <w:rPr>
                <w:rFonts w:hint="eastAsia" w:ascii="Times New Roman"/>
                <w:snapToGrid w:val="0"/>
                <w:color w:val="000000"/>
                <w:kern w:val="21"/>
                <w:szCs w:val="21"/>
                <w:lang w:val="en-US" w:eastAsia="zh-CN"/>
              </w:rPr>
              <w:t>-N</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adjustRightInd w:val="0"/>
              <w:snapToGrid w:val="0"/>
              <w:jc w:val="center"/>
              <w:rPr>
                <w:rFonts w:hint="default" w:ascii="Times New Roman"/>
                <w:snapToGrid w:val="0"/>
                <w:color w:val="000000"/>
                <w:kern w:val="21"/>
                <w:szCs w:val="21"/>
                <w:lang w:val="en-US" w:eastAsia="zh-CN"/>
              </w:rPr>
            </w:pPr>
            <w:r>
              <w:rPr>
                <w:rFonts w:hint="eastAsia"/>
                <w:snapToGrid w:val="0"/>
                <w:color w:val="000000"/>
                <w:kern w:val="21"/>
                <w:szCs w:val="21"/>
              </w:rPr>
              <w:t>/</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adjustRightInd w:val="0"/>
              <w:snapToGrid w:val="0"/>
              <w:jc w:val="center"/>
              <w:rPr>
                <w:rFonts w:ascii="Times New Roman"/>
                <w:snapToGrid w:val="0"/>
                <w:color w:val="000000"/>
                <w:kern w:val="21"/>
                <w:szCs w:val="21"/>
                <w:lang w:val="en-US" w:eastAsia="zh-CN"/>
              </w:rPr>
            </w:pPr>
            <w:r>
              <w:rPr>
                <w:rFonts w:hint="eastAsia"/>
                <w:snapToGrid w:val="0"/>
                <w:color w:val="000000"/>
                <w:kern w:val="21"/>
                <w:szCs w:val="21"/>
              </w:rPr>
              <w:t>/</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SS</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adjustRightInd w:val="0"/>
              <w:snapToGrid w:val="0"/>
              <w:jc w:val="center"/>
              <w:rPr>
                <w:rFonts w:hint="default" w:ascii="Times New Roman"/>
                <w:snapToGrid w:val="0"/>
                <w:color w:val="000000"/>
                <w:kern w:val="21"/>
                <w:szCs w:val="21"/>
                <w:lang w:val="en-US" w:eastAsia="zh-CN"/>
              </w:rPr>
            </w:pPr>
            <w:r>
              <w:rPr>
                <w:rFonts w:hint="eastAsia"/>
                <w:snapToGrid w:val="0"/>
                <w:color w:val="000000"/>
                <w:kern w:val="21"/>
                <w:szCs w:val="21"/>
              </w:rPr>
              <w:t>/</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adjustRightInd w:val="0"/>
              <w:snapToGrid w:val="0"/>
              <w:jc w:val="center"/>
              <w:rPr>
                <w:rFonts w:ascii="Times New Roman"/>
                <w:snapToGrid w:val="0"/>
                <w:color w:val="000000"/>
                <w:kern w:val="21"/>
                <w:szCs w:val="21"/>
                <w:lang w:val="en-US" w:eastAsia="zh-CN"/>
              </w:rPr>
            </w:pPr>
            <w:r>
              <w:rPr>
                <w:rFonts w:hint="eastAsia"/>
                <w:snapToGrid w:val="0"/>
                <w:color w:val="000000"/>
                <w:kern w:val="21"/>
                <w:szCs w:val="21"/>
              </w:rPr>
              <w:t>/</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2"/>
              <w:spacing w:beforeLines="0" w:afterLines="0" w:line="240" w:lineRule="auto"/>
              <w:rPr>
                <w:rFonts w:ascii="Times New Roman"/>
                <w:snapToGrid w:val="0"/>
                <w:color w:val="000000"/>
                <w:kern w:val="21"/>
                <w:szCs w:val="21"/>
                <w:lang w:val="en-US" w:eastAsia="zh-CN"/>
              </w:rPr>
            </w:pPr>
            <w:r>
              <w:rPr>
                <w:rFonts w:ascii="Times New Roman"/>
                <w:snapToGrid w:val="0"/>
                <w:color w:val="000000"/>
                <w:kern w:val="21"/>
                <w:szCs w:val="21"/>
                <w:lang w:val="en-US" w:eastAsia="zh-CN"/>
              </w:rPr>
              <w:t>一般工业</w:t>
            </w:r>
          </w:p>
          <w:p>
            <w:pPr>
              <w:pStyle w:val="42"/>
              <w:spacing w:beforeLines="0" w:afterLines="0" w:line="240" w:lineRule="auto"/>
              <w:rPr>
                <w:rFonts w:ascii="Times New Roman"/>
                <w:snapToGrid w:val="0"/>
                <w:color w:val="000000"/>
                <w:kern w:val="21"/>
                <w:szCs w:val="21"/>
                <w:lang w:val="en-US" w:eastAsia="zh-CN"/>
              </w:rPr>
            </w:pPr>
            <w:r>
              <w:rPr>
                <w:rFonts w:ascii="Times New Roman"/>
                <w:snapToGrid w:val="0"/>
                <w:color w:val="000000"/>
                <w:kern w:val="21"/>
                <w:szCs w:val="21"/>
                <w:lang w:val="en-US" w:eastAsia="zh-CN"/>
              </w:rPr>
              <w:t>固体废物</w:t>
            </w:r>
          </w:p>
        </w:tc>
        <w:tc>
          <w:tcPr>
            <w:tcW w:w="1417" w:type="dxa"/>
            <w:vAlign w:val="center"/>
          </w:tcPr>
          <w:p>
            <w:pPr>
              <w:jc w:val="center"/>
              <w:rPr>
                <w:rFonts w:ascii="Times New Roman"/>
                <w:snapToGrid w:val="0"/>
                <w:color w:val="000000"/>
                <w:kern w:val="21"/>
                <w:szCs w:val="21"/>
                <w:lang w:val="en-US" w:eastAsia="zh-CN"/>
              </w:rPr>
            </w:pPr>
            <w:r>
              <w:rPr>
                <w:rFonts w:hint="eastAsia"/>
                <w:szCs w:val="21"/>
                <w:lang w:val="en-US" w:eastAsia="zh-CN"/>
              </w:rPr>
              <w:t>生活垃圾</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jc w:val="center"/>
              <w:rPr>
                <w:rFonts w:ascii="Times New Roman"/>
                <w:snapToGrid w:val="0"/>
                <w:color w:val="000000"/>
                <w:kern w:val="21"/>
                <w:szCs w:val="21"/>
                <w:lang w:val="en-US" w:eastAsia="zh-CN"/>
              </w:rPr>
            </w:pPr>
            <w:r>
              <w:rPr>
                <w:rFonts w:hint="eastAsia"/>
                <w:szCs w:val="21"/>
                <w:lang w:val="en-US" w:eastAsia="zh-CN"/>
              </w:rPr>
              <w:t>1.8</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jc w:val="center"/>
              <w:rPr>
                <w:rFonts w:ascii="Times New Roman"/>
                <w:snapToGrid w:val="0"/>
                <w:color w:val="000000"/>
                <w:kern w:val="21"/>
                <w:szCs w:val="21"/>
                <w:lang w:val="en-US" w:eastAsia="zh-CN"/>
              </w:rPr>
            </w:pPr>
            <w:r>
              <w:rPr>
                <w:rFonts w:hint="eastAsia"/>
                <w:szCs w:val="21"/>
                <w:lang w:val="en-US" w:eastAsia="zh-CN"/>
              </w:rPr>
              <w:t>1.8</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jc w:val="center"/>
              <w:rPr>
                <w:rFonts w:ascii="Times New Roman"/>
                <w:snapToGrid w:val="0"/>
                <w:color w:val="000000"/>
                <w:kern w:val="21"/>
                <w:szCs w:val="21"/>
                <w:lang w:val="en-US" w:eastAsia="zh-CN"/>
              </w:rPr>
            </w:pPr>
            <w:r>
              <w:rPr>
                <w:rFonts w:hint="eastAsia"/>
                <w:szCs w:val="21"/>
                <w:lang w:val="en-US" w:eastAsia="zh-CN"/>
              </w:rPr>
              <w:t>炉渣</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jc w:val="center"/>
              <w:rPr>
                <w:rFonts w:ascii="Times New Roman"/>
                <w:snapToGrid w:val="0"/>
                <w:color w:val="000000"/>
                <w:kern w:val="21"/>
                <w:szCs w:val="21"/>
                <w:lang w:val="en-US" w:eastAsia="zh-CN"/>
              </w:rPr>
            </w:pPr>
            <w:r>
              <w:rPr>
                <w:rFonts w:hint="eastAsia"/>
                <w:szCs w:val="21"/>
                <w:lang w:val="en-US" w:eastAsia="zh-CN"/>
              </w:rPr>
              <w:t>2</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jc w:val="center"/>
              <w:rPr>
                <w:rFonts w:ascii="Times New Roman"/>
                <w:snapToGrid w:val="0"/>
                <w:color w:val="000000"/>
                <w:kern w:val="21"/>
                <w:szCs w:val="21"/>
                <w:lang w:val="en-US" w:eastAsia="zh-CN"/>
              </w:rPr>
            </w:pPr>
            <w:r>
              <w:rPr>
                <w:rFonts w:hint="eastAsia"/>
                <w:szCs w:val="21"/>
                <w:lang w:val="en-US" w:eastAsia="zh-CN"/>
              </w:rPr>
              <w:t>2</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jc w:val="center"/>
              <w:rPr>
                <w:rFonts w:ascii="Times New Roman"/>
                <w:snapToGrid w:val="0"/>
                <w:color w:val="000000"/>
                <w:kern w:val="21"/>
                <w:szCs w:val="21"/>
                <w:lang w:val="en-US" w:eastAsia="zh-CN"/>
              </w:rPr>
            </w:pPr>
            <w:r>
              <w:rPr>
                <w:rFonts w:hint="eastAsia"/>
                <w:szCs w:val="21"/>
                <w:lang w:val="en-US" w:eastAsia="zh-CN"/>
              </w:rPr>
              <w:t>沉淀池沉渣</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jc w:val="center"/>
              <w:rPr>
                <w:rFonts w:ascii="Times New Roman"/>
                <w:snapToGrid w:val="0"/>
                <w:color w:val="000000"/>
                <w:kern w:val="21"/>
                <w:szCs w:val="21"/>
                <w:lang w:val="en-US" w:eastAsia="zh-CN"/>
              </w:rPr>
            </w:pPr>
            <w:r>
              <w:rPr>
                <w:rFonts w:hint="eastAsia"/>
                <w:szCs w:val="21"/>
              </w:rPr>
              <w:t>0.14</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jc w:val="center"/>
              <w:rPr>
                <w:rFonts w:ascii="Times New Roman"/>
                <w:snapToGrid w:val="0"/>
                <w:color w:val="000000"/>
                <w:kern w:val="21"/>
                <w:szCs w:val="21"/>
                <w:lang w:val="en-US" w:eastAsia="zh-CN"/>
              </w:rPr>
            </w:pPr>
            <w:r>
              <w:rPr>
                <w:rFonts w:hint="eastAsia"/>
                <w:szCs w:val="21"/>
              </w:rPr>
              <w:t>0.14</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jc w:val="center"/>
              <w:rPr>
                <w:rFonts w:ascii="Times New Roman"/>
                <w:snapToGrid w:val="0"/>
                <w:color w:val="000000"/>
                <w:kern w:val="21"/>
                <w:szCs w:val="21"/>
                <w:lang w:val="en-US" w:eastAsia="zh-CN"/>
              </w:rPr>
            </w:pPr>
            <w:r>
              <w:rPr>
                <w:rFonts w:hint="eastAsia"/>
                <w:szCs w:val="21"/>
                <w:lang w:val="en-US" w:eastAsia="zh-CN"/>
              </w:rPr>
              <w:t>粉尘</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jc w:val="center"/>
              <w:rPr>
                <w:rFonts w:ascii="Times New Roman"/>
                <w:snapToGrid w:val="0"/>
                <w:color w:val="000000"/>
                <w:kern w:val="21"/>
                <w:szCs w:val="21"/>
                <w:lang w:val="en-US" w:eastAsia="zh-CN"/>
              </w:rPr>
            </w:pPr>
            <w:r>
              <w:rPr>
                <w:rFonts w:hint="eastAsia"/>
                <w:szCs w:val="21"/>
                <w:lang w:val="en-US" w:eastAsia="zh-CN"/>
              </w:rPr>
              <w:t>0.6374</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jc w:val="center"/>
              <w:rPr>
                <w:rFonts w:ascii="Times New Roman"/>
                <w:snapToGrid w:val="0"/>
                <w:color w:val="000000"/>
                <w:kern w:val="21"/>
                <w:szCs w:val="21"/>
                <w:lang w:val="en-US" w:eastAsia="zh-CN"/>
              </w:rPr>
            </w:pPr>
            <w:r>
              <w:rPr>
                <w:rFonts w:hint="eastAsia"/>
                <w:szCs w:val="21"/>
                <w:lang w:val="en-US" w:eastAsia="zh-CN"/>
              </w:rPr>
              <w:t>0.6374</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jc w:val="center"/>
              <w:rPr>
                <w:rFonts w:ascii="Times New Roman"/>
                <w:snapToGrid w:val="0"/>
                <w:color w:val="000000"/>
                <w:kern w:val="21"/>
                <w:szCs w:val="21"/>
                <w:lang w:val="en-US" w:eastAsia="zh-CN"/>
              </w:rPr>
            </w:pPr>
            <w:r>
              <w:rPr>
                <w:rFonts w:hint="eastAsia"/>
                <w:szCs w:val="21"/>
                <w:lang w:val="en-US" w:eastAsia="zh-CN"/>
              </w:rPr>
              <w:t>废包装材料</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jc w:val="center"/>
              <w:rPr>
                <w:rFonts w:hint="default" w:ascii="Times New Roman"/>
                <w:snapToGrid w:val="0"/>
                <w:color w:val="000000"/>
                <w:kern w:val="21"/>
                <w:szCs w:val="21"/>
                <w:lang w:val="en-US" w:eastAsia="zh-CN"/>
              </w:rPr>
            </w:pPr>
            <w:r>
              <w:rPr>
                <w:rFonts w:hint="eastAsia"/>
                <w:szCs w:val="21"/>
                <w:lang w:val="en-US" w:eastAsia="zh-CN"/>
              </w:rPr>
              <w:t>0.1</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jc w:val="center"/>
              <w:rPr>
                <w:rFonts w:hint="default" w:ascii="Times New Roman"/>
                <w:snapToGrid w:val="0"/>
                <w:color w:val="000000"/>
                <w:kern w:val="21"/>
                <w:szCs w:val="21"/>
                <w:lang w:val="en-US" w:eastAsia="zh-CN"/>
              </w:rPr>
            </w:pPr>
            <w:r>
              <w:rPr>
                <w:rFonts w:hint="eastAsia"/>
                <w:szCs w:val="21"/>
                <w:lang w:val="en-US" w:eastAsia="zh-CN"/>
              </w:rPr>
              <w:t>0.1</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jc w:val="center"/>
              <w:rPr>
                <w:rFonts w:hint="default"/>
                <w:szCs w:val="21"/>
                <w:lang w:val="en-US" w:eastAsia="zh-CN"/>
              </w:rPr>
            </w:pPr>
            <w:r>
              <w:rPr>
                <w:rFonts w:hint="eastAsia"/>
                <w:szCs w:val="21"/>
                <w:lang w:val="en-US" w:eastAsia="zh-CN"/>
              </w:rPr>
              <w:t>不合格产品</w:t>
            </w:r>
          </w:p>
        </w:tc>
        <w:tc>
          <w:tcPr>
            <w:tcW w:w="1701"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276"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701"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559" w:type="dxa"/>
            <w:vAlign w:val="center"/>
          </w:tcPr>
          <w:p>
            <w:pPr>
              <w:jc w:val="center"/>
              <w:rPr>
                <w:rFonts w:hint="default"/>
                <w:szCs w:val="21"/>
                <w:lang w:val="en-US" w:eastAsia="zh-CN"/>
              </w:rPr>
            </w:pPr>
            <w:r>
              <w:rPr>
                <w:rFonts w:hint="eastAsia"/>
                <w:szCs w:val="21"/>
                <w:lang w:val="en-US" w:eastAsia="zh-CN"/>
              </w:rPr>
              <w:t>5</w:t>
            </w:r>
          </w:p>
        </w:tc>
        <w:tc>
          <w:tcPr>
            <w:tcW w:w="1761"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959" w:type="dxa"/>
            <w:vAlign w:val="center"/>
          </w:tcPr>
          <w:p>
            <w:pPr>
              <w:jc w:val="center"/>
              <w:rPr>
                <w:rFonts w:hint="default"/>
                <w:szCs w:val="21"/>
                <w:lang w:val="en-US" w:eastAsia="zh-CN"/>
              </w:rPr>
            </w:pPr>
            <w:r>
              <w:rPr>
                <w:rFonts w:hint="eastAsia"/>
                <w:szCs w:val="21"/>
                <w:lang w:val="en-US" w:eastAsia="zh-CN"/>
              </w:rPr>
              <w:t>5</w:t>
            </w:r>
          </w:p>
        </w:tc>
        <w:tc>
          <w:tcPr>
            <w:tcW w:w="826" w:type="dxa"/>
            <w:vAlign w:val="center"/>
          </w:tcPr>
          <w:p>
            <w:pPr>
              <w:jc w:val="center"/>
              <w:rPr>
                <w:rFonts w:hint="eastAsia"/>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2"/>
              <w:spacing w:beforeLines="0" w:afterLines="0" w:line="240" w:lineRule="auto"/>
              <w:rPr>
                <w:rFonts w:ascii="Times New Roman"/>
                <w:snapToGrid w:val="0"/>
                <w:color w:val="000000"/>
                <w:kern w:val="21"/>
                <w:szCs w:val="21"/>
                <w:lang w:val="en-US" w:eastAsia="zh-CN"/>
              </w:rPr>
            </w:pPr>
          </w:p>
        </w:tc>
        <w:tc>
          <w:tcPr>
            <w:tcW w:w="1417"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灰渣和除尘渣</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276" w:type="dxa"/>
            <w:vAlign w:val="center"/>
          </w:tcPr>
          <w:p>
            <w:pPr>
              <w:jc w:val="center"/>
              <w:rPr>
                <w:snapToGrid w:val="0"/>
                <w:color w:val="000000"/>
                <w:kern w:val="21"/>
                <w:szCs w:val="21"/>
              </w:rPr>
            </w:pPr>
            <w:r>
              <w:rPr>
                <w:rFonts w:hint="eastAsia"/>
                <w:snapToGrid w:val="0"/>
                <w:color w:val="000000"/>
                <w:kern w:val="21"/>
                <w:szCs w:val="21"/>
              </w:rPr>
              <w:t>/</w:t>
            </w:r>
          </w:p>
        </w:tc>
        <w:tc>
          <w:tcPr>
            <w:tcW w:w="1701" w:type="dxa"/>
            <w:vAlign w:val="center"/>
          </w:tcPr>
          <w:p>
            <w:pPr>
              <w:jc w:val="center"/>
              <w:rPr>
                <w:snapToGrid w:val="0"/>
                <w:color w:val="000000"/>
                <w:kern w:val="21"/>
                <w:szCs w:val="21"/>
              </w:rPr>
            </w:pPr>
            <w:r>
              <w:rPr>
                <w:rFonts w:hint="eastAsia"/>
                <w:snapToGrid w:val="0"/>
                <w:color w:val="000000"/>
                <w:kern w:val="21"/>
                <w:szCs w:val="21"/>
              </w:rPr>
              <w:t>/</w:t>
            </w:r>
          </w:p>
        </w:tc>
        <w:tc>
          <w:tcPr>
            <w:tcW w:w="1559"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2</w:t>
            </w:r>
          </w:p>
        </w:tc>
        <w:tc>
          <w:tcPr>
            <w:tcW w:w="1761" w:type="dxa"/>
            <w:vAlign w:val="center"/>
          </w:tcPr>
          <w:p>
            <w:pPr>
              <w:jc w:val="center"/>
              <w:rPr>
                <w:snapToGrid w:val="0"/>
                <w:color w:val="000000"/>
                <w:kern w:val="21"/>
                <w:szCs w:val="21"/>
              </w:rPr>
            </w:pPr>
            <w:r>
              <w:rPr>
                <w:rFonts w:hint="eastAsia"/>
                <w:snapToGrid w:val="0"/>
                <w:color w:val="000000"/>
                <w:kern w:val="21"/>
                <w:szCs w:val="21"/>
              </w:rPr>
              <w:t>/</w:t>
            </w:r>
          </w:p>
        </w:tc>
        <w:tc>
          <w:tcPr>
            <w:tcW w:w="1959" w:type="dxa"/>
            <w:vAlign w:val="center"/>
          </w:tcPr>
          <w:p>
            <w:pPr>
              <w:pStyle w:val="42"/>
              <w:spacing w:beforeLines="0" w:afterLines="0" w:line="240" w:lineRule="auto"/>
              <w:rPr>
                <w:rFonts w:ascii="Times New Roman"/>
                <w:snapToGrid w:val="0"/>
                <w:color w:val="000000"/>
                <w:kern w:val="21"/>
                <w:szCs w:val="21"/>
                <w:lang w:val="en-US" w:eastAsia="zh-CN"/>
              </w:rPr>
            </w:pPr>
            <w:r>
              <w:rPr>
                <w:rFonts w:hint="eastAsia" w:ascii="Times New Roman"/>
                <w:snapToGrid w:val="0"/>
                <w:color w:val="000000"/>
                <w:kern w:val="21"/>
                <w:szCs w:val="21"/>
                <w:lang w:val="en-US" w:eastAsia="zh-CN"/>
              </w:rPr>
              <w:t>2</w:t>
            </w:r>
          </w:p>
        </w:tc>
        <w:tc>
          <w:tcPr>
            <w:tcW w:w="826" w:type="dxa"/>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42"/>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危险废物</w:t>
            </w:r>
          </w:p>
        </w:tc>
        <w:tc>
          <w:tcPr>
            <w:tcW w:w="1417" w:type="dxa"/>
            <w:vAlign w:val="center"/>
          </w:tcPr>
          <w:p>
            <w:pPr>
              <w:jc w:val="center"/>
              <w:rPr>
                <w:rFonts w:hint="eastAsia" w:ascii="Times New Roman"/>
                <w:snapToGrid w:val="0"/>
                <w:color w:val="000000"/>
                <w:kern w:val="21"/>
                <w:szCs w:val="21"/>
                <w:lang w:val="en-US" w:eastAsia="zh-CN"/>
              </w:rPr>
            </w:pPr>
            <w:r>
              <w:rPr>
                <w:rFonts w:hint="eastAsia"/>
                <w:snapToGrid w:val="0"/>
                <w:color w:val="000000"/>
                <w:kern w:val="21"/>
                <w:szCs w:val="21"/>
                <w:lang w:val="en-US" w:eastAsia="zh-CN"/>
              </w:rPr>
              <w:t>竹焦油</w:t>
            </w:r>
            <w:r>
              <w:rPr>
                <w:rFonts w:hint="eastAsia"/>
                <w:snapToGrid w:val="0"/>
                <w:color w:val="000000"/>
                <w:kern w:val="21"/>
                <w:sz w:val="21"/>
                <w:szCs w:val="21"/>
                <w:lang w:val="en-US" w:eastAsia="zh-CN"/>
              </w:rPr>
              <w:t>、</w:t>
            </w:r>
            <w:r>
              <w:rPr>
                <w:rFonts w:hint="default" w:ascii="Times New Roman" w:hAnsi="Times New Roman" w:cs="Times New Roman"/>
                <w:color w:val="000000" w:themeColor="text1"/>
                <w:sz w:val="21"/>
                <w:szCs w:val="21"/>
                <w:highlight w:val="none"/>
                <w14:textFill>
                  <w14:solidFill>
                    <w14:schemeClr w14:val="tx1"/>
                  </w14:solidFill>
                </w14:textFill>
              </w:rPr>
              <w:t>竹醋液</w:t>
            </w:r>
          </w:p>
        </w:tc>
        <w:tc>
          <w:tcPr>
            <w:tcW w:w="1701"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276"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701"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559" w:type="dxa"/>
            <w:vAlign w:val="center"/>
          </w:tcPr>
          <w:p>
            <w:pPr>
              <w:jc w:val="center"/>
              <w:rPr>
                <w:rFonts w:hint="default" w:ascii="Times New Roman"/>
                <w:snapToGrid w:val="0"/>
                <w:color w:val="000000"/>
                <w:kern w:val="21"/>
                <w:szCs w:val="21"/>
                <w:lang w:val="en-US" w:eastAsia="zh-CN"/>
              </w:rPr>
            </w:pPr>
            <w:r>
              <w:rPr>
                <w:rFonts w:hint="eastAsia"/>
                <w:snapToGrid w:val="0"/>
                <w:color w:val="000000"/>
                <w:kern w:val="21"/>
                <w:szCs w:val="21"/>
                <w:lang w:val="en-US" w:eastAsia="zh-CN"/>
              </w:rPr>
              <w:t>14.18</w:t>
            </w:r>
          </w:p>
        </w:tc>
        <w:tc>
          <w:tcPr>
            <w:tcW w:w="1761" w:type="dxa"/>
            <w:vAlign w:val="center"/>
          </w:tcPr>
          <w:p>
            <w:pPr>
              <w:jc w:val="center"/>
              <w:rPr>
                <w:rFonts w:hint="eastAsia"/>
                <w:snapToGrid w:val="0"/>
                <w:color w:val="000000"/>
                <w:kern w:val="21"/>
                <w:szCs w:val="21"/>
              </w:rPr>
            </w:pPr>
            <w:r>
              <w:rPr>
                <w:rFonts w:hint="eastAsia"/>
                <w:snapToGrid w:val="0"/>
                <w:color w:val="000000"/>
                <w:kern w:val="21"/>
                <w:szCs w:val="21"/>
              </w:rPr>
              <w:t>/</w:t>
            </w:r>
          </w:p>
        </w:tc>
        <w:tc>
          <w:tcPr>
            <w:tcW w:w="1959" w:type="dxa"/>
            <w:vAlign w:val="center"/>
          </w:tcPr>
          <w:p>
            <w:pPr>
              <w:jc w:val="center"/>
              <w:rPr>
                <w:rFonts w:hint="eastAsia" w:ascii="Times New Roman"/>
                <w:snapToGrid w:val="0"/>
                <w:color w:val="000000"/>
                <w:kern w:val="21"/>
                <w:szCs w:val="21"/>
                <w:lang w:val="en-US" w:eastAsia="zh-CN"/>
              </w:rPr>
            </w:pPr>
            <w:r>
              <w:rPr>
                <w:rFonts w:hint="eastAsia"/>
                <w:snapToGrid w:val="0"/>
                <w:color w:val="000000"/>
                <w:kern w:val="21"/>
                <w:szCs w:val="21"/>
                <w:lang w:val="en-US" w:eastAsia="zh-CN"/>
              </w:rPr>
              <w:t>14.18</w:t>
            </w:r>
          </w:p>
        </w:tc>
        <w:tc>
          <w:tcPr>
            <w:tcW w:w="826" w:type="dxa"/>
            <w:vAlign w:val="center"/>
          </w:tcPr>
          <w:p>
            <w:pPr>
              <w:jc w:val="center"/>
              <w:rPr>
                <w:rFonts w:hint="eastAsia"/>
                <w:snapToGrid w:val="0"/>
                <w:color w:val="000000"/>
                <w:kern w:val="21"/>
                <w:szCs w:val="21"/>
              </w:rPr>
            </w:pPr>
            <w:r>
              <w:rPr>
                <w:rFonts w:hint="eastAsia"/>
                <w:snapToGrid w:val="0"/>
                <w:color w:val="000000"/>
                <w:kern w:val="21"/>
                <w:szCs w:val="21"/>
              </w:rPr>
              <w:t>/</w:t>
            </w:r>
          </w:p>
        </w:tc>
      </w:tr>
    </w:tbl>
    <w:p>
      <w:pPr>
        <w:pStyle w:val="42"/>
        <w:spacing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
      <w:pPr>
        <w:sectPr>
          <w:footerReference r:id="rId9"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rPr>
          <w:rFonts w:ascii="宋体" w:hAnsi="宋体" w:eastAsia="黑体"/>
        </w:rPr>
      </w:pPr>
    </w:p>
    <w:sectPr>
      <w:footerReference r:id="rId10"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ppppp" w:date="2022-01-28T10:11:48Z" w:initials="">
    <w:p w14:paraId="336D60A9">
      <w:pPr>
        <w:pStyle w:val="11"/>
        <w:rPr>
          <w:rFonts w:hint="default" w:eastAsia="宋体"/>
          <w:lang w:val="en-US" w:eastAsia="zh-CN"/>
        </w:rPr>
      </w:pPr>
      <w:r>
        <w:rPr>
          <w:rFonts w:hint="eastAsia"/>
          <w:lang w:val="en-US" w:eastAsia="zh-CN"/>
        </w:rPr>
        <w:t>炭化废气燃烧（裂解气）回火，相当于天然气。断火的时候回回火，有个安全阻拦装置。</w:t>
      </w:r>
    </w:p>
  </w:comment>
  <w:comment w:id="1" w:author="xiaoppppp" w:date="2022-02-15T16:03:46Z" w:initials="">
    <w:p w14:paraId="16960C9A">
      <w:pPr>
        <w:pStyle w:val="11"/>
        <w:rPr>
          <w:rFonts w:hint="default" w:eastAsia="宋体"/>
          <w:lang w:val="en-US" w:eastAsia="zh-CN"/>
        </w:rPr>
      </w:pPr>
      <w:r>
        <w:rPr>
          <w:rFonts w:hint="eastAsia"/>
          <w:lang w:val="en-US" w:eastAsia="zh-CN"/>
        </w:rPr>
        <w:t>已补充，见P13</w:t>
      </w:r>
    </w:p>
  </w:comment>
  <w:comment w:id="2" w:author="xiaoppppp" w:date="2022-01-28T09:48:23Z" w:initials="">
    <w:p w14:paraId="43A65A4A">
      <w:pPr>
        <w:pStyle w:val="11"/>
        <w:rPr>
          <w:rFonts w:hint="eastAsia" w:eastAsia="宋体"/>
          <w:lang w:val="en-US" w:eastAsia="zh-CN"/>
        </w:rPr>
      </w:pPr>
      <w:r>
        <w:rPr>
          <w:rFonts w:hint="eastAsia"/>
          <w:lang w:val="en-US" w:eastAsia="zh-CN"/>
        </w:rPr>
        <w:t>完善</w:t>
      </w:r>
    </w:p>
  </w:comment>
  <w:comment w:id="3" w:author="xiaoppppp" w:date="2022-02-10T13:53:15Z" w:initials="">
    <w:p w14:paraId="71641DD8">
      <w:pPr>
        <w:pStyle w:val="11"/>
        <w:rPr>
          <w:rFonts w:hint="eastAsia" w:eastAsia="宋体"/>
          <w:lang w:val="en-US" w:eastAsia="zh-CN"/>
        </w:rPr>
      </w:pPr>
      <w:r>
        <w:rPr>
          <w:rFonts w:hint="eastAsia"/>
          <w:lang w:val="en-US" w:eastAsia="zh-CN"/>
        </w:rPr>
        <w:t>已完善</w:t>
      </w:r>
    </w:p>
  </w:comment>
  <w:comment w:id="4" w:author="xiaoppppp" w:date="2022-02-16T09:54:09Z" w:initials="">
    <w:p w14:paraId="5D322188">
      <w:pPr>
        <w:pStyle w:val="11"/>
        <w:rPr>
          <w:rFonts w:hint="default" w:eastAsia="宋体"/>
          <w:highlight w:val="yellow"/>
          <w:lang w:val="en-US" w:eastAsia="zh-CN"/>
        </w:rPr>
      </w:pPr>
      <w:r>
        <w:rPr>
          <w:rFonts w:hint="eastAsia"/>
          <w:highlight w:val="yellow"/>
          <w:lang w:val="en-US" w:eastAsia="zh-CN"/>
        </w:rPr>
        <w:t>竹制品怎么来的，原料分选</w:t>
      </w:r>
    </w:p>
  </w:comment>
  <w:comment w:id="5" w:author="xiaoppppp" w:date="2022-02-16T09:56:53Z" w:initials="">
    <w:p w14:paraId="230520A0">
      <w:pPr>
        <w:pStyle w:val="11"/>
        <w:rPr>
          <w:rFonts w:hint="default" w:eastAsia="宋体"/>
          <w:highlight w:val="yellow"/>
          <w:lang w:val="en-US" w:eastAsia="zh-CN"/>
        </w:rPr>
      </w:pPr>
      <w:r>
        <w:rPr>
          <w:rFonts w:hint="eastAsia"/>
          <w:highlight w:val="yellow"/>
          <w:lang w:val="en-US" w:eastAsia="zh-CN"/>
        </w:rPr>
        <w:t>做筷子的也需要拉丝工艺，机制竹炭不需拉丝。</w:t>
      </w:r>
    </w:p>
  </w:comment>
  <w:comment w:id="6" w:author="xiaoppppp" w:date="2022-01-28T09:52:02Z" w:initials="">
    <w:p w14:paraId="6E1765FC">
      <w:pPr>
        <w:pStyle w:val="11"/>
        <w:rPr>
          <w:rFonts w:hint="default" w:eastAsia="宋体"/>
          <w:lang w:val="en-US" w:eastAsia="zh-CN"/>
        </w:rPr>
      </w:pPr>
      <w:r>
        <w:rPr>
          <w:rFonts w:hint="eastAsia"/>
          <w:lang w:val="en-US" w:eastAsia="zh-CN"/>
        </w:rPr>
        <w:t>烘干停止时，在哪个炉子烧。管道切换问题。</w:t>
      </w:r>
    </w:p>
  </w:comment>
  <w:comment w:id="7" w:author="xiaoppppp" w:date="2022-02-10T14:22:03Z" w:initials="">
    <w:p w14:paraId="10461473">
      <w:pPr>
        <w:pStyle w:val="11"/>
        <w:rPr>
          <w:rFonts w:hint="default" w:eastAsia="宋体"/>
          <w:color w:val="FF0000"/>
          <w:highlight w:val="yellow"/>
          <w:lang w:val="en-US" w:eastAsia="zh-CN"/>
        </w:rPr>
      </w:pPr>
      <w:r>
        <w:rPr>
          <w:rFonts w:hint="eastAsia"/>
          <w:color w:val="FF0000"/>
          <w:highlight w:val="yellow"/>
          <w:lang w:val="en-US" w:eastAsia="zh-CN"/>
        </w:rPr>
        <w:t>已完善描述，见红字第一段</w:t>
      </w:r>
    </w:p>
  </w:comment>
  <w:comment w:id="8" w:author="xiaoppppp" w:date="2022-02-16T09:58:11Z" w:initials="">
    <w:p w14:paraId="3D350F4A">
      <w:pPr>
        <w:pStyle w:val="11"/>
        <w:rPr>
          <w:rFonts w:hint="default" w:eastAsia="宋体"/>
          <w:lang w:val="en-US" w:eastAsia="zh-CN"/>
        </w:rPr>
      </w:pPr>
      <w:r>
        <w:rPr>
          <w:rFonts w:hint="eastAsia"/>
          <w:lang w:val="en-US" w:eastAsia="zh-CN"/>
        </w:rPr>
        <w:t>炭化废气的主要气体</w:t>
      </w:r>
    </w:p>
  </w:comment>
  <w:comment w:id="9" w:author="xiaoppppp" w:date="2022-01-28T09:53:33Z" w:initials="">
    <w:p w14:paraId="4FAC6B3F">
      <w:pPr>
        <w:pStyle w:val="11"/>
        <w:rPr>
          <w:rFonts w:hint="default" w:eastAsia="宋体"/>
          <w:color w:val="FF0000"/>
          <w:lang w:val="en-US" w:eastAsia="zh-CN"/>
        </w:rPr>
      </w:pPr>
      <w:r>
        <w:rPr>
          <w:rFonts w:hint="eastAsia"/>
          <w:color w:val="FF0000"/>
          <w:lang w:val="en-US" w:eastAsia="zh-CN"/>
        </w:rPr>
        <w:t>完善表述，2个窑轮换。</w:t>
      </w:r>
    </w:p>
  </w:comment>
  <w:comment w:id="10" w:author="xiaoppppp" w:date="2022-02-10T14:22:42Z" w:initials="">
    <w:p w14:paraId="72CC54F8">
      <w:pPr>
        <w:pStyle w:val="11"/>
        <w:rPr>
          <w:rFonts w:hint="eastAsia" w:eastAsia="宋体"/>
          <w:color w:val="FF0000"/>
          <w:highlight w:val="yellow"/>
          <w:lang w:val="en-US" w:eastAsia="zh-CN"/>
        </w:rPr>
      </w:pPr>
      <w:r>
        <w:rPr>
          <w:rFonts w:hint="eastAsia"/>
          <w:color w:val="FF0000"/>
          <w:highlight w:val="yellow"/>
          <w:lang w:val="en-US" w:eastAsia="zh-CN"/>
        </w:rPr>
        <w:t>已完善</w:t>
      </w:r>
    </w:p>
  </w:comment>
  <w:comment w:id="11" w:author="xiaoppppp" w:date="2022-01-28T09:56:06Z" w:initials="">
    <w:p w14:paraId="16137FD6">
      <w:pPr>
        <w:pStyle w:val="11"/>
        <w:rPr>
          <w:rFonts w:hint="default" w:eastAsia="宋体"/>
          <w:lang w:val="en-US" w:eastAsia="zh-CN"/>
        </w:rPr>
      </w:pPr>
      <w:r>
        <w:rPr>
          <w:rFonts w:hint="eastAsia"/>
          <w:lang w:val="en-US" w:eastAsia="zh-CN"/>
        </w:rPr>
        <w:t>考虑固废成分。分选的废竹料</w:t>
      </w:r>
    </w:p>
  </w:comment>
  <w:comment w:id="12" w:author="xiaoppppp" w:date="2022-02-11T14:17:34Z" w:initials="">
    <w:p w14:paraId="0A3F0880">
      <w:pPr>
        <w:pStyle w:val="11"/>
        <w:rPr>
          <w:rFonts w:hint="eastAsia" w:eastAsia="宋体"/>
          <w:lang w:val="en-US" w:eastAsia="zh-CN"/>
        </w:rPr>
      </w:pPr>
      <w:r>
        <w:rPr>
          <w:rFonts w:hint="eastAsia"/>
          <w:lang w:val="en-US" w:eastAsia="zh-CN"/>
        </w:rPr>
        <w:t>已完善</w:t>
      </w:r>
    </w:p>
  </w:comment>
  <w:comment w:id="13" w:author="xiaoppppp" w:date="2022-01-28T10:03:54Z" w:initials="">
    <w:p w14:paraId="5695509F">
      <w:pPr>
        <w:pStyle w:val="11"/>
        <w:rPr>
          <w:rFonts w:hint="default" w:eastAsia="宋体"/>
          <w:lang w:val="en-US" w:eastAsia="zh-CN"/>
        </w:rPr>
      </w:pPr>
      <w:r>
        <w:rPr>
          <w:rFonts w:hint="eastAsia"/>
          <w:lang w:val="en-US" w:eastAsia="zh-CN"/>
        </w:rPr>
        <w:t>根据这块算烘干燃料的污染量</w:t>
      </w:r>
    </w:p>
  </w:comment>
  <w:comment w:id="14" w:author="xiaoppppp" w:date="2022-02-15T15:05:52Z" w:initials="">
    <w:p w14:paraId="111845A3">
      <w:pPr>
        <w:pStyle w:val="11"/>
        <w:rPr>
          <w:rFonts w:hint="eastAsia" w:eastAsia="宋体"/>
          <w:lang w:val="en-US" w:eastAsia="zh-CN"/>
        </w:rPr>
      </w:pPr>
      <w:r>
        <w:rPr>
          <w:rFonts w:hint="eastAsia"/>
          <w:lang w:val="en-US" w:eastAsia="zh-CN"/>
        </w:rPr>
        <w:t>已完善</w:t>
      </w:r>
    </w:p>
  </w:comment>
  <w:comment w:id="15" w:author="xiaoppppp" w:date="2022-01-28T10:03:24Z" w:initials="">
    <w:p w14:paraId="19AD528B">
      <w:pPr>
        <w:pStyle w:val="11"/>
        <w:rPr>
          <w:rFonts w:hint="default" w:eastAsia="宋体"/>
          <w:lang w:val="en-US" w:eastAsia="zh-CN"/>
        </w:rPr>
      </w:pPr>
      <w:r>
        <w:rPr>
          <w:rFonts w:hint="eastAsia"/>
          <w:lang w:val="en-US" w:eastAsia="zh-CN"/>
        </w:rPr>
        <w:t>炭化气燃烧产生的污染物，参照天然气的SO2含量系数</w:t>
      </w:r>
    </w:p>
  </w:comment>
  <w:comment w:id="16" w:author="xiaoppppp" w:date="2022-02-15T14:47:50Z" w:initials="">
    <w:p w14:paraId="574B7D01">
      <w:pPr>
        <w:pStyle w:val="11"/>
        <w:rPr>
          <w:rFonts w:hint="default" w:eastAsia="宋体"/>
          <w:color w:val="FF0000"/>
          <w:highlight w:val="yellow"/>
          <w:lang w:val="en-US" w:eastAsia="zh-CN"/>
        </w:rPr>
      </w:pPr>
      <w:r>
        <w:rPr>
          <w:rFonts w:hint="eastAsia"/>
          <w:color w:val="FF0000"/>
          <w:highlight w:val="yellow"/>
          <w:lang w:val="en-US" w:eastAsia="zh-CN"/>
        </w:rPr>
        <w:t>已完善，竹条、竹片参照生物质颗粒，其炭化产生的竹煤气、焦油和醋液采用天然气的产污系数。</w:t>
      </w:r>
    </w:p>
  </w:comment>
  <w:comment w:id="17" w:author="xiaoppppp" w:date="2022-02-16T10:05:51Z" w:initials="">
    <w:p w14:paraId="4F9C704B">
      <w:pPr>
        <w:pStyle w:val="11"/>
        <w:rPr>
          <w:rFonts w:hint="default" w:eastAsia="宋体"/>
          <w:lang w:val="en-US" w:eastAsia="zh-CN"/>
        </w:rPr>
      </w:pPr>
      <w:r>
        <w:rPr>
          <w:rFonts w:hint="eastAsia"/>
          <w:lang w:val="en-US" w:eastAsia="zh-CN"/>
        </w:rPr>
        <w:t>烘干热源。热平衡，好多热量烘干，好多热量用于空烧。有一点竹焦油、竹醋液。</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6D60A9" w15:done="0"/>
  <w15:commentEx w15:paraId="16960C9A" w15:done="0" w15:paraIdParent="336D60A9"/>
  <w15:commentEx w15:paraId="43A65A4A" w15:done="0"/>
  <w15:commentEx w15:paraId="71641DD8" w15:done="0" w15:paraIdParent="43A65A4A"/>
  <w15:commentEx w15:paraId="5D322188" w15:done="0"/>
  <w15:commentEx w15:paraId="230520A0" w15:done="0" w15:paraIdParent="5D322188"/>
  <w15:commentEx w15:paraId="6E1765FC" w15:done="1"/>
  <w15:commentEx w15:paraId="10461473" w15:done="0" w15:paraIdParent="6E1765FC"/>
  <w15:commentEx w15:paraId="3D350F4A" w15:done="0"/>
  <w15:commentEx w15:paraId="4FAC6B3F" w15:done="0"/>
  <w15:commentEx w15:paraId="72CC54F8" w15:done="0" w15:paraIdParent="4FAC6B3F"/>
  <w15:commentEx w15:paraId="16137FD6" w15:done="0"/>
  <w15:commentEx w15:paraId="0A3F0880" w15:done="0" w15:paraIdParent="16137FD6"/>
  <w15:commentEx w15:paraId="5695509F" w15:done="0"/>
  <w15:commentEx w15:paraId="111845A3" w15:done="0" w15:paraIdParent="5695509F"/>
  <w15:commentEx w15:paraId="19AD528B" w15:done="0"/>
  <w15:commentEx w15:paraId="574B7D01" w15:done="0" w15:paraIdParent="19AD528B"/>
  <w15:commentEx w15:paraId="4F9C70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0Or8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z9Dq/LAQAAnAMAAA4AAAAAAAAAAQAgAAAAHgEAAGRycy9lMm9E&#10;b2MueG1sUEsFBgAAAAAGAAYAWQEAAFs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9C811"/>
    <w:multiLevelType w:val="singleLevel"/>
    <w:tmpl w:val="4AD9C811"/>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ppppp">
    <w15:presenceInfo w15:providerId="WPS Office" w15:userId="269236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5FA4"/>
    <w:rsid w:val="000060B3"/>
    <w:rsid w:val="00014B43"/>
    <w:rsid w:val="00025285"/>
    <w:rsid w:val="0004364B"/>
    <w:rsid w:val="00061B1F"/>
    <w:rsid w:val="000733C4"/>
    <w:rsid w:val="00074783"/>
    <w:rsid w:val="00075D8F"/>
    <w:rsid w:val="0008070B"/>
    <w:rsid w:val="000810AC"/>
    <w:rsid w:val="00081A02"/>
    <w:rsid w:val="00081F9E"/>
    <w:rsid w:val="00082231"/>
    <w:rsid w:val="00092D38"/>
    <w:rsid w:val="0009377B"/>
    <w:rsid w:val="00094900"/>
    <w:rsid w:val="000A20C9"/>
    <w:rsid w:val="000A66DA"/>
    <w:rsid w:val="000B058F"/>
    <w:rsid w:val="000B4467"/>
    <w:rsid w:val="000B4DB9"/>
    <w:rsid w:val="000C09AC"/>
    <w:rsid w:val="000C767F"/>
    <w:rsid w:val="000D04E7"/>
    <w:rsid w:val="000D5A44"/>
    <w:rsid w:val="000E3ED2"/>
    <w:rsid w:val="000F5E98"/>
    <w:rsid w:val="00131F42"/>
    <w:rsid w:val="001357F1"/>
    <w:rsid w:val="00137E2C"/>
    <w:rsid w:val="00140FA8"/>
    <w:rsid w:val="00142FEB"/>
    <w:rsid w:val="00143A2D"/>
    <w:rsid w:val="00145A41"/>
    <w:rsid w:val="00151675"/>
    <w:rsid w:val="00157435"/>
    <w:rsid w:val="0017504D"/>
    <w:rsid w:val="0017671A"/>
    <w:rsid w:val="00177422"/>
    <w:rsid w:val="00184590"/>
    <w:rsid w:val="001870D1"/>
    <w:rsid w:val="0018781E"/>
    <w:rsid w:val="0019262D"/>
    <w:rsid w:val="001957BA"/>
    <w:rsid w:val="001A1B35"/>
    <w:rsid w:val="001A48A2"/>
    <w:rsid w:val="001A65A1"/>
    <w:rsid w:val="001A6F61"/>
    <w:rsid w:val="001A7022"/>
    <w:rsid w:val="001B5051"/>
    <w:rsid w:val="001B72B8"/>
    <w:rsid w:val="001C69B3"/>
    <w:rsid w:val="001D05E8"/>
    <w:rsid w:val="001D5595"/>
    <w:rsid w:val="001D7874"/>
    <w:rsid w:val="001D7F22"/>
    <w:rsid w:val="001F0F17"/>
    <w:rsid w:val="001F3347"/>
    <w:rsid w:val="001F4032"/>
    <w:rsid w:val="001F69E4"/>
    <w:rsid w:val="002125B4"/>
    <w:rsid w:val="002155B8"/>
    <w:rsid w:val="00224839"/>
    <w:rsid w:val="002249B2"/>
    <w:rsid w:val="00226574"/>
    <w:rsid w:val="002278EC"/>
    <w:rsid w:val="00230859"/>
    <w:rsid w:val="0023280E"/>
    <w:rsid w:val="002377D1"/>
    <w:rsid w:val="00242E9D"/>
    <w:rsid w:val="002506BC"/>
    <w:rsid w:val="00254345"/>
    <w:rsid w:val="00264557"/>
    <w:rsid w:val="00270B08"/>
    <w:rsid w:val="002805AB"/>
    <w:rsid w:val="00284204"/>
    <w:rsid w:val="00291773"/>
    <w:rsid w:val="002A168C"/>
    <w:rsid w:val="002A3DC7"/>
    <w:rsid w:val="002A6E62"/>
    <w:rsid w:val="002B318F"/>
    <w:rsid w:val="002B49E2"/>
    <w:rsid w:val="002B7B00"/>
    <w:rsid w:val="002B7C44"/>
    <w:rsid w:val="002C2B17"/>
    <w:rsid w:val="002D3DD0"/>
    <w:rsid w:val="002E1F3A"/>
    <w:rsid w:val="002E298A"/>
    <w:rsid w:val="00301978"/>
    <w:rsid w:val="0030332C"/>
    <w:rsid w:val="003051C2"/>
    <w:rsid w:val="00312296"/>
    <w:rsid w:val="00314F0E"/>
    <w:rsid w:val="0032045F"/>
    <w:rsid w:val="00321D8E"/>
    <w:rsid w:val="00325928"/>
    <w:rsid w:val="00332863"/>
    <w:rsid w:val="0033684D"/>
    <w:rsid w:val="00337B42"/>
    <w:rsid w:val="003414F9"/>
    <w:rsid w:val="00341B42"/>
    <w:rsid w:val="0034348F"/>
    <w:rsid w:val="00354B9D"/>
    <w:rsid w:val="00356653"/>
    <w:rsid w:val="0035743F"/>
    <w:rsid w:val="00357BE2"/>
    <w:rsid w:val="0036170C"/>
    <w:rsid w:val="00366E0F"/>
    <w:rsid w:val="00381A72"/>
    <w:rsid w:val="00384676"/>
    <w:rsid w:val="00390857"/>
    <w:rsid w:val="003A4BF3"/>
    <w:rsid w:val="003B1BB1"/>
    <w:rsid w:val="003B420D"/>
    <w:rsid w:val="003B7B81"/>
    <w:rsid w:val="003C45CC"/>
    <w:rsid w:val="003C6C16"/>
    <w:rsid w:val="003D2AC1"/>
    <w:rsid w:val="003D794D"/>
    <w:rsid w:val="003E3058"/>
    <w:rsid w:val="003E76A9"/>
    <w:rsid w:val="003F0809"/>
    <w:rsid w:val="003F6A8C"/>
    <w:rsid w:val="003F755C"/>
    <w:rsid w:val="00400BEA"/>
    <w:rsid w:val="00404F88"/>
    <w:rsid w:val="00406F01"/>
    <w:rsid w:val="00413AE4"/>
    <w:rsid w:val="00416D50"/>
    <w:rsid w:val="00416FD5"/>
    <w:rsid w:val="00417772"/>
    <w:rsid w:val="0041784A"/>
    <w:rsid w:val="00420E6A"/>
    <w:rsid w:val="00425A9E"/>
    <w:rsid w:val="00426D6B"/>
    <w:rsid w:val="00431E6C"/>
    <w:rsid w:val="00433CE7"/>
    <w:rsid w:val="00452738"/>
    <w:rsid w:val="00456091"/>
    <w:rsid w:val="00466321"/>
    <w:rsid w:val="00484B9B"/>
    <w:rsid w:val="004855F6"/>
    <w:rsid w:val="0048661E"/>
    <w:rsid w:val="00494670"/>
    <w:rsid w:val="00495965"/>
    <w:rsid w:val="004A3823"/>
    <w:rsid w:val="004C4E28"/>
    <w:rsid w:val="004E6946"/>
    <w:rsid w:val="004F1AD8"/>
    <w:rsid w:val="004F2B78"/>
    <w:rsid w:val="00502F08"/>
    <w:rsid w:val="005039CB"/>
    <w:rsid w:val="0050558F"/>
    <w:rsid w:val="00506286"/>
    <w:rsid w:val="00510813"/>
    <w:rsid w:val="00511990"/>
    <w:rsid w:val="00511DE0"/>
    <w:rsid w:val="00512423"/>
    <w:rsid w:val="00514870"/>
    <w:rsid w:val="00514B9B"/>
    <w:rsid w:val="00517EA1"/>
    <w:rsid w:val="00517F02"/>
    <w:rsid w:val="00524303"/>
    <w:rsid w:val="005258A2"/>
    <w:rsid w:val="00525A84"/>
    <w:rsid w:val="00535DDA"/>
    <w:rsid w:val="005401AE"/>
    <w:rsid w:val="00542E07"/>
    <w:rsid w:val="00545424"/>
    <w:rsid w:val="00554A7B"/>
    <w:rsid w:val="0055572C"/>
    <w:rsid w:val="0056106A"/>
    <w:rsid w:val="005720AE"/>
    <w:rsid w:val="00593C18"/>
    <w:rsid w:val="00593E77"/>
    <w:rsid w:val="00594D77"/>
    <w:rsid w:val="005969E4"/>
    <w:rsid w:val="005A06B7"/>
    <w:rsid w:val="005A1759"/>
    <w:rsid w:val="005A68A7"/>
    <w:rsid w:val="005D36AB"/>
    <w:rsid w:val="005E03EF"/>
    <w:rsid w:val="005E6AC7"/>
    <w:rsid w:val="005E7518"/>
    <w:rsid w:val="00617CC3"/>
    <w:rsid w:val="006377A6"/>
    <w:rsid w:val="00637A3D"/>
    <w:rsid w:val="006411EF"/>
    <w:rsid w:val="00662E0E"/>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F0310"/>
    <w:rsid w:val="00706C5D"/>
    <w:rsid w:val="00707EF8"/>
    <w:rsid w:val="00732922"/>
    <w:rsid w:val="00737A13"/>
    <w:rsid w:val="0074730B"/>
    <w:rsid w:val="0075162E"/>
    <w:rsid w:val="00754034"/>
    <w:rsid w:val="00756556"/>
    <w:rsid w:val="007618C4"/>
    <w:rsid w:val="00767980"/>
    <w:rsid w:val="00770B19"/>
    <w:rsid w:val="0077463F"/>
    <w:rsid w:val="007836EA"/>
    <w:rsid w:val="00784CDA"/>
    <w:rsid w:val="007853FD"/>
    <w:rsid w:val="007906C4"/>
    <w:rsid w:val="007940EA"/>
    <w:rsid w:val="0079606C"/>
    <w:rsid w:val="007967E8"/>
    <w:rsid w:val="007A2170"/>
    <w:rsid w:val="007A22BF"/>
    <w:rsid w:val="007A3323"/>
    <w:rsid w:val="007A63BD"/>
    <w:rsid w:val="007B0523"/>
    <w:rsid w:val="007B72B8"/>
    <w:rsid w:val="007B75B1"/>
    <w:rsid w:val="007B7A58"/>
    <w:rsid w:val="007C21B5"/>
    <w:rsid w:val="007C6AA9"/>
    <w:rsid w:val="007D22C3"/>
    <w:rsid w:val="007D6C5D"/>
    <w:rsid w:val="007E4BD2"/>
    <w:rsid w:val="007F1903"/>
    <w:rsid w:val="00801393"/>
    <w:rsid w:val="00802F88"/>
    <w:rsid w:val="0081293E"/>
    <w:rsid w:val="00815465"/>
    <w:rsid w:val="00817E9A"/>
    <w:rsid w:val="008306BD"/>
    <w:rsid w:val="00831A80"/>
    <w:rsid w:val="00833743"/>
    <w:rsid w:val="008340A4"/>
    <w:rsid w:val="00837DDA"/>
    <w:rsid w:val="00840110"/>
    <w:rsid w:val="0087135F"/>
    <w:rsid w:val="00872D94"/>
    <w:rsid w:val="00880364"/>
    <w:rsid w:val="00891592"/>
    <w:rsid w:val="0089181D"/>
    <w:rsid w:val="00891E9E"/>
    <w:rsid w:val="008924E9"/>
    <w:rsid w:val="00894C51"/>
    <w:rsid w:val="008A2F68"/>
    <w:rsid w:val="008B009D"/>
    <w:rsid w:val="008B4FA6"/>
    <w:rsid w:val="008B5282"/>
    <w:rsid w:val="008B7C17"/>
    <w:rsid w:val="008C2D01"/>
    <w:rsid w:val="008C40E6"/>
    <w:rsid w:val="008C5063"/>
    <w:rsid w:val="008C6C87"/>
    <w:rsid w:val="008D0F7A"/>
    <w:rsid w:val="008D68E4"/>
    <w:rsid w:val="008E0506"/>
    <w:rsid w:val="008E0CFF"/>
    <w:rsid w:val="008E3768"/>
    <w:rsid w:val="008E4C10"/>
    <w:rsid w:val="008E5D6B"/>
    <w:rsid w:val="008E6820"/>
    <w:rsid w:val="008E76F0"/>
    <w:rsid w:val="008F15FE"/>
    <w:rsid w:val="008F2D29"/>
    <w:rsid w:val="008F4383"/>
    <w:rsid w:val="008F5187"/>
    <w:rsid w:val="008F60D8"/>
    <w:rsid w:val="00902727"/>
    <w:rsid w:val="0090312B"/>
    <w:rsid w:val="00913B90"/>
    <w:rsid w:val="0091736D"/>
    <w:rsid w:val="0093037A"/>
    <w:rsid w:val="009322C8"/>
    <w:rsid w:val="00935664"/>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0EE"/>
    <w:rsid w:val="00A32A83"/>
    <w:rsid w:val="00A368DB"/>
    <w:rsid w:val="00A423AA"/>
    <w:rsid w:val="00A53EC6"/>
    <w:rsid w:val="00A55C0F"/>
    <w:rsid w:val="00A82ABC"/>
    <w:rsid w:val="00A8713F"/>
    <w:rsid w:val="00A90BA1"/>
    <w:rsid w:val="00A93623"/>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264D1"/>
    <w:rsid w:val="00B31ABF"/>
    <w:rsid w:val="00B33BE3"/>
    <w:rsid w:val="00B53B5D"/>
    <w:rsid w:val="00B6055E"/>
    <w:rsid w:val="00B6317D"/>
    <w:rsid w:val="00B7277A"/>
    <w:rsid w:val="00B7723F"/>
    <w:rsid w:val="00B80534"/>
    <w:rsid w:val="00B80E12"/>
    <w:rsid w:val="00B8433C"/>
    <w:rsid w:val="00B87491"/>
    <w:rsid w:val="00BA29E9"/>
    <w:rsid w:val="00BA63FE"/>
    <w:rsid w:val="00BA7142"/>
    <w:rsid w:val="00BB237C"/>
    <w:rsid w:val="00BB41A3"/>
    <w:rsid w:val="00BC32DC"/>
    <w:rsid w:val="00BC35B6"/>
    <w:rsid w:val="00BC7E26"/>
    <w:rsid w:val="00BD1B51"/>
    <w:rsid w:val="00BD4596"/>
    <w:rsid w:val="00BE1405"/>
    <w:rsid w:val="00BE312D"/>
    <w:rsid w:val="00BF1C20"/>
    <w:rsid w:val="00C04C6F"/>
    <w:rsid w:val="00C061DC"/>
    <w:rsid w:val="00C10578"/>
    <w:rsid w:val="00C135BC"/>
    <w:rsid w:val="00C15C95"/>
    <w:rsid w:val="00C2596A"/>
    <w:rsid w:val="00C27537"/>
    <w:rsid w:val="00C328FE"/>
    <w:rsid w:val="00C33507"/>
    <w:rsid w:val="00C4409D"/>
    <w:rsid w:val="00C44E72"/>
    <w:rsid w:val="00C45A06"/>
    <w:rsid w:val="00C47E5B"/>
    <w:rsid w:val="00C56FD3"/>
    <w:rsid w:val="00C571F5"/>
    <w:rsid w:val="00C61E4B"/>
    <w:rsid w:val="00C64BFF"/>
    <w:rsid w:val="00C704E9"/>
    <w:rsid w:val="00C763C9"/>
    <w:rsid w:val="00C80057"/>
    <w:rsid w:val="00C82232"/>
    <w:rsid w:val="00C82913"/>
    <w:rsid w:val="00C859DC"/>
    <w:rsid w:val="00C9423E"/>
    <w:rsid w:val="00C972B1"/>
    <w:rsid w:val="00CA2CCE"/>
    <w:rsid w:val="00CA306D"/>
    <w:rsid w:val="00CA43FD"/>
    <w:rsid w:val="00CA7EF8"/>
    <w:rsid w:val="00CC489B"/>
    <w:rsid w:val="00CC4EB0"/>
    <w:rsid w:val="00CD2BCD"/>
    <w:rsid w:val="00CD3A4C"/>
    <w:rsid w:val="00CE025D"/>
    <w:rsid w:val="00CE10E9"/>
    <w:rsid w:val="00CE2910"/>
    <w:rsid w:val="00CE5393"/>
    <w:rsid w:val="00CF36BE"/>
    <w:rsid w:val="00CF6000"/>
    <w:rsid w:val="00D003F3"/>
    <w:rsid w:val="00D0364F"/>
    <w:rsid w:val="00D06834"/>
    <w:rsid w:val="00D308ED"/>
    <w:rsid w:val="00D36D86"/>
    <w:rsid w:val="00D417F1"/>
    <w:rsid w:val="00D428AA"/>
    <w:rsid w:val="00D50A34"/>
    <w:rsid w:val="00D5103A"/>
    <w:rsid w:val="00D53EFA"/>
    <w:rsid w:val="00D564A1"/>
    <w:rsid w:val="00D61E91"/>
    <w:rsid w:val="00D64BDB"/>
    <w:rsid w:val="00D65C21"/>
    <w:rsid w:val="00D851D3"/>
    <w:rsid w:val="00D8607B"/>
    <w:rsid w:val="00D94A7C"/>
    <w:rsid w:val="00D95896"/>
    <w:rsid w:val="00D97595"/>
    <w:rsid w:val="00DB2983"/>
    <w:rsid w:val="00DB5190"/>
    <w:rsid w:val="00DC1257"/>
    <w:rsid w:val="00DC3DC0"/>
    <w:rsid w:val="00DC5B2B"/>
    <w:rsid w:val="00DD318D"/>
    <w:rsid w:val="00DD4B05"/>
    <w:rsid w:val="00DE0D12"/>
    <w:rsid w:val="00DF1C2F"/>
    <w:rsid w:val="00DF2E12"/>
    <w:rsid w:val="00DF514A"/>
    <w:rsid w:val="00DF6690"/>
    <w:rsid w:val="00DF6804"/>
    <w:rsid w:val="00E01B3A"/>
    <w:rsid w:val="00E0358D"/>
    <w:rsid w:val="00E04323"/>
    <w:rsid w:val="00E070A2"/>
    <w:rsid w:val="00E2656A"/>
    <w:rsid w:val="00E27295"/>
    <w:rsid w:val="00E273EC"/>
    <w:rsid w:val="00E412D0"/>
    <w:rsid w:val="00E56322"/>
    <w:rsid w:val="00E60982"/>
    <w:rsid w:val="00E62C62"/>
    <w:rsid w:val="00E654C1"/>
    <w:rsid w:val="00E65D97"/>
    <w:rsid w:val="00E701AD"/>
    <w:rsid w:val="00E72451"/>
    <w:rsid w:val="00E72A5A"/>
    <w:rsid w:val="00E73354"/>
    <w:rsid w:val="00E9242D"/>
    <w:rsid w:val="00EB5255"/>
    <w:rsid w:val="00EB5C47"/>
    <w:rsid w:val="00ED0639"/>
    <w:rsid w:val="00EF4755"/>
    <w:rsid w:val="00EF7135"/>
    <w:rsid w:val="00F027DB"/>
    <w:rsid w:val="00F14A7A"/>
    <w:rsid w:val="00F22985"/>
    <w:rsid w:val="00F3383E"/>
    <w:rsid w:val="00F402AE"/>
    <w:rsid w:val="00F465A7"/>
    <w:rsid w:val="00F50B7C"/>
    <w:rsid w:val="00F550E6"/>
    <w:rsid w:val="00F6629A"/>
    <w:rsid w:val="00F74345"/>
    <w:rsid w:val="00F77738"/>
    <w:rsid w:val="00F77E51"/>
    <w:rsid w:val="00F80A0A"/>
    <w:rsid w:val="00F82B19"/>
    <w:rsid w:val="00F9212D"/>
    <w:rsid w:val="00F9599D"/>
    <w:rsid w:val="00F965DA"/>
    <w:rsid w:val="00FA1694"/>
    <w:rsid w:val="00FA406A"/>
    <w:rsid w:val="00FB06AF"/>
    <w:rsid w:val="00FB503A"/>
    <w:rsid w:val="00FB516C"/>
    <w:rsid w:val="00FC16B4"/>
    <w:rsid w:val="00FD0236"/>
    <w:rsid w:val="00FD18F4"/>
    <w:rsid w:val="00FD54DB"/>
    <w:rsid w:val="00FD619F"/>
    <w:rsid w:val="00FF4AC3"/>
    <w:rsid w:val="01290F7E"/>
    <w:rsid w:val="015D1E09"/>
    <w:rsid w:val="015D5F2D"/>
    <w:rsid w:val="01936C47"/>
    <w:rsid w:val="020337FD"/>
    <w:rsid w:val="021E3E29"/>
    <w:rsid w:val="02564FD5"/>
    <w:rsid w:val="02697903"/>
    <w:rsid w:val="02A81442"/>
    <w:rsid w:val="02A951FA"/>
    <w:rsid w:val="02C12818"/>
    <w:rsid w:val="02CA41BA"/>
    <w:rsid w:val="02E14AF2"/>
    <w:rsid w:val="02F96569"/>
    <w:rsid w:val="03313BBA"/>
    <w:rsid w:val="037827D8"/>
    <w:rsid w:val="03D65A1C"/>
    <w:rsid w:val="03EA7B21"/>
    <w:rsid w:val="03F21924"/>
    <w:rsid w:val="040072B2"/>
    <w:rsid w:val="043529E0"/>
    <w:rsid w:val="045508BE"/>
    <w:rsid w:val="04A17E89"/>
    <w:rsid w:val="04FD06C6"/>
    <w:rsid w:val="05160534"/>
    <w:rsid w:val="056D4EBD"/>
    <w:rsid w:val="05A24EA8"/>
    <w:rsid w:val="05E308AF"/>
    <w:rsid w:val="05ED4B21"/>
    <w:rsid w:val="05F83EAE"/>
    <w:rsid w:val="063E7D85"/>
    <w:rsid w:val="06AB6847"/>
    <w:rsid w:val="06AD0C66"/>
    <w:rsid w:val="06AE12B7"/>
    <w:rsid w:val="06C257F4"/>
    <w:rsid w:val="06CC35FE"/>
    <w:rsid w:val="07293586"/>
    <w:rsid w:val="07295285"/>
    <w:rsid w:val="07636392"/>
    <w:rsid w:val="07770C56"/>
    <w:rsid w:val="078B3FEE"/>
    <w:rsid w:val="0864103F"/>
    <w:rsid w:val="088C7E80"/>
    <w:rsid w:val="08AB50F9"/>
    <w:rsid w:val="08F71C3B"/>
    <w:rsid w:val="090E304D"/>
    <w:rsid w:val="09163343"/>
    <w:rsid w:val="092217DD"/>
    <w:rsid w:val="092A51B9"/>
    <w:rsid w:val="0936159E"/>
    <w:rsid w:val="093A7294"/>
    <w:rsid w:val="094D63BF"/>
    <w:rsid w:val="099B7953"/>
    <w:rsid w:val="09AE14EA"/>
    <w:rsid w:val="0A1B667B"/>
    <w:rsid w:val="0A263993"/>
    <w:rsid w:val="0A2B5992"/>
    <w:rsid w:val="0A2D3AC2"/>
    <w:rsid w:val="0A395718"/>
    <w:rsid w:val="0A7C7F04"/>
    <w:rsid w:val="0AA5127F"/>
    <w:rsid w:val="0AA755DF"/>
    <w:rsid w:val="0B120D44"/>
    <w:rsid w:val="0B2B571F"/>
    <w:rsid w:val="0B5415DA"/>
    <w:rsid w:val="0B5F0746"/>
    <w:rsid w:val="0B7C4A6A"/>
    <w:rsid w:val="0B8E51BC"/>
    <w:rsid w:val="0BA2656B"/>
    <w:rsid w:val="0BAF6B47"/>
    <w:rsid w:val="0BD015AA"/>
    <w:rsid w:val="0BD27BF6"/>
    <w:rsid w:val="0BE83098"/>
    <w:rsid w:val="0BF71DAF"/>
    <w:rsid w:val="0C022D24"/>
    <w:rsid w:val="0C0A0C46"/>
    <w:rsid w:val="0C2236C2"/>
    <w:rsid w:val="0C3B3C7D"/>
    <w:rsid w:val="0C494AA6"/>
    <w:rsid w:val="0C6C2952"/>
    <w:rsid w:val="0C9B4BA8"/>
    <w:rsid w:val="0CAB2EAE"/>
    <w:rsid w:val="0CDA5987"/>
    <w:rsid w:val="0D066D1B"/>
    <w:rsid w:val="0D621C7D"/>
    <w:rsid w:val="0D7F062B"/>
    <w:rsid w:val="0D8D371C"/>
    <w:rsid w:val="0D921378"/>
    <w:rsid w:val="0DA66875"/>
    <w:rsid w:val="0E223FA6"/>
    <w:rsid w:val="0E296AEF"/>
    <w:rsid w:val="0E4C1F51"/>
    <w:rsid w:val="0E73034D"/>
    <w:rsid w:val="0E7F1381"/>
    <w:rsid w:val="0E9E25D2"/>
    <w:rsid w:val="0EB81D3A"/>
    <w:rsid w:val="0F13775A"/>
    <w:rsid w:val="0F4433A8"/>
    <w:rsid w:val="0F5F45FE"/>
    <w:rsid w:val="0F9A112B"/>
    <w:rsid w:val="0FD46539"/>
    <w:rsid w:val="10082DF1"/>
    <w:rsid w:val="100F0F39"/>
    <w:rsid w:val="10216AB2"/>
    <w:rsid w:val="10416171"/>
    <w:rsid w:val="10527DBE"/>
    <w:rsid w:val="105F4A60"/>
    <w:rsid w:val="10613DB1"/>
    <w:rsid w:val="10634589"/>
    <w:rsid w:val="106D2F64"/>
    <w:rsid w:val="10783C6D"/>
    <w:rsid w:val="107A0EFB"/>
    <w:rsid w:val="109A0A34"/>
    <w:rsid w:val="10B36C33"/>
    <w:rsid w:val="10B63710"/>
    <w:rsid w:val="10BB0EC9"/>
    <w:rsid w:val="10DE5F87"/>
    <w:rsid w:val="10F10820"/>
    <w:rsid w:val="110A6C99"/>
    <w:rsid w:val="111C2866"/>
    <w:rsid w:val="111C2F7A"/>
    <w:rsid w:val="112A2091"/>
    <w:rsid w:val="115B441C"/>
    <w:rsid w:val="11665CA1"/>
    <w:rsid w:val="11930A81"/>
    <w:rsid w:val="11B36C13"/>
    <w:rsid w:val="123927D9"/>
    <w:rsid w:val="1251627B"/>
    <w:rsid w:val="12650CAB"/>
    <w:rsid w:val="12755C89"/>
    <w:rsid w:val="12B258EC"/>
    <w:rsid w:val="12C813A7"/>
    <w:rsid w:val="13610660"/>
    <w:rsid w:val="13762662"/>
    <w:rsid w:val="13831F21"/>
    <w:rsid w:val="138F5172"/>
    <w:rsid w:val="13951726"/>
    <w:rsid w:val="13A34B0A"/>
    <w:rsid w:val="14024474"/>
    <w:rsid w:val="1413677C"/>
    <w:rsid w:val="1423494F"/>
    <w:rsid w:val="14396509"/>
    <w:rsid w:val="144548A0"/>
    <w:rsid w:val="144D0667"/>
    <w:rsid w:val="145B3582"/>
    <w:rsid w:val="148E2D53"/>
    <w:rsid w:val="14DD2C3C"/>
    <w:rsid w:val="14E7755B"/>
    <w:rsid w:val="14FD11F7"/>
    <w:rsid w:val="15016DDA"/>
    <w:rsid w:val="15253159"/>
    <w:rsid w:val="1535249A"/>
    <w:rsid w:val="15427F5D"/>
    <w:rsid w:val="1554303B"/>
    <w:rsid w:val="15773431"/>
    <w:rsid w:val="15903232"/>
    <w:rsid w:val="159F32BB"/>
    <w:rsid w:val="15A37D40"/>
    <w:rsid w:val="15A5792E"/>
    <w:rsid w:val="15BF7647"/>
    <w:rsid w:val="16087E1D"/>
    <w:rsid w:val="16194204"/>
    <w:rsid w:val="16295DF5"/>
    <w:rsid w:val="16396AA1"/>
    <w:rsid w:val="164B7F3D"/>
    <w:rsid w:val="164C1AC8"/>
    <w:rsid w:val="16D16AE3"/>
    <w:rsid w:val="17013326"/>
    <w:rsid w:val="17033ECD"/>
    <w:rsid w:val="170638C6"/>
    <w:rsid w:val="17184AC7"/>
    <w:rsid w:val="172C0815"/>
    <w:rsid w:val="173223B8"/>
    <w:rsid w:val="17521B72"/>
    <w:rsid w:val="17701D14"/>
    <w:rsid w:val="17735226"/>
    <w:rsid w:val="17884EC8"/>
    <w:rsid w:val="179F4971"/>
    <w:rsid w:val="17BA705B"/>
    <w:rsid w:val="18210B4C"/>
    <w:rsid w:val="183A5798"/>
    <w:rsid w:val="1870788F"/>
    <w:rsid w:val="18715284"/>
    <w:rsid w:val="187F19FD"/>
    <w:rsid w:val="18913D73"/>
    <w:rsid w:val="189D0495"/>
    <w:rsid w:val="189F624C"/>
    <w:rsid w:val="18AB2488"/>
    <w:rsid w:val="18B2596E"/>
    <w:rsid w:val="18D17427"/>
    <w:rsid w:val="18FB2B28"/>
    <w:rsid w:val="19934117"/>
    <w:rsid w:val="199B3BB7"/>
    <w:rsid w:val="19A37944"/>
    <w:rsid w:val="19CF4FD5"/>
    <w:rsid w:val="1A1C66C0"/>
    <w:rsid w:val="1A3D5939"/>
    <w:rsid w:val="1A4172D2"/>
    <w:rsid w:val="1A42393B"/>
    <w:rsid w:val="1A4A080A"/>
    <w:rsid w:val="1AAD45DE"/>
    <w:rsid w:val="1AB33AF2"/>
    <w:rsid w:val="1AE814A8"/>
    <w:rsid w:val="1AEE5F1D"/>
    <w:rsid w:val="1B046F80"/>
    <w:rsid w:val="1B05655B"/>
    <w:rsid w:val="1B1C62BB"/>
    <w:rsid w:val="1B3156EE"/>
    <w:rsid w:val="1B3267B5"/>
    <w:rsid w:val="1B40161D"/>
    <w:rsid w:val="1B441859"/>
    <w:rsid w:val="1B4521C0"/>
    <w:rsid w:val="1B5778A4"/>
    <w:rsid w:val="1B62768B"/>
    <w:rsid w:val="1B6606B1"/>
    <w:rsid w:val="1B753A8E"/>
    <w:rsid w:val="1B9575F6"/>
    <w:rsid w:val="1BA4747F"/>
    <w:rsid w:val="1BCC212B"/>
    <w:rsid w:val="1BD55EA4"/>
    <w:rsid w:val="1BD72C4B"/>
    <w:rsid w:val="1BE857ED"/>
    <w:rsid w:val="1BE8654A"/>
    <w:rsid w:val="1BF711F2"/>
    <w:rsid w:val="1C224766"/>
    <w:rsid w:val="1C362480"/>
    <w:rsid w:val="1C5E7925"/>
    <w:rsid w:val="1C635AF0"/>
    <w:rsid w:val="1C6F6FCC"/>
    <w:rsid w:val="1C7A6434"/>
    <w:rsid w:val="1C7F727A"/>
    <w:rsid w:val="1CD35D83"/>
    <w:rsid w:val="1CE43892"/>
    <w:rsid w:val="1CFD070F"/>
    <w:rsid w:val="1D3533A1"/>
    <w:rsid w:val="1D5F3D2D"/>
    <w:rsid w:val="1D5F6196"/>
    <w:rsid w:val="1D6132A5"/>
    <w:rsid w:val="1D622366"/>
    <w:rsid w:val="1D8208FE"/>
    <w:rsid w:val="1D84211C"/>
    <w:rsid w:val="1D8E56D5"/>
    <w:rsid w:val="1DC34FF6"/>
    <w:rsid w:val="1DF104C0"/>
    <w:rsid w:val="1E264BC0"/>
    <w:rsid w:val="1E325C04"/>
    <w:rsid w:val="1E3B5065"/>
    <w:rsid w:val="1E5C46C9"/>
    <w:rsid w:val="1E7A43DA"/>
    <w:rsid w:val="1E7E7ACB"/>
    <w:rsid w:val="1E9946ED"/>
    <w:rsid w:val="1EB84699"/>
    <w:rsid w:val="1F2A4C57"/>
    <w:rsid w:val="1F2F1CDE"/>
    <w:rsid w:val="1F744F49"/>
    <w:rsid w:val="1FE7539E"/>
    <w:rsid w:val="1FE95082"/>
    <w:rsid w:val="201340AD"/>
    <w:rsid w:val="20301205"/>
    <w:rsid w:val="2030279D"/>
    <w:rsid w:val="20671BE0"/>
    <w:rsid w:val="20804348"/>
    <w:rsid w:val="20963CB8"/>
    <w:rsid w:val="20A81A1B"/>
    <w:rsid w:val="20AD52D7"/>
    <w:rsid w:val="20B07FB6"/>
    <w:rsid w:val="20B646FB"/>
    <w:rsid w:val="20BC3DF8"/>
    <w:rsid w:val="20F2487C"/>
    <w:rsid w:val="210B2D1E"/>
    <w:rsid w:val="213B74B1"/>
    <w:rsid w:val="215A2310"/>
    <w:rsid w:val="2171202A"/>
    <w:rsid w:val="217B27D2"/>
    <w:rsid w:val="2187450F"/>
    <w:rsid w:val="218D12E5"/>
    <w:rsid w:val="21A6247F"/>
    <w:rsid w:val="21A62DA2"/>
    <w:rsid w:val="21B71FE3"/>
    <w:rsid w:val="21D85543"/>
    <w:rsid w:val="21DE318A"/>
    <w:rsid w:val="21EF5B80"/>
    <w:rsid w:val="21F726B1"/>
    <w:rsid w:val="21FE6B67"/>
    <w:rsid w:val="221243A5"/>
    <w:rsid w:val="22494FF3"/>
    <w:rsid w:val="22576990"/>
    <w:rsid w:val="22785192"/>
    <w:rsid w:val="229B15E4"/>
    <w:rsid w:val="22AB5C10"/>
    <w:rsid w:val="22B55A9A"/>
    <w:rsid w:val="22F47480"/>
    <w:rsid w:val="231E6249"/>
    <w:rsid w:val="232606A5"/>
    <w:rsid w:val="23600908"/>
    <w:rsid w:val="236045D7"/>
    <w:rsid w:val="236B50B0"/>
    <w:rsid w:val="23700D72"/>
    <w:rsid w:val="23890B88"/>
    <w:rsid w:val="23920FF6"/>
    <w:rsid w:val="23DE1C48"/>
    <w:rsid w:val="240210CD"/>
    <w:rsid w:val="242B2542"/>
    <w:rsid w:val="247034BA"/>
    <w:rsid w:val="24BF09F7"/>
    <w:rsid w:val="24C525F3"/>
    <w:rsid w:val="24CF05AA"/>
    <w:rsid w:val="24DB4DF1"/>
    <w:rsid w:val="24FE44FA"/>
    <w:rsid w:val="24FF19F8"/>
    <w:rsid w:val="252D53FE"/>
    <w:rsid w:val="25651337"/>
    <w:rsid w:val="258F19ED"/>
    <w:rsid w:val="2594333C"/>
    <w:rsid w:val="25C0343A"/>
    <w:rsid w:val="25D95C2E"/>
    <w:rsid w:val="25E638C7"/>
    <w:rsid w:val="25EC2D81"/>
    <w:rsid w:val="26696071"/>
    <w:rsid w:val="267D4D78"/>
    <w:rsid w:val="2702639F"/>
    <w:rsid w:val="271C7E64"/>
    <w:rsid w:val="273161A0"/>
    <w:rsid w:val="27447D74"/>
    <w:rsid w:val="276B05DA"/>
    <w:rsid w:val="277057A2"/>
    <w:rsid w:val="277D689D"/>
    <w:rsid w:val="277E7A16"/>
    <w:rsid w:val="27C5217C"/>
    <w:rsid w:val="280210FE"/>
    <w:rsid w:val="28114B4B"/>
    <w:rsid w:val="28275439"/>
    <w:rsid w:val="282E04AF"/>
    <w:rsid w:val="28477B68"/>
    <w:rsid w:val="284866D5"/>
    <w:rsid w:val="284C2D69"/>
    <w:rsid w:val="28562D16"/>
    <w:rsid w:val="28744C5A"/>
    <w:rsid w:val="288A5341"/>
    <w:rsid w:val="28C55917"/>
    <w:rsid w:val="28D45B13"/>
    <w:rsid w:val="28E3622E"/>
    <w:rsid w:val="29206EB8"/>
    <w:rsid w:val="29572195"/>
    <w:rsid w:val="29595666"/>
    <w:rsid w:val="29874881"/>
    <w:rsid w:val="29BF7E82"/>
    <w:rsid w:val="29C72EC6"/>
    <w:rsid w:val="29E325E0"/>
    <w:rsid w:val="2A452503"/>
    <w:rsid w:val="2AAA3748"/>
    <w:rsid w:val="2AAE5E0B"/>
    <w:rsid w:val="2AC43E1B"/>
    <w:rsid w:val="2ACE60D5"/>
    <w:rsid w:val="2AD97F04"/>
    <w:rsid w:val="2AE35C45"/>
    <w:rsid w:val="2AF2761D"/>
    <w:rsid w:val="2AF9250D"/>
    <w:rsid w:val="2BA936A8"/>
    <w:rsid w:val="2BBA3AEB"/>
    <w:rsid w:val="2BC23DE6"/>
    <w:rsid w:val="2C0D65DA"/>
    <w:rsid w:val="2C120F60"/>
    <w:rsid w:val="2C152E22"/>
    <w:rsid w:val="2C315A5A"/>
    <w:rsid w:val="2C456439"/>
    <w:rsid w:val="2C4B1C25"/>
    <w:rsid w:val="2C62095B"/>
    <w:rsid w:val="2C885982"/>
    <w:rsid w:val="2CA00B31"/>
    <w:rsid w:val="2CDF7FCA"/>
    <w:rsid w:val="2CF5247B"/>
    <w:rsid w:val="2D823D83"/>
    <w:rsid w:val="2D9E56F5"/>
    <w:rsid w:val="2DBB28B7"/>
    <w:rsid w:val="2DE07AF6"/>
    <w:rsid w:val="2E3A6022"/>
    <w:rsid w:val="2E667F96"/>
    <w:rsid w:val="2E8226AB"/>
    <w:rsid w:val="2F384362"/>
    <w:rsid w:val="2F5E1510"/>
    <w:rsid w:val="2FD065E6"/>
    <w:rsid w:val="2FD96870"/>
    <w:rsid w:val="2FF430A1"/>
    <w:rsid w:val="3022475A"/>
    <w:rsid w:val="303C1C5F"/>
    <w:rsid w:val="30580BC9"/>
    <w:rsid w:val="30AD5471"/>
    <w:rsid w:val="30FE308A"/>
    <w:rsid w:val="311E2ED7"/>
    <w:rsid w:val="315619EE"/>
    <w:rsid w:val="315C449C"/>
    <w:rsid w:val="31A45BA3"/>
    <w:rsid w:val="31B82709"/>
    <w:rsid w:val="31D05482"/>
    <w:rsid w:val="323D4136"/>
    <w:rsid w:val="32400B34"/>
    <w:rsid w:val="324A33A9"/>
    <w:rsid w:val="328C4452"/>
    <w:rsid w:val="328D35E3"/>
    <w:rsid w:val="329E6876"/>
    <w:rsid w:val="32AA4E09"/>
    <w:rsid w:val="32CD1A93"/>
    <w:rsid w:val="32F463FF"/>
    <w:rsid w:val="33034376"/>
    <w:rsid w:val="332C18B3"/>
    <w:rsid w:val="333015F2"/>
    <w:rsid w:val="334B6320"/>
    <w:rsid w:val="334B66D0"/>
    <w:rsid w:val="33697489"/>
    <w:rsid w:val="33703368"/>
    <w:rsid w:val="33D934D4"/>
    <w:rsid w:val="33E03DD4"/>
    <w:rsid w:val="33FE2F6A"/>
    <w:rsid w:val="340E07E5"/>
    <w:rsid w:val="34235BF7"/>
    <w:rsid w:val="34EB36D8"/>
    <w:rsid w:val="34F04FA0"/>
    <w:rsid w:val="355A05E2"/>
    <w:rsid w:val="355B4C53"/>
    <w:rsid w:val="35736C76"/>
    <w:rsid w:val="357E033A"/>
    <w:rsid w:val="358C5FA8"/>
    <w:rsid w:val="35B91D00"/>
    <w:rsid w:val="35C15DF1"/>
    <w:rsid w:val="35EA1B59"/>
    <w:rsid w:val="35EE6E64"/>
    <w:rsid w:val="36074A7F"/>
    <w:rsid w:val="361F4F51"/>
    <w:rsid w:val="362F47A3"/>
    <w:rsid w:val="36637A16"/>
    <w:rsid w:val="36923549"/>
    <w:rsid w:val="36B75FBF"/>
    <w:rsid w:val="36BD0C45"/>
    <w:rsid w:val="36EE220B"/>
    <w:rsid w:val="37181F3B"/>
    <w:rsid w:val="37457F8D"/>
    <w:rsid w:val="37D86BDA"/>
    <w:rsid w:val="37E00298"/>
    <w:rsid w:val="381509B4"/>
    <w:rsid w:val="381F2E88"/>
    <w:rsid w:val="38220ED3"/>
    <w:rsid w:val="388246C2"/>
    <w:rsid w:val="388F214A"/>
    <w:rsid w:val="38B236C9"/>
    <w:rsid w:val="38B302F9"/>
    <w:rsid w:val="38DF5CCA"/>
    <w:rsid w:val="38F12CD3"/>
    <w:rsid w:val="38F94775"/>
    <w:rsid w:val="392971ED"/>
    <w:rsid w:val="39325651"/>
    <w:rsid w:val="39501BFE"/>
    <w:rsid w:val="395C1552"/>
    <w:rsid w:val="39B84FC4"/>
    <w:rsid w:val="39C53E29"/>
    <w:rsid w:val="39D952F3"/>
    <w:rsid w:val="3A1C0270"/>
    <w:rsid w:val="3A4041AB"/>
    <w:rsid w:val="3A872856"/>
    <w:rsid w:val="3A8E6951"/>
    <w:rsid w:val="3A9D66C5"/>
    <w:rsid w:val="3AB53EA9"/>
    <w:rsid w:val="3ACD7139"/>
    <w:rsid w:val="3AE80D43"/>
    <w:rsid w:val="3B0576B6"/>
    <w:rsid w:val="3B156063"/>
    <w:rsid w:val="3B3763D1"/>
    <w:rsid w:val="3BE73686"/>
    <w:rsid w:val="3C2F6E1E"/>
    <w:rsid w:val="3C4F64BA"/>
    <w:rsid w:val="3C5938F5"/>
    <w:rsid w:val="3CDA245A"/>
    <w:rsid w:val="3CE53DCB"/>
    <w:rsid w:val="3CEA24B9"/>
    <w:rsid w:val="3CF31E3D"/>
    <w:rsid w:val="3D031447"/>
    <w:rsid w:val="3D1E06B7"/>
    <w:rsid w:val="3D62469C"/>
    <w:rsid w:val="3D8A5557"/>
    <w:rsid w:val="3DEE48EA"/>
    <w:rsid w:val="3DF47EE4"/>
    <w:rsid w:val="3E1C606B"/>
    <w:rsid w:val="3E69702F"/>
    <w:rsid w:val="3E886FFE"/>
    <w:rsid w:val="3E89169A"/>
    <w:rsid w:val="3EA124EB"/>
    <w:rsid w:val="3EDA0523"/>
    <w:rsid w:val="3F32451E"/>
    <w:rsid w:val="3F907726"/>
    <w:rsid w:val="4032413E"/>
    <w:rsid w:val="403B60B9"/>
    <w:rsid w:val="40636991"/>
    <w:rsid w:val="407133D3"/>
    <w:rsid w:val="407A6329"/>
    <w:rsid w:val="407A6407"/>
    <w:rsid w:val="40AE30EF"/>
    <w:rsid w:val="40BC02BE"/>
    <w:rsid w:val="40BF4F59"/>
    <w:rsid w:val="40EA1F17"/>
    <w:rsid w:val="414A4DBE"/>
    <w:rsid w:val="41707D47"/>
    <w:rsid w:val="419D432E"/>
    <w:rsid w:val="41A77661"/>
    <w:rsid w:val="41CA7960"/>
    <w:rsid w:val="41CF56E2"/>
    <w:rsid w:val="4200449D"/>
    <w:rsid w:val="42254FB3"/>
    <w:rsid w:val="423A3BCC"/>
    <w:rsid w:val="424A1F26"/>
    <w:rsid w:val="424E57D2"/>
    <w:rsid w:val="42A639F1"/>
    <w:rsid w:val="42A93777"/>
    <w:rsid w:val="42B26C49"/>
    <w:rsid w:val="43011463"/>
    <w:rsid w:val="430F1BEF"/>
    <w:rsid w:val="43377419"/>
    <w:rsid w:val="433A6FE6"/>
    <w:rsid w:val="43480868"/>
    <w:rsid w:val="4350713C"/>
    <w:rsid w:val="436653E0"/>
    <w:rsid w:val="436D1DC9"/>
    <w:rsid w:val="439858F9"/>
    <w:rsid w:val="43C4431A"/>
    <w:rsid w:val="43F4048C"/>
    <w:rsid w:val="44386F6D"/>
    <w:rsid w:val="443B020D"/>
    <w:rsid w:val="44A62960"/>
    <w:rsid w:val="44AD2FD5"/>
    <w:rsid w:val="44B951CC"/>
    <w:rsid w:val="44CD14E0"/>
    <w:rsid w:val="44D4251A"/>
    <w:rsid w:val="44D823A5"/>
    <w:rsid w:val="44E316D9"/>
    <w:rsid w:val="44EE5D4E"/>
    <w:rsid w:val="44F20B0B"/>
    <w:rsid w:val="44F27707"/>
    <w:rsid w:val="452764C6"/>
    <w:rsid w:val="452E5F4C"/>
    <w:rsid w:val="45612018"/>
    <w:rsid w:val="45796908"/>
    <w:rsid w:val="45892831"/>
    <w:rsid w:val="458946E9"/>
    <w:rsid w:val="45A47C0E"/>
    <w:rsid w:val="45B0307D"/>
    <w:rsid w:val="45C9287E"/>
    <w:rsid w:val="460F78F6"/>
    <w:rsid w:val="46577FD6"/>
    <w:rsid w:val="467A4F1B"/>
    <w:rsid w:val="46B21C2E"/>
    <w:rsid w:val="46D955A7"/>
    <w:rsid w:val="46DF6106"/>
    <w:rsid w:val="46F04A35"/>
    <w:rsid w:val="47133957"/>
    <w:rsid w:val="4743089E"/>
    <w:rsid w:val="4764399F"/>
    <w:rsid w:val="47667494"/>
    <w:rsid w:val="476A6321"/>
    <w:rsid w:val="477074B7"/>
    <w:rsid w:val="4785195A"/>
    <w:rsid w:val="478A1785"/>
    <w:rsid w:val="47A07E0C"/>
    <w:rsid w:val="47BF6D06"/>
    <w:rsid w:val="480E3A52"/>
    <w:rsid w:val="4814607F"/>
    <w:rsid w:val="484A4A39"/>
    <w:rsid w:val="484C77F7"/>
    <w:rsid w:val="48572661"/>
    <w:rsid w:val="4870272E"/>
    <w:rsid w:val="488D63CF"/>
    <w:rsid w:val="48BD54A3"/>
    <w:rsid w:val="48D665B1"/>
    <w:rsid w:val="495F6976"/>
    <w:rsid w:val="499F1E51"/>
    <w:rsid w:val="49DC7715"/>
    <w:rsid w:val="4A023139"/>
    <w:rsid w:val="4A1452E8"/>
    <w:rsid w:val="4A3F3BEF"/>
    <w:rsid w:val="4A7B576F"/>
    <w:rsid w:val="4A873D23"/>
    <w:rsid w:val="4A9323C3"/>
    <w:rsid w:val="4AA12859"/>
    <w:rsid w:val="4AB27B9F"/>
    <w:rsid w:val="4AB41401"/>
    <w:rsid w:val="4AF561A9"/>
    <w:rsid w:val="4AFF3F0C"/>
    <w:rsid w:val="4AFF6311"/>
    <w:rsid w:val="4B011AFE"/>
    <w:rsid w:val="4B4919D9"/>
    <w:rsid w:val="4B4C1780"/>
    <w:rsid w:val="4B4F545C"/>
    <w:rsid w:val="4B5D14B8"/>
    <w:rsid w:val="4BAF63DD"/>
    <w:rsid w:val="4C232806"/>
    <w:rsid w:val="4C397865"/>
    <w:rsid w:val="4C4A0649"/>
    <w:rsid w:val="4C5D688E"/>
    <w:rsid w:val="4C754796"/>
    <w:rsid w:val="4C7C5BCF"/>
    <w:rsid w:val="4C7E5ECA"/>
    <w:rsid w:val="4C85233E"/>
    <w:rsid w:val="4C876AA5"/>
    <w:rsid w:val="4CE310F2"/>
    <w:rsid w:val="4D0E00FB"/>
    <w:rsid w:val="4D176606"/>
    <w:rsid w:val="4D547A61"/>
    <w:rsid w:val="4D896C76"/>
    <w:rsid w:val="4DEC4FB0"/>
    <w:rsid w:val="4E075D8A"/>
    <w:rsid w:val="4E10624E"/>
    <w:rsid w:val="4E196D0D"/>
    <w:rsid w:val="4E1A1C05"/>
    <w:rsid w:val="4E310B63"/>
    <w:rsid w:val="4E5A2027"/>
    <w:rsid w:val="4E6C5A1E"/>
    <w:rsid w:val="4EC00FAD"/>
    <w:rsid w:val="4EC64B5A"/>
    <w:rsid w:val="4F346C9E"/>
    <w:rsid w:val="4F7A1909"/>
    <w:rsid w:val="4F894C8C"/>
    <w:rsid w:val="4F9843DC"/>
    <w:rsid w:val="4F993BE5"/>
    <w:rsid w:val="4FC62A8C"/>
    <w:rsid w:val="4FE20F0D"/>
    <w:rsid w:val="4FE51552"/>
    <w:rsid w:val="4FED6AF0"/>
    <w:rsid w:val="4FF87C75"/>
    <w:rsid w:val="4FFD18FB"/>
    <w:rsid w:val="50355819"/>
    <w:rsid w:val="50504C4B"/>
    <w:rsid w:val="505608DB"/>
    <w:rsid w:val="509C6E7C"/>
    <w:rsid w:val="50A124DF"/>
    <w:rsid w:val="50C4393B"/>
    <w:rsid w:val="50F056C7"/>
    <w:rsid w:val="51054FBD"/>
    <w:rsid w:val="51080090"/>
    <w:rsid w:val="51151591"/>
    <w:rsid w:val="5162104E"/>
    <w:rsid w:val="51655D2D"/>
    <w:rsid w:val="517E2526"/>
    <w:rsid w:val="51897C31"/>
    <w:rsid w:val="51B126F1"/>
    <w:rsid w:val="527D16C5"/>
    <w:rsid w:val="527F3497"/>
    <w:rsid w:val="527F6963"/>
    <w:rsid w:val="52B54061"/>
    <w:rsid w:val="53331D89"/>
    <w:rsid w:val="535E06C6"/>
    <w:rsid w:val="536A7D05"/>
    <w:rsid w:val="538C05FC"/>
    <w:rsid w:val="53901E9A"/>
    <w:rsid w:val="539D20A3"/>
    <w:rsid w:val="53A039CC"/>
    <w:rsid w:val="53A1505A"/>
    <w:rsid w:val="53BD7912"/>
    <w:rsid w:val="53F14935"/>
    <w:rsid w:val="54063E08"/>
    <w:rsid w:val="54107E5D"/>
    <w:rsid w:val="541E0085"/>
    <w:rsid w:val="542A6709"/>
    <w:rsid w:val="543437E8"/>
    <w:rsid w:val="54352AC1"/>
    <w:rsid w:val="54C8169F"/>
    <w:rsid w:val="54EA4272"/>
    <w:rsid w:val="54F73313"/>
    <w:rsid w:val="54F80955"/>
    <w:rsid w:val="55202344"/>
    <w:rsid w:val="554B6139"/>
    <w:rsid w:val="555170A7"/>
    <w:rsid w:val="5587536D"/>
    <w:rsid w:val="55977CE7"/>
    <w:rsid w:val="559B174B"/>
    <w:rsid w:val="55CE0CF4"/>
    <w:rsid w:val="55D84BEF"/>
    <w:rsid w:val="55D933BA"/>
    <w:rsid w:val="56114F1D"/>
    <w:rsid w:val="562331DA"/>
    <w:rsid w:val="56272368"/>
    <w:rsid w:val="562A18C2"/>
    <w:rsid w:val="563B6A15"/>
    <w:rsid w:val="56A67F87"/>
    <w:rsid w:val="56B22A9C"/>
    <w:rsid w:val="57193C9E"/>
    <w:rsid w:val="5722681B"/>
    <w:rsid w:val="57446DAD"/>
    <w:rsid w:val="574E7EC8"/>
    <w:rsid w:val="576E67CA"/>
    <w:rsid w:val="579F5077"/>
    <w:rsid w:val="57B72A76"/>
    <w:rsid w:val="57B74104"/>
    <w:rsid w:val="57C3426C"/>
    <w:rsid w:val="57CE1F93"/>
    <w:rsid w:val="58355B3C"/>
    <w:rsid w:val="58630B68"/>
    <w:rsid w:val="58750E05"/>
    <w:rsid w:val="588743D1"/>
    <w:rsid w:val="5887701A"/>
    <w:rsid w:val="58AD40D3"/>
    <w:rsid w:val="58B137D1"/>
    <w:rsid w:val="58B56CD8"/>
    <w:rsid w:val="58F52D3B"/>
    <w:rsid w:val="591B5098"/>
    <w:rsid w:val="5931079B"/>
    <w:rsid w:val="59694F6E"/>
    <w:rsid w:val="59856067"/>
    <w:rsid w:val="59BD44E4"/>
    <w:rsid w:val="59C0439F"/>
    <w:rsid w:val="59CE7261"/>
    <w:rsid w:val="59E430D2"/>
    <w:rsid w:val="5A2D1926"/>
    <w:rsid w:val="5A6B702F"/>
    <w:rsid w:val="5A753CCA"/>
    <w:rsid w:val="5ABE2233"/>
    <w:rsid w:val="5B0913DA"/>
    <w:rsid w:val="5B117127"/>
    <w:rsid w:val="5B1A3CB1"/>
    <w:rsid w:val="5B1B684C"/>
    <w:rsid w:val="5B89775C"/>
    <w:rsid w:val="5B9B06A7"/>
    <w:rsid w:val="5B9B09B4"/>
    <w:rsid w:val="5BAB63CF"/>
    <w:rsid w:val="5BB44616"/>
    <w:rsid w:val="5BDF5D95"/>
    <w:rsid w:val="5BFE7528"/>
    <w:rsid w:val="5C0607E2"/>
    <w:rsid w:val="5C2D3ED0"/>
    <w:rsid w:val="5C4F79BE"/>
    <w:rsid w:val="5C6C3ECD"/>
    <w:rsid w:val="5CA01B70"/>
    <w:rsid w:val="5CB43DD7"/>
    <w:rsid w:val="5CED3EA2"/>
    <w:rsid w:val="5CF96C0B"/>
    <w:rsid w:val="5D1F031D"/>
    <w:rsid w:val="5D5822A5"/>
    <w:rsid w:val="5D5F2696"/>
    <w:rsid w:val="5DA4378F"/>
    <w:rsid w:val="5DAD6E5B"/>
    <w:rsid w:val="5DBA3AB1"/>
    <w:rsid w:val="5DCD5826"/>
    <w:rsid w:val="5E2467F1"/>
    <w:rsid w:val="5E4360BC"/>
    <w:rsid w:val="5ED926B1"/>
    <w:rsid w:val="5F1A2B43"/>
    <w:rsid w:val="5F5D3118"/>
    <w:rsid w:val="5F6048C4"/>
    <w:rsid w:val="5F6C0D4F"/>
    <w:rsid w:val="5FB837BB"/>
    <w:rsid w:val="5FFA1C33"/>
    <w:rsid w:val="602705BE"/>
    <w:rsid w:val="60311107"/>
    <w:rsid w:val="60460A81"/>
    <w:rsid w:val="60C2035E"/>
    <w:rsid w:val="60CC405A"/>
    <w:rsid w:val="612B67C4"/>
    <w:rsid w:val="61387A9B"/>
    <w:rsid w:val="61455554"/>
    <w:rsid w:val="615D5E85"/>
    <w:rsid w:val="616D1DE5"/>
    <w:rsid w:val="61C16D0B"/>
    <w:rsid w:val="61E215D8"/>
    <w:rsid w:val="620D65F4"/>
    <w:rsid w:val="620E0BEC"/>
    <w:rsid w:val="621B3775"/>
    <w:rsid w:val="62233ED9"/>
    <w:rsid w:val="62364782"/>
    <w:rsid w:val="625260F1"/>
    <w:rsid w:val="6293285A"/>
    <w:rsid w:val="62A50CBD"/>
    <w:rsid w:val="62A77652"/>
    <w:rsid w:val="62EC6E00"/>
    <w:rsid w:val="633920F2"/>
    <w:rsid w:val="63633DE9"/>
    <w:rsid w:val="6394356A"/>
    <w:rsid w:val="63A95070"/>
    <w:rsid w:val="63C61B2C"/>
    <w:rsid w:val="63D40BE9"/>
    <w:rsid w:val="64102431"/>
    <w:rsid w:val="64175282"/>
    <w:rsid w:val="641E6E09"/>
    <w:rsid w:val="64501433"/>
    <w:rsid w:val="648D669A"/>
    <w:rsid w:val="649779E7"/>
    <w:rsid w:val="64A5243A"/>
    <w:rsid w:val="64F531DE"/>
    <w:rsid w:val="64F53E7D"/>
    <w:rsid w:val="652A3C12"/>
    <w:rsid w:val="65373578"/>
    <w:rsid w:val="65846BD5"/>
    <w:rsid w:val="65BC41EB"/>
    <w:rsid w:val="65F73F52"/>
    <w:rsid w:val="6603632F"/>
    <w:rsid w:val="66074973"/>
    <w:rsid w:val="66652ED8"/>
    <w:rsid w:val="66735589"/>
    <w:rsid w:val="667B0920"/>
    <w:rsid w:val="669D00E5"/>
    <w:rsid w:val="669F1A3F"/>
    <w:rsid w:val="66A5150B"/>
    <w:rsid w:val="66DD79B2"/>
    <w:rsid w:val="66EF100D"/>
    <w:rsid w:val="66F443E8"/>
    <w:rsid w:val="670E6A2F"/>
    <w:rsid w:val="670F0822"/>
    <w:rsid w:val="671F124A"/>
    <w:rsid w:val="67483879"/>
    <w:rsid w:val="677A33C6"/>
    <w:rsid w:val="67B01941"/>
    <w:rsid w:val="67BD2D0C"/>
    <w:rsid w:val="67DA0FC4"/>
    <w:rsid w:val="67F8635C"/>
    <w:rsid w:val="67FF6323"/>
    <w:rsid w:val="68040DA4"/>
    <w:rsid w:val="681F6961"/>
    <w:rsid w:val="6825333F"/>
    <w:rsid w:val="684311D7"/>
    <w:rsid w:val="68610A2F"/>
    <w:rsid w:val="687002AB"/>
    <w:rsid w:val="68805514"/>
    <w:rsid w:val="68C41D96"/>
    <w:rsid w:val="68E50B40"/>
    <w:rsid w:val="68F82459"/>
    <w:rsid w:val="69316E2F"/>
    <w:rsid w:val="694E2071"/>
    <w:rsid w:val="69766163"/>
    <w:rsid w:val="697A3B33"/>
    <w:rsid w:val="697F6816"/>
    <w:rsid w:val="69D44760"/>
    <w:rsid w:val="69E63468"/>
    <w:rsid w:val="6A17556E"/>
    <w:rsid w:val="6A1E4C1B"/>
    <w:rsid w:val="6A520EC7"/>
    <w:rsid w:val="6A785C48"/>
    <w:rsid w:val="6A822C5D"/>
    <w:rsid w:val="6A8350EB"/>
    <w:rsid w:val="6ADF2E10"/>
    <w:rsid w:val="6AF36CE3"/>
    <w:rsid w:val="6AF87E20"/>
    <w:rsid w:val="6AFE5CF0"/>
    <w:rsid w:val="6B182569"/>
    <w:rsid w:val="6B1D578F"/>
    <w:rsid w:val="6B322639"/>
    <w:rsid w:val="6B3E4238"/>
    <w:rsid w:val="6B44752C"/>
    <w:rsid w:val="6B553B12"/>
    <w:rsid w:val="6B630614"/>
    <w:rsid w:val="6B7B6D9B"/>
    <w:rsid w:val="6B9B35C9"/>
    <w:rsid w:val="6B9E780A"/>
    <w:rsid w:val="6BE14B35"/>
    <w:rsid w:val="6BED4A66"/>
    <w:rsid w:val="6BF37CAE"/>
    <w:rsid w:val="6BF5575A"/>
    <w:rsid w:val="6C0D733B"/>
    <w:rsid w:val="6C2F1B14"/>
    <w:rsid w:val="6C302162"/>
    <w:rsid w:val="6C636C38"/>
    <w:rsid w:val="6CB70C54"/>
    <w:rsid w:val="6CC74298"/>
    <w:rsid w:val="6CCB7EA9"/>
    <w:rsid w:val="6CDA3020"/>
    <w:rsid w:val="6CE02047"/>
    <w:rsid w:val="6CED6CF2"/>
    <w:rsid w:val="6CF16E49"/>
    <w:rsid w:val="6D490ED9"/>
    <w:rsid w:val="6D5B0D1C"/>
    <w:rsid w:val="6DB34098"/>
    <w:rsid w:val="6DB545B6"/>
    <w:rsid w:val="6DE02FB4"/>
    <w:rsid w:val="6E117757"/>
    <w:rsid w:val="6E1D7510"/>
    <w:rsid w:val="6E2B791C"/>
    <w:rsid w:val="6E38432D"/>
    <w:rsid w:val="6E514CED"/>
    <w:rsid w:val="6E6E62CE"/>
    <w:rsid w:val="6EA164AD"/>
    <w:rsid w:val="6EB563D5"/>
    <w:rsid w:val="6EB86AB0"/>
    <w:rsid w:val="6ECB3AAA"/>
    <w:rsid w:val="6ED92677"/>
    <w:rsid w:val="6F0809AD"/>
    <w:rsid w:val="6F204387"/>
    <w:rsid w:val="6F225983"/>
    <w:rsid w:val="6F225BCC"/>
    <w:rsid w:val="6F2748C1"/>
    <w:rsid w:val="6F8B1155"/>
    <w:rsid w:val="6FB712AF"/>
    <w:rsid w:val="6FBD3BBF"/>
    <w:rsid w:val="6FC57980"/>
    <w:rsid w:val="6FD77669"/>
    <w:rsid w:val="6FE95D22"/>
    <w:rsid w:val="6FFC5590"/>
    <w:rsid w:val="704804ED"/>
    <w:rsid w:val="706D1DD0"/>
    <w:rsid w:val="708055F5"/>
    <w:rsid w:val="70856B87"/>
    <w:rsid w:val="70D527EE"/>
    <w:rsid w:val="70D76262"/>
    <w:rsid w:val="70E17847"/>
    <w:rsid w:val="70F8360B"/>
    <w:rsid w:val="711B1096"/>
    <w:rsid w:val="711D1403"/>
    <w:rsid w:val="715B5300"/>
    <w:rsid w:val="71702B61"/>
    <w:rsid w:val="71871D85"/>
    <w:rsid w:val="71A23AA9"/>
    <w:rsid w:val="71A6174A"/>
    <w:rsid w:val="71A97262"/>
    <w:rsid w:val="71D27F8A"/>
    <w:rsid w:val="71D40BD2"/>
    <w:rsid w:val="72553024"/>
    <w:rsid w:val="725F77F4"/>
    <w:rsid w:val="728B234D"/>
    <w:rsid w:val="729C2192"/>
    <w:rsid w:val="729D5625"/>
    <w:rsid w:val="72B16FF1"/>
    <w:rsid w:val="73122968"/>
    <w:rsid w:val="731A1881"/>
    <w:rsid w:val="731F5D5E"/>
    <w:rsid w:val="735C6288"/>
    <w:rsid w:val="73952549"/>
    <w:rsid w:val="73A90E3E"/>
    <w:rsid w:val="73C410B8"/>
    <w:rsid w:val="73C51AD5"/>
    <w:rsid w:val="73E51E24"/>
    <w:rsid w:val="741E793C"/>
    <w:rsid w:val="74280F13"/>
    <w:rsid w:val="743B25F1"/>
    <w:rsid w:val="743B73C3"/>
    <w:rsid w:val="7443464E"/>
    <w:rsid w:val="745E3944"/>
    <w:rsid w:val="74E64FB6"/>
    <w:rsid w:val="75873AAA"/>
    <w:rsid w:val="75DE2703"/>
    <w:rsid w:val="75E03510"/>
    <w:rsid w:val="760953E4"/>
    <w:rsid w:val="7635099D"/>
    <w:rsid w:val="765F6319"/>
    <w:rsid w:val="76811EDF"/>
    <w:rsid w:val="769636F2"/>
    <w:rsid w:val="76993F54"/>
    <w:rsid w:val="76B86882"/>
    <w:rsid w:val="76C82905"/>
    <w:rsid w:val="76DC6DBA"/>
    <w:rsid w:val="76DE4659"/>
    <w:rsid w:val="77762421"/>
    <w:rsid w:val="77833FE0"/>
    <w:rsid w:val="77B56B1F"/>
    <w:rsid w:val="77F5327A"/>
    <w:rsid w:val="77F913DE"/>
    <w:rsid w:val="77FF7427"/>
    <w:rsid w:val="78083F86"/>
    <w:rsid w:val="780E7B90"/>
    <w:rsid w:val="780F09F4"/>
    <w:rsid w:val="780F1D8C"/>
    <w:rsid w:val="783B1B25"/>
    <w:rsid w:val="785E4BDC"/>
    <w:rsid w:val="787A6483"/>
    <w:rsid w:val="789336F8"/>
    <w:rsid w:val="78A90480"/>
    <w:rsid w:val="78AC2A23"/>
    <w:rsid w:val="78D5065B"/>
    <w:rsid w:val="794959B2"/>
    <w:rsid w:val="79F125C5"/>
    <w:rsid w:val="7A364017"/>
    <w:rsid w:val="7A601671"/>
    <w:rsid w:val="7A8265E1"/>
    <w:rsid w:val="7AB12745"/>
    <w:rsid w:val="7AD641FA"/>
    <w:rsid w:val="7ADB173A"/>
    <w:rsid w:val="7ADE2EF1"/>
    <w:rsid w:val="7AF108B6"/>
    <w:rsid w:val="7AF26851"/>
    <w:rsid w:val="7AFB6E00"/>
    <w:rsid w:val="7B575A97"/>
    <w:rsid w:val="7B686D42"/>
    <w:rsid w:val="7B841746"/>
    <w:rsid w:val="7C06353E"/>
    <w:rsid w:val="7C44444D"/>
    <w:rsid w:val="7C610AAD"/>
    <w:rsid w:val="7C684E66"/>
    <w:rsid w:val="7C694787"/>
    <w:rsid w:val="7C6C5AC7"/>
    <w:rsid w:val="7C741852"/>
    <w:rsid w:val="7C86358B"/>
    <w:rsid w:val="7CAA222C"/>
    <w:rsid w:val="7CC6544B"/>
    <w:rsid w:val="7CED7CBD"/>
    <w:rsid w:val="7D0239FF"/>
    <w:rsid w:val="7D0F3580"/>
    <w:rsid w:val="7D472D33"/>
    <w:rsid w:val="7D5E40CD"/>
    <w:rsid w:val="7DBE72ED"/>
    <w:rsid w:val="7DCD56F2"/>
    <w:rsid w:val="7DDD6C4A"/>
    <w:rsid w:val="7E0B6193"/>
    <w:rsid w:val="7E3868F1"/>
    <w:rsid w:val="7E402F74"/>
    <w:rsid w:val="7E4542BE"/>
    <w:rsid w:val="7E711635"/>
    <w:rsid w:val="7E797ED1"/>
    <w:rsid w:val="7EE81351"/>
    <w:rsid w:val="7F001CE7"/>
    <w:rsid w:val="7F2A6E09"/>
    <w:rsid w:val="7F2D232C"/>
    <w:rsid w:val="7F8073E3"/>
    <w:rsid w:val="7F831404"/>
    <w:rsid w:val="7F986258"/>
    <w:rsid w:val="7FD06A75"/>
    <w:rsid w:val="7FE224A5"/>
    <w:rsid w:val="7FE47E5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6"/>
    <w:next w:val="1"/>
    <w:qFormat/>
    <w:locked/>
    <w:uiPriority w:val="0"/>
    <w:pPr>
      <w:keepNext/>
      <w:keepLines/>
      <w:spacing w:line="416" w:lineRule="auto"/>
      <w:outlineLvl w:val="1"/>
    </w:pPr>
    <w:rPr>
      <w:rFonts w:ascii="Arial" w:hAnsi="Arial"/>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spacing w:line="360" w:lineRule="auto"/>
      <w:ind w:firstLine="420" w:firstLineChars="200"/>
    </w:pPr>
  </w:style>
  <w:style w:type="paragraph" w:styleId="3">
    <w:name w:val="Body Text Indent"/>
    <w:basedOn w:val="1"/>
    <w:next w:val="2"/>
    <w:link w:val="29"/>
    <w:qFormat/>
    <w:uiPriority w:val="0"/>
    <w:pPr>
      <w:spacing w:after="120"/>
      <w:ind w:left="420" w:leftChars="200"/>
    </w:pPr>
    <w:rPr>
      <w:kern w:val="0"/>
      <w:sz w:val="24"/>
      <w:szCs w:val="20"/>
    </w:rPr>
  </w:style>
  <w:style w:type="paragraph" w:customStyle="1" w:styleId="6">
    <w:name w:val="一级条标题"/>
    <w:next w:val="1"/>
    <w:qFormat/>
    <w:uiPriority w:val="0"/>
    <w:pPr>
      <w:outlineLvl w:val="2"/>
    </w:pPr>
    <w:rPr>
      <w:rFonts w:ascii="Times New Roman" w:hAnsi="Times New Roman" w:eastAsia="黑体" w:cs="Times New Roman"/>
      <w:sz w:val="21"/>
      <w:lang w:val="en-US" w:eastAsia="zh-CN" w:bidi="ar-SA"/>
    </w:rPr>
  </w:style>
  <w:style w:type="paragraph" w:styleId="7">
    <w:name w:val="Normal Indent"/>
    <w:basedOn w:val="1"/>
    <w:unhideWhenUsed/>
    <w:qFormat/>
    <w:locked/>
    <w:uiPriority w:val="0"/>
    <w:pPr>
      <w:widowControl/>
      <w:ind w:firstLine="420"/>
      <w:jc w:val="left"/>
    </w:pPr>
    <w:rPr>
      <w:kern w:val="0"/>
      <w:sz w:val="20"/>
      <w:szCs w:val="20"/>
    </w:rPr>
  </w:style>
  <w:style w:type="paragraph" w:styleId="8">
    <w:name w:val="caption"/>
    <w:basedOn w:val="1"/>
    <w:next w:val="9"/>
    <w:qFormat/>
    <w:locked/>
    <w:uiPriority w:val="0"/>
    <w:rPr>
      <w:rFonts w:ascii="Calibri Light" w:hAnsi="Calibri Light" w:eastAsia="黑体"/>
      <w:sz w:val="20"/>
      <w:szCs w:val="20"/>
    </w:rPr>
  </w:style>
  <w:style w:type="paragraph" w:styleId="9">
    <w:name w:val="Body Text First Indent"/>
    <w:basedOn w:val="10"/>
    <w:next w:val="1"/>
    <w:qFormat/>
    <w:locked/>
    <w:uiPriority w:val="0"/>
    <w:pPr>
      <w:ind w:firstLine="420" w:firstLineChars="100"/>
    </w:pPr>
  </w:style>
  <w:style w:type="paragraph" w:styleId="10">
    <w:name w:val="Body Text"/>
    <w:basedOn w:val="1"/>
    <w:next w:val="1"/>
    <w:link w:val="30"/>
    <w:qFormat/>
    <w:uiPriority w:val="0"/>
    <w:pPr>
      <w:widowControl/>
      <w:snapToGrid w:val="0"/>
      <w:spacing w:before="60" w:after="160" w:line="259" w:lineRule="auto"/>
      <w:ind w:right="113"/>
    </w:pPr>
    <w:rPr>
      <w:kern w:val="0"/>
      <w:sz w:val="18"/>
      <w:szCs w:val="20"/>
    </w:rPr>
  </w:style>
  <w:style w:type="paragraph" w:styleId="11">
    <w:name w:val="annotation text"/>
    <w:basedOn w:val="1"/>
    <w:link w:val="31"/>
    <w:semiHidden/>
    <w:qFormat/>
    <w:uiPriority w:val="0"/>
    <w:pPr>
      <w:jc w:val="left"/>
    </w:pPr>
    <w:rPr>
      <w:kern w:val="0"/>
      <w:sz w:val="24"/>
      <w:szCs w:val="20"/>
    </w:rPr>
  </w:style>
  <w:style w:type="paragraph" w:styleId="12">
    <w:name w:val="Plain Text"/>
    <w:basedOn w:val="1"/>
    <w:next w:val="13"/>
    <w:qFormat/>
    <w:locked/>
    <w:uiPriority w:val="0"/>
    <w:rPr>
      <w:rFonts w:ascii="宋体" w:hAnsi="Courier New"/>
    </w:rPr>
  </w:style>
  <w:style w:type="paragraph" w:customStyle="1" w:styleId="13">
    <w:name w:val="正本"/>
    <w:basedOn w:val="1"/>
    <w:qFormat/>
    <w:uiPriority w:val="0"/>
    <w:pPr>
      <w:adjustRightInd w:val="0"/>
      <w:snapToGrid w:val="0"/>
      <w:spacing w:line="360" w:lineRule="auto"/>
      <w:ind w:firstLine="200" w:firstLineChars="200"/>
    </w:pPr>
    <w:rPr>
      <w:rFonts w:ascii="宋体"/>
      <w:sz w:val="24"/>
    </w:rPr>
  </w:style>
  <w:style w:type="paragraph" w:styleId="14">
    <w:name w:val="Date"/>
    <w:basedOn w:val="1"/>
    <w:next w:val="1"/>
    <w:link w:val="32"/>
    <w:qFormat/>
    <w:uiPriority w:val="0"/>
    <w:pPr>
      <w:ind w:left="100" w:leftChars="2500"/>
    </w:pPr>
    <w:rPr>
      <w:kern w:val="0"/>
      <w:sz w:val="24"/>
      <w:szCs w:val="20"/>
    </w:rPr>
  </w:style>
  <w:style w:type="paragraph" w:styleId="15">
    <w:name w:val="Balloon Text"/>
    <w:basedOn w:val="1"/>
    <w:link w:val="33"/>
    <w:semiHidden/>
    <w:qFormat/>
    <w:uiPriority w:val="0"/>
    <w:rPr>
      <w:kern w:val="0"/>
      <w:sz w:val="18"/>
      <w:szCs w:val="20"/>
    </w:rPr>
  </w:style>
  <w:style w:type="paragraph" w:styleId="16">
    <w:name w:val="footer"/>
    <w:basedOn w:val="1"/>
    <w:link w:val="34"/>
    <w:qFormat/>
    <w:uiPriority w:val="99"/>
    <w:pPr>
      <w:tabs>
        <w:tab w:val="center" w:pos="4153"/>
        <w:tab w:val="right" w:pos="8306"/>
      </w:tabs>
      <w:snapToGrid w:val="0"/>
      <w:jc w:val="left"/>
    </w:pPr>
    <w:rPr>
      <w:kern w:val="0"/>
      <w:sz w:val="18"/>
      <w:szCs w:val="20"/>
    </w:rPr>
  </w:style>
  <w:style w:type="paragraph" w:styleId="17">
    <w:name w:val="header"/>
    <w:basedOn w:val="1"/>
    <w:next w:val="1"/>
    <w:link w:val="35"/>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able of figures"/>
    <w:basedOn w:val="1"/>
    <w:next w:val="1"/>
    <w:qFormat/>
    <w:locked/>
    <w:uiPriority w:val="0"/>
    <w:pPr>
      <w:ind w:left="1920" w:leftChars="200"/>
      <w:jc w:val="center"/>
    </w:pPr>
    <w:rPr>
      <w:b/>
      <w:kern w:val="0"/>
      <w:szCs w:val="20"/>
    </w:rPr>
  </w:style>
  <w:style w:type="paragraph" w:styleId="19">
    <w:name w:val="Body Text 2"/>
    <w:basedOn w:val="1"/>
    <w:qFormat/>
    <w:locked/>
    <w:uiPriority w:val="0"/>
    <w:pPr>
      <w:spacing w:after="120" w:line="480" w:lineRule="auto"/>
    </w:pPr>
  </w:style>
  <w:style w:type="paragraph" w:styleId="20">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11"/>
    <w:next w:val="11"/>
    <w:link w:val="37"/>
    <w:semiHidden/>
    <w:qFormat/>
    <w:uiPriority w:val="0"/>
    <w:rPr>
      <w:b/>
      <w:kern w:val="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locked/>
    <w:uiPriority w:val="0"/>
  </w:style>
  <w:style w:type="character" w:styleId="26">
    <w:name w:val="annotation reference"/>
    <w:semiHidden/>
    <w:qFormat/>
    <w:uiPriority w:val="0"/>
    <w:rPr>
      <w:sz w:val="21"/>
    </w:rPr>
  </w:style>
  <w:style w:type="paragraph" w:customStyle="1" w:styleId="27">
    <w:name w:val="Default"/>
    <w:basedOn w:val="28"/>
    <w:next w:val="1"/>
    <w:qFormat/>
    <w:uiPriority w:val="0"/>
    <w:pPr>
      <w:autoSpaceDE w:val="0"/>
      <w:autoSpaceDN w:val="0"/>
      <w:spacing w:line="360" w:lineRule="atLeast"/>
      <w:textAlignment w:val="baseline"/>
    </w:pPr>
    <w:rPr>
      <w:rFonts w:hAnsi="Times New Roman" w:cs="宋体"/>
      <w:color w:val="000000"/>
      <w:sz w:val="24"/>
      <w:szCs w:val="24"/>
    </w:rPr>
  </w:style>
  <w:style w:type="paragraph" w:customStyle="1" w:styleId="28">
    <w:name w:val="纯文本1"/>
    <w:basedOn w:val="1"/>
    <w:qFormat/>
    <w:uiPriority w:val="0"/>
    <w:pPr>
      <w:adjustRightInd w:val="0"/>
    </w:pPr>
    <w:rPr>
      <w:rFonts w:ascii="宋体" w:hAnsi="Courier New"/>
      <w:szCs w:val="20"/>
    </w:rPr>
  </w:style>
  <w:style w:type="character" w:customStyle="1" w:styleId="29">
    <w:name w:val="正文文本缩进 Char"/>
    <w:link w:val="3"/>
    <w:semiHidden/>
    <w:qFormat/>
    <w:locked/>
    <w:uiPriority w:val="0"/>
    <w:rPr>
      <w:rFonts w:ascii="Times New Roman" w:hAnsi="Times New Roman" w:eastAsia="宋体"/>
      <w:sz w:val="24"/>
    </w:rPr>
  </w:style>
  <w:style w:type="character" w:customStyle="1" w:styleId="30">
    <w:name w:val="正文文本 Char"/>
    <w:link w:val="10"/>
    <w:qFormat/>
    <w:locked/>
    <w:uiPriority w:val="0"/>
    <w:rPr>
      <w:sz w:val="18"/>
    </w:rPr>
  </w:style>
  <w:style w:type="character" w:customStyle="1" w:styleId="31">
    <w:name w:val="批注文字 Char"/>
    <w:link w:val="11"/>
    <w:qFormat/>
    <w:locked/>
    <w:uiPriority w:val="0"/>
    <w:rPr>
      <w:rFonts w:ascii="Times New Roman" w:hAnsi="Times New Roman" w:eastAsia="宋体"/>
      <w:sz w:val="24"/>
    </w:rPr>
  </w:style>
  <w:style w:type="character" w:customStyle="1" w:styleId="32">
    <w:name w:val="日期 Char"/>
    <w:link w:val="14"/>
    <w:qFormat/>
    <w:locked/>
    <w:uiPriority w:val="0"/>
    <w:rPr>
      <w:rFonts w:ascii="Times New Roman" w:hAnsi="Times New Roman" w:eastAsia="宋体"/>
      <w:sz w:val="24"/>
    </w:rPr>
  </w:style>
  <w:style w:type="character" w:customStyle="1" w:styleId="33">
    <w:name w:val="批注框文本 Char"/>
    <w:link w:val="15"/>
    <w:semiHidden/>
    <w:qFormat/>
    <w:locked/>
    <w:uiPriority w:val="0"/>
    <w:rPr>
      <w:rFonts w:ascii="Times New Roman" w:hAnsi="Times New Roman" w:eastAsia="宋体"/>
      <w:sz w:val="18"/>
    </w:rPr>
  </w:style>
  <w:style w:type="character" w:customStyle="1" w:styleId="34">
    <w:name w:val="页脚 Char"/>
    <w:link w:val="16"/>
    <w:qFormat/>
    <w:locked/>
    <w:uiPriority w:val="99"/>
    <w:rPr>
      <w:sz w:val="18"/>
    </w:rPr>
  </w:style>
  <w:style w:type="character" w:customStyle="1" w:styleId="35">
    <w:name w:val="页眉 Char"/>
    <w:link w:val="17"/>
    <w:qFormat/>
    <w:locked/>
    <w:uiPriority w:val="0"/>
    <w:rPr>
      <w:sz w:val="18"/>
    </w:rPr>
  </w:style>
  <w:style w:type="character" w:customStyle="1" w:styleId="36">
    <w:name w:val="普通(网站) Char"/>
    <w:link w:val="20"/>
    <w:qFormat/>
    <w:locked/>
    <w:uiPriority w:val="0"/>
    <w:rPr>
      <w:rFonts w:ascii="宋体" w:hAnsi="宋体" w:eastAsia="宋体"/>
      <w:sz w:val="24"/>
    </w:rPr>
  </w:style>
  <w:style w:type="character" w:customStyle="1" w:styleId="37">
    <w:name w:val="批注主题 Char"/>
    <w:link w:val="21"/>
    <w:semiHidden/>
    <w:qFormat/>
    <w:locked/>
    <w:uiPriority w:val="0"/>
    <w:rPr>
      <w:rFonts w:ascii="Times New Roman" w:hAnsi="Times New Roman" w:eastAsia="宋体"/>
      <w:b/>
      <w:kern w:val="2"/>
      <w:sz w:val="24"/>
    </w:rPr>
  </w:style>
  <w:style w:type="character" w:customStyle="1" w:styleId="38">
    <w:name w:val="页脚 字符"/>
    <w:qFormat/>
    <w:uiPriority w:val="99"/>
  </w:style>
  <w:style w:type="character" w:customStyle="1" w:styleId="39">
    <w:name w:val="批注文字 字符1"/>
    <w:semiHidden/>
    <w:qFormat/>
    <w:uiPriority w:val="0"/>
    <w:rPr>
      <w:rFonts w:ascii="Times New Roman" w:hAnsi="Times New Roman" w:eastAsia="宋体"/>
      <w:sz w:val="24"/>
    </w:rPr>
  </w:style>
  <w:style w:type="character" w:customStyle="1" w:styleId="40">
    <w:name w:val="日期 字符"/>
    <w:semiHidden/>
    <w:qFormat/>
    <w:uiPriority w:val="0"/>
    <w:rPr>
      <w:rFonts w:ascii="Times New Roman" w:hAnsi="Times New Roman" w:eastAsia="宋体"/>
      <w:sz w:val="24"/>
    </w:rPr>
  </w:style>
  <w:style w:type="character" w:customStyle="1" w:styleId="41">
    <w:name w:val="表格 Char"/>
    <w:link w:val="42"/>
    <w:qFormat/>
    <w:locked/>
    <w:uiPriority w:val="0"/>
    <w:rPr>
      <w:rFonts w:ascii="宋体"/>
      <w:sz w:val="21"/>
    </w:rPr>
  </w:style>
  <w:style w:type="paragraph" w:customStyle="1" w:styleId="42">
    <w:name w:val="表格"/>
    <w:basedOn w:val="1"/>
    <w:next w:val="43"/>
    <w:link w:val="41"/>
    <w:qFormat/>
    <w:uiPriority w:val="0"/>
    <w:pPr>
      <w:adjustRightInd w:val="0"/>
      <w:snapToGrid w:val="0"/>
      <w:spacing w:beforeLines="10" w:afterLines="10" w:line="259" w:lineRule="auto"/>
      <w:jc w:val="center"/>
    </w:pPr>
    <w:rPr>
      <w:rFonts w:ascii="宋体"/>
      <w:kern w:val="0"/>
      <w:szCs w:val="20"/>
    </w:rPr>
  </w:style>
  <w:style w:type="paragraph" w:customStyle="1" w:styleId="43">
    <w:name w:val="正文首行"/>
    <w:basedOn w:val="7"/>
    <w:qFormat/>
    <w:uiPriority w:val="0"/>
    <w:pPr>
      <w:spacing w:line="480" w:lineRule="exact"/>
      <w:ind w:firstLine="200" w:firstLineChars="200"/>
    </w:pPr>
  </w:style>
  <w:style w:type="character" w:customStyle="1" w:styleId="44">
    <w:name w:val="正文文本 字符1"/>
    <w:semiHidden/>
    <w:qFormat/>
    <w:uiPriority w:val="0"/>
    <w:rPr>
      <w:rFonts w:ascii="Times New Roman" w:hAnsi="Times New Roman" w:eastAsia="宋体"/>
      <w:sz w:val="24"/>
    </w:rPr>
  </w:style>
  <w:style w:type="paragraph" w:customStyle="1" w:styleId="45">
    <w:name w:val="表头"/>
    <w:basedOn w:val="1"/>
    <w:qFormat/>
    <w:uiPriority w:val="0"/>
    <w:pPr>
      <w:adjustRightInd w:val="0"/>
      <w:snapToGrid w:val="0"/>
      <w:jc w:val="center"/>
    </w:pPr>
    <w:rPr>
      <w:b/>
      <w:color w:val="000000"/>
      <w:szCs w:val="20"/>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表文"/>
    <w:basedOn w:val="1"/>
    <w:qFormat/>
    <w:uiPriority w:val="0"/>
    <w:pPr>
      <w:spacing w:line="240" w:lineRule="atLeast"/>
      <w:jc w:val="center"/>
    </w:pPr>
    <w:rPr>
      <w:szCs w:val="21"/>
    </w:rPr>
  </w:style>
  <w:style w:type="paragraph" w:customStyle="1" w:styleId="48">
    <w:name w:val="表格标题"/>
    <w:basedOn w:val="49"/>
    <w:next w:val="1"/>
    <w:qFormat/>
    <w:uiPriority w:val="0"/>
    <w:pPr>
      <w:keepNext/>
      <w:widowControl/>
      <w:jc w:val="center"/>
    </w:pPr>
    <w:rPr>
      <w:rFonts w:ascii="Times New Roman" w:hAnsi="Times New Roman" w:eastAsia="宋体"/>
      <w:b/>
      <w:kern w:val="0"/>
      <w:sz w:val="21"/>
      <w:szCs w:val="24"/>
    </w:rPr>
  </w:style>
  <w:style w:type="paragraph" w:styleId="49">
    <w:name w:val="List Paragraph"/>
    <w:basedOn w:val="1"/>
    <w:qFormat/>
    <w:uiPriority w:val="34"/>
    <w:pPr>
      <w:ind w:firstLine="420" w:firstLineChars="200"/>
    </w:pPr>
  </w:style>
  <w:style w:type="paragraph" w:customStyle="1" w:styleId="50">
    <w:name w:val="正文01"/>
    <w:basedOn w:val="1"/>
    <w:qFormat/>
    <w:uiPriority w:val="0"/>
    <w:pPr>
      <w:spacing w:line="360" w:lineRule="auto"/>
      <w:ind w:firstLine="480"/>
    </w:pPr>
    <w:rPr>
      <w:sz w:val="24"/>
      <w:szCs w:val="20"/>
    </w:rPr>
  </w:style>
  <w:style w:type="paragraph" w:customStyle="1" w:styleId="51">
    <w:name w:val="文本正文"/>
    <w:basedOn w:val="1"/>
    <w:qFormat/>
    <w:uiPriority w:val="0"/>
    <w:pPr>
      <w:spacing w:line="360" w:lineRule="auto"/>
      <w:ind w:firstLine="480" w:firstLineChars="200"/>
    </w:pPr>
    <w:rPr>
      <w:sz w:val="24"/>
    </w:rPr>
  </w:style>
  <w:style w:type="paragraph" w:customStyle="1" w:styleId="5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3">
    <w:name w:val="图表标题"/>
    <w:basedOn w:val="18"/>
    <w:next w:val="42"/>
    <w:qFormat/>
    <w:uiPriority w:val="0"/>
    <w:pPr>
      <w:ind w:left="0" w:leftChars="0"/>
      <w:outlineLvl w:val="4"/>
    </w:pPr>
    <w:rPr>
      <w:bCs/>
      <w:snapToGrid w:val="0"/>
    </w:rPr>
  </w:style>
  <w:style w:type="paragraph" w:customStyle="1" w:styleId="54">
    <w:name w:val="表格内容"/>
    <w:basedOn w:val="1"/>
    <w:qFormat/>
    <w:uiPriority w:val="0"/>
    <w:pPr>
      <w:widowControl/>
      <w:autoSpaceDE w:val="0"/>
      <w:autoSpaceDN w:val="0"/>
      <w:adjustRightInd w:val="0"/>
      <w:snapToGrid w:val="0"/>
      <w:spacing w:line="240" w:lineRule="atLeast"/>
      <w:jc w:val="center"/>
      <w:textAlignment w:val="baseline"/>
    </w:pPr>
    <w:rPr>
      <w:kern w:val="24"/>
      <w:szCs w:val="21"/>
    </w:rPr>
  </w:style>
  <w:style w:type="paragraph" w:customStyle="1" w:styleId="55">
    <w:name w:val="报告表正文"/>
    <w:basedOn w:val="1"/>
    <w:qFormat/>
    <w:uiPriority w:val="0"/>
    <w:rPr>
      <w:rFonts w:eastAsia="楷体_GB2312"/>
    </w:rPr>
  </w:style>
  <w:style w:type="paragraph" w:customStyle="1" w:styleId="56">
    <w:name w:val="S表名图名"/>
    <w:basedOn w:val="57"/>
    <w:qFormat/>
    <w:uiPriority w:val="1"/>
    <w:pPr>
      <w:ind w:firstLine="0"/>
      <w:jc w:val="center"/>
    </w:pPr>
    <w:rPr>
      <w:b/>
      <w:szCs w:val="23"/>
    </w:rPr>
  </w:style>
  <w:style w:type="paragraph" w:customStyle="1" w:styleId="57">
    <w:name w:val="S报告正文"/>
    <w:basedOn w:val="1"/>
    <w:qFormat/>
    <w:uiPriority w:val="0"/>
    <w:pPr>
      <w:adjustRightInd w:val="0"/>
      <w:snapToGrid w:val="0"/>
      <w:spacing w:line="480" w:lineRule="exact"/>
      <w:ind w:firstLine="510"/>
      <w:jc w:val="left"/>
    </w:pPr>
    <w:rPr>
      <w:sz w:val="24"/>
    </w:rPr>
  </w:style>
  <w:style w:type="paragraph" w:customStyle="1" w:styleId="58">
    <w:name w:val="0正文"/>
    <w:unhideWhenUsed/>
    <w:qFormat/>
    <w:uiPriority w:val="0"/>
    <w:pPr>
      <w:spacing w:line="300" w:lineRule="auto"/>
      <w:ind w:firstLine="480" w:firstLineChars="200"/>
    </w:pPr>
    <w:rPr>
      <w:rFonts w:ascii="Times New Roman" w:hAnsi="Times New Roman" w:eastAsia="宋体" w:cs="Times New Roman"/>
      <w:sz w:val="24"/>
      <w:szCs w:val="22"/>
      <w:lang w:val="en-US" w:eastAsia="zh-CN" w:bidi="ar-SA"/>
    </w:rPr>
  </w:style>
  <w:style w:type="paragraph" w:customStyle="1" w:styleId="59">
    <w:name w:val="S表格文字"/>
    <w:basedOn w:val="9"/>
    <w:qFormat/>
    <w:uiPriority w:val="0"/>
    <w:pPr>
      <w:adjustRightInd w:val="0"/>
      <w:spacing w:before="20" w:after="20"/>
      <w:ind w:firstLine="0" w:firstLineChars="0"/>
      <w:jc w:val="center"/>
    </w:p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报告书正文"/>
    <w:basedOn w:val="1"/>
    <w:qFormat/>
    <w:uiPriority w:val="0"/>
    <w:pPr>
      <w:spacing w:line="300" w:lineRule="auto"/>
    </w:pPr>
    <w:rPr>
      <w:szCs w:val="20"/>
    </w:rPr>
  </w:style>
  <w:style w:type="paragraph" w:customStyle="1" w:styleId="62">
    <w:name w:val="正文缩进1"/>
    <w:basedOn w:val="1"/>
    <w:qFormat/>
    <w:uiPriority w:val="0"/>
    <w:pPr>
      <w:ind w:firstLine="420"/>
    </w:pPr>
    <w:rPr>
      <w:sz w:val="24"/>
    </w:rPr>
  </w:style>
  <w:style w:type="paragraph" w:customStyle="1" w:styleId="63">
    <w:name w:val="表格文字"/>
    <w:basedOn w:val="1"/>
    <w:qFormat/>
    <w:uiPriority w:val="0"/>
    <w:pPr>
      <w:adjustRightInd w:val="0"/>
      <w:snapToGrid w:val="0"/>
      <w:jc w:val="center"/>
      <w:textAlignment w:val="center"/>
    </w:pPr>
    <w:rPr>
      <w:kern w:val="0"/>
      <w:sz w:val="20"/>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41</Pages>
  <Words>19653</Words>
  <Characters>22193</Characters>
  <Lines>166</Lines>
  <Paragraphs>46</Paragraphs>
  <TotalTime>3</TotalTime>
  <ScaleCrop>false</ScaleCrop>
  <LinksUpToDate>false</LinksUpToDate>
  <CharactersWithSpaces>22419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2021-07-07T02:45:00Z</dcterms:created>
  <dc:creator>lhj</dc:creator>
  <cp:lastModifiedBy>Administrator</cp:lastModifiedBy>
  <cp:lastPrinted>2020-12-29T02:43:00Z</cp:lastPrinted>
  <dcterms:modified xsi:type="dcterms:W3CDTF">2022-03-01T03:11:50Z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A2AD5F7443D64BDBA4C624EF9C8B92A5</vt:lpwstr>
  </property>
</Properties>
</file>