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</w:rPr>
        <w:t>复工复产政策兑现“一件事一次办”事项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  <w:t>办事指南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</w:p>
    <w:p>
      <w:pPr>
        <w:jc w:val="left"/>
        <w:rPr>
          <w:rFonts w:hint="default" w:ascii="黑体" w:hAnsi="宋体" w:eastAsia="黑体" w:cs="黑体"/>
          <w:color w:val="000000"/>
          <w:kern w:val="0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lang w:eastAsia="zh-CN"/>
        </w:rPr>
        <w:t>单位（盖章）</w:t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>填报时间：2020年____月____日</w:t>
      </w:r>
    </w:p>
    <w:p>
      <w:pPr>
        <w:rPr>
          <w:rFonts w:hint="eastAsia" w:ascii="黑体" w:hAnsi="宋体" w:eastAsia="黑体" w:cs="黑体"/>
          <w:color w:val="000000"/>
          <w:kern w:val="0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一、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事项名称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我要申请“银税互动”企业纳税信息推送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二、政策依据：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  <w:t>拓宽“银税互动”范围，申请“银税互动”贷款的受惠企业由纳税信用</w:t>
      </w:r>
      <w:r>
        <w:rPr>
          <w:rFonts w:hint="eastAsia" w:ascii="黑体" w:hAnsi="黑体" w:eastAsia="黑体" w:cs="黑体"/>
          <w:color w:val="000000"/>
          <w:kern w:val="0"/>
          <w:sz w:val="24"/>
          <w:szCs w:val="32"/>
          <w:lang w:val="en-US" w:eastAsia="zh-CN"/>
        </w:rPr>
        <w:t>A级和B级企业扩大到A级、B级、M级（新设立企业）。</w:t>
      </w:r>
      <w: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  <w:t>（湘政发</w:t>
      </w:r>
      <w:r>
        <w:rPr>
          <w:rFonts w:hint="eastAsia" w:ascii="黑体" w:hAnsi="黑体" w:eastAsia="黑体" w:cs="黑体"/>
          <w:color w:val="000000"/>
          <w:kern w:val="0"/>
          <w:sz w:val="24"/>
          <w:szCs w:val="32"/>
          <w:lang w:val="en-US" w:eastAsia="zh-CN"/>
        </w:rPr>
        <w:t>[2020]37号）</w:t>
      </w: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  <w:t>三、申请对象或条件：</w:t>
      </w: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纳税信用为A级、B级和M级（新设立企业）的企业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申请材料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无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五、办理环节</w:t>
      </w:r>
    </w:p>
    <w:p/>
    <w:tbl>
      <w:tblPr>
        <w:tblStyle w:val="11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步骤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环节名称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办理人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手机号码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申请（仅可网上申报）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即时办结</w:t>
            </w:r>
          </w:p>
        </w:tc>
      </w:tr>
    </w:tbl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办理流程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纳税人登录各合作银行门户网站、app客户端，选择各银行“银税互动”产品，点击“我要申请”按钮；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纳税人阅读指定银行“银税互动”产品授权委托书等信息，同意后向指定银行授权；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3、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获得纳税人授权的银行向“湖南税务银税互动平台”发起信息交互申请，“湖南税务银税互动平台”验证纳税人授权通过后，方向指定银行进行信息推送；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第四步：获得纳税人授权的银行根据纳税人纳税信用信息及本银行“银税互动”产品风控模型对纳税人进行授信判定后，向纳税人反馈判定有关信息，判定通过时反馈申请成功、授信额度、贷款期限等信息，判定不通过反馈申请失败信息。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受理地址：</w:t>
      </w:r>
    </w:p>
    <w:p>
      <w:pPr>
        <w:numPr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网上申报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七、受理窗口：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衡山县行政审批局三楼综合窗口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是否联办：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是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2"/>
        </w:numPr>
        <w:spacing w:line="360" w:lineRule="auto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联办部门：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银保监部</w:t>
      </w: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门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办结时限：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即时办结</w:t>
      </w:r>
    </w:p>
    <w:p>
      <w:pPr>
        <w:numPr>
          <w:ilvl w:val="0"/>
          <w:numId w:val="0"/>
        </w:numPr>
        <w:ind w:leftChars="0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咨询电话：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0734-5815887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投诉电话：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0734-5815887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兑现形式：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获得贷款授信</w:t>
      </w:r>
    </w:p>
    <w:p>
      <w:pPr>
        <w:numPr>
          <w:ilvl w:val="0"/>
          <w:numId w:val="0"/>
        </w:numPr>
        <w:ind w:leftChars="0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C3207"/>
    <w:multiLevelType w:val="singleLevel"/>
    <w:tmpl w:val="B4FC32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EC982D"/>
    <w:multiLevelType w:val="singleLevel"/>
    <w:tmpl w:val="CFEC982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2A0A"/>
    <w:rsid w:val="020520C3"/>
    <w:rsid w:val="02AD5D9C"/>
    <w:rsid w:val="16DA1F3A"/>
    <w:rsid w:val="331C0FDC"/>
    <w:rsid w:val="34187EB7"/>
    <w:rsid w:val="34F8688B"/>
    <w:rsid w:val="396C1964"/>
    <w:rsid w:val="3E5323CE"/>
    <w:rsid w:val="48FE0673"/>
    <w:rsid w:val="505D00A8"/>
    <w:rsid w:val="5A980AC3"/>
    <w:rsid w:val="5E6F2F34"/>
    <w:rsid w:val="66F6200D"/>
    <w:rsid w:val="6B9D2A0A"/>
    <w:rsid w:val="6E5B1E6E"/>
    <w:rsid w:val="70115892"/>
    <w:rsid w:val="701424D8"/>
    <w:rsid w:val="72715CEB"/>
    <w:rsid w:val="768E666D"/>
    <w:rsid w:val="7A51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qFormat/>
    <w:uiPriority w:val="0"/>
  </w:style>
  <w:style w:type="character" w:styleId="6">
    <w:name w:val="HTML Acronym"/>
    <w:basedOn w:val="2"/>
    <w:qFormat/>
    <w:uiPriority w:val="0"/>
  </w:style>
  <w:style w:type="character" w:styleId="7">
    <w:name w:val="HTML Variable"/>
    <w:basedOn w:val="2"/>
    <w:uiPriority w:val="0"/>
  </w:style>
  <w:style w:type="character" w:styleId="8">
    <w:name w:val="HTML Code"/>
    <w:basedOn w:val="2"/>
    <w:uiPriority w:val="0"/>
    <w:rPr>
      <w:rFonts w:ascii="Courier New" w:hAnsi="Courier New"/>
      <w:sz w:val="20"/>
    </w:rPr>
  </w:style>
  <w:style w:type="character" w:styleId="9">
    <w:name w:val="HTML Cite"/>
    <w:basedOn w:val="2"/>
    <w:uiPriority w:val="0"/>
    <w:rPr>
      <w:rFonts w:ascii="Tahoma" w:hAnsi="Tahoma" w:eastAsia="Tahoma" w:cs="Tahoma"/>
      <w:sz w:val="19"/>
      <w:szCs w:val="19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2020-05-06T08:41:00Z</dcterms:created>
  <dc:creator>moyis</dc:creator>
  <cp:lastModifiedBy> </cp:lastModifiedBy>
  <cp:lastPrinted>2020-05-11T03:31:00Z</cp:lastPrinted>
  <dcterms:modified xsi:type="dcterms:W3CDTF">2020-05-15T03:49:00Z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