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5" w:rsidRDefault="0074437D">
      <w:pPr>
        <w:jc w:val="center"/>
        <w:rPr>
          <w:rFonts w:ascii="宋体" w:hAnsi="宋体" w:cs="黑体"/>
          <w:b/>
          <w:color w:val="000000"/>
          <w:kern w:val="0"/>
          <w:sz w:val="36"/>
          <w:szCs w:val="28"/>
        </w:rPr>
      </w:pPr>
      <w:r>
        <w:rPr>
          <w:rFonts w:ascii="宋体" w:hAnsi="宋体" w:cs="黑体" w:hint="eastAsia"/>
          <w:b/>
          <w:color w:val="000000"/>
          <w:kern w:val="0"/>
          <w:sz w:val="36"/>
          <w:szCs w:val="28"/>
        </w:rPr>
        <w:t>复工复产政策兑现“一件事一次办”事项</w:t>
      </w:r>
    </w:p>
    <w:p w:rsidR="002A7C15" w:rsidRDefault="0074437D">
      <w:pPr>
        <w:jc w:val="center"/>
        <w:rPr>
          <w:rFonts w:ascii="宋体" w:hAnsi="宋体" w:cs="黑体"/>
          <w:b/>
          <w:color w:val="000000"/>
          <w:kern w:val="0"/>
          <w:sz w:val="36"/>
          <w:szCs w:val="28"/>
        </w:rPr>
      </w:pPr>
      <w:r>
        <w:rPr>
          <w:rFonts w:ascii="宋体" w:hAnsi="宋体" w:cs="黑体" w:hint="eastAsia"/>
          <w:b/>
          <w:color w:val="000000"/>
          <w:kern w:val="0"/>
          <w:sz w:val="36"/>
          <w:szCs w:val="28"/>
        </w:rPr>
        <w:t>办事指南</w:t>
      </w:r>
    </w:p>
    <w:p w:rsidR="002A7C15" w:rsidRDefault="002A7C15">
      <w:pPr>
        <w:jc w:val="center"/>
        <w:rPr>
          <w:rFonts w:ascii="宋体" w:hAnsi="宋体" w:cs="黑体"/>
          <w:b/>
          <w:color w:val="000000"/>
          <w:kern w:val="0"/>
          <w:sz w:val="36"/>
          <w:szCs w:val="28"/>
        </w:rPr>
      </w:pPr>
    </w:p>
    <w:p w:rsidR="002A7C15" w:rsidRDefault="0074437D">
      <w:pPr>
        <w:jc w:val="left"/>
        <w:rPr>
          <w:rFonts w:ascii="黑体" w:eastAsia="黑体" w:hAnsi="宋体" w:cs="黑体"/>
          <w:color w:val="000000"/>
          <w:kern w:val="0"/>
        </w:rPr>
      </w:pPr>
      <w:r>
        <w:rPr>
          <w:rFonts w:ascii="黑体" w:eastAsia="黑体" w:hAnsi="宋体" w:cs="黑体" w:hint="eastAsia"/>
          <w:color w:val="000000"/>
          <w:kern w:val="0"/>
        </w:rPr>
        <w:t>单位（盖章）</w:t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ab/>
      </w:r>
      <w:r>
        <w:rPr>
          <w:rFonts w:ascii="黑体" w:eastAsia="黑体" w:hAnsi="宋体" w:cs="黑体" w:hint="eastAsia"/>
          <w:color w:val="000000"/>
          <w:kern w:val="0"/>
        </w:rPr>
        <w:t>填报时间：</w:t>
      </w:r>
      <w:r>
        <w:rPr>
          <w:rFonts w:ascii="黑体" w:eastAsia="黑体" w:hAnsi="宋体" w:cs="黑体" w:hint="eastAsia"/>
          <w:color w:val="000000"/>
          <w:kern w:val="0"/>
        </w:rPr>
        <w:t>2020</w:t>
      </w:r>
      <w:r>
        <w:rPr>
          <w:rFonts w:ascii="黑体" w:eastAsia="黑体" w:hAnsi="宋体" w:cs="黑体" w:hint="eastAsia"/>
          <w:color w:val="000000"/>
          <w:kern w:val="0"/>
        </w:rPr>
        <w:t>年</w:t>
      </w:r>
      <w:r>
        <w:rPr>
          <w:rFonts w:ascii="黑体" w:eastAsia="黑体" w:hAnsi="宋体" w:cs="黑体" w:hint="eastAsia"/>
          <w:color w:val="000000"/>
          <w:kern w:val="0"/>
        </w:rPr>
        <w:t>5_</w:t>
      </w:r>
      <w:r>
        <w:rPr>
          <w:rFonts w:ascii="黑体" w:eastAsia="黑体" w:hAnsi="宋体" w:cs="黑体" w:hint="eastAsia"/>
          <w:color w:val="000000"/>
          <w:kern w:val="0"/>
        </w:rPr>
        <w:t>月</w:t>
      </w:r>
      <w:r>
        <w:rPr>
          <w:rFonts w:ascii="黑体" w:eastAsia="黑体" w:hAnsi="宋体" w:cs="黑体" w:hint="eastAsia"/>
          <w:color w:val="000000"/>
          <w:kern w:val="0"/>
        </w:rPr>
        <w:t>_12</w:t>
      </w:r>
      <w:r>
        <w:rPr>
          <w:rFonts w:ascii="黑体" w:eastAsia="黑体" w:hAnsi="宋体" w:cs="黑体" w:hint="eastAsia"/>
          <w:color w:val="000000"/>
          <w:kern w:val="0"/>
        </w:rPr>
        <w:t>日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</w:rPr>
      </w:pP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一、事项名称：新租赁“</w:t>
      </w: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135</w:t>
      </w: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”工程标准厂房租金补贴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二、政策依据：湖南省人民政府湘政发（</w:t>
      </w: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2020</w:t>
      </w: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）</w:t>
      </w: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3</w:t>
      </w: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号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三、申请对象或条件：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对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月—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月期间，新租赁“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135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”工程标准厂房面积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500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平方米以上、租期一年以上，且完成投产的企业，一次性给予适当租金奖补。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p w:rsidR="002A7C15" w:rsidRDefault="0074437D">
      <w:pPr>
        <w:numPr>
          <w:ilvl w:val="0"/>
          <w:numId w:val="1"/>
        </w:numPr>
        <w:rPr>
          <w:rFonts w:ascii="黑体" w:eastAsia="黑体" w:hAnsi="宋体" w:cs="黑体"/>
          <w:color w:val="000000"/>
          <w:kern w:val="0"/>
          <w:sz w:val="24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t>申请材料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</w:p>
    <w:tbl>
      <w:tblPr>
        <w:tblStyle w:val="a5"/>
        <w:tblW w:w="7905" w:type="dxa"/>
        <w:tblLayout w:type="fixed"/>
        <w:tblLook w:val="04A0"/>
      </w:tblPr>
      <w:tblGrid>
        <w:gridCol w:w="1490"/>
        <w:gridCol w:w="2729"/>
        <w:gridCol w:w="1418"/>
        <w:gridCol w:w="2268"/>
      </w:tblGrid>
      <w:tr w:rsidR="00D90A0F" w:rsidTr="00D90A0F">
        <w:trPr>
          <w:trHeight w:val="626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2729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材料名称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份数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备注</w:t>
            </w:r>
          </w:p>
        </w:tc>
      </w:tr>
      <w:tr w:rsidR="00D90A0F" w:rsidTr="00D90A0F">
        <w:trPr>
          <w:trHeight w:val="564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729" w:type="dxa"/>
            <w:vAlign w:val="center"/>
          </w:tcPr>
          <w:p w:rsidR="00D90A0F" w:rsidRDefault="00D90A0F" w:rsidP="00F77C45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租赁入驻企业营业执照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592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2</w:t>
            </w:r>
          </w:p>
        </w:tc>
        <w:tc>
          <w:tcPr>
            <w:tcW w:w="2729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厂房租赁合同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799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3</w:t>
            </w:r>
          </w:p>
        </w:tc>
        <w:tc>
          <w:tcPr>
            <w:tcW w:w="2729" w:type="dxa"/>
            <w:vAlign w:val="center"/>
          </w:tcPr>
          <w:p w:rsidR="00D90A0F" w:rsidRDefault="00D90A0F" w:rsidP="00F77C45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反应厂房建成及企业入驻投产的照片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587"/>
        </w:trPr>
        <w:tc>
          <w:tcPr>
            <w:tcW w:w="1490" w:type="dxa"/>
            <w:vAlign w:val="center"/>
          </w:tcPr>
          <w:p w:rsidR="00D90A0F" w:rsidRP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4</w:t>
            </w:r>
          </w:p>
        </w:tc>
        <w:tc>
          <w:tcPr>
            <w:tcW w:w="2729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工人工资发放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567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5</w:t>
            </w:r>
          </w:p>
        </w:tc>
        <w:tc>
          <w:tcPr>
            <w:tcW w:w="2729" w:type="dxa"/>
            <w:vAlign w:val="center"/>
          </w:tcPr>
          <w:p w:rsidR="00D90A0F" w:rsidRDefault="00D90A0F" w:rsidP="00F77C45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厂房水电缴纳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799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6</w:t>
            </w:r>
          </w:p>
        </w:tc>
        <w:tc>
          <w:tcPr>
            <w:tcW w:w="2729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支付厂房租金凭证（最近一个月）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799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7</w:t>
            </w:r>
          </w:p>
        </w:tc>
        <w:tc>
          <w:tcPr>
            <w:tcW w:w="2729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销售产品回款的银行转账记录或发票（至少一笔）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799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8</w:t>
            </w:r>
          </w:p>
        </w:tc>
        <w:tc>
          <w:tcPr>
            <w:tcW w:w="2729" w:type="dxa"/>
            <w:vAlign w:val="center"/>
          </w:tcPr>
          <w:p w:rsidR="00D90A0F" w:rsidRDefault="00D90A0F" w:rsidP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其他可反应企业入驻投产的相关资料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D90A0F" w:rsidTr="00D90A0F">
        <w:trPr>
          <w:trHeight w:val="658"/>
        </w:trPr>
        <w:tc>
          <w:tcPr>
            <w:tcW w:w="1490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9</w:t>
            </w:r>
          </w:p>
        </w:tc>
        <w:tc>
          <w:tcPr>
            <w:tcW w:w="2729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申请报告</w:t>
            </w:r>
          </w:p>
        </w:tc>
        <w:tc>
          <w:tcPr>
            <w:tcW w:w="141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90A0F" w:rsidRDefault="00D90A0F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</w:tbl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szCs w:val="32"/>
        </w:rPr>
        <w:lastRenderedPageBreak/>
        <w:t>五、办理环节</w:t>
      </w:r>
    </w:p>
    <w:p w:rsidR="002A7C15" w:rsidRDefault="002A7C15"/>
    <w:tbl>
      <w:tblPr>
        <w:tblStyle w:val="a5"/>
        <w:tblW w:w="7450" w:type="dxa"/>
        <w:tblLayout w:type="fixed"/>
        <w:tblLook w:val="04A0"/>
      </w:tblPr>
      <w:tblGrid>
        <w:gridCol w:w="1490"/>
        <w:gridCol w:w="1489"/>
        <w:gridCol w:w="1490"/>
        <w:gridCol w:w="1491"/>
        <w:gridCol w:w="1490"/>
      </w:tblGrid>
      <w:tr w:rsidR="002A7C15">
        <w:trPr>
          <w:trHeight w:val="799"/>
        </w:trPr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步骤</w:t>
            </w:r>
          </w:p>
        </w:tc>
        <w:tc>
          <w:tcPr>
            <w:tcW w:w="1489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环节名称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办理人</w:t>
            </w:r>
          </w:p>
        </w:tc>
        <w:tc>
          <w:tcPr>
            <w:tcW w:w="1491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手机号码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时限</w:t>
            </w:r>
          </w:p>
        </w:tc>
      </w:tr>
      <w:tr w:rsidR="002A7C15">
        <w:trPr>
          <w:trHeight w:val="799"/>
        </w:trPr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</w:p>
        </w:tc>
        <w:tc>
          <w:tcPr>
            <w:tcW w:w="1489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企业提交申请报告及相关资料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>叶惠线</w:t>
            </w:r>
          </w:p>
        </w:tc>
        <w:tc>
          <w:tcPr>
            <w:tcW w:w="1491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17769346848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right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个工作日</w:t>
            </w:r>
          </w:p>
        </w:tc>
      </w:tr>
      <w:tr w:rsidR="002A7C15">
        <w:trPr>
          <w:trHeight w:val="799"/>
        </w:trPr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2</w:t>
            </w:r>
          </w:p>
        </w:tc>
        <w:tc>
          <w:tcPr>
            <w:tcW w:w="1489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审查符合申报条件的企业范围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>皮觅</w:t>
            </w:r>
          </w:p>
        </w:tc>
        <w:tc>
          <w:tcPr>
            <w:tcW w:w="1491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13007349779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right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个工作日</w:t>
            </w:r>
          </w:p>
        </w:tc>
      </w:tr>
      <w:tr w:rsidR="002A7C15">
        <w:trPr>
          <w:trHeight w:val="799"/>
        </w:trPr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3</w:t>
            </w:r>
          </w:p>
        </w:tc>
        <w:tc>
          <w:tcPr>
            <w:tcW w:w="1489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审查符合条件的企业申报资料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>皮觅</w:t>
            </w:r>
          </w:p>
        </w:tc>
        <w:tc>
          <w:tcPr>
            <w:tcW w:w="1491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13007349779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right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个工作日</w:t>
            </w:r>
          </w:p>
        </w:tc>
      </w:tr>
      <w:tr w:rsidR="002A7C15">
        <w:trPr>
          <w:trHeight w:val="799"/>
        </w:trPr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4</w:t>
            </w:r>
          </w:p>
        </w:tc>
        <w:tc>
          <w:tcPr>
            <w:tcW w:w="1489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汇总、复核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>市发改委</w:t>
            </w:r>
          </w:p>
        </w:tc>
        <w:tc>
          <w:tcPr>
            <w:tcW w:w="1491" w:type="dxa"/>
            <w:vAlign w:val="center"/>
          </w:tcPr>
          <w:p w:rsidR="002A7C15" w:rsidRDefault="002A7C15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  <w:tc>
          <w:tcPr>
            <w:tcW w:w="1490" w:type="dxa"/>
            <w:vAlign w:val="center"/>
          </w:tcPr>
          <w:tbl>
            <w:tblPr>
              <w:tblStyle w:val="a5"/>
              <w:tblW w:w="1490" w:type="dxa"/>
              <w:tblLayout w:type="fixed"/>
              <w:tblLook w:val="04A0"/>
            </w:tblPr>
            <w:tblGrid>
              <w:gridCol w:w="1490"/>
            </w:tblGrid>
            <w:tr w:rsidR="002A7C15">
              <w:trPr>
                <w:trHeight w:val="799"/>
              </w:trPr>
              <w:tc>
                <w:tcPr>
                  <w:tcW w:w="1490" w:type="dxa"/>
                  <w:vAlign w:val="center"/>
                </w:tcPr>
                <w:p w:rsidR="002A7C15" w:rsidRDefault="0074437D">
                  <w:pPr>
                    <w:jc w:val="right"/>
                    <w:rPr>
                      <w:rFonts w:ascii="黑体" w:eastAsia="黑体" w:hAnsi="宋体" w:cs="黑体"/>
                      <w:color w:val="000000"/>
                      <w:kern w:val="0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</w:rPr>
                    <w:t>5</w:t>
                  </w: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</w:rPr>
                    <w:t>个工作日</w:t>
                  </w:r>
                </w:p>
              </w:tc>
            </w:tr>
          </w:tbl>
          <w:p w:rsidR="002A7C15" w:rsidRDefault="002A7C15">
            <w:pPr>
              <w:jc w:val="right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  <w:tr w:rsidR="002A7C15">
        <w:trPr>
          <w:trHeight w:val="799"/>
        </w:trPr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5</w:t>
            </w:r>
          </w:p>
        </w:tc>
        <w:tc>
          <w:tcPr>
            <w:tcW w:w="1489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财政部门拨付</w:t>
            </w:r>
          </w:p>
        </w:tc>
        <w:tc>
          <w:tcPr>
            <w:tcW w:w="1490" w:type="dxa"/>
            <w:vAlign w:val="center"/>
          </w:tcPr>
          <w:p w:rsidR="002A7C15" w:rsidRDefault="0074437D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>县财政局</w:t>
            </w:r>
          </w:p>
        </w:tc>
        <w:tc>
          <w:tcPr>
            <w:tcW w:w="1491" w:type="dxa"/>
            <w:vAlign w:val="center"/>
          </w:tcPr>
          <w:p w:rsidR="002A7C15" w:rsidRDefault="002A7C15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  <w:tc>
          <w:tcPr>
            <w:tcW w:w="1490" w:type="dxa"/>
            <w:vAlign w:val="center"/>
          </w:tcPr>
          <w:tbl>
            <w:tblPr>
              <w:tblStyle w:val="a5"/>
              <w:tblW w:w="1490" w:type="dxa"/>
              <w:tblLayout w:type="fixed"/>
              <w:tblLook w:val="04A0"/>
            </w:tblPr>
            <w:tblGrid>
              <w:gridCol w:w="1490"/>
            </w:tblGrid>
            <w:tr w:rsidR="002A7C15">
              <w:trPr>
                <w:trHeight w:val="799"/>
              </w:trPr>
              <w:tc>
                <w:tcPr>
                  <w:tcW w:w="1490" w:type="dxa"/>
                  <w:vAlign w:val="center"/>
                </w:tcPr>
                <w:p w:rsidR="002A7C15" w:rsidRDefault="0074437D">
                  <w:pPr>
                    <w:jc w:val="right"/>
                    <w:rPr>
                      <w:rFonts w:ascii="黑体" w:eastAsia="黑体" w:hAnsi="宋体" w:cs="黑体"/>
                      <w:color w:val="000000"/>
                      <w:kern w:val="0"/>
                    </w:rPr>
                  </w:pPr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="黑体" w:eastAsia="黑体" w:hAnsi="宋体" w:cs="黑体" w:hint="eastAsia"/>
                      <w:color w:val="000000"/>
                      <w:kern w:val="0"/>
                    </w:rPr>
                    <w:t>个工作日</w:t>
                  </w:r>
                </w:p>
              </w:tc>
            </w:tr>
          </w:tbl>
          <w:p w:rsidR="002A7C15" w:rsidRDefault="002A7C15">
            <w:pPr>
              <w:jc w:val="right"/>
              <w:rPr>
                <w:rFonts w:ascii="黑体" w:eastAsia="黑体" w:hAnsi="宋体" w:cs="黑体"/>
                <w:color w:val="000000"/>
                <w:kern w:val="0"/>
              </w:rPr>
            </w:pPr>
          </w:p>
        </w:tc>
      </w:tr>
    </w:tbl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</w:rPr>
      </w:pP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</w:rPr>
      </w:pP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六、受理地址：衡山县发展和改革局（衡山大道）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</w:rPr>
      </w:pP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七、受理窗口：衡山县发展和改革局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</w:rPr>
      </w:pPr>
    </w:p>
    <w:p w:rsidR="002A7C15" w:rsidRDefault="0074437D">
      <w:pPr>
        <w:numPr>
          <w:ilvl w:val="0"/>
          <w:numId w:val="2"/>
        </w:num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是否联办：是</w:t>
      </w: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</w:p>
    <w:p w:rsidR="002A7C15" w:rsidRDefault="0074437D">
      <w:pPr>
        <w:numPr>
          <w:ilvl w:val="0"/>
          <w:numId w:val="2"/>
        </w:num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联办部门：衡山县财政局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</w:rPr>
      </w:pPr>
    </w:p>
    <w:p w:rsidR="002A7C15" w:rsidRDefault="0074437D">
      <w:pPr>
        <w:numPr>
          <w:ilvl w:val="0"/>
          <w:numId w:val="2"/>
        </w:num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办结时限：</w:t>
      </w:r>
      <w:r>
        <w:rPr>
          <w:rFonts w:ascii="黑体" w:eastAsia="黑体" w:hAnsi="宋体" w:cs="黑体" w:hint="eastAsia"/>
          <w:color w:val="000000"/>
          <w:kern w:val="0"/>
          <w:sz w:val="24"/>
        </w:rPr>
        <w:t>15</w:t>
      </w:r>
      <w:r>
        <w:rPr>
          <w:rFonts w:ascii="黑体" w:eastAsia="黑体" w:hAnsi="宋体" w:cs="黑体" w:hint="eastAsia"/>
          <w:color w:val="000000"/>
          <w:kern w:val="0"/>
          <w:sz w:val="24"/>
        </w:rPr>
        <w:t>个工作日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</w:rPr>
      </w:pPr>
    </w:p>
    <w:p w:rsidR="002A7C15" w:rsidRDefault="0074437D">
      <w:pPr>
        <w:numPr>
          <w:ilvl w:val="0"/>
          <w:numId w:val="2"/>
        </w:num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咨询电话：</w:t>
      </w:r>
      <w:r>
        <w:rPr>
          <w:rFonts w:ascii="黑体" w:eastAsia="黑体" w:hAnsi="宋体" w:cs="黑体" w:hint="eastAsia"/>
          <w:color w:val="000000"/>
          <w:kern w:val="0"/>
          <w:sz w:val="24"/>
        </w:rPr>
        <w:t>0734-5817208</w:t>
      </w: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  <w:r>
        <w:rPr>
          <w:rFonts w:ascii="黑体" w:eastAsia="黑体" w:hAnsi="宋体" w:cs="黑体" w:hint="eastAsia"/>
          <w:color w:val="000000"/>
          <w:kern w:val="0"/>
          <w:sz w:val="24"/>
        </w:rPr>
        <w:tab/>
      </w:r>
    </w:p>
    <w:p w:rsidR="002A7C15" w:rsidRDefault="0074437D">
      <w:pPr>
        <w:numPr>
          <w:ilvl w:val="0"/>
          <w:numId w:val="2"/>
        </w:num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投诉电话：</w:t>
      </w:r>
    </w:p>
    <w:p w:rsidR="002A7C15" w:rsidRDefault="002A7C15">
      <w:pPr>
        <w:rPr>
          <w:rFonts w:ascii="黑体" w:eastAsia="黑体" w:hAnsi="宋体" w:cs="黑体"/>
          <w:color w:val="000000"/>
          <w:kern w:val="0"/>
          <w:sz w:val="24"/>
        </w:rPr>
      </w:pPr>
    </w:p>
    <w:p w:rsidR="002A7C15" w:rsidRDefault="0074437D">
      <w:pPr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十三、兑现形式：符合条件上报。</w:t>
      </w:r>
      <w:r>
        <w:rPr>
          <w:rFonts w:ascii="黑体" w:eastAsia="黑体" w:hAnsi="宋体" w:cs="黑体" w:hint="eastAsia"/>
          <w:color w:val="000000"/>
          <w:kern w:val="0"/>
          <w:sz w:val="24"/>
        </w:rPr>
        <w:t xml:space="preserve"> </w:t>
      </w:r>
    </w:p>
    <w:sectPr w:rsidR="002A7C15" w:rsidSect="002A7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7D" w:rsidRDefault="0074437D" w:rsidP="00F77C45">
      <w:r>
        <w:separator/>
      </w:r>
    </w:p>
  </w:endnote>
  <w:endnote w:type="continuationSeparator" w:id="1">
    <w:p w:rsidR="0074437D" w:rsidRDefault="0074437D" w:rsidP="00F7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7D" w:rsidRDefault="0074437D" w:rsidP="00F77C45">
      <w:r>
        <w:separator/>
      </w:r>
    </w:p>
  </w:footnote>
  <w:footnote w:type="continuationSeparator" w:id="1">
    <w:p w:rsidR="0074437D" w:rsidRDefault="0074437D" w:rsidP="00F7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FC3207"/>
    <w:multiLevelType w:val="singleLevel"/>
    <w:tmpl w:val="B4FC320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9D2A0A"/>
    <w:rsid w:val="002A7C15"/>
    <w:rsid w:val="00643A9F"/>
    <w:rsid w:val="006E2A02"/>
    <w:rsid w:val="0074437D"/>
    <w:rsid w:val="007F4AA0"/>
    <w:rsid w:val="00833579"/>
    <w:rsid w:val="009057C0"/>
    <w:rsid w:val="00A47627"/>
    <w:rsid w:val="00D90A0F"/>
    <w:rsid w:val="00F77C45"/>
    <w:rsid w:val="020520C3"/>
    <w:rsid w:val="02AD5D9C"/>
    <w:rsid w:val="28BC7C86"/>
    <w:rsid w:val="34187EB7"/>
    <w:rsid w:val="3D944DCC"/>
    <w:rsid w:val="3E5323CE"/>
    <w:rsid w:val="5E6F2F34"/>
    <w:rsid w:val="66F6200D"/>
    <w:rsid w:val="6B9D2A0A"/>
    <w:rsid w:val="72715CEB"/>
    <w:rsid w:val="768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C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A7C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A7C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7C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EB98B-1383-4717-BF02-56F1472D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moyis</dc:creator>
  <cp:lastModifiedBy>Windows 用户</cp:lastModifiedBy>
  <cp:revision>2</cp:revision>
  <cp:lastPrinted>2020-05-06T09:20:00Z</cp:lastPrinted>
  <dcterms:created xsi:type="dcterms:W3CDTF">2020-05-14T06:44:00Z</dcterms:created>
  <dcterms:modified xsi:type="dcterms:W3CDTF">2020-05-14T06:44:00Z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