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4"/>
          <w:szCs w:val="24"/>
          <w:shd w:val="clear" w:fill="FFFFFF"/>
          <w:lang w:val="en-US" w:eastAsia="zh-CN"/>
        </w:rPr>
        <w:t>衡山县第四中学</w:t>
      </w:r>
      <w:r>
        <w:rPr>
          <w:rFonts w:ascii="黑体" w:hAnsi="宋体" w:eastAsia="黑体" w:cs="黑体"/>
          <w:i w:val="0"/>
          <w:iCs w:val="0"/>
          <w:caps w:val="0"/>
          <w:color w:val="000000"/>
          <w:spacing w:val="0"/>
          <w:sz w:val="24"/>
          <w:szCs w:val="24"/>
          <w:shd w:val="clear" w:fill="FFFFFF"/>
        </w:rPr>
        <w:t>2021</w:t>
      </w:r>
      <w:r>
        <w:rPr>
          <w:rFonts w:hint="eastAsia" w:ascii="黑体" w:hAnsi="宋体" w:eastAsia="黑体" w:cs="黑体"/>
          <w:i w:val="0"/>
          <w:iCs w:val="0"/>
          <w:caps w:val="0"/>
          <w:color w:val="000000"/>
          <w:spacing w:val="0"/>
          <w:sz w:val="24"/>
          <w:szCs w:val="24"/>
          <w:shd w:val="clear" w:fill="FFFFFF"/>
        </w:rPr>
        <w:t>年度部门整体支出绩效评价报告</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5"/>
        <w:jc w:val="left"/>
        <w:rPr>
          <w:rFonts w:hint="eastAsia" w:ascii="黑体" w:hAnsi="宋体" w:eastAsia="黑体" w:cs="黑体"/>
          <w:i w:val="0"/>
          <w:iCs w:val="0"/>
          <w:caps w:val="0"/>
          <w:color w:val="000000"/>
          <w:spacing w:val="0"/>
          <w:sz w:val="24"/>
          <w:szCs w:val="24"/>
          <w:shd w:val="clear" w:fill="FFFFFF"/>
        </w:rPr>
      </w:pPr>
      <w:r>
        <w:rPr>
          <w:rFonts w:hint="eastAsia" w:ascii="黑体" w:hAnsi="宋体" w:eastAsia="黑体" w:cs="黑体"/>
          <w:i w:val="0"/>
          <w:iCs w:val="0"/>
          <w:caps w:val="0"/>
          <w:color w:val="000000"/>
          <w:spacing w:val="0"/>
          <w:sz w:val="24"/>
          <w:szCs w:val="24"/>
          <w:shd w:val="clear" w:fill="FFFFFF"/>
        </w:rPr>
        <w:t>单位基本情况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15" w:leftChars="0" w:right="0" w:rightChars="0"/>
        <w:jc w:val="left"/>
        <w:rPr>
          <w:rFonts w:hint="default" w:ascii="黑体" w:hAnsi="宋体" w:eastAsia="黑体" w:cs="黑体"/>
          <w:i w:val="0"/>
          <w:iCs w:val="0"/>
          <w:caps w:val="0"/>
          <w:color w:val="000000"/>
          <w:spacing w:val="0"/>
          <w:sz w:val="24"/>
          <w:szCs w:val="24"/>
          <w:shd w:val="clear" w:fill="FFFFFF"/>
          <w:lang w:val="en-US" w:eastAsia="zh-CN"/>
        </w:rPr>
      </w:pPr>
      <w:r>
        <w:rPr>
          <w:rFonts w:hint="eastAsia" w:ascii="黑体" w:hAnsi="宋体" w:eastAsia="黑体" w:cs="黑体"/>
          <w:i w:val="0"/>
          <w:iCs w:val="0"/>
          <w:caps w:val="0"/>
          <w:color w:val="000000"/>
          <w:spacing w:val="0"/>
          <w:sz w:val="24"/>
          <w:szCs w:val="24"/>
          <w:shd w:val="clear" w:fill="FFFFFF"/>
          <w:lang w:eastAsia="zh-CN"/>
        </w:rPr>
        <w:t>（</w:t>
      </w:r>
      <w:r>
        <w:rPr>
          <w:rFonts w:hint="eastAsia" w:ascii="黑体" w:hAnsi="宋体" w:eastAsia="黑体" w:cs="黑体"/>
          <w:i w:val="0"/>
          <w:iCs w:val="0"/>
          <w:caps w:val="0"/>
          <w:color w:val="000000"/>
          <w:spacing w:val="0"/>
          <w:sz w:val="24"/>
          <w:szCs w:val="24"/>
          <w:shd w:val="clear" w:fill="FFFFFF"/>
          <w:lang w:val="en-US" w:eastAsia="zh-CN"/>
        </w:rPr>
        <w:t>一</w:t>
      </w:r>
      <w:r>
        <w:rPr>
          <w:rFonts w:hint="eastAsia" w:ascii="黑体" w:hAnsi="宋体" w:eastAsia="黑体" w:cs="黑体"/>
          <w:i w:val="0"/>
          <w:iCs w:val="0"/>
          <w:caps w:val="0"/>
          <w:color w:val="000000"/>
          <w:spacing w:val="0"/>
          <w:sz w:val="24"/>
          <w:szCs w:val="24"/>
          <w:shd w:val="clear" w:fill="FFFFFF"/>
          <w:lang w:eastAsia="zh-CN"/>
        </w:rPr>
        <w:t>）</w:t>
      </w:r>
      <w:r>
        <w:rPr>
          <w:rFonts w:hint="eastAsia" w:ascii="黑体" w:hAnsi="宋体" w:eastAsia="黑体" w:cs="黑体"/>
          <w:i w:val="0"/>
          <w:iCs w:val="0"/>
          <w:caps w:val="0"/>
          <w:color w:val="000000"/>
          <w:spacing w:val="0"/>
          <w:sz w:val="24"/>
          <w:szCs w:val="24"/>
          <w:shd w:val="clear" w:fill="FFFFFF"/>
          <w:lang w:val="en-US" w:eastAsia="zh-CN"/>
        </w:rPr>
        <w:t>机构人员情况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湖南省衡山县第四中学创办于1938年，位于衡山县白果镇涓水路238号，占地151亩，建筑面积100717平方米。初、高中学生2000余人，属全额拨款的事业单位。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衡山县第四中学设内部机构7个，分别为党支部、办公室、教务处、总务处、教研室、政教处、团委。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至202</w:t>
      </w:r>
      <w:r>
        <w:rPr>
          <w:rFonts w:hint="eastAsia" w:ascii="宋体" w:hAnsi="宋体" w:eastAsia="宋体" w:cs="宋体"/>
          <w:i w:val="0"/>
          <w:iCs w:val="0"/>
          <w:caps w:val="0"/>
          <w:color w:val="000000"/>
          <w:spacing w:val="0"/>
          <w:sz w:val="24"/>
          <w:szCs w:val="24"/>
          <w:shd w:val="clear" w:fill="FFFFFF"/>
          <w:lang w:val="en-US" w:eastAsia="zh-CN"/>
        </w:rPr>
        <w:t>1年末</w:t>
      </w:r>
      <w:r>
        <w:rPr>
          <w:rFonts w:hint="default" w:ascii="宋体" w:hAnsi="宋体" w:eastAsia="宋体" w:cs="宋体"/>
          <w:i w:val="0"/>
          <w:iCs w:val="0"/>
          <w:caps w:val="0"/>
          <w:color w:val="000000"/>
          <w:spacing w:val="0"/>
          <w:sz w:val="24"/>
          <w:szCs w:val="24"/>
          <w:shd w:val="clear" w:fill="FFFFFF"/>
        </w:rPr>
        <w:t>，有编制</w:t>
      </w:r>
      <w:r>
        <w:rPr>
          <w:rFonts w:hint="eastAsia" w:ascii="宋体" w:hAnsi="宋体" w:eastAsia="宋体" w:cs="宋体"/>
          <w:i w:val="0"/>
          <w:iCs w:val="0"/>
          <w:caps w:val="0"/>
          <w:color w:val="000000"/>
          <w:spacing w:val="0"/>
          <w:sz w:val="24"/>
          <w:szCs w:val="24"/>
          <w:shd w:val="clear" w:fill="FFFFFF"/>
          <w:lang w:val="en-US" w:eastAsia="zh-CN"/>
        </w:rPr>
        <w:t>数</w:t>
      </w:r>
      <w:r>
        <w:rPr>
          <w:rFonts w:hint="eastAsia" w:ascii="宋体" w:hAnsi="宋体" w:eastAsia="宋体" w:cs="宋体"/>
          <w:i w:val="0"/>
          <w:iCs w:val="0"/>
          <w:caps w:val="0"/>
          <w:color w:val="000000"/>
          <w:spacing w:val="0"/>
          <w:sz w:val="24"/>
          <w:szCs w:val="24"/>
          <w:shd w:val="clear" w:fill="FFFFFF"/>
        </w:rPr>
        <w:t>160</w:t>
      </w:r>
      <w:r>
        <w:rPr>
          <w:rFonts w:hint="default" w:ascii="宋体" w:hAnsi="宋体" w:eastAsia="宋体" w:cs="宋体"/>
          <w:i w:val="0"/>
          <w:iCs w:val="0"/>
          <w:caps w:val="0"/>
          <w:color w:val="000000"/>
          <w:spacing w:val="0"/>
          <w:sz w:val="24"/>
          <w:szCs w:val="24"/>
          <w:shd w:val="clear" w:fill="FFFFFF"/>
        </w:rPr>
        <w:t>名，其中在职</w:t>
      </w:r>
      <w:r>
        <w:rPr>
          <w:rFonts w:hint="eastAsia" w:ascii="宋体" w:hAnsi="宋体" w:eastAsia="宋体" w:cs="宋体"/>
          <w:i w:val="0"/>
          <w:iCs w:val="0"/>
          <w:caps w:val="0"/>
          <w:color w:val="000000"/>
          <w:spacing w:val="0"/>
          <w:sz w:val="24"/>
          <w:szCs w:val="24"/>
          <w:shd w:val="clear" w:fill="FFFFFF"/>
        </w:rPr>
        <w:t>13</w:t>
      </w:r>
      <w:r>
        <w:rPr>
          <w:rFonts w:hint="eastAsia" w:ascii="宋体" w:hAnsi="宋体" w:eastAsia="宋体" w:cs="宋体"/>
          <w:i w:val="0"/>
          <w:iCs w:val="0"/>
          <w:caps w:val="0"/>
          <w:color w:val="000000"/>
          <w:spacing w:val="0"/>
          <w:sz w:val="24"/>
          <w:szCs w:val="24"/>
          <w:shd w:val="clear" w:fill="FFFFFF"/>
          <w:lang w:val="en-US" w:eastAsia="zh-CN"/>
        </w:rPr>
        <w:t>8</w:t>
      </w:r>
      <w:r>
        <w:rPr>
          <w:rFonts w:hint="default" w:ascii="宋体" w:hAnsi="宋体" w:eastAsia="宋体" w:cs="宋体"/>
          <w:i w:val="0"/>
          <w:iCs w:val="0"/>
          <w:caps w:val="0"/>
          <w:color w:val="000000"/>
          <w:spacing w:val="0"/>
          <w:sz w:val="24"/>
          <w:szCs w:val="24"/>
          <w:shd w:val="clear" w:fill="FFFFFF"/>
        </w:rPr>
        <w:t>人</w:t>
      </w:r>
      <w:r>
        <w:rPr>
          <w:rFonts w:hint="eastAsia" w:ascii="宋体" w:hAnsi="宋体" w:eastAsia="宋体" w:cs="宋体"/>
          <w:i w:val="0"/>
          <w:iCs w:val="0"/>
          <w:caps w:val="0"/>
          <w:color w:val="000000"/>
          <w:spacing w:val="0"/>
          <w:sz w:val="24"/>
          <w:szCs w:val="24"/>
          <w:shd w:val="clear" w:fill="FFFFFF"/>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15" w:leftChars="0" w:right="0" w:rightChars="0"/>
        <w:jc w:val="left"/>
        <w:rPr>
          <w:rFonts w:hint="eastAsia" w:ascii="黑体" w:hAnsi="宋体" w:eastAsia="黑体" w:cs="黑体"/>
          <w:i w:val="0"/>
          <w:iCs w:val="0"/>
          <w:caps w:val="0"/>
          <w:color w:val="000000"/>
          <w:spacing w:val="0"/>
          <w:sz w:val="24"/>
          <w:szCs w:val="24"/>
          <w:shd w:val="clear" w:fill="FFFFFF"/>
          <w:lang w:eastAsia="zh-CN"/>
        </w:rPr>
      </w:pPr>
      <w:r>
        <w:rPr>
          <w:rFonts w:hint="eastAsia" w:ascii="黑体" w:hAnsi="宋体" w:eastAsia="黑体" w:cs="黑体"/>
          <w:i w:val="0"/>
          <w:iCs w:val="0"/>
          <w:caps w:val="0"/>
          <w:color w:val="000000"/>
          <w:spacing w:val="0"/>
          <w:sz w:val="24"/>
          <w:szCs w:val="24"/>
          <w:shd w:val="clear" w:fill="FFFFFF"/>
          <w:lang w:eastAsia="zh-CN"/>
        </w:rPr>
        <w:t>（二）主要工作职能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720" w:firstLineChars="300"/>
        <w:jc w:val="left"/>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lang w:eastAsia="zh-CN"/>
        </w:rPr>
        <w:t>1、高中教育教学。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lang w:eastAsia="zh-CN"/>
        </w:rPr>
        <w:t xml:space="preserve"> 2、高中学生心理健康辅导，开展有利于学生身心健康的课外活动；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lang w:eastAsia="zh-CN"/>
        </w:rPr>
        <w:t xml:space="preserve"> 3、承担县委、县政府和上级主管部门交办的其他事项。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5"/>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4"/>
          <w:szCs w:val="24"/>
          <w:shd w:val="clear" w:fill="FFFFFF"/>
        </w:rPr>
        <w:t>二、基本收支情况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2021年度决算总收入为2080.03万元。其中：一般公共预算财政拨款1932.55万元，事业收入147.48万元。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2021年度决算总支出为：2080.03万元，其中:工资福利支出1612.75万元、对个人和家庭的补助支出25.72万元、商品和服务支出407.18万元，资本性支出34.38万元。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5"/>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4"/>
          <w:szCs w:val="24"/>
          <w:shd w:val="clear" w:fill="FFFFFF"/>
        </w:rPr>
        <w:t>三、支出分类情况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1.基本支出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基本支出是指为保障单位机构正常运转、完成日常工作任务而发生的各项支出，包括用于在职和离退休人员基本工资、津贴补贴等人员经费以及办公费、印刷费、水电费、差旅费、维修（护）费等日常公用经费。衡山县第四中学2021年基本支出2080.03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2.项目支出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项目支出指单位为完成特定工作任务或事业发展目标而发生的支出，包括基本建设类项目支出和行政事业类项目支出。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3."三公"经费情况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2021年部门预算指标批复的"三公"经费为10万元,其中公务接待费10万元。2021年度我单位"三公"经费决算数为9.41万元,其中公务接待费9.41万元。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4"/>
          <w:szCs w:val="24"/>
          <w:shd w:val="clear" w:fill="FFFFFF"/>
        </w:rPr>
        <w:t>四、部门整体支出绩效情况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Style w:val="6"/>
          <w:rFonts w:hint="eastAsia" w:ascii="宋体" w:hAnsi="宋体" w:eastAsia="宋体" w:cs="宋体"/>
          <w:i w:val="0"/>
          <w:iCs w:val="0"/>
          <w:caps w:val="0"/>
          <w:color w:val="222222"/>
          <w:spacing w:val="0"/>
          <w:sz w:val="24"/>
          <w:szCs w:val="24"/>
          <w:shd w:val="clear" w:fill="FFFFFF"/>
        </w:rPr>
        <w:t>（一）部门整体绩效目标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1、提高学生整体成绩，办人民满意的教育。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2、完善学校设施设备建设，维护学校的正常运转。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（二）部门整体绩效情况</w:t>
      </w:r>
    </w:p>
    <w:p>
      <w:pPr>
        <w:widowControl/>
        <w:spacing w:line="600" w:lineRule="exact"/>
        <w:ind w:firstLine="480" w:firstLineChars="200"/>
        <w:jc w:val="left"/>
        <w:rPr>
          <w:rFonts w:hint="default" w:ascii="宋体" w:hAnsi="宋体" w:eastAsia="宋体" w:cs="宋体"/>
          <w:b/>
          <w:bCs/>
          <w:i w:val="0"/>
          <w:iCs w:val="0"/>
          <w:caps w:val="0"/>
          <w:color w:val="000000"/>
          <w:spacing w:val="0"/>
          <w:sz w:val="24"/>
          <w:szCs w:val="24"/>
          <w:shd w:val="clear" w:fill="FFFFFF"/>
          <w:lang w:val="en-US"/>
        </w:rPr>
      </w:pPr>
      <w:r>
        <w:rPr>
          <w:rFonts w:hint="eastAsia" w:ascii="宋体" w:hAnsi="宋体" w:eastAsia="宋体" w:cs="宋体"/>
          <w:i w:val="0"/>
          <w:iCs w:val="0"/>
          <w:caps w:val="0"/>
          <w:color w:val="000000"/>
          <w:spacing w:val="0"/>
          <w:kern w:val="0"/>
          <w:sz w:val="24"/>
          <w:szCs w:val="24"/>
          <w:shd w:val="clear" w:fill="FFFFFF"/>
          <w:lang w:val="en-US" w:eastAsia="zh-CN" w:bidi="ar"/>
        </w:rPr>
        <w:t>2021年，我单位积极履职，强化管理，较好的完成了年度工作目标。通过加强预算收支管理，不断建立健全内部管理制度，梳理内部管理流程，部门整体支出管理水平得到提升。根据部门整体支出绩效评价指标体系，我单位2021年度评价得分为 94分。部门整体支出绩效情况见附表。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在原生优秀人数为零的前提下，2021年高考在参考人数只有170多人的情况下，本科上线69人 ，创近年上线人数最高峰。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根据2021年项目资金预算计划，衡山县第四中学对教学楼、学生食堂、校园主干道硬化、围墙及绿化等进行新建及维修，使学校的教学环境得到了较大的改善。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4"/>
          <w:szCs w:val="24"/>
          <w:shd w:val="clear" w:fill="FFFFFF"/>
        </w:rPr>
        <w:t>五、存在的主要问题及下一步改进措施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Style w:val="6"/>
          <w:rFonts w:hint="eastAsia" w:ascii="宋体" w:hAnsi="宋体" w:eastAsia="宋体" w:cs="宋体"/>
          <w:i w:val="0"/>
          <w:iCs w:val="0"/>
          <w:caps w:val="0"/>
          <w:color w:val="222222"/>
          <w:spacing w:val="0"/>
          <w:sz w:val="24"/>
          <w:szCs w:val="24"/>
          <w:shd w:val="clear" w:fill="FFFFFF"/>
        </w:rPr>
        <w:t>（一）财务管理及核算有待规范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其具体表现在以下几个方面。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lang w:val="en-US" w:eastAsia="zh-CN"/>
        </w:rPr>
        <w:t>部分</w:t>
      </w:r>
      <w:r>
        <w:rPr>
          <w:rFonts w:hint="eastAsia" w:ascii="宋体" w:hAnsi="宋体" w:eastAsia="宋体" w:cs="宋体"/>
          <w:i w:val="0"/>
          <w:iCs w:val="0"/>
          <w:caps w:val="0"/>
          <w:color w:val="000000"/>
          <w:spacing w:val="0"/>
          <w:sz w:val="24"/>
          <w:szCs w:val="24"/>
          <w:shd w:val="clear" w:fill="FFFFFF"/>
        </w:rPr>
        <w:t>公务接待费报销所附原始单据不齐全。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lang w:val="en-US" w:eastAsia="zh-CN"/>
        </w:rPr>
        <w:t>少许</w:t>
      </w:r>
      <w:r>
        <w:rPr>
          <w:rFonts w:hint="eastAsia" w:ascii="宋体" w:hAnsi="宋体" w:eastAsia="宋体" w:cs="宋体"/>
          <w:i w:val="0"/>
          <w:iCs w:val="0"/>
          <w:caps w:val="0"/>
          <w:color w:val="000000"/>
          <w:spacing w:val="0"/>
          <w:sz w:val="24"/>
          <w:szCs w:val="24"/>
          <w:shd w:val="clear" w:fill="FFFFFF"/>
        </w:rPr>
        <w:t>办公费报销所附原始单据不齐全。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3、费用报销严重滞后。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Style w:val="6"/>
          <w:rFonts w:hint="eastAsia" w:ascii="宋体" w:hAnsi="宋体" w:eastAsia="宋体" w:cs="宋体"/>
          <w:i w:val="0"/>
          <w:iCs w:val="0"/>
          <w:caps w:val="0"/>
          <w:color w:val="222222"/>
          <w:spacing w:val="0"/>
          <w:sz w:val="24"/>
          <w:szCs w:val="24"/>
          <w:shd w:val="clear" w:fill="FFFFFF"/>
        </w:rPr>
        <w:t>（二）内部控制管理及执行有待提高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一是内部管理制度不太健全，二是某些方面未按制度执行。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Style w:val="6"/>
          <w:rFonts w:hint="eastAsia" w:ascii="宋体" w:hAnsi="宋体" w:eastAsia="宋体" w:cs="宋体"/>
          <w:i w:val="0"/>
          <w:iCs w:val="0"/>
          <w:caps w:val="0"/>
          <w:color w:val="222222"/>
          <w:spacing w:val="0"/>
          <w:sz w:val="24"/>
          <w:szCs w:val="24"/>
          <w:shd w:val="clear" w:fill="FFFFFF"/>
        </w:rPr>
        <w:t>（三）今后的改进措施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1、加强财务管理，严格财务审核。加强单位财务管理，健全单位财务管理制度体系，规范单位财务行为。在费用报账支付时，按照预算规定的费用项目和用途进行资金使用审核、列报支付、财务核算，杜绝不合规单据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2、建立健全学校管理制度，加强资金使用的合规性，完善对资金使用的跟踪监督管理，进行事先审批和事后凭票报销，加强管理，节约开支，压缩"三公"经费开支。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3、对相关人员加强培训，特别是针对《预算法》、《行政事业单位会计制度》等学习培训，规范部门预算收支核算，切实提高部门预算收支管理水平。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4"/>
          <w:szCs w:val="24"/>
          <w:shd w:val="clear" w:fill="FFFFFF"/>
        </w:rPr>
        <w:t>六、其他需要说明的情况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无</w:t>
      </w:r>
    </w:p>
    <w:p/>
    <w:p>
      <w:pPr>
        <w:widowControl/>
        <w:spacing w:line="600" w:lineRule="exact"/>
        <w:ind w:firstLine="645"/>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附件：1.部门整体支出绩效评价指标评分表</w:t>
      </w:r>
    </w:p>
    <w:p>
      <w:pPr>
        <w:widowControl/>
        <w:spacing w:line="600" w:lineRule="exact"/>
        <w:ind w:firstLine="1524" w:firstLineChars="508"/>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2.部门整体支出绩效评价基础数据表</w:t>
      </w:r>
    </w:p>
    <w:p>
      <w:pPr>
        <w:widowControl/>
        <w:spacing w:line="600" w:lineRule="exact"/>
        <w:ind w:firstLine="1524" w:firstLineChars="508"/>
        <w:jc w:val="left"/>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3.2021年度县级专项资金绩效目标自评表</w:t>
      </w:r>
    </w:p>
    <w:p>
      <w:pPr>
        <w:widowControl/>
        <w:spacing w:line="600" w:lineRule="exact"/>
        <w:ind w:firstLine="1524" w:firstLineChars="508"/>
        <w:jc w:val="left"/>
        <w:rPr>
          <w:rFonts w:hint="eastAsia" w:ascii="仿宋" w:hAnsi="仿宋" w:eastAsia="仿宋" w:cs="仿宋"/>
          <w:kern w:val="0"/>
          <w:sz w:val="30"/>
          <w:szCs w:val="30"/>
          <w:shd w:val="clear" w:color="auto" w:fill="FFFFFF"/>
        </w:rPr>
      </w:pPr>
    </w:p>
    <w:p/>
    <w:p>
      <w:pPr>
        <w:spacing w:afterLines="100"/>
        <w:jc w:val="center"/>
        <w:rPr>
          <w:rFonts w:hint="eastAsia" w:eastAsia="方正小标宋_GBK"/>
          <w:kern w:val="0"/>
          <w:sz w:val="36"/>
          <w:szCs w:val="36"/>
        </w:rPr>
      </w:pPr>
      <w:r>
        <w:rPr>
          <w:rFonts w:hint="eastAsia" w:eastAsia="方正小标宋_GBK"/>
          <w:kern w:val="0"/>
          <w:sz w:val="36"/>
          <w:szCs w:val="36"/>
        </w:rPr>
        <w:t>部门整体支出绩效评价指标评分表</w:t>
      </w:r>
    </w:p>
    <w:tbl>
      <w:tblPr>
        <w:tblStyle w:val="4"/>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p>
          <w:p>
            <w:pPr>
              <w:widowControl/>
              <w:jc w:val="left"/>
              <w:rPr>
                <w:rFonts w:eastAsia="仿宋_GB2312"/>
                <w:kern w:val="0"/>
                <w:sz w:val="20"/>
                <w:szCs w:val="20"/>
              </w:rPr>
            </w:pP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3</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3</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4</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p>
          <w:p>
            <w:pPr>
              <w:widowControl/>
              <w:jc w:val="left"/>
              <w:rPr>
                <w:rFonts w:eastAsia="仿宋_GB2312"/>
                <w:kern w:val="0"/>
                <w:sz w:val="20"/>
                <w:szCs w:val="20"/>
              </w:rPr>
            </w:pP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10</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pPr>
        <w:spacing w:afterLines="100"/>
        <w:jc w:val="center"/>
        <w:rPr>
          <w:rFonts w:hint="eastAsia" w:eastAsia="方正小标宋_GBK"/>
          <w:kern w:val="0"/>
          <w:sz w:val="36"/>
          <w:szCs w:val="36"/>
        </w:rPr>
      </w:pPr>
    </w:p>
    <w:p/>
    <w:p/>
    <w:p/>
    <w:p/>
    <w:p/>
    <w:p/>
    <w:p/>
    <w:p>
      <w:pPr>
        <w:jc w:val="center"/>
        <w:rPr>
          <w:rFonts w:eastAsia="方正小标宋_GBK"/>
          <w:kern w:val="0"/>
          <w:sz w:val="36"/>
          <w:szCs w:val="36"/>
        </w:rPr>
      </w:pPr>
      <w: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填报单位：衡山县第</w:t>
      </w:r>
      <w:r>
        <w:rPr>
          <w:rFonts w:hint="eastAsia" w:eastAsia="仿宋_GB2312"/>
          <w:kern w:val="0"/>
          <w:sz w:val="24"/>
          <w:lang w:val="en-US" w:eastAsia="zh-CN"/>
        </w:rPr>
        <w:t>四</w:t>
      </w:r>
      <w:r>
        <w:rPr>
          <w:rFonts w:hint="eastAsia" w:eastAsia="仿宋_GB2312"/>
          <w:kern w:val="0"/>
          <w:sz w:val="24"/>
        </w:rPr>
        <w:t>中学</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4"/>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21年实际在职人数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90"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160</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138</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lang w:val="en-US" w:eastAsia="zh-CN"/>
              </w:rPr>
              <w:t>86</w:t>
            </w:r>
            <w:r>
              <w:rPr>
                <w:rFonts w:hint="eastAsia" w:eastAsia="仿宋_GB2312"/>
                <w:kern w:val="0"/>
                <w:szCs w:val="21"/>
              </w:rPr>
              <w:t>%　</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20年决算数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21年预算数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21年决算数</w:t>
            </w:r>
          </w:p>
        </w:tc>
      </w:tr>
      <w:tr>
        <w:tblPrEx>
          <w:tblCellMar>
            <w:top w:w="0" w:type="dxa"/>
            <w:left w:w="108" w:type="dxa"/>
            <w:bottom w:w="0" w:type="dxa"/>
            <w:right w:w="108" w:type="dxa"/>
          </w:tblCellMar>
        </w:tblPrEx>
        <w:trPr>
          <w:trHeight w:val="38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91966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100000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94140</w:t>
            </w:r>
          </w:p>
        </w:tc>
      </w:tr>
      <w:tr>
        <w:tblPrEx>
          <w:tblCellMar>
            <w:top w:w="0" w:type="dxa"/>
            <w:left w:w="108" w:type="dxa"/>
            <w:bottom w:w="0" w:type="dxa"/>
            <w:right w:w="108" w:type="dxa"/>
          </w:tblCellMar>
        </w:tblPrEx>
        <w:trPr>
          <w:trHeight w:val="35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5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3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27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5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91966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100000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94140</w:t>
            </w:r>
          </w:p>
        </w:tc>
      </w:tr>
      <w:tr>
        <w:tblPrEx>
          <w:tblCellMar>
            <w:top w:w="0" w:type="dxa"/>
            <w:left w:w="108" w:type="dxa"/>
            <w:bottom w:w="0" w:type="dxa"/>
            <w:right w:w="108" w:type="dxa"/>
          </w:tblCellMar>
        </w:tblPrEx>
        <w:trPr>
          <w:trHeight w:val="31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2675087.84</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工作经费专项：公用经费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1571764</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eastAsia="仿宋_GB2312"/>
                <w:kern w:val="0"/>
                <w:szCs w:val="21"/>
              </w:rPr>
            </w:pPr>
            <w:r>
              <w:rPr>
                <w:rFonts w:hint="eastAsia" w:eastAsia="仿宋_GB2312"/>
                <w:kern w:val="0"/>
                <w:szCs w:val="21"/>
              </w:rPr>
              <w:t>资本性支出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1103323.84</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系统预留集中支付</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4514084.13</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4415588.87</w:t>
            </w:r>
          </w:p>
        </w:tc>
      </w:tr>
      <w:tr>
        <w:tblPrEx>
          <w:tblCellMar>
            <w:top w:w="0" w:type="dxa"/>
            <w:left w:w="108" w:type="dxa"/>
            <w:bottom w:w="0" w:type="dxa"/>
            <w:right w:w="108" w:type="dxa"/>
          </w:tblCellMar>
        </w:tblPrEx>
        <w:trPr>
          <w:trHeight w:val="3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691537.6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626108.9</w:t>
            </w:r>
          </w:p>
        </w:tc>
      </w:tr>
      <w:tr>
        <w:tblPrEx>
          <w:tblCellMar>
            <w:top w:w="0" w:type="dxa"/>
            <w:left w:w="108" w:type="dxa"/>
            <w:bottom w:w="0" w:type="dxa"/>
            <w:right w:w="108" w:type="dxa"/>
          </w:tblCellMar>
        </w:tblPrEx>
        <w:trPr>
          <w:trHeight w:val="27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公务接待费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91966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94140</w:t>
            </w:r>
          </w:p>
        </w:tc>
      </w:tr>
      <w:tr>
        <w:tblPrEx>
          <w:tblCellMar>
            <w:top w:w="0" w:type="dxa"/>
            <w:left w:w="108" w:type="dxa"/>
            <w:bottom w:w="0" w:type="dxa"/>
            <w:right w:w="108" w:type="dxa"/>
          </w:tblCellMar>
        </w:tblPrEx>
        <w:trPr>
          <w:trHeight w:val="29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 xml:space="preserve">        </w:t>
            </w:r>
            <w:r>
              <w:rPr>
                <w:rFonts w:eastAsia="仿宋_GB2312"/>
                <w:kern w:val="0"/>
                <w:szCs w:val="21"/>
              </w:rPr>
              <w:t xml:space="preserve"> </w:t>
            </w:r>
            <w:r>
              <w:rPr>
                <w:rFonts w:hint="eastAsia" w:eastAsia="仿宋_GB2312"/>
                <w:kern w:val="0"/>
                <w:szCs w:val="21"/>
              </w:rPr>
              <w:t>印刷费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189757.23</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183617.03</w:t>
            </w:r>
          </w:p>
        </w:tc>
      </w:tr>
      <w:tr>
        <w:tblPrEx>
          <w:tblCellMar>
            <w:top w:w="0" w:type="dxa"/>
            <w:left w:w="108" w:type="dxa"/>
            <w:bottom w:w="0" w:type="dxa"/>
            <w:right w:w="108" w:type="dxa"/>
          </w:tblCellMar>
        </w:tblPrEx>
        <w:trPr>
          <w:trHeight w:val="29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50" w:firstLineChars="500"/>
              <w:jc w:val="left"/>
              <w:rPr>
                <w:rFonts w:eastAsia="仿宋_GB2312"/>
                <w:kern w:val="0"/>
                <w:szCs w:val="21"/>
              </w:rPr>
            </w:pPr>
            <w:r>
              <w:rPr>
                <w:rFonts w:hint="eastAsia" w:eastAsia="仿宋_GB2312"/>
                <w:kern w:val="0"/>
                <w:szCs w:val="21"/>
              </w:rPr>
              <w:t>水费、电费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413421.17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366269.43</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50" w:firstLineChars="500"/>
              <w:jc w:val="left"/>
              <w:rPr>
                <w:rFonts w:eastAsia="仿宋_GB2312"/>
                <w:kern w:val="0"/>
                <w:szCs w:val="21"/>
              </w:rPr>
            </w:pPr>
            <w:r>
              <w:rPr>
                <w:rFonts w:hint="eastAsia" w:eastAsia="仿宋_GB2312"/>
                <w:kern w:val="0"/>
                <w:szCs w:val="21"/>
              </w:rPr>
              <w:t>培训费、差旅费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43031.5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57553.46</w:t>
            </w:r>
          </w:p>
        </w:tc>
      </w:tr>
      <w:tr>
        <w:tblPrEx>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50" w:firstLineChars="500"/>
              <w:jc w:val="left"/>
              <w:rPr>
                <w:rFonts w:eastAsia="仿宋_GB2312"/>
                <w:kern w:val="0"/>
                <w:szCs w:val="21"/>
              </w:rPr>
            </w:pPr>
            <w:r>
              <w:rPr>
                <w:rFonts w:hint="eastAsia" w:eastAsia="仿宋_GB2312"/>
                <w:kern w:val="0"/>
                <w:szCs w:val="21"/>
              </w:rPr>
              <w:t>其他交通费用</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34968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54214</w:t>
            </w:r>
          </w:p>
        </w:tc>
      </w:tr>
      <w:tr>
        <w:tblPrEx>
          <w:tblCellMar>
            <w:top w:w="0" w:type="dxa"/>
            <w:left w:w="108" w:type="dxa"/>
            <w:bottom w:w="0" w:type="dxa"/>
            <w:right w:w="108" w:type="dxa"/>
          </w:tblCellMar>
        </w:tblPrEx>
        <w:trPr>
          <w:trHeight w:val="29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50" w:firstLineChars="500"/>
              <w:jc w:val="left"/>
              <w:rPr>
                <w:rFonts w:eastAsia="仿宋_GB2312"/>
                <w:kern w:val="0"/>
                <w:szCs w:val="21"/>
              </w:rPr>
            </w:pPr>
            <w:r>
              <w:rPr>
                <w:rFonts w:hint="eastAsia" w:eastAsia="仿宋_GB2312"/>
                <w:kern w:val="0"/>
                <w:szCs w:val="21"/>
              </w:rPr>
              <w:t>维修（护）费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1333835.29</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1850744.05</w:t>
            </w:r>
          </w:p>
        </w:tc>
      </w:tr>
      <w:tr>
        <w:tblPrEx>
          <w:tblCellMar>
            <w:top w:w="0" w:type="dxa"/>
            <w:left w:w="108" w:type="dxa"/>
            <w:bottom w:w="0" w:type="dxa"/>
            <w:right w:w="108" w:type="dxa"/>
          </w:tblCellMar>
        </w:tblPrEx>
        <w:trPr>
          <w:trHeight w:val="29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eastAsia="仿宋_GB2312"/>
                <w:kern w:val="0"/>
                <w:szCs w:val="21"/>
              </w:rPr>
            </w:pPr>
            <w:r>
              <w:rPr>
                <w:rFonts w:hint="eastAsia" w:eastAsia="仿宋_GB2312"/>
                <w:kern w:val="0"/>
                <w:szCs w:val="21"/>
              </w:rPr>
              <w:t>劳务费等及其他商品服务支出...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1715567.34</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1182942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1104507</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16271300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20800348.27</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eastAsia="zh-CN"/>
              </w:rPr>
            </w:pPr>
            <w:r>
              <w:rPr>
                <w:rFonts w:hint="eastAsia" w:eastAsia="仿宋_GB2312"/>
                <w:kern w:val="0"/>
                <w:szCs w:val="21"/>
              </w:rPr>
              <w:t>楼堂馆所控制情况</w:t>
            </w:r>
          </w:p>
          <w:p>
            <w:pPr>
              <w:widowControl/>
              <w:jc w:val="center"/>
              <w:rPr>
                <w:rFonts w:eastAsia="仿宋_GB2312"/>
                <w:kern w:val="0"/>
                <w:szCs w:val="21"/>
              </w:rPr>
            </w:pPr>
            <w:r>
              <w:rPr>
                <w:rFonts w:hint="eastAsia" w:eastAsia="仿宋_GB2312"/>
                <w:kern w:val="0"/>
                <w:szCs w:val="21"/>
              </w:rPr>
              <w:t>（</w:t>
            </w:r>
            <w:r>
              <w:rPr>
                <w:rFonts w:eastAsia="仿宋_GB2312"/>
                <w:kern w:val="0"/>
                <w:szCs w:val="21"/>
              </w:rPr>
              <w:t>20</w:t>
            </w:r>
            <w:r>
              <w:rPr>
                <w:rFonts w:hint="eastAsia" w:eastAsia="仿宋_GB2312"/>
                <w:kern w:val="0"/>
                <w:szCs w:val="21"/>
              </w:rPr>
              <w:t>21年完工项目）</w:t>
            </w:r>
          </w:p>
        </w:tc>
        <w:tc>
          <w:tcPr>
            <w:tcW w:w="1189" w:type="dxa"/>
            <w:tcBorders>
              <w:top w:val="nil"/>
              <w:left w:val="nil"/>
              <w:bottom w:val="single" w:color="auto" w:sz="4" w:space="0"/>
              <w:right w:val="single" w:color="auto" w:sz="4" w:space="0"/>
            </w:tcBorders>
            <w:vAlign w:val="center"/>
          </w:tcPr>
          <w:p>
            <w:pPr>
              <w:widowControl/>
              <w:jc w:val="center"/>
              <w:rPr>
                <w:rFonts w:hint="eastAsia" w:eastAsia="仿宋_GB2312"/>
                <w:b/>
                <w:bCs/>
                <w:kern w:val="0"/>
                <w:szCs w:val="21"/>
                <w:lang w:eastAsia="zh-CN"/>
              </w:rPr>
            </w:pPr>
            <w:r>
              <w:rPr>
                <w:rFonts w:hint="eastAsia" w:eastAsia="仿宋_GB2312"/>
                <w:b/>
                <w:bCs/>
                <w:kern w:val="0"/>
                <w:szCs w:val="21"/>
              </w:rPr>
              <w:t>批复规模</w:t>
            </w:r>
          </w:p>
          <w:p>
            <w:pPr>
              <w:widowControl/>
              <w:jc w:val="center"/>
              <w:rPr>
                <w:rFonts w:eastAsia="仿宋_GB2312"/>
                <w:b/>
                <w:bCs/>
                <w:kern w:val="0"/>
                <w:szCs w:val="21"/>
              </w:rPr>
            </w:pP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33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0</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r>
      <w:tr>
        <w:tblPrEx>
          <w:tblCellMar>
            <w:top w:w="0" w:type="dxa"/>
            <w:left w:w="108" w:type="dxa"/>
            <w:bottom w:w="0" w:type="dxa"/>
            <w:right w:w="108" w:type="dxa"/>
          </w:tblCellMar>
        </w:tblPrEx>
        <w:trPr>
          <w:trHeight w:val="85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ascii="仿宋" w:hAnsi="仿宋" w:eastAsia="仿宋" w:cs="仿宋"/>
                <w:sz w:val="18"/>
                <w:szCs w:val="18"/>
                <w:shd w:val="clear" w:color="auto" w:fill="FFFFFF"/>
              </w:rPr>
              <w:t>加强财务管理，严格财务审核。加强单位财务管理，健全单位财务管理制度体系，规范单位财务行为。在费用报账支付时，按照预算规定的费用项目和用途进行资金使用审核、列报支付、财务核算，杜绝超支现象的发生。</w:t>
            </w:r>
            <w:r>
              <w:rPr>
                <w:rFonts w:hint="eastAsia" w:eastAsia="仿宋_GB2312"/>
                <w:kern w:val="0"/>
                <w:sz w:val="18"/>
                <w:szCs w:val="18"/>
              </w:rPr>
              <w:t>　</w:t>
            </w:r>
          </w:p>
        </w:tc>
      </w:tr>
    </w:tbl>
    <w:p>
      <w:pPr>
        <w:rPr>
          <w:rFonts w:ascii="方正小标宋_GBK" w:hAnsi="宋体" w:eastAsia="方正小标宋_GBK" w:cs="宋体"/>
          <w:kern w:val="0"/>
          <w:sz w:val="36"/>
          <w:szCs w:val="36"/>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rPr>
        <w:t>21年度县级专项资金绩效目标自评表</w:t>
      </w:r>
    </w:p>
    <w:tbl>
      <w:tblPr>
        <w:tblStyle w:val="4"/>
        <w:tblW w:w="10060" w:type="dxa"/>
        <w:jc w:val="center"/>
        <w:tblLayout w:type="fixed"/>
        <w:tblCellMar>
          <w:top w:w="0" w:type="dxa"/>
          <w:left w:w="108" w:type="dxa"/>
          <w:bottom w:w="0" w:type="dxa"/>
          <w:right w:w="108" w:type="dxa"/>
        </w:tblCellMar>
      </w:tblPr>
      <w:tblGrid>
        <w:gridCol w:w="769"/>
        <w:gridCol w:w="675"/>
        <w:gridCol w:w="709"/>
        <w:gridCol w:w="2165"/>
        <w:gridCol w:w="1379"/>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教育经费专项资金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刘端13786494205</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衡山县教育局</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 w:hAnsi="仿宋" w:eastAsia="仿宋" w:cs="仿宋"/>
                <w:kern w:val="0"/>
                <w:szCs w:val="21"/>
              </w:rPr>
            </w:pPr>
            <w:r>
              <w:rPr>
                <w:rFonts w:hint="eastAsia" w:ascii="仿宋" w:hAnsi="仿宋" w:eastAsia="仿宋" w:cs="仿宋"/>
                <w:kern w:val="0"/>
                <w:szCs w:val="21"/>
              </w:rPr>
              <w:t>　衡山县第</w:t>
            </w:r>
            <w:r>
              <w:rPr>
                <w:rFonts w:hint="eastAsia" w:ascii="仿宋" w:hAnsi="仿宋" w:eastAsia="仿宋" w:cs="仿宋"/>
                <w:kern w:val="0"/>
                <w:szCs w:val="21"/>
                <w:lang w:val="en-US" w:eastAsia="zh-CN"/>
              </w:rPr>
              <w:t>四</w:t>
            </w:r>
            <w:r>
              <w:rPr>
                <w:rFonts w:hint="eastAsia" w:ascii="仿宋" w:hAnsi="仿宋" w:eastAsia="仿宋" w:cs="仿宋"/>
                <w:kern w:val="0"/>
                <w:szCs w:val="21"/>
              </w:rPr>
              <w:t>中学</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21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34.37</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100%</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100%</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　</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100%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38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改善学校办学条件、举办体育赛事、各项考试、举办教研活动、工会活动</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全部完成绩效目标并全部达标</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37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65"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举办体育赛事</w:t>
            </w:r>
          </w:p>
        </w:tc>
        <w:tc>
          <w:tcPr>
            <w:tcW w:w="1379"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3</w:t>
            </w:r>
          </w:p>
        </w:tc>
        <w:tc>
          <w:tcPr>
            <w:tcW w:w="1104"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lang w:eastAsia="zh-CN"/>
              </w:rPr>
            </w:pPr>
            <w:r>
              <w:rPr>
                <w:rFonts w:hint="eastAsia" w:eastAsia="仿宋_GB2312"/>
                <w:lang w:val="en-US" w:eastAsia="zh-CN"/>
              </w:rPr>
              <w:t>3</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65"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举办考试场次</w:t>
            </w:r>
          </w:p>
        </w:tc>
        <w:tc>
          <w:tcPr>
            <w:tcW w:w="1379"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6</w:t>
            </w:r>
          </w:p>
        </w:tc>
        <w:tc>
          <w:tcPr>
            <w:tcW w:w="1104"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6</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602"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65"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教研教改活动次数</w:t>
            </w:r>
          </w:p>
        </w:tc>
        <w:tc>
          <w:tcPr>
            <w:tcW w:w="1379"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104"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工会活动次数</w:t>
            </w:r>
          </w:p>
        </w:tc>
        <w:tc>
          <w:tcPr>
            <w:tcW w:w="1379"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4</w:t>
            </w:r>
          </w:p>
        </w:tc>
        <w:tc>
          <w:tcPr>
            <w:tcW w:w="1104" w:type="dxa"/>
            <w:gridSpan w:val="2"/>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4</w:t>
            </w:r>
          </w:p>
        </w:tc>
        <w:tc>
          <w:tcPr>
            <w:tcW w:w="198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65"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购置设备质量</w:t>
            </w:r>
          </w:p>
        </w:tc>
        <w:tc>
          <w:tcPr>
            <w:tcW w:w="1379"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良好</w:t>
            </w:r>
          </w:p>
        </w:tc>
        <w:tc>
          <w:tcPr>
            <w:tcW w:w="1104"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良好</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65"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培训合格率</w:t>
            </w:r>
          </w:p>
        </w:tc>
        <w:tc>
          <w:tcPr>
            <w:tcW w:w="1379"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104"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362"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赛事、考试举办成功率</w:t>
            </w:r>
          </w:p>
        </w:tc>
        <w:tc>
          <w:tcPr>
            <w:tcW w:w="1379"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104"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95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65"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赛事、考试举办时间</w:t>
            </w:r>
          </w:p>
        </w:tc>
        <w:tc>
          <w:tcPr>
            <w:tcW w:w="1379"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根据上级部门规定时间准时举办</w:t>
            </w:r>
          </w:p>
        </w:tc>
        <w:tc>
          <w:tcPr>
            <w:tcW w:w="1104"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根据上级部门规定时间准时举办</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65"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设备配置时间</w:t>
            </w:r>
          </w:p>
        </w:tc>
        <w:tc>
          <w:tcPr>
            <w:tcW w:w="1379"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学校开学前</w:t>
            </w:r>
          </w:p>
        </w:tc>
        <w:tc>
          <w:tcPr>
            <w:tcW w:w="1104"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学校开学前</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772"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工会活动举行时间</w:t>
            </w:r>
          </w:p>
        </w:tc>
        <w:tc>
          <w:tcPr>
            <w:tcW w:w="1379"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根据上级部门规定时间</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根据上级部门规定时间</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设备购置成本</w:t>
            </w:r>
          </w:p>
        </w:tc>
        <w:tc>
          <w:tcPr>
            <w:tcW w:w="1379"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通过招标符合市场价成本</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通过招标符合市场价成本</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举办赛事成本</w:t>
            </w:r>
          </w:p>
        </w:tc>
        <w:tc>
          <w:tcPr>
            <w:tcW w:w="1379"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按市场劳务价格聘请工作人员</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按市场劳务价格聘请工作人员</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举办考试成本</w:t>
            </w:r>
          </w:p>
        </w:tc>
        <w:tc>
          <w:tcPr>
            <w:tcW w:w="1379"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按市场劳务价格聘请工作人员</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按市场劳务价格聘请工作人员</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2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改善学校办学条件情况</w:t>
            </w:r>
          </w:p>
        </w:tc>
        <w:tc>
          <w:tcPr>
            <w:tcW w:w="1379"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良好</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良好</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continue"/>
            <w:tcBorders>
              <w:left w:val="single" w:color="auto" w:sz="4" w:space="0"/>
              <w:right w:val="single" w:color="auto" w:sz="4" w:space="0"/>
            </w:tcBorders>
            <w:vAlign w:val="center"/>
          </w:tcPr>
          <w:p>
            <w:pPr>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社会</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2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增加学校校舍面积</w:t>
            </w:r>
          </w:p>
        </w:tc>
        <w:tc>
          <w:tcPr>
            <w:tcW w:w="1379"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平方米</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平方米</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65"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无</w:t>
            </w:r>
          </w:p>
        </w:tc>
        <w:tc>
          <w:tcPr>
            <w:tcW w:w="1379"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65"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79"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65"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79"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家长满意度</w:t>
            </w:r>
          </w:p>
        </w:tc>
        <w:tc>
          <w:tcPr>
            <w:tcW w:w="1379"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hint="eastAsia"/>
              </w:rPr>
              <w:t>100%</w:t>
            </w:r>
          </w:p>
        </w:tc>
        <w:tc>
          <w:tcPr>
            <w:tcW w:w="1104"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hint="eastAsia"/>
              </w:rPr>
              <w:t>100%</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9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学生满意度</w:t>
            </w:r>
          </w:p>
        </w:tc>
        <w:tc>
          <w:tcPr>
            <w:tcW w:w="1379"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kern w:val="0"/>
                <w:szCs w:val="21"/>
              </w:rPr>
            </w:pPr>
            <w:r>
              <w:rPr>
                <w:rFonts w:hint="eastAsia"/>
              </w:rPr>
              <w:t>100%</w:t>
            </w:r>
          </w:p>
        </w:tc>
        <w:tc>
          <w:tcPr>
            <w:tcW w:w="110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kern w:val="0"/>
                <w:szCs w:val="21"/>
              </w:rPr>
            </w:pPr>
            <w:r>
              <w:rPr>
                <w:rFonts w:hint="eastAsia"/>
              </w:rPr>
              <w:t>100%</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群众满意度</w:t>
            </w:r>
          </w:p>
        </w:tc>
        <w:tc>
          <w:tcPr>
            <w:tcW w:w="1379"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kern w:val="0"/>
                <w:szCs w:val="21"/>
              </w:rPr>
            </w:pPr>
            <w:r>
              <w:rPr>
                <w:rFonts w:hint="eastAsia"/>
              </w:rPr>
              <w:t>100%</w:t>
            </w:r>
          </w:p>
        </w:tc>
        <w:tc>
          <w:tcPr>
            <w:tcW w:w="110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kern w:val="0"/>
                <w:szCs w:val="21"/>
              </w:rPr>
            </w:pPr>
            <w:r>
              <w:rPr>
                <w:rFonts w:hint="eastAsia"/>
              </w:rPr>
              <w:t>100%</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16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79"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ind w:firstLine="420" w:firstLineChars="200"/>
              <w:jc w:val="left"/>
              <w:rPr>
                <w:rFonts w:ascii="仿宋_GB2312" w:hAnsi="宋体" w:eastAsia="仿宋_GB2312" w:cs="宋体"/>
                <w:kern w:val="0"/>
                <w:szCs w:val="21"/>
              </w:rPr>
            </w:pP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Pr>
        <w:rPr>
          <w:rFonts w:eastAsia="仿宋_GB2312"/>
          <w:kern w:val="0"/>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02034"/>
    <w:multiLevelType w:val="singleLevel"/>
    <w:tmpl w:val="C49020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NmQ2ZjkzOWZlYjAxOTg4MDU5YjIzOGMxMWNjY2YifQ=="/>
  </w:docVars>
  <w:rsids>
    <w:rsidRoot w:val="1A931CCD"/>
    <w:rsid w:val="0C447D38"/>
    <w:rsid w:val="13024F2E"/>
    <w:rsid w:val="1A931CCD"/>
    <w:rsid w:val="1B9238A2"/>
    <w:rsid w:val="22F83FEB"/>
    <w:rsid w:val="25074C27"/>
    <w:rsid w:val="2E505623"/>
    <w:rsid w:val="345E6D3F"/>
    <w:rsid w:val="368A7AC8"/>
    <w:rsid w:val="37B22EAA"/>
    <w:rsid w:val="3929719C"/>
    <w:rsid w:val="3E133F77"/>
    <w:rsid w:val="43030A5E"/>
    <w:rsid w:val="50377F99"/>
    <w:rsid w:val="54D264E2"/>
    <w:rsid w:val="59085F4E"/>
    <w:rsid w:val="61363955"/>
    <w:rsid w:val="61AF3E33"/>
    <w:rsid w:val="6EA81238"/>
    <w:rsid w:val="78B3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99"/>
    <w:rPr>
      <w:rFonts w:cs="Times New Roman"/>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4322</Words>
  <Characters>4867</Characters>
  <Lines>0</Lines>
  <Paragraphs>0</Paragraphs>
  <TotalTime>17</TotalTime>
  <ScaleCrop>false</ScaleCrop>
  <LinksUpToDate>false</LinksUpToDate>
  <CharactersWithSpaces>5323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2023-04-19T05:52:00Z</dcterms:created>
  <dc:creator>梦龙同学</dc:creator>
  <cp:lastModifiedBy>梦龙同学</cp:lastModifiedBy>
  <dcterms:modified xsi:type="dcterms:W3CDTF">2023-04-20T08:44:19Z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E1D468FC6285471185A1CFAACCE5BF2F_11</vt:lpwstr>
  </property>
</Properties>
</file>