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eastAsia="方正小标宋_GBK"/>
          <w:kern w:val="0"/>
          <w:sz w:val="36"/>
          <w:szCs w:val="36"/>
        </w:rPr>
      </w:pPr>
      <w:r>
        <w:rPr>
          <w:rFonts w:hint="eastAsia" w:eastAsia="方正小标宋_GBK"/>
          <w:kern w:val="0"/>
          <w:sz w:val="36"/>
          <w:szCs w:val="36"/>
          <w:lang w:val="en-US" w:eastAsia="zh-CN"/>
        </w:rPr>
        <w:t>2021年</w:t>
      </w:r>
      <w:r>
        <w:rPr>
          <w:rFonts w:hint="eastAsia" w:eastAsia="方正小标宋_GBK"/>
          <w:kern w:val="0"/>
          <w:sz w:val="36"/>
          <w:szCs w:val="36"/>
        </w:rPr>
        <w:t>部门整体支出绩效评价指标评分表</w:t>
      </w:r>
    </w:p>
    <w:p>
      <w:pPr>
        <w:keepNext w:val="0"/>
        <w:keepLines w:val="0"/>
        <w:pageBreakBefore w:val="0"/>
        <w:widowControl w:val="0"/>
        <w:kinsoku/>
        <w:wordWrap/>
        <w:overflowPunct/>
        <w:topLinePunct w:val="0"/>
        <w:autoSpaceDE/>
        <w:autoSpaceDN/>
        <w:bidi w:val="0"/>
        <w:adjustRightInd/>
        <w:snapToGrid/>
        <w:spacing w:afterLines="100" w:line="240" w:lineRule="atLeast"/>
        <w:jc w:val="left"/>
        <w:textAlignment w:val="auto"/>
        <w:rPr>
          <w:rFonts w:hint="eastAsia" w:eastAsia="方正小标宋_GBK"/>
          <w:b w:val="0"/>
          <w:bCs w:val="0"/>
          <w:kern w:val="0"/>
          <w:sz w:val="30"/>
          <w:szCs w:val="30"/>
          <w:lang w:val="en-US" w:eastAsia="zh-CN"/>
        </w:rPr>
      </w:pPr>
      <w:r>
        <w:rPr>
          <w:rFonts w:hint="eastAsia" w:eastAsia="方正小标宋_GBK"/>
          <w:b w:val="0"/>
          <w:bCs w:val="0"/>
          <w:kern w:val="0"/>
          <w:sz w:val="30"/>
          <w:szCs w:val="30"/>
          <w:lang w:val="en-US" w:eastAsia="zh-CN"/>
        </w:rPr>
        <w:t>湖南衡山经济开发区管理委员会             2022年4月9日</w:t>
      </w:r>
    </w:p>
    <w:tbl>
      <w:tblPr>
        <w:tblStyle w:val="2"/>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GEzMGI1NGI0YTE1YzQ4NmIzZjY4OTUwYmUyYWUifQ=="/>
  </w:docVars>
  <w:rsids>
    <w:rsidRoot w:val="00000000"/>
    <w:rsid w:val="055C19C0"/>
    <w:rsid w:val="057B123D"/>
    <w:rsid w:val="566B6A91"/>
    <w:rsid w:val="6061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1727</Characters>
  <Lines>0</Lines>
  <Paragraphs>0</Paragraphs>
  <TotalTime>7</TotalTime>
  <ScaleCrop>false</ScaleCrop>
  <LinksUpToDate>false</LinksUpToDate>
  <CharactersWithSpaces>2022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2023-04-20T06:42:35Z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001D489B4A14417498063A218E42A43B_13</vt:lpwstr>
  </property>
</Properties>
</file>