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w:t>
      </w:r>
    </w:p>
    <w:p>
      <w:pPr>
        <w:rPr>
          <w:rFonts w:ascii="黑体" w:eastAsia="黑体"/>
          <w:sz w:val="32"/>
          <w:szCs w:val="32"/>
        </w:rPr>
      </w:pPr>
    </w:p>
    <w:p>
      <w:pPr>
        <w:jc w:val="center"/>
        <w:rPr>
          <w:rFonts w:ascii="方正小标宋_GBK" w:eastAsia="方正小标宋_GBK"/>
          <w:sz w:val="48"/>
          <w:szCs w:val="48"/>
        </w:rPr>
      </w:pPr>
      <w:r>
        <w:rPr>
          <w:rFonts w:ascii="方正小标宋_GBK" w:eastAsia="方正小标宋_GBK"/>
          <w:sz w:val="48"/>
          <w:szCs w:val="48"/>
        </w:rPr>
        <w:t>20</w:t>
      </w:r>
      <w:r>
        <w:rPr>
          <w:rFonts w:hint="eastAsia" w:ascii="方正小标宋_GBK" w:eastAsia="方正小标宋_GBK"/>
          <w:sz w:val="48"/>
          <w:szCs w:val="48"/>
        </w:rPr>
        <w:t>21年度部门整体支出绩效自评报告</w:t>
      </w:r>
    </w:p>
    <w:p>
      <w:pPr>
        <w:jc w:val="center"/>
        <w:rPr>
          <w:rFonts w:hint="eastAsia" w:ascii="楷体_GB2312" w:eastAsia="楷体_GB2312"/>
          <w:b/>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44"/>
          <w:szCs w:val="44"/>
        </w:rPr>
      </w:pPr>
      <w:r>
        <w:rPr>
          <w:rFonts w:hint="eastAsia" w:ascii="黑体" w:eastAsia="黑体"/>
          <w:sz w:val="44"/>
          <w:szCs w:val="44"/>
        </w:rPr>
        <w:t>单位名称（盖章）</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pStyle w:val="12"/>
        <w:widowControl/>
        <w:spacing w:line="600" w:lineRule="exact"/>
        <w:ind w:firstLine="620"/>
        <w:rPr>
          <w:rFonts w:hint="eastAsia" w:ascii="黑体" w:hAnsi="黑体" w:eastAsia="黑体"/>
          <w:sz w:val="32"/>
          <w:szCs w:val="32"/>
        </w:rPr>
      </w:pPr>
    </w:p>
    <w:p>
      <w:pPr>
        <w:pStyle w:val="12"/>
        <w:widowControl/>
        <w:spacing w:line="600" w:lineRule="exact"/>
        <w:ind w:firstLine="620"/>
        <w:rPr>
          <w:rFonts w:ascii="黑体" w:hAnsi="黑体" w:eastAsia="黑体"/>
          <w:sz w:val="32"/>
          <w:szCs w:val="32"/>
        </w:rPr>
      </w:pPr>
    </w:p>
    <w:p>
      <w:pPr>
        <w:pStyle w:val="12"/>
        <w:widowControl/>
        <w:spacing w:line="600" w:lineRule="exact"/>
        <w:ind w:firstLine="620"/>
        <w:rPr>
          <w:rFonts w:ascii="黑体" w:hAnsi="黑体" w:eastAsia="黑体"/>
          <w:sz w:val="32"/>
          <w:szCs w:val="32"/>
        </w:rPr>
      </w:pPr>
    </w:p>
    <w:p>
      <w:pPr>
        <w:pStyle w:val="12"/>
        <w:widowControl/>
        <w:spacing w:line="600" w:lineRule="exact"/>
        <w:ind w:firstLine="620"/>
        <w:rPr>
          <w:rFonts w:ascii="黑体" w:hAnsi="黑体" w:eastAsia="黑体"/>
          <w:sz w:val="32"/>
          <w:szCs w:val="32"/>
        </w:rPr>
      </w:pPr>
    </w:p>
    <w:p>
      <w:pPr>
        <w:pStyle w:val="12"/>
        <w:widowControl/>
        <w:numPr>
          <w:ilvl w:val="0"/>
          <w:numId w:val="1"/>
        </w:numPr>
        <w:spacing w:line="600" w:lineRule="exact"/>
        <w:ind w:firstLine="620"/>
        <w:rPr>
          <w:rFonts w:ascii="黑体" w:hAnsi="黑体" w:eastAsia="黑体"/>
          <w:sz w:val="32"/>
          <w:szCs w:val="32"/>
        </w:rPr>
      </w:pPr>
      <w:r>
        <w:rPr>
          <w:rFonts w:hint="eastAsia" w:ascii="黑体" w:hAnsi="黑体" w:eastAsia="黑体"/>
          <w:sz w:val="32"/>
          <w:szCs w:val="32"/>
        </w:rPr>
        <w:t>部门、单位基本情况</w:t>
      </w:r>
    </w:p>
    <w:p>
      <w:pPr>
        <w:pStyle w:val="12"/>
        <w:widowControl/>
        <w:spacing w:line="600" w:lineRule="exact"/>
        <w:ind w:firstLine="620"/>
        <w:rPr>
          <w:rFonts w:hint="eastAsia" w:eastAsia="仿宋_GB2312"/>
          <w:sz w:val="32"/>
          <w:szCs w:val="32"/>
        </w:rPr>
      </w:pPr>
      <w:r>
        <w:rPr>
          <w:rFonts w:hint="eastAsia" w:eastAsia="仿宋_GB2312"/>
          <w:sz w:val="32"/>
          <w:szCs w:val="32"/>
          <w:lang w:val="en-US" w:eastAsia="zh-CN"/>
        </w:rPr>
        <w:t>衡山县</w:t>
      </w:r>
      <w:r>
        <w:rPr>
          <w:rFonts w:hint="eastAsia" w:eastAsia="仿宋_GB2312"/>
          <w:sz w:val="32"/>
          <w:szCs w:val="32"/>
        </w:rPr>
        <w:t>白果镇</w:t>
      </w:r>
      <w:r>
        <w:rPr>
          <w:rFonts w:hint="eastAsia" w:eastAsia="仿宋_GB2312"/>
          <w:sz w:val="32"/>
          <w:szCs w:val="32"/>
          <w:lang w:val="en-US" w:eastAsia="zh-CN"/>
        </w:rPr>
        <w:t>人民</w:t>
      </w:r>
      <w:r>
        <w:rPr>
          <w:rFonts w:hint="eastAsia" w:eastAsia="仿宋_GB2312"/>
          <w:sz w:val="32"/>
          <w:szCs w:val="32"/>
        </w:rPr>
        <w:t>政府是正科级全额拨款单位，有二级预算单位0个，至2021年12月份，共有编制85个（行政编33个，事业编52个），实有人数95人，其中财政供养在职52人、离退休43人；公务用车定编1台，现有车辆1台。</w:t>
      </w:r>
    </w:p>
    <w:p>
      <w:pPr>
        <w:pStyle w:val="12"/>
        <w:widowControl/>
        <w:spacing w:line="600" w:lineRule="exact"/>
        <w:ind w:firstLine="620"/>
        <w:rPr>
          <w:rFonts w:hint="eastAsia" w:eastAsia="仿宋_GB2312"/>
          <w:sz w:val="32"/>
          <w:szCs w:val="32"/>
        </w:rPr>
      </w:pPr>
      <w:r>
        <w:rPr>
          <w:rFonts w:hint="eastAsia" w:eastAsia="仿宋_GB2312"/>
          <w:sz w:val="32"/>
          <w:szCs w:val="32"/>
        </w:rPr>
        <w:t>政府内设“六办、三中心、一大队”。“六办”即党政综合办公室、经济发展办公室（农业农村和扶贫工作办公室）、社会事务办公室、自然资源和生态环境办公室（村镇建设管理办公室）、社会治理和应急管理办公室（信访室）、基层党建工作办公室。“三中心”即社会事业综合服务中心（文化综合服务站、退役军人服务站）、农业综合服务中心、政务服务中心。“一大队”即综合行政执法大队。</w:t>
      </w:r>
    </w:p>
    <w:p>
      <w:pPr>
        <w:pStyle w:val="12"/>
        <w:widowControl/>
        <w:spacing w:line="600" w:lineRule="exact"/>
        <w:ind w:firstLine="620"/>
        <w:rPr>
          <w:rFonts w:hint="eastAsia" w:eastAsia="仿宋_GB2312"/>
          <w:sz w:val="32"/>
          <w:szCs w:val="32"/>
        </w:rPr>
      </w:pPr>
      <w:r>
        <w:rPr>
          <w:rFonts w:hint="eastAsia" w:eastAsia="仿宋_GB2312"/>
          <w:sz w:val="32"/>
          <w:szCs w:val="32"/>
        </w:rPr>
        <w:t>财政所、派出所、交警队、司法所、市场监督管理所、中心学校、卫生院（医院）等为县直部门派驻镇机构。</w:t>
      </w:r>
    </w:p>
    <w:p>
      <w:pPr>
        <w:pStyle w:val="12"/>
        <w:widowControl/>
        <w:numPr>
          <w:ilvl w:val="0"/>
          <w:numId w:val="1"/>
        </w:numPr>
        <w:spacing w:line="600" w:lineRule="exact"/>
        <w:ind w:firstLine="620"/>
        <w:rPr>
          <w:rFonts w:hint="eastAsia" w:ascii="黑体" w:hAnsi="黑体" w:eastAsia="黑体"/>
          <w:sz w:val="32"/>
          <w:szCs w:val="32"/>
          <w:lang w:eastAsia="zh-CN"/>
        </w:rPr>
      </w:pPr>
      <w:r>
        <w:rPr>
          <w:rFonts w:hint="eastAsia" w:ascii="黑体" w:hAnsi="黑体" w:eastAsia="黑体"/>
          <w:sz w:val="32"/>
          <w:szCs w:val="32"/>
          <w:lang w:eastAsia="zh-CN"/>
        </w:rPr>
        <w:t>部门职能职责</w:t>
      </w:r>
    </w:p>
    <w:p>
      <w:pPr>
        <w:pStyle w:val="12"/>
        <w:widowControl/>
        <w:spacing w:line="600" w:lineRule="exact"/>
        <w:ind w:firstLine="620"/>
        <w:rPr>
          <w:rFonts w:hint="eastAsia" w:eastAsia="仿宋_GB2312"/>
          <w:sz w:val="32"/>
          <w:szCs w:val="32"/>
          <w:lang w:eastAsia="zh-CN"/>
        </w:rPr>
      </w:pPr>
      <w:r>
        <w:rPr>
          <w:rFonts w:hint="eastAsia" w:eastAsia="仿宋_GB2312"/>
          <w:sz w:val="32"/>
          <w:szCs w:val="32"/>
          <w:lang w:eastAsia="zh-CN"/>
        </w:rPr>
        <w:t>白果镇人民政府是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其主要职责为：</w:t>
      </w:r>
    </w:p>
    <w:p>
      <w:pPr>
        <w:pStyle w:val="12"/>
        <w:widowControl/>
        <w:spacing w:line="600" w:lineRule="exact"/>
        <w:ind w:firstLine="620"/>
        <w:rPr>
          <w:rFonts w:hint="eastAsia" w:eastAsia="仿宋_GB2312"/>
          <w:sz w:val="32"/>
          <w:szCs w:val="32"/>
          <w:lang w:eastAsia="zh-CN"/>
        </w:rPr>
      </w:pPr>
      <w:r>
        <w:rPr>
          <w:rFonts w:hint="eastAsia" w:eastAsia="仿宋_GB2312"/>
          <w:sz w:val="32"/>
          <w:szCs w:val="32"/>
          <w:lang w:eastAsia="zh-CN"/>
        </w:rPr>
        <w:t>（一）执行本级人民代表大会的决议和上级国家行政机关的决定和命令，发布决定和命令；</w:t>
      </w:r>
    </w:p>
    <w:p>
      <w:pPr>
        <w:pStyle w:val="12"/>
        <w:widowControl/>
        <w:spacing w:line="600" w:lineRule="exact"/>
        <w:ind w:firstLine="620"/>
        <w:rPr>
          <w:rFonts w:hint="eastAsia" w:eastAsia="仿宋_GB2312"/>
          <w:sz w:val="32"/>
          <w:szCs w:val="32"/>
          <w:lang w:eastAsia="zh-CN"/>
        </w:rPr>
      </w:pPr>
      <w:r>
        <w:rPr>
          <w:rFonts w:hint="eastAsia" w:eastAsia="仿宋_GB2312"/>
          <w:sz w:val="32"/>
          <w:szCs w:val="32"/>
          <w:lang w:eastAsia="zh-CN"/>
        </w:rPr>
        <w:t>（二）执行本行政区域内的经济和社会发展计划、预算管理本行政区域内的经济、教育、科学、文化、卫生、体育事业和财政、民政、司法行政、计划生育、劳动保障、经管等行政工作；</w:t>
      </w:r>
    </w:p>
    <w:p>
      <w:pPr>
        <w:pStyle w:val="12"/>
        <w:widowControl/>
        <w:spacing w:line="600" w:lineRule="exact"/>
        <w:ind w:firstLine="620"/>
        <w:rPr>
          <w:rFonts w:hint="eastAsia" w:eastAsia="仿宋_GB2312"/>
          <w:sz w:val="32"/>
          <w:szCs w:val="32"/>
          <w:lang w:eastAsia="zh-CN"/>
        </w:rPr>
      </w:pPr>
      <w:r>
        <w:rPr>
          <w:rFonts w:hint="eastAsia" w:eastAsia="仿宋_GB2312"/>
          <w:sz w:val="32"/>
          <w:szCs w:val="32"/>
          <w:lang w:eastAsia="zh-CN"/>
        </w:rPr>
        <w:t>（三）保护社会主义的全民所有的财产和劳动群众集体所有的财产，保护公民私人所有的合法财产，维护社会秩序，保障公民的人身权利、民-主权利和其他权利；</w:t>
      </w:r>
    </w:p>
    <w:p>
      <w:pPr>
        <w:pStyle w:val="12"/>
        <w:widowControl/>
        <w:spacing w:line="600" w:lineRule="exact"/>
        <w:ind w:firstLine="620"/>
        <w:rPr>
          <w:rFonts w:hint="eastAsia" w:eastAsia="仿宋_GB2312"/>
          <w:sz w:val="32"/>
          <w:szCs w:val="32"/>
          <w:lang w:eastAsia="zh-CN"/>
        </w:rPr>
      </w:pPr>
      <w:r>
        <w:rPr>
          <w:rFonts w:hint="eastAsia" w:eastAsia="仿宋_GB2312"/>
          <w:sz w:val="32"/>
          <w:szCs w:val="32"/>
          <w:lang w:eastAsia="zh-CN"/>
        </w:rPr>
        <w:t>（四）办理上级县委、县政府政府交办的其他事项；</w:t>
      </w:r>
    </w:p>
    <w:p>
      <w:pPr>
        <w:pStyle w:val="12"/>
        <w:widowControl/>
        <w:spacing w:line="600" w:lineRule="exact"/>
        <w:ind w:firstLine="620"/>
        <w:rPr>
          <w:rFonts w:hint="eastAsia" w:eastAsia="仿宋_GB2312"/>
          <w:sz w:val="32"/>
          <w:szCs w:val="32"/>
          <w:lang w:eastAsia="zh-CN"/>
        </w:rPr>
      </w:pPr>
      <w:r>
        <w:rPr>
          <w:rFonts w:hint="eastAsia" w:eastAsia="仿宋_GB2312"/>
          <w:sz w:val="32"/>
          <w:szCs w:val="32"/>
          <w:lang w:eastAsia="zh-CN"/>
        </w:rPr>
        <w:t>（五）搞好政府各职能部门完成的工作任务监督，服务市场主体和营造发展环境，大力促进社会事业发展，发展乡村经济、文化和社会事业；</w:t>
      </w:r>
    </w:p>
    <w:p>
      <w:pPr>
        <w:pStyle w:val="12"/>
        <w:widowControl/>
        <w:spacing w:line="600" w:lineRule="exact"/>
        <w:ind w:firstLine="620"/>
        <w:rPr>
          <w:rFonts w:hint="eastAsia" w:eastAsia="仿宋_GB2312"/>
          <w:sz w:val="32"/>
          <w:szCs w:val="32"/>
          <w:lang w:eastAsia="zh-CN"/>
        </w:rPr>
      </w:pPr>
      <w:r>
        <w:rPr>
          <w:rFonts w:hint="eastAsia" w:eastAsia="仿宋_GB2312"/>
          <w:sz w:val="32"/>
          <w:szCs w:val="32"/>
          <w:lang w:eastAsia="zh-CN"/>
        </w:rPr>
        <w:t>（六）积极开展科技兴农，兴企活动，完成农业企业生产指标等任务，提供公共服务，维护社会稳定，构建美丽生态、和谐的社会;</w:t>
      </w:r>
    </w:p>
    <w:p>
      <w:pPr>
        <w:pStyle w:val="12"/>
        <w:widowControl/>
        <w:spacing w:line="600" w:lineRule="exact"/>
        <w:ind w:firstLine="620"/>
        <w:rPr>
          <w:rFonts w:hint="eastAsia" w:eastAsia="仿宋_GB2312"/>
          <w:sz w:val="32"/>
          <w:szCs w:val="32"/>
          <w:lang w:eastAsia="zh-CN"/>
        </w:rPr>
      </w:pPr>
      <w:r>
        <w:rPr>
          <w:rFonts w:hint="eastAsia" w:eastAsia="仿宋_GB2312"/>
          <w:sz w:val="32"/>
          <w:szCs w:val="32"/>
          <w:lang w:eastAsia="zh-CN"/>
        </w:rPr>
        <w:t>（七）承担国有资产、集体资产管理、监督。</w:t>
      </w:r>
    </w:p>
    <w:p>
      <w:pPr>
        <w:pStyle w:val="12"/>
        <w:widowControl/>
        <w:numPr>
          <w:ilvl w:val="0"/>
          <w:numId w:val="1"/>
        </w:numPr>
        <w:spacing w:line="600" w:lineRule="exact"/>
        <w:ind w:firstLine="620"/>
        <w:rPr>
          <w:rFonts w:ascii="黑体" w:hAnsi="黑体" w:eastAsia="黑体"/>
          <w:sz w:val="32"/>
          <w:szCs w:val="32"/>
        </w:rPr>
      </w:pPr>
      <w:r>
        <w:rPr>
          <w:rFonts w:hint="eastAsia" w:ascii="黑体" w:hAnsi="黑体" w:eastAsia="黑体"/>
          <w:sz w:val="32"/>
          <w:szCs w:val="32"/>
          <w:lang w:val="en-US" w:eastAsia="zh-CN"/>
        </w:rPr>
        <w:t>决算</w:t>
      </w:r>
      <w:r>
        <w:rPr>
          <w:rFonts w:hint="eastAsia" w:ascii="黑体" w:hAnsi="黑体" w:eastAsia="黑体"/>
          <w:sz w:val="32"/>
          <w:szCs w:val="32"/>
        </w:rPr>
        <w:t>情况</w:t>
      </w:r>
    </w:p>
    <w:p>
      <w:pPr>
        <w:pStyle w:val="12"/>
        <w:widowControl/>
        <w:spacing w:line="600" w:lineRule="exact"/>
        <w:ind w:firstLine="620"/>
        <w:rPr>
          <w:rFonts w:hint="eastAsia" w:eastAsia="仿宋_GB2312"/>
          <w:sz w:val="32"/>
          <w:szCs w:val="32"/>
        </w:rPr>
      </w:pPr>
      <w:r>
        <w:rPr>
          <w:rFonts w:hint="eastAsia" w:eastAsia="仿宋_GB2312"/>
          <w:sz w:val="32"/>
          <w:szCs w:val="32"/>
        </w:rPr>
        <w:t>2021年度决算总收入3244.64万元，其中：一般公共预算财政拨款收入2196.49万元，政府性基金预算财政拨款收入127.74万元，上级补助收入0万元，其他收入461.04万元。</w:t>
      </w:r>
    </w:p>
    <w:p>
      <w:pPr>
        <w:pStyle w:val="12"/>
        <w:widowControl/>
        <w:spacing w:line="600" w:lineRule="exact"/>
        <w:ind w:firstLine="620"/>
        <w:rPr>
          <w:rFonts w:hint="eastAsia" w:eastAsia="仿宋_GB2312"/>
          <w:sz w:val="32"/>
          <w:szCs w:val="32"/>
        </w:rPr>
      </w:pPr>
      <w:r>
        <w:rPr>
          <w:rFonts w:hint="eastAsia" w:eastAsia="仿宋_GB2312"/>
          <w:sz w:val="32"/>
          <w:szCs w:val="32"/>
        </w:rPr>
        <w:t>2021年度决算总支出3244.64万元，其中：基本支出708.47万元，占总支出的21.84%；项目支出2536.18万元，占总支出的78.16%。</w:t>
      </w:r>
    </w:p>
    <w:p>
      <w:pPr>
        <w:pStyle w:val="12"/>
        <w:widowControl/>
        <w:spacing w:line="600" w:lineRule="exact"/>
        <w:ind w:firstLine="620"/>
        <w:rPr>
          <w:rFonts w:hint="eastAsia" w:eastAsia="仿宋_GB2312"/>
          <w:sz w:val="32"/>
          <w:szCs w:val="32"/>
        </w:rPr>
      </w:pPr>
      <w:r>
        <w:rPr>
          <w:rFonts w:hint="eastAsia" w:eastAsia="仿宋_GB2312"/>
          <w:sz w:val="32"/>
          <w:szCs w:val="32"/>
        </w:rPr>
        <w:t>2021年年初结转和结余459.37万元，2021年年末结转和结余0万元。</w:t>
      </w:r>
    </w:p>
    <w:p>
      <w:pPr>
        <w:widowControl/>
        <w:shd w:val="clear" w:color="auto" w:fill="FFFFFF"/>
        <w:spacing w:line="320" w:lineRule="atLeast"/>
        <w:ind w:firstLine="620" w:firstLineChars="0"/>
        <w:jc w:val="left"/>
        <w:rPr>
          <w:rFonts w:ascii="微软雅黑" w:hAnsi="微软雅黑" w:eastAsia="宋体" w:cs="宋体"/>
          <w:color w:val="000000"/>
          <w:kern w:val="0"/>
          <w:sz w:val="13"/>
          <w:szCs w:val="13"/>
        </w:rPr>
      </w:pPr>
      <w:r>
        <w:rPr>
          <w:rFonts w:hint="eastAsia" w:ascii="黑体" w:hAnsi="黑体" w:eastAsia="黑体"/>
          <w:sz w:val="32"/>
          <w:szCs w:val="32"/>
          <w:lang w:val="en-US" w:eastAsia="zh-CN"/>
        </w:rPr>
        <w:t>四</w:t>
      </w:r>
      <w:r>
        <w:rPr>
          <w:rFonts w:hint="eastAsia" w:ascii="黑体" w:hAnsi="黑体" w:eastAsia="黑体"/>
          <w:sz w:val="32"/>
          <w:szCs w:val="32"/>
        </w:rPr>
        <w:t>、</w:t>
      </w:r>
      <w:r>
        <w:rPr>
          <w:rFonts w:hint="eastAsia" w:ascii="仿宋_GB2312" w:hAnsi="微软雅黑" w:eastAsia="仿宋_GB2312" w:cs="宋体"/>
          <w:b/>
          <w:bCs/>
          <w:color w:val="000000"/>
          <w:kern w:val="0"/>
          <w:sz w:val="32"/>
          <w:szCs w:val="32"/>
        </w:rPr>
        <w:t>“三公”经费情况</w:t>
      </w:r>
    </w:p>
    <w:p>
      <w:pPr>
        <w:widowControl/>
        <w:shd w:val="clear" w:color="auto" w:fill="FFFFFF"/>
        <w:spacing w:line="480" w:lineRule="atLeast"/>
        <w:ind w:firstLine="622"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“三公”经费财政拨款支出预算为 15.5万元，支出决算为5.1万元，完成预算的32.9 %，其中：</w:t>
      </w:r>
    </w:p>
    <w:p>
      <w:pPr>
        <w:widowControl/>
        <w:shd w:val="clear" w:color="auto" w:fill="FFFFFF"/>
        <w:spacing w:line="480" w:lineRule="atLeast"/>
        <w:ind w:firstLine="622"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因公出国（境）费支出预算为0万元，支出决算为0万元，与本年预算数相同,与上年决算数相同;</w:t>
      </w:r>
    </w:p>
    <w:p>
      <w:pPr>
        <w:widowControl/>
        <w:shd w:val="clear" w:color="auto" w:fill="FFFFFF"/>
        <w:spacing w:line="480" w:lineRule="atLeast"/>
        <w:ind w:firstLine="622"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公务接待费支出预算为14.5万元，支出决算为4.77万元，完成预算的32.9%;</w:t>
      </w:r>
    </w:p>
    <w:p>
      <w:pPr>
        <w:widowControl/>
        <w:spacing w:line="600" w:lineRule="exact"/>
        <w:ind w:firstLine="645"/>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公务用车购置费及运行维护费支出预算为1万元，支出决算为0.32万元，完成预算的 32%;</w:t>
      </w:r>
    </w:p>
    <w:p>
      <w:pPr>
        <w:widowControl/>
        <w:spacing w:line="600" w:lineRule="exact"/>
        <w:ind w:firstLine="645"/>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公务用车购置费支出预算为0万元，支出决算为 0万元，与本年预算数相同， 与上年决算数相同。</w:t>
      </w:r>
    </w:p>
    <w:p>
      <w:pPr>
        <w:widowControl/>
        <w:spacing w:line="600" w:lineRule="exact"/>
        <w:ind w:firstLine="645"/>
        <w:jc w:val="left"/>
        <w:rPr>
          <w:rFonts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、部门整体支出绩效情况</w:t>
      </w:r>
    </w:p>
    <w:p>
      <w:pPr>
        <w:widowControl/>
        <w:spacing w:line="600" w:lineRule="exact"/>
        <w:ind w:firstLine="645"/>
        <w:jc w:val="left"/>
        <w:rPr>
          <w:rFonts w:eastAsia="仿宋_GB2312"/>
          <w:sz w:val="32"/>
          <w:szCs w:val="32"/>
        </w:rPr>
      </w:pPr>
      <w:r>
        <w:rPr>
          <w:rFonts w:hint="eastAsia" w:eastAsia="仿宋_GB2312"/>
          <w:sz w:val="32"/>
          <w:szCs w:val="32"/>
        </w:rPr>
        <w:t>2021年，衡山县</w:t>
      </w:r>
      <w:r>
        <w:rPr>
          <w:rFonts w:hint="eastAsia" w:eastAsia="仿宋_GB2312"/>
          <w:sz w:val="32"/>
          <w:szCs w:val="32"/>
          <w:lang w:val="en-US" w:eastAsia="zh-CN"/>
        </w:rPr>
        <w:t>白果镇人民政府</w:t>
      </w:r>
      <w:r>
        <w:rPr>
          <w:rFonts w:hint="eastAsia" w:eastAsia="仿宋_GB2312"/>
          <w:sz w:val="32"/>
          <w:szCs w:val="32"/>
        </w:rPr>
        <w:t>认真贯彻落实上级政策和县委县政府安排，积极履行自身职责，本着勤俭节约、廉洁自律、规范高效的原则，严格执行部门预算、核算、决算各环节工作，经县委县政府年终目标考核，完成了全年各项工作任务，机关运行收支平衡。</w:t>
      </w:r>
    </w:p>
    <w:p>
      <w:pPr>
        <w:widowControl/>
        <w:spacing w:line="600" w:lineRule="exact"/>
        <w:ind w:firstLine="645"/>
        <w:jc w:val="left"/>
        <w:rPr>
          <w:rFonts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、存在的主要问题及下一步改进措施</w:t>
      </w:r>
    </w:p>
    <w:p>
      <w:pPr>
        <w:pStyle w:val="5"/>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1、细化预算编制工作，认真做好预算的编制。进一步加强单位内部的预算管理意识，严格按照预算编制的相关制度和要求进行预算编制。</w:t>
      </w:r>
    </w:p>
    <w:p>
      <w:pPr>
        <w:pStyle w:val="5"/>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5"/>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5"/>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4、对相关人员加强培训，特别是针对《预算法》、《行政事业单位会计制度》等学习培训，规范部门预算收支核算，切实提高部门预算收支管理水平。</w:t>
      </w:r>
    </w:p>
    <w:p>
      <w:pPr>
        <w:widowControl/>
        <w:numPr>
          <w:ilvl w:val="0"/>
          <w:numId w:val="2"/>
        </w:numPr>
        <w:spacing w:line="600" w:lineRule="exact"/>
        <w:ind w:firstLine="645"/>
        <w:jc w:val="left"/>
        <w:rPr>
          <w:rFonts w:ascii="黑体" w:hAnsi="黑体" w:eastAsia="黑体"/>
          <w:sz w:val="32"/>
          <w:szCs w:val="32"/>
        </w:rPr>
      </w:pPr>
      <w:r>
        <w:rPr>
          <w:rFonts w:hint="eastAsia" w:ascii="黑体" w:hAnsi="黑体" w:eastAsia="黑体"/>
          <w:sz w:val="32"/>
          <w:szCs w:val="32"/>
        </w:rPr>
        <w:t>其他需要说明的情况</w:t>
      </w:r>
    </w:p>
    <w:p>
      <w:pPr>
        <w:widowControl/>
        <w:spacing w:line="600" w:lineRule="exact"/>
        <w:ind w:firstLine="622" w:firstLineChars="200"/>
        <w:jc w:val="left"/>
        <w:rPr>
          <w:rFonts w:eastAsia="仿宋_GB2312"/>
          <w:sz w:val="32"/>
          <w:szCs w:val="32"/>
        </w:rPr>
      </w:pPr>
      <w:r>
        <w:rPr>
          <w:rFonts w:hint="eastAsia" w:eastAsia="仿宋_GB2312"/>
          <w:sz w:val="32"/>
          <w:szCs w:val="32"/>
        </w:rPr>
        <w:t>无</w:t>
      </w:r>
    </w:p>
    <w:p>
      <w:pPr>
        <w:widowControl/>
        <w:spacing w:line="600" w:lineRule="exact"/>
        <w:ind w:firstLine="645"/>
        <w:jc w:val="left"/>
        <w:rPr>
          <w:rFonts w:ascii="黑体" w:hAnsi="黑体" w:eastAsia="黑体"/>
          <w:sz w:val="32"/>
          <w:szCs w:val="32"/>
        </w:rPr>
      </w:pPr>
    </w:p>
    <w:p>
      <w:pPr>
        <w:widowControl/>
        <w:spacing w:line="600" w:lineRule="exact"/>
        <w:ind w:firstLine="645"/>
        <w:jc w:val="left"/>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1.</w:t>
      </w:r>
      <w:r>
        <w:rPr>
          <w:rFonts w:hint="eastAsia" w:ascii="仿宋_GB2312" w:hAnsi="黑体" w:eastAsia="仿宋_GB2312"/>
          <w:sz w:val="32"/>
          <w:szCs w:val="32"/>
        </w:rPr>
        <w:t>部门整体支出绩效评价指标评分表</w:t>
      </w:r>
    </w:p>
    <w:p>
      <w:pPr>
        <w:widowControl/>
        <w:spacing w:line="600" w:lineRule="exact"/>
        <w:ind w:firstLine="1580" w:firstLineChars="508"/>
        <w:jc w:val="left"/>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部门整体支出绩效评价基础数据表</w:t>
      </w:r>
    </w:p>
    <w:p>
      <w:pPr>
        <w:widowControl/>
        <w:spacing w:line="600" w:lineRule="exact"/>
        <w:ind w:firstLine="1580" w:firstLineChars="508"/>
        <w:jc w:val="left"/>
      </w:pPr>
      <w:r>
        <w:rPr>
          <w:rFonts w:ascii="仿宋_GB2312" w:hAnsi="黑体" w:eastAsia="仿宋_GB2312"/>
          <w:sz w:val="32"/>
          <w:szCs w:val="32"/>
        </w:rPr>
        <w:t>3.20</w:t>
      </w:r>
      <w:r>
        <w:rPr>
          <w:rFonts w:hint="eastAsia" w:ascii="仿宋_GB2312" w:hAnsi="黑体" w:eastAsia="仿宋_GB2312"/>
          <w:sz w:val="32"/>
          <w:szCs w:val="32"/>
        </w:rPr>
        <w:t>21年度县级专项资金绩效目标自评表</w:t>
      </w:r>
    </w:p>
    <w:p>
      <w:pPr>
        <w:spacing w:afterLines="100"/>
        <w:jc w:val="center"/>
        <w:rPr>
          <w:kern w:val="0"/>
          <w:sz w:val="24"/>
        </w:rPr>
      </w:pPr>
      <w:r>
        <w:rPr>
          <w:rFonts w:eastAsia="方正小标宋_GBK"/>
          <w:kern w:val="0"/>
          <w:sz w:val="36"/>
          <w:szCs w:val="36"/>
        </w:rPr>
        <w:br w:type="page"/>
      </w:r>
      <w:r>
        <w:rPr>
          <w:rFonts w:hint="eastAsia" w:eastAsia="方正小标宋_GBK"/>
          <w:kern w:val="0"/>
          <w:sz w:val="36"/>
          <w:szCs w:val="36"/>
        </w:rPr>
        <w:t>部门整体支出绩效评价指标评分表</w:t>
      </w:r>
    </w:p>
    <w:tbl>
      <w:tblPr>
        <w:tblStyle w:val="7"/>
        <w:tblW w:w="8930" w:type="dxa"/>
        <w:jc w:val="center"/>
        <w:tblLayout w:type="fixed"/>
        <w:tblCellMar>
          <w:top w:w="0" w:type="dxa"/>
          <w:left w:w="108" w:type="dxa"/>
          <w:bottom w:w="0" w:type="dxa"/>
          <w:right w:w="108" w:type="dxa"/>
        </w:tblCellMar>
      </w:tblPr>
      <w:tblGrid>
        <w:gridCol w:w="709"/>
        <w:gridCol w:w="677"/>
        <w:gridCol w:w="1014"/>
        <w:gridCol w:w="483"/>
        <w:gridCol w:w="2436"/>
        <w:gridCol w:w="2494"/>
        <w:gridCol w:w="111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kern w:val="0"/>
                <w:sz w:val="20"/>
                <w:szCs w:val="20"/>
              </w:rPr>
            </w:pPr>
            <w:r>
              <w:rPr>
                <w:rFonts w:hint="eastAsia" w:ascii="黑体" w:eastAsia="黑体"/>
                <w:kern w:val="0"/>
                <w:sz w:val="20"/>
                <w:szCs w:val="20"/>
              </w:rPr>
              <w:t>一级指标</w:t>
            </w:r>
          </w:p>
        </w:tc>
        <w:tc>
          <w:tcPr>
            <w:tcW w:w="677"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二级指标</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三级</w:t>
            </w:r>
          </w:p>
          <w:p>
            <w:pPr>
              <w:widowControl/>
              <w:jc w:val="center"/>
              <w:rPr>
                <w:rFonts w:ascii="黑体" w:eastAsia="黑体"/>
                <w:kern w:val="0"/>
                <w:sz w:val="20"/>
                <w:szCs w:val="20"/>
              </w:rPr>
            </w:pPr>
            <w:r>
              <w:rPr>
                <w:rFonts w:hint="eastAsia" w:ascii="黑体" w:eastAsia="黑体"/>
                <w:kern w:val="0"/>
                <w:sz w:val="20"/>
                <w:szCs w:val="20"/>
              </w:rPr>
              <w:t>指标</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分值</w:t>
            </w:r>
          </w:p>
        </w:tc>
        <w:tc>
          <w:tcPr>
            <w:tcW w:w="2436"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评价标准</w:t>
            </w:r>
          </w:p>
        </w:tc>
        <w:tc>
          <w:tcPr>
            <w:tcW w:w="2494"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指标说明</w:t>
            </w:r>
          </w:p>
        </w:tc>
        <w:tc>
          <w:tcPr>
            <w:tcW w:w="1117"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得分</w:t>
            </w:r>
          </w:p>
        </w:tc>
      </w:tr>
      <w:tr>
        <w:tblPrEx>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投入</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677" w:type="dxa"/>
            <w:vMerge w:val="restart"/>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预算配置</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在职人员控制率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nil"/>
              <w:right w:val="nil"/>
            </w:tcBorders>
            <w:vAlign w:val="center"/>
          </w:tcPr>
          <w:p>
            <w:pPr>
              <w:widowControl/>
              <w:jc w:val="left"/>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cs="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249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，在职人员数：部门（单位）实际在职人数，以财政局确定的部门决算编制口径为准。</w:t>
            </w:r>
            <w:r>
              <w:rPr>
                <w:rFonts w:eastAsia="仿宋_GB2312"/>
                <w:kern w:val="0"/>
                <w:sz w:val="20"/>
                <w:szCs w:val="20"/>
              </w:rPr>
              <w:br w:type="textWrapping"/>
            </w:r>
            <w:r>
              <w:rPr>
                <w:rFonts w:hint="eastAsia" w:eastAsia="仿宋_GB2312"/>
                <w:kern w:val="0"/>
                <w:sz w:val="20"/>
                <w:szCs w:val="20"/>
              </w:rPr>
              <w:t>编制数：机构编制部门核定批复的部门（单位）的人员编制数。</w:t>
            </w:r>
          </w:p>
        </w:tc>
        <w:tc>
          <w:tcPr>
            <w:tcW w:w="111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5</w:t>
            </w:r>
          </w:p>
        </w:tc>
      </w:tr>
      <w:tr>
        <w:tblPrEx>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cs="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111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5</w:t>
            </w: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vAlign w:val="center"/>
          </w:tcPr>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widowControl/>
              <w:jc w:val="center"/>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预算执行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预算完成率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5</w:t>
            </w:r>
          </w:p>
        </w:tc>
      </w:tr>
      <w:tr>
        <w:tblPrEx>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center"/>
              <w:rPr>
                <w:rFonts w:hint="eastAsia" w:eastAsia="宋体"/>
                <w:kern w:val="0"/>
                <w:sz w:val="24"/>
                <w:lang w:eastAsia="zh-CN"/>
              </w:rPr>
            </w:pPr>
            <w:r>
              <w:rPr>
                <w:rFonts w:hint="eastAsia"/>
                <w:kern w:val="0"/>
                <w:sz w:val="24"/>
                <w:lang w:val="en-US" w:eastAsia="zh-CN"/>
              </w:rPr>
              <w:t>0</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新建楼堂馆所面积控制率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分，扣完为止。没有楼堂馆所项目的部门按满分计算。</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5</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新建楼堂馆所投资概算控制率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5</w:t>
            </w: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restart"/>
            <w:tcBorders>
              <w:top w:val="nil"/>
              <w:left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预算管理</w:t>
            </w:r>
          </w:p>
          <w:p>
            <w:pPr>
              <w:widowControl/>
              <w:jc w:val="center"/>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公用经费控制率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公用经费支出是指部门基本支出中的一般商品和服务支出。</w:t>
            </w:r>
          </w:p>
        </w:tc>
        <w:tc>
          <w:tcPr>
            <w:tcW w:w="1117" w:type="dxa"/>
            <w:tcBorders>
              <w:top w:val="nil"/>
              <w:left w:val="nil"/>
              <w:bottom w:val="single" w:color="auto" w:sz="4" w:space="0"/>
              <w:right w:val="single" w:color="auto" w:sz="4" w:space="0"/>
            </w:tcBorders>
            <w:vAlign w:val="center"/>
          </w:tcPr>
          <w:p>
            <w:pPr>
              <w:widowControl/>
              <w:jc w:val="center"/>
              <w:rPr>
                <w:rFonts w:hint="eastAsia" w:eastAsia="宋体"/>
                <w:kern w:val="0"/>
                <w:sz w:val="24"/>
                <w:lang w:val="en-US" w:eastAsia="zh-CN"/>
              </w:rPr>
            </w:pPr>
            <w:r>
              <w:rPr>
                <w:rFonts w:hint="eastAsia"/>
                <w:kern w:val="0"/>
                <w:sz w:val="24"/>
                <w:lang w:val="en-US" w:eastAsia="zh-CN"/>
              </w:rPr>
              <w:t>0</w:t>
            </w:r>
          </w:p>
        </w:tc>
      </w:tr>
      <w:tr>
        <w:tblPrEx>
          <w:tblCellMar>
            <w:top w:w="0" w:type="dxa"/>
            <w:left w:w="108" w:type="dxa"/>
            <w:bottom w:w="0" w:type="dxa"/>
            <w:right w:w="108" w:type="dxa"/>
          </w:tblCellMar>
        </w:tblPrEx>
        <w:trPr>
          <w:trHeight w:val="1223"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7</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7</w:t>
            </w:r>
          </w:p>
        </w:tc>
      </w:tr>
      <w:tr>
        <w:tblPrEx>
          <w:tblCellMar>
            <w:top w:w="0" w:type="dxa"/>
            <w:left w:w="108" w:type="dxa"/>
            <w:bottom w:w="0" w:type="dxa"/>
            <w:right w:w="108" w:type="dxa"/>
          </w:tblCellMar>
        </w:tblPrEx>
        <w:trPr>
          <w:trHeight w:val="1394"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政府采购执行率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×100%</w:t>
            </w:r>
          </w:p>
        </w:tc>
        <w:tc>
          <w:tcPr>
            <w:tcW w:w="111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6</w:t>
            </w:r>
          </w:p>
        </w:tc>
      </w:tr>
      <w:tr>
        <w:tblPrEx>
          <w:tblCellMar>
            <w:top w:w="0" w:type="dxa"/>
            <w:left w:w="108" w:type="dxa"/>
            <w:bottom w:w="0" w:type="dxa"/>
            <w:right w:w="108" w:type="dxa"/>
          </w:tblCellMar>
        </w:tblPrEx>
        <w:trPr>
          <w:trHeight w:val="2786" w:hRule="atLeast"/>
          <w:jc w:val="center"/>
        </w:trPr>
        <w:tc>
          <w:tcPr>
            <w:tcW w:w="709" w:type="dxa"/>
            <w:vMerge w:val="continue"/>
            <w:tcBorders>
              <w:left w:val="single" w:color="auto" w:sz="4" w:space="0"/>
              <w:bottom w:val="single" w:color="000000" w:sz="4" w:space="0"/>
              <w:right w:val="single" w:color="auto" w:sz="4" w:space="0"/>
            </w:tcBorders>
            <w:vAlign w:val="center"/>
          </w:tcPr>
          <w:p>
            <w:pPr>
              <w:jc w:val="left"/>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管理制度健全性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8</w:t>
            </w:r>
          </w:p>
        </w:tc>
      </w:tr>
      <w:tr>
        <w:tblPrEx>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right w:val="single" w:color="auto" w:sz="4" w:space="0"/>
            </w:tcBorders>
            <w:vAlign w:val="center"/>
          </w:tcPr>
          <w:p>
            <w:pPr>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tc>
        <w:tc>
          <w:tcPr>
            <w:tcW w:w="677" w:type="dxa"/>
            <w:vMerge w:val="restart"/>
            <w:tcBorders>
              <w:top w:val="nil"/>
              <w:left w:val="nil"/>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预算管理</w:t>
            </w:r>
          </w:p>
          <w:p>
            <w:pPr>
              <w:widowControl/>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资金使用合规性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ascii="宋体" w:hAnsi="宋体" w:cs="宋体"/>
                <w:kern w:val="0"/>
                <w:sz w:val="20"/>
                <w:szCs w:val="20"/>
              </w:rPr>
              <w:t>②</w:t>
            </w:r>
            <w:r>
              <w:rPr>
                <w:rFonts w:hint="eastAsia" w:eastAsia="仿宋_GB2312"/>
                <w:kern w:val="0"/>
                <w:sz w:val="20"/>
                <w:szCs w:val="20"/>
              </w:rPr>
              <w:t>资金拨付有完整的审批程序和手续；</w:t>
            </w:r>
            <w:r>
              <w:rPr>
                <w:rFonts w:hint="eastAsia" w:ascii="宋体" w:hAnsi="宋体" w:cs="宋体"/>
                <w:kern w:val="0"/>
                <w:sz w:val="20"/>
                <w:szCs w:val="20"/>
              </w:rPr>
              <w:t>③</w:t>
            </w:r>
            <w:r>
              <w:rPr>
                <w:rFonts w:hint="eastAsia" w:eastAsia="仿宋_GB2312"/>
                <w:kern w:val="0"/>
                <w:sz w:val="20"/>
                <w:szCs w:val="20"/>
              </w:rPr>
              <w:t>项目支出按规定经过评估论证；</w:t>
            </w:r>
            <w:r>
              <w:rPr>
                <w:rFonts w:hint="eastAsia" w:ascii="宋体" w:hAnsi="宋体" w:cs="宋体"/>
                <w:kern w:val="0"/>
                <w:sz w:val="20"/>
                <w:szCs w:val="20"/>
              </w:rPr>
              <w:t>④</w:t>
            </w:r>
            <w:r>
              <w:rPr>
                <w:rFonts w:hint="eastAsia" w:eastAsia="仿宋_GB2312"/>
                <w:kern w:val="0"/>
                <w:sz w:val="20"/>
                <w:szCs w:val="20"/>
              </w:rPr>
              <w:t>支出符合部门预算批复的用途；</w:t>
            </w:r>
            <w:r>
              <w:rPr>
                <w:rFonts w:hint="eastAsia" w:ascii="宋体" w:hAnsi="宋体" w:cs="宋体"/>
                <w:kern w:val="0"/>
                <w:sz w:val="20"/>
                <w:szCs w:val="20"/>
              </w:rPr>
              <w:t>⑤</w:t>
            </w:r>
            <w:r>
              <w:rPr>
                <w:rFonts w:hint="eastAsia" w:eastAsia="仿宋_GB2312"/>
                <w:kern w:val="0"/>
                <w:sz w:val="20"/>
                <w:szCs w:val="20"/>
              </w:rPr>
              <w:t>资金使用无截留、挤占、挪用、虚列支出等情况。</w:t>
            </w:r>
            <w:r>
              <w:rPr>
                <w:rFonts w:eastAsia="仿宋_GB2312"/>
                <w:kern w:val="0"/>
                <w:sz w:val="20"/>
                <w:szCs w:val="20"/>
              </w:rPr>
              <w:br w:type="textWrapping"/>
            </w: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6</w:t>
            </w:r>
          </w:p>
        </w:tc>
      </w:tr>
      <w:tr>
        <w:tblPrEx>
          <w:tblCellMar>
            <w:top w:w="0" w:type="dxa"/>
            <w:left w:w="108" w:type="dxa"/>
            <w:bottom w:w="0" w:type="dxa"/>
            <w:right w:w="108" w:type="dxa"/>
          </w:tblCellMar>
        </w:tblPrEx>
        <w:trPr>
          <w:trHeight w:val="2951" w:hRule="atLeast"/>
          <w:jc w:val="center"/>
        </w:trPr>
        <w:tc>
          <w:tcPr>
            <w:tcW w:w="709" w:type="dxa"/>
            <w:vMerge w:val="continue"/>
            <w:tcBorders>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预决算信息公开性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r>
              <w:rPr>
                <w:rFonts w:eastAsia="仿宋_GB2312"/>
                <w:kern w:val="0"/>
                <w:sz w:val="20"/>
                <w:szCs w:val="20"/>
              </w:rPr>
              <w:t xml:space="preserve">  </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预决算信息是指与部门预算、执行、决算、监督、绩效等管理相关的信息。</w:t>
            </w:r>
          </w:p>
        </w:tc>
        <w:tc>
          <w:tcPr>
            <w:tcW w:w="111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5</w:t>
            </w:r>
          </w:p>
        </w:tc>
      </w:tr>
      <w:tr>
        <w:tblPrEx>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产出及效率</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30</w:t>
            </w:r>
            <w:r>
              <w:rPr>
                <w:rFonts w:hint="eastAsia" w:eastAsia="仿宋_GB2312"/>
                <w:kern w:val="0"/>
                <w:sz w:val="20"/>
                <w:szCs w:val="20"/>
              </w:rPr>
              <w:t>分</w:t>
            </w:r>
          </w:p>
        </w:tc>
        <w:tc>
          <w:tcPr>
            <w:tcW w:w="677"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职责履行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8</w:t>
            </w:r>
            <w:r>
              <w:rPr>
                <w:rFonts w:hint="eastAsia" w:eastAsia="仿宋_GB2312"/>
                <w:kern w:val="0"/>
                <w:sz w:val="20"/>
                <w:szCs w:val="20"/>
              </w:rPr>
              <w:t>分</w:t>
            </w:r>
          </w:p>
        </w:tc>
        <w:tc>
          <w:tcPr>
            <w:tcW w:w="1014" w:type="dxa"/>
            <w:tcBorders>
              <w:top w:val="nil"/>
              <w:left w:val="nil"/>
              <w:bottom w:val="nil"/>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重点工作实际完成率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根据市绩效办</w:t>
            </w:r>
            <w:r>
              <w:rPr>
                <w:rFonts w:eastAsia="仿宋_GB2312"/>
                <w:kern w:val="0"/>
                <w:sz w:val="20"/>
                <w:szCs w:val="20"/>
              </w:rPr>
              <w:t>2019</w:t>
            </w:r>
            <w:r>
              <w:rPr>
                <w:rFonts w:hint="eastAsia" w:eastAsia="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kern w:val="0"/>
                <w:sz w:val="20"/>
                <w:szCs w:val="20"/>
              </w:rPr>
              <w:t>该项得分</w:t>
            </w:r>
            <w:r>
              <w:rPr>
                <w:rFonts w:eastAsia="仿宋_GB2312"/>
                <w:kern w:val="0"/>
                <w:sz w:val="20"/>
                <w:szCs w:val="20"/>
              </w:rPr>
              <w:t>=</w:t>
            </w:r>
            <w:r>
              <w:rPr>
                <w:rFonts w:hint="eastAsia" w:eastAsia="仿宋_GB2312"/>
                <w:kern w:val="0"/>
                <w:sz w:val="20"/>
                <w:szCs w:val="20"/>
              </w:rPr>
              <w:t>（绩效办对应部分考核得分</w:t>
            </w:r>
            <w:r>
              <w:rPr>
                <w:rFonts w:eastAsia="仿宋_GB2312"/>
                <w:kern w:val="0"/>
                <w:sz w:val="20"/>
                <w:szCs w:val="20"/>
              </w:rPr>
              <w:t>/</w:t>
            </w:r>
            <w:r>
              <w:rPr>
                <w:rFonts w:hint="eastAsia" w:eastAsia="仿宋_GB2312"/>
                <w:kern w:val="0"/>
                <w:sz w:val="20"/>
                <w:szCs w:val="20"/>
              </w:rPr>
              <w:t>该部分总分）</w:t>
            </w:r>
            <w:r>
              <w:rPr>
                <w:rFonts w:hint="eastAsia" w:ascii="仿宋_GB2312" w:eastAsia="仿宋_GB2312"/>
                <w:kern w:val="0"/>
                <w:sz w:val="20"/>
                <w:szCs w:val="20"/>
              </w:rPr>
              <w:t>×</w:t>
            </w:r>
            <w:r>
              <w:rPr>
                <w:rFonts w:eastAsia="仿宋_GB2312"/>
                <w:kern w:val="0"/>
                <w:sz w:val="20"/>
                <w:szCs w:val="20"/>
              </w:rPr>
              <w:t>8</w:t>
            </w:r>
            <w:r>
              <w:rPr>
                <w:rFonts w:hint="eastAsia" w:eastAsia="仿宋_GB2312"/>
                <w:kern w:val="0"/>
                <w:sz w:val="20"/>
                <w:szCs w:val="20"/>
              </w:rPr>
              <w:t>。</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8</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履职</w:t>
            </w:r>
            <w:r>
              <w:rPr>
                <w:rFonts w:eastAsia="仿宋_GB2312"/>
                <w:kern w:val="0"/>
                <w:sz w:val="20"/>
                <w:szCs w:val="20"/>
              </w:rPr>
              <w:t xml:space="preserve"> </w:t>
            </w:r>
            <w:r>
              <w:rPr>
                <w:rFonts w:hint="eastAsia" w:eastAsia="仿宋_GB2312"/>
                <w:kern w:val="0"/>
                <w:sz w:val="20"/>
                <w:szCs w:val="20"/>
              </w:rPr>
              <w:t>效益</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22</w:t>
            </w:r>
            <w:r>
              <w:rPr>
                <w:rFonts w:hint="eastAsia" w:eastAsia="仿宋_GB2312"/>
                <w:kern w:val="0"/>
                <w:sz w:val="20"/>
                <w:szCs w:val="20"/>
              </w:rPr>
              <w:t>分</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经济效益</w:t>
            </w:r>
          </w:p>
        </w:tc>
        <w:tc>
          <w:tcPr>
            <w:tcW w:w="483" w:type="dxa"/>
            <w:vMerge w:val="restart"/>
            <w:tcBorders>
              <w:top w:val="nil"/>
              <w:left w:val="single" w:color="auto" w:sz="4" w:space="0"/>
              <w:bottom w:val="nil"/>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10</w:t>
            </w:r>
          </w:p>
        </w:tc>
        <w:tc>
          <w:tcPr>
            <w:tcW w:w="4930" w:type="dxa"/>
            <w:gridSpan w:val="2"/>
            <w:vMerge w:val="restart"/>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color="auto" w:sz="4" w:space="0"/>
            </w:tcBorders>
            <w:vAlign w:val="center"/>
          </w:tcPr>
          <w:p>
            <w:pPr>
              <w:widowControl/>
              <w:jc w:val="center"/>
              <w:rPr>
                <w:kern w:val="0"/>
                <w:sz w:val="24"/>
              </w:rPr>
            </w:pP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社会效益</w:t>
            </w:r>
          </w:p>
        </w:tc>
        <w:tc>
          <w:tcPr>
            <w:tcW w:w="483" w:type="dxa"/>
            <w:vMerge w:val="continue"/>
            <w:tcBorders>
              <w:top w:val="nil"/>
              <w:left w:val="single" w:color="auto" w:sz="4" w:space="0"/>
              <w:bottom w:val="nil"/>
              <w:right w:val="single" w:color="auto" w:sz="4" w:space="0"/>
            </w:tcBorders>
            <w:vAlign w:val="center"/>
          </w:tcPr>
          <w:p>
            <w:pPr>
              <w:widowControl/>
              <w:jc w:val="left"/>
              <w:rPr>
                <w:rFonts w:eastAsia="仿宋_GB2312"/>
                <w:kern w:val="0"/>
                <w:sz w:val="20"/>
                <w:szCs w:val="20"/>
              </w:rPr>
            </w:pPr>
          </w:p>
        </w:tc>
        <w:tc>
          <w:tcPr>
            <w:tcW w:w="4930" w:type="dxa"/>
            <w:gridSpan w:val="2"/>
            <w:vMerge w:val="continue"/>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p>
        </w:tc>
        <w:tc>
          <w:tcPr>
            <w:tcW w:w="1117" w:type="dxa"/>
            <w:tcBorders>
              <w:top w:val="nil"/>
              <w:left w:val="nil"/>
              <w:bottom w:val="nil"/>
              <w:right w:val="single" w:color="auto" w:sz="4" w:space="0"/>
            </w:tcBorders>
            <w:vAlign w:val="center"/>
          </w:tcPr>
          <w:p>
            <w:pPr>
              <w:widowControl/>
              <w:jc w:val="center"/>
              <w:rPr>
                <w:kern w:val="0"/>
                <w:sz w:val="24"/>
              </w:rPr>
            </w:pPr>
            <w:r>
              <w:rPr>
                <w:rFonts w:hint="eastAsia"/>
                <w:kern w:val="0"/>
                <w:sz w:val="24"/>
              </w:rPr>
              <w:t>10</w:t>
            </w:r>
          </w:p>
        </w:tc>
      </w:tr>
      <w:tr>
        <w:tblPrEx>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行政效能</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2494"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根据部门自评材料评定。</w:t>
            </w:r>
          </w:p>
        </w:tc>
        <w:tc>
          <w:tcPr>
            <w:tcW w:w="1117"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rFonts w:hint="eastAsia"/>
                <w:kern w:val="0"/>
                <w:sz w:val="24"/>
              </w:rPr>
              <w:t>6</w:t>
            </w:r>
          </w:p>
        </w:tc>
      </w:tr>
      <w:tr>
        <w:tblPrEx>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社会公众或服务对象满意度</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111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6</w:t>
            </w:r>
          </w:p>
        </w:tc>
      </w:tr>
    </w:tbl>
    <w:p/>
    <w:p/>
    <w:p/>
    <w:p/>
    <w:p/>
    <w:p/>
    <w:p/>
    <w:p/>
    <w:p/>
    <w:p/>
    <w:p/>
    <w:p/>
    <w:p/>
    <w:p/>
    <w:p/>
    <w:p/>
    <w:p/>
    <w:p>
      <w:pPr>
        <w:jc w:val="center"/>
        <w:rPr>
          <w:rFonts w:eastAsia="方正小标宋_GBK"/>
          <w:kern w:val="0"/>
          <w:sz w:val="36"/>
          <w:szCs w:val="36"/>
        </w:rPr>
      </w:pPr>
      <w:r>
        <w:br w:type="page"/>
      </w:r>
      <w:r>
        <w:rPr>
          <w:rFonts w:hint="eastAsia" w:eastAsia="方正小标宋_GBK"/>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hint="eastAsia" w:eastAsia="仿宋_GB2312"/>
          <w:kern w:val="0"/>
          <w:sz w:val="24"/>
        </w:rPr>
        <w:t>填报单位：衡山县</w:t>
      </w:r>
      <w:r>
        <w:rPr>
          <w:rFonts w:hint="eastAsia" w:eastAsia="仿宋_GB2312"/>
          <w:kern w:val="0"/>
          <w:sz w:val="24"/>
          <w:lang w:eastAsia="zh-CN"/>
        </w:rPr>
        <w:t>白果镇</w:t>
      </w:r>
      <w:r>
        <w:rPr>
          <w:rFonts w:hint="eastAsia" w:eastAsia="仿宋_GB2312"/>
          <w:kern w:val="0"/>
          <w:sz w:val="24"/>
        </w:rPr>
        <w:t>人民政府</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hint="eastAsia" w:eastAsia="仿宋_GB2312"/>
          <w:kern w:val="0"/>
          <w:sz w:val="24"/>
        </w:rPr>
        <w:t>单位：万元</w:t>
      </w:r>
    </w:p>
    <w:tbl>
      <w:tblPr>
        <w:tblStyle w:val="7"/>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财政供养人员情况</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w:t>
            </w:r>
            <w:r>
              <w:rPr>
                <w:rFonts w:hint="eastAsia" w:eastAsia="仿宋_GB2312"/>
                <w:b/>
                <w:bCs/>
                <w:kern w:val="0"/>
                <w:szCs w:val="21"/>
                <w:lang w:val="en-US" w:eastAsia="zh-CN"/>
              </w:rPr>
              <w:t>1</w:t>
            </w:r>
            <w:r>
              <w:rPr>
                <w:rFonts w:hint="eastAsia" w:eastAsia="仿宋_GB2312"/>
                <w:b/>
                <w:bCs/>
                <w:kern w:val="0"/>
                <w:szCs w:val="21"/>
              </w:rPr>
              <w:t>年实际在职人数</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85</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52</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lang w:val="en-US" w:eastAsia="zh-CN"/>
              </w:rPr>
              <w:t>61.18</w:t>
            </w:r>
            <w:r>
              <w:rPr>
                <w:rFonts w:hint="eastAsia" w:eastAsia="仿宋_GB2312"/>
                <w:kern w:val="0"/>
                <w:szCs w:val="21"/>
              </w:rPr>
              <w:t>%</w:t>
            </w:r>
          </w:p>
        </w:tc>
      </w:tr>
      <w:tr>
        <w:tblPrEx>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经费控制情况</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20年决算数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21年预算数</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21年决算数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三公经费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14.87</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15.5</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5.1</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kern w:val="0"/>
                <w:szCs w:val="21"/>
              </w:rPr>
              <w:t>、公务用车购置和维护经费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lang w:val="en-US" w:eastAsia="zh-CN"/>
              </w:rPr>
              <w:t>0.66</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lang w:eastAsia="zh-CN"/>
              </w:rPr>
            </w:pPr>
            <w:r>
              <w:rPr>
                <w:rFonts w:hint="eastAsia" w:eastAsia="仿宋_GB2312"/>
                <w:kern w:val="0"/>
                <w:szCs w:val="21"/>
                <w:lang w:val="en-US" w:eastAsia="zh-CN"/>
              </w:rPr>
              <w:t>1</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0.32</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其中：公车购置</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公车运行维护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0.66</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lang w:eastAsia="zh-CN"/>
              </w:rPr>
            </w:pPr>
            <w:r>
              <w:rPr>
                <w:rFonts w:hint="eastAsia" w:eastAsia="仿宋_GB2312"/>
                <w:kern w:val="0"/>
                <w:szCs w:val="21"/>
                <w:lang w:val="en-US" w:eastAsia="zh-CN"/>
              </w:rPr>
              <w:t>1</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0.32</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kern w:val="0"/>
                <w:szCs w:val="21"/>
              </w:rPr>
              <w:t>、出国经费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　</w:t>
            </w:r>
          </w:p>
        </w:tc>
      </w:tr>
      <w:tr>
        <w:tblPrEx>
          <w:tblCellMar>
            <w:top w:w="0" w:type="dxa"/>
            <w:left w:w="108" w:type="dxa"/>
            <w:bottom w:w="0" w:type="dxa"/>
            <w:right w:w="108" w:type="dxa"/>
          </w:tblCellMar>
        </w:tblPrEx>
        <w:trPr>
          <w:trHeight w:val="37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3</w:t>
            </w:r>
            <w:r>
              <w:rPr>
                <w:rFonts w:hint="eastAsia" w:eastAsia="仿宋_GB2312"/>
                <w:kern w:val="0"/>
                <w:szCs w:val="21"/>
              </w:rPr>
              <w:t>、公务接待</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14.21</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14.5</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4.77</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项目支出：</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3074.24</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543.87</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2536.18</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kern w:val="0"/>
                <w:szCs w:val="21"/>
              </w:rPr>
              <w:t>、业务工作专项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3074.24</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543.87</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2536.18</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kern w:val="0"/>
                <w:szCs w:val="21"/>
              </w:rPr>
              <w:t>、运行维护专项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3</w:t>
            </w:r>
            <w:r>
              <w:rPr>
                <w:rFonts w:hint="eastAsia" w:eastAsia="仿宋_GB2312"/>
                <w:kern w:val="0"/>
                <w:szCs w:val="21"/>
              </w:rPr>
              <w:t>、省、市级专项资金</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109.72</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88.9</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108.07</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其中：办公经费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水费、电费、差旅费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会议费、培训费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13"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106" w:firstLineChars="550"/>
              <w:jc w:val="left"/>
              <w:rPr>
                <w:rFonts w:eastAsia="仿宋_GB2312"/>
                <w:kern w:val="0"/>
                <w:szCs w:val="21"/>
              </w:rPr>
            </w:pPr>
            <w:r>
              <w:rPr>
                <w:rFonts w:hint="eastAsia" w:ascii="仿宋_GB2312"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政府采购金额</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部门基本支出预算调整</w:t>
            </w:r>
            <w:r>
              <w:rPr>
                <w:rFonts w:eastAsia="仿宋_GB2312"/>
                <w:kern w:val="0"/>
                <w:szCs w:val="21"/>
              </w:rPr>
              <w:t xml:space="preserve"> </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904" w:hRule="atLeast"/>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楼堂馆所控制情况</w:t>
            </w:r>
            <w:r>
              <w:rPr>
                <w:rFonts w:eastAsia="仿宋_GB2312"/>
                <w:kern w:val="0"/>
                <w:szCs w:val="21"/>
              </w:rPr>
              <w:br w:type="textWrapping"/>
            </w:r>
            <w:r>
              <w:rPr>
                <w:rFonts w:hint="eastAsia" w:eastAsia="仿宋_GB2312"/>
                <w:kern w:val="0"/>
                <w:szCs w:val="21"/>
              </w:rPr>
              <w:t>（</w:t>
            </w:r>
            <w:r>
              <w:rPr>
                <w:rFonts w:eastAsia="仿宋_GB2312"/>
                <w:kern w:val="0"/>
                <w:szCs w:val="21"/>
              </w:rPr>
              <w:t>20</w:t>
            </w:r>
            <w:r>
              <w:rPr>
                <w:rFonts w:hint="eastAsia" w:eastAsia="仿宋_GB2312"/>
                <w:kern w:val="0"/>
                <w:szCs w:val="21"/>
              </w:rPr>
              <w:t>21年完工项目）</w:t>
            </w:r>
          </w:p>
        </w:tc>
        <w:tc>
          <w:tcPr>
            <w:tcW w:w="1189"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批复规模</w:t>
            </w:r>
            <w:r>
              <w:rPr>
                <w:rFonts w:eastAsia="仿宋_GB2312"/>
                <w:b/>
                <w:bCs/>
                <w:kern w:val="0"/>
                <w:szCs w:val="21"/>
              </w:rPr>
              <w:br w:type="textWrapping"/>
            </w:r>
            <w:r>
              <w:rPr>
                <w:rFonts w:hint="eastAsia" w:eastAsia="仿宋_GB2312"/>
                <w:b/>
                <w:bCs/>
                <w:kern w:val="0"/>
                <w:szCs w:val="21"/>
              </w:rPr>
              <w:t>（</w:t>
            </w:r>
            <w:r>
              <w:rPr>
                <w:rFonts w:hint="eastAsia"/>
                <w:b/>
                <w:bCs/>
                <w:kern w:val="0"/>
                <w:szCs w:val="21"/>
              </w:rPr>
              <w:t>㎡</w:t>
            </w:r>
            <w:r>
              <w:rPr>
                <w:rFonts w:hint="eastAsia" w:eastAsia="仿宋_GB2312"/>
                <w:b/>
                <w:bCs/>
                <w:kern w:val="0"/>
                <w:szCs w:val="21"/>
              </w:rPr>
              <w:t>）</w:t>
            </w:r>
          </w:p>
        </w:tc>
        <w:tc>
          <w:tcPr>
            <w:tcW w:w="849"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实际规模（</w:t>
            </w:r>
            <w:r>
              <w:rPr>
                <w:rFonts w:hint="eastAsia"/>
                <w:b/>
                <w:bCs/>
                <w:kern w:val="0"/>
                <w:szCs w:val="21"/>
              </w:rPr>
              <w:t>㎡</w:t>
            </w:r>
            <w:r>
              <w:rPr>
                <w:rFonts w:hint="eastAsia" w:eastAsia="仿宋_GB2312"/>
                <w:b/>
                <w:bCs/>
                <w:kern w:val="0"/>
                <w:szCs w:val="21"/>
              </w:rPr>
              <w:t>）</w:t>
            </w:r>
          </w:p>
        </w:tc>
        <w:tc>
          <w:tcPr>
            <w:tcW w:w="1129"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规模控制率</w:t>
            </w:r>
          </w:p>
        </w:tc>
        <w:tc>
          <w:tcPr>
            <w:tcW w:w="1111"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预算投资（万元）</w:t>
            </w:r>
          </w:p>
        </w:tc>
        <w:tc>
          <w:tcPr>
            <w:tcW w:w="969"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实际投资（万元）</w:t>
            </w:r>
          </w:p>
        </w:tc>
        <w:tc>
          <w:tcPr>
            <w:tcW w:w="863"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1189"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0　</w:t>
            </w:r>
          </w:p>
        </w:tc>
        <w:tc>
          <w:tcPr>
            <w:tcW w:w="849"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0</w:t>
            </w:r>
          </w:p>
        </w:tc>
        <w:tc>
          <w:tcPr>
            <w:tcW w:w="1129"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0</w:t>
            </w:r>
          </w:p>
        </w:tc>
        <w:tc>
          <w:tcPr>
            <w:tcW w:w="1111"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0</w:t>
            </w:r>
          </w:p>
        </w:tc>
        <w:tc>
          <w:tcPr>
            <w:tcW w:w="969"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0</w:t>
            </w:r>
          </w:p>
        </w:tc>
        <w:tc>
          <w:tcPr>
            <w:tcW w:w="863"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0</w:t>
            </w:r>
          </w:p>
        </w:tc>
      </w:tr>
      <w:tr>
        <w:tblPrEx>
          <w:tblCellMar>
            <w:top w:w="0" w:type="dxa"/>
            <w:left w:w="108" w:type="dxa"/>
            <w:bottom w:w="0" w:type="dxa"/>
            <w:right w:w="108" w:type="dxa"/>
          </w:tblCellMar>
        </w:tblPrEx>
        <w:trPr>
          <w:trHeight w:val="5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ascii="仿宋" w:hAnsi="仿宋" w:eastAsia="仿宋" w:cs="仿宋"/>
                <w:color w:val="000000"/>
                <w:sz w:val="18"/>
                <w:szCs w:val="18"/>
                <w:shd w:val="clear" w:color="auto" w:fill="FFFFFF"/>
              </w:rPr>
              <w:t>加强财务管理，严格财务审核。加强单位财务管理，健全单位财务管理制度体系，规范单位财务行为。在费用报账支付时，按照预算规定的费用项目和用途进行资金使用审核、列报支付、财务核算，杜绝超支现象的发生。</w:t>
            </w:r>
            <w:r>
              <w:rPr>
                <w:rFonts w:ascii="仿宋_GB2312" w:hAnsi="宋体" w:eastAsia="仿宋_GB2312" w:cs="仿宋_GB2312"/>
                <w:color w:val="000000"/>
                <w:sz w:val="18"/>
                <w:szCs w:val="18"/>
                <w:shd w:val="clear" w:color="auto" w:fill="FFFFFF"/>
              </w:rPr>
              <w:t>　</w:t>
            </w:r>
            <w:r>
              <w:rPr>
                <w:rFonts w:hint="eastAsia" w:eastAsia="仿宋_GB2312"/>
                <w:kern w:val="0"/>
                <w:szCs w:val="21"/>
              </w:rPr>
              <w:t>　</w:t>
            </w:r>
          </w:p>
        </w:tc>
      </w:tr>
    </w:tbl>
    <w:p>
      <w:pPr>
        <w:rPr>
          <w:rFonts w:eastAsia="仿宋_GB2312"/>
          <w:kern w:val="0"/>
          <w:sz w:val="22"/>
          <w:szCs w:val="22"/>
        </w:rPr>
      </w:pPr>
      <w:r>
        <w:rPr>
          <w:rFonts w:hint="eastAsia" w:eastAsia="仿宋_GB2312"/>
          <w:kern w:val="0"/>
          <w:sz w:val="22"/>
          <w:szCs w:val="22"/>
        </w:rPr>
        <w:t>说明：</w:t>
      </w:r>
      <w:r>
        <w:rPr>
          <w:rFonts w:eastAsia="仿宋_GB2312"/>
          <w:kern w:val="0"/>
          <w:sz w:val="22"/>
          <w:szCs w:val="22"/>
        </w:rPr>
        <w:t>“</w:t>
      </w:r>
      <w:r>
        <w:rPr>
          <w:rFonts w:hint="eastAsia" w:eastAsia="仿宋_GB2312"/>
          <w:kern w:val="0"/>
          <w:sz w:val="22"/>
          <w:szCs w:val="22"/>
        </w:rPr>
        <w:t>项目支出</w:t>
      </w:r>
      <w:r>
        <w:rPr>
          <w:rFonts w:eastAsia="仿宋_GB2312"/>
          <w:kern w:val="0"/>
          <w:sz w:val="22"/>
          <w:szCs w:val="22"/>
        </w:rPr>
        <w:t>”</w:t>
      </w:r>
      <w:r>
        <w:rPr>
          <w:rFonts w:hint="eastAsia" w:eastAsia="仿宋_GB2312"/>
          <w:kern w:val="0"/>
          <w:sz w:val="22"/>
          <w:szCs w:val="22"/>
        </w:rPr>
        <w:t>需要填报基本支出以外的所有项目支出情况，包括业务工作项目、运行维护项目和市级专项资金等；</w:t>
      </w:r>
      <w:r>
        <w:rPr>
          <w:rFonts w:eastAsia="仿宋_GB2312"/>
          <w:kern w:val="0"/>
          <w:sz w:val="22"/>
          <w:szCs w:val="22"/>
        </w:rPr>
        <w:t>“</w:t>
      </w:r>
      <w:r>
        <w:rPr>
          <w:rFonts w:hint="eastAsia" w:eastAsia="仿宋_GB2312"/>
          <w:kern w:val="0"/>
          <w:sz w:val="22"/>
          <w:szCs w:val="22"/>
        </w:rPr>
        <w:t>公用经费</w:t>
      </w:r>
      <w:r>
        <w:rPr>
          <w:rFonts w:eastAsia="仿宋_GB2312"/>
          <w:kern w:val="0"/>
          <w:sz w:val="22"/>
          <w:szCs w:val="22"/>
        </w:rPr>
        <w:t>”</w:t>
      </w:r>
      <w:r>
        <w:rPr>
          <w:rFonts w:hint="eastAsia" w:eastAsia="仿宋_GB2312"/>
          <w:kern w:val="0"/>
          <w:sz w:val="22"/>
          <w:szCs w:val="22"/>
        </w:rPr>
        <w:t>填报基本支出中的一般商品和服务支出。</w:t>
      </w: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r>
        <w:rPr>
          <w:rFonts w:ascii="方正小标宋_GBK" w:hAnsi="宋体" w:eastAsia="方正小标宋_GBK" w:cs="宋体"/>
          <w:kern w:val="0"/>
          <w:sz w:val="36"/>
          <w:szCs w:val="36"/>
        </w:rPr>
        <w:t>20</w:t>
      </w:r>
      <w:r>
        <w:rPr>
          <w:rFonts w:hint="eastAsia" w:ascii="方正小标宋_GBK" w:hAnsi="宋体" w:eastAsia="方正小标宋_GBK" w:cs="宋体"/>
          <w:kern w:val="0"/>
          <w:sz w:val="36"/>
          <w:szCs w:val="36"/>
        </w:rPr>
        <w:t>21年度县级专项资金绩效目标自评表</w:t>
      </w:r>
    </w:p>
    <w:tbl>
      <w:tblPr>
        <w:tblStyle w:val="7"/>
        <w:tblW w:w="10060" w:type="dxa"/>
        <w:jc w:val="center"/>
        <w:tblLayout w:type="fixed"/>
        <w:tblCellMar>
          <w:top w:w="0" w:type="dxa"/>
          <w:left w:w="108" w:type="dxa"/>
          <w:bottom w:w="0" w:type="dxa"/>
          <w:right w:w="108" w:type="dxa"/>
        </w:tblCellMar>
      </w:tblPr>
      <w:tblGrid>
        <w:gridCol w:w="769"/>
        <w:gridCol w:w="675"/>
        <w:gridCol w:w="709"/>
        <w:gridCol w:w="1701"/>
        <w:gridCol w:w="1843"/>
        <w:gridCol w:w="1276"/>
        <w:gridCol w:w="1073"/>
        <w:gridCol w:w="230"/>
        <w:gridCol w:w="1784"/>
      </w:tblGrid>
      <w:tr>
        <w:tblPrEx>
          <w:tblCellMar>
            <w:top w:w="0" w:type="dxa"/>
            <w:left w:w="108" w:type="dxa"/>
            <w:bottom w:w="0" w:type="dxa"/>
            <w:right w:w="108" w:type="dxa"/>
          </w:tblCellMar>
        </w:tblPrEx>
        <w:trPr>
          <w:trHeight w:val="270" w:hRule="atLeast"/>
          <w:jc w:val="center"/>
        </w:trPr>
        <w:tc>
          <w:tcPr>
            <w:tcW w:w="10060" w:type="dxa"/>
            <w:gridSpan w:val="9"/>
            <w:tcBorders>
              <w:top w:val="nil"/>
              <w:left w:val="nil"/>
              <w:bottom w:val="single" w:color="auto" w:sz="4" w:space="0"/>
              <w:right w:val="nil"/>
            </w:tcBorders>
            <w:vAlign w:val="center"/>
          </w:tcPr>
          <w:p>
            <w:pPr>
              <w:widowControl/>
              <w:jc w:val="center"/>
              <w:rPr>
                <w:rFonts w:ascii="楷体_GB2312" w:hAnsi="宋体" w:eastAsia="楷体_GB2312" w:cs="宋体"/>
                <w:b/>
                <w:bCs/>
                <w:kern w:val="0"/>
                <w:sz w:val="22"/>
              </w:rPr>
            </w:pPr>
          </w:p>
        </w:tc>
      </w:tr>
      <w:tr>
        <w:tblPrEx>
          <w:tblCellMar>
            <w:top w:w="0" w:type="dxa"/>
            <w:left w:w="108" w:type="dxa"/>
            <w:bottom w:w="0" w:type="dxa"/>
            <w:right w:w="108" w:type="dxa"/>
          </w:tblCellMar>
        </w:tblPrEx>
        <w:trPr>
          <w:trHeight w:val="608"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专项资金名称</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扶贫项目</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负责人</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及电话</w:t>
            </w:r>
          </w:p>
        </w:tc>
        <w:tc>
          <w:tcPr>
            <w:tcW w:w="308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eastAsia="zh-CN"/>
              </w:rPr>
              <w:t>欧亚东</w:t>
            </w:r>
            <w:r>
              <w:rPr>
                <w:rFonts w:hint="eastAsia" w:ascii="仿宋_GB2312" w:hAnsi="宋体" w:eastAsia="仿宋_GB2312" w:cs="宋体"/>
                <w:kern w:val="0"/>
                <w:szCs w:val="21"/>
              </w:rPr>
              <w:t xml:space="preserve">  </w:t>
            </w:r>
            <w:r>
              <w:rPr>
                <w:rFonts w:hint="eastAsia" w:ascii="仿宋_GB2312" w:hAnsi="宋体" w:eastAsia="仿宋_GB2312" w:cs="宋体"/>
                <w:kern w:val="0"/>
                <w:szCs w:val="21"/>
                <w:lang w:val="en-US" w:eastAsia="zh-CN"/>
              </w:rPr>
              <w:t>18570900658</w:t>
            </w:r>
          </w:p>
        </w:tc>
      </w:tr>
      <w:tr>
        <w:tblPrEx>
          <w:tblCellMar>
            <w:top w:w="0" w:type="dxa"/>
            <w:left w:w="108" w:type="dxa"/>
            <w:bottom w:w="0" w:type="dxa"/>
            <w:right w:w="108" w:type="dxa"/>
          </w:tblCellMar>
        </w:tblPrEx>
        <w:trPr>
          <w:trHeight w:val="44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县级主管部门</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衡山县财政局　</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0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衡山县</w:t>
            </w:r>
            <w:r>
              <w:rPr>
                <w:rFonts w:hint="eastAsia" w:ascii="仿宋_GB2312" w:hAnsi="宋体" w:eastAsia="仿宋_GB2312" w:cs="宋体"/>
                <w:kern w:val="0"/>
                <w:szCs w:val="21"/>
                <w:lang w:eastAsia="zh-CN"/>
              </w:rPr>
              <w:t>白果镇</w:t>
            </w:r>
            <w:r>
              <w:rPr>
                <w:rFonts w:hint="eastAsia" w:ascii="仿宋_GB2312" w:hAnsi="宋体" w:eastAsia="仿宋_GB2312" w:cs="宋体"/>
                <w:kern w:val="0"/>
                <w:szCs w:val="21"/>
              </w:rPr>
              <w:t>人民政府</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项目资金（万元）</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全年预算数（</w:t>
            </w:r>
            <w:r>
              <w:rPr>
                <w:rFonts w:ascii="仿宋_GB2312" w:hAnsi="宋体" w:eastAsia="仿宋_GB2312" w:cs="宋体"/>
                <w:kern w:val="0"/>
                <w:szCs w:val="21"/>
              </w:rPr>
              <w:t>A</w:t>
            </w:r>
            <w:r>
              <w:rPr>
                <w:rFonts w:hint="eastAsia" w:ascii="仿宋_GB2312" w:hAnsi="宋体" w:eastAsia="仿宋_GB2312" w:cs="宋体"/>
                <w:kern w:val="0"/>
                <w:szCs w:val="21"/>
              </w:rPr>
              <w:t>）</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全年执行数（</w:t>
            </w:r>
            <w:r>
              <w:rPr>
                <w:rFonts w:ascii="仿宋_GB2312" w:hAnsi="宋体" w:eastAsia="仿宋_GB2312" w:cs="宋体"/>
                <w:kern w:val="0"/>
                <w:szCs w:val="21"/>
              </w:rPr>
              <w:t>B</w:t>
            </w:r>
            <w:r>
              <w:rPr>
                <w:rFonts w:hint="eastAsia" w:ascii="仿宋_GB2312" w:hAnsi="宋体" w:eastAsia="仿宋_GB2312" w:cs="宋体"/>
                <w:kern w:val="0"/>
                <w:szCs w:val="21"/>
              </w:rPr>
              <w:t>）</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执行率（</w:t>
            </w:r>
            <w:r>
              <w:rPr>
                <w:rFonts w:ascii="仿宋_GB2312" w:hAnsi="宋体" w:eastAsia="仿宋_GB2312" w:cs="宋体"/>
                <w:kern w:val="0"/>
                <w:szCs w:val="21"/>
              </w:rPr>
              <w:t>B</w:t>
            </w:r>
            <w:r>
              <w:rPr>
                <w:rFonts w:hint="eastAsia" w:ascii="仿宋_GB2312" w:hAnsi="宋体" w:eastAsia="仿宋_GB2312" w:cs="宋体"/>
                <w:kern w:val="0"/>
                <w:szCs w:val="21"/>
              </w:rPr>
              <w:t>／</w:t>
            </w:r>
            <w:r>
              <w:rPr>
                <w:rFonts w:ascii="仿宋_GB2312" w:hAnsi="宋体" w:eastAsia="仿宋_GB2312" w:cs="宋体"/>
                <w:kern w:val="0"/>
                <w:szCs w:val="21"/>
              </w:rPr>
              <w:t>A</w:t>
            </w: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374.99</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374.99</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100%</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其中：中央、省、市补助</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314.47</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314.47</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100%</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县级资金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60.52</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60.52</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其他资金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11"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92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仿宋_GB2312" w:hAnsi="宋体" w:eastAsia="仿宋_GB2312" w:cs="宋体"/>
                <w:kern w:val="0"/>
                <w:szCs w:val="21"/>
              </w:rPr>
              <w:t>年初设定目标</w:t>
            </w:r>
            <w:r>
              <w:rPr>
                <w:rFonts w:hint="eastAsia" w:ascii="宋体" w:hAnsi="宋体" w:cs="宋体"/>
                <w:kern w:val="0"/>
                <w:szCs w:val="21"/>
              </w:rPr>
              <w:t>　</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全年实际完成情况</w:t>
            </w:r>
          </w:p>
        </w:tc>
      </w:tr>
      <w:tr>
        <w:tblPrEx>
          <w:tblCellMar>
            <w:top w:w="0" w:type="dxa"/>
            <w:left w:w="108" w:type="dxa"/>
            <w:bottom w:w="0" w:type="dxa"/>
            <w:right w:w="108" w:type="dxa"/>
          </w:tblCellMar>
        </w:tblPrEx>
        <w:trPr>
          <w:trHeight w:val="460"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492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对贫困人口进行帮扶</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对贫困人口进行帮扶</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ascii="仿宋_GB2312" w:hAnsi="宋体" w:eastAsia="仿宋_GB2312" w:cs="宋体"/>
                <w:kern w:val="0"/>
                <w:szCs w:val="21"/>
              </w:rPr>
              <w:t xml:space="preserve">  </w:t>
            </w: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675" w:type="dxa"/>
            <w:tcBorders>
              <w:top w:val="single" w:color="auto" w:sz="4" w:space="0"/>
              <w:left w:val="nil"/>
              <w:bottom w:val="single" w:color="auto" w:sz="4" w:space="0"/>
              <w:right w:val="nil"/>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年度指标值</w:t>
            </w:r>
          </w:p>
        </w:tc>
        <w:tc>
          <w:tcPr>
            <w:tcW w:w="1303"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178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未完成原因和</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改进措施</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产</w:t>
            </w:r>
            <w:r>
              <w:rPr>
                <w:rFonts w:ascii="仿宋_GB2312" w:hAnsi="宋体" w:eastAsia="仿宋_GB2312" w:cs="宋体"/>
                <w:kern w:val="0"/>
                <w:szCs w:val="21"/>
              </w:rPr>
              <w:t xml:space="preserve">   </w:t>
            </w:r>
            <w:r>
              <w:rPr>
                <w:rFonts w:hint="eastAsia" w:ascii="仿宋_GB2312" w:hAnsi="宋体" w:eastAsia="仿宋_GB2312" w:cs="宋体"/>
                <w:kern w:val="0"/>
                <w:szCs w:val="21"/>
              </w:rPr>
              <w:t>出</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无</w:t>
            </w:r>
            <w:bookmarkStart w:id="0" w:name="_GoBack"/>
            <w:bookmarkEnd w:id="0"/>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 w:val="18"/>
                <w:szCs w:val="18"/>
              </w:rPr>
            </w:pP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 w:val="18"/>
                <w:szCs w:val="18"/>
              </w:rPr>
            </w:pP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 w:val="18"/>
                <w:szCs w:val="18"/>
              </w:rPr>
            </w:pP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 w:val="18"/>
                <w:szCs w:val="18"/>
              </w:rPr>
            </w:pP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rPr>
            </w:pP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rPr>
            </w:pP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rPr>
            </w:pP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rPr>
            </w:pP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rPr>
            </w:pP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18"/>
                <w:szCs w:val="18"/>
              </w:rPr>
            </w:pP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贫困帮扶</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100%</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lang w:val="en-US" w:eastAsia="zh-CN"/>
              </w:rPr>
              <w:t>100%</w:t>
            </w:r>
            <w:r>
              <w:rPr>
                <w:rFonts w:hint="eastAsia" w:ascii="仿宋_GB2312" w:hAnsi="宋体" w:eastAsia="仿宋_GB2312" w:cs="宋体"/>
                <w:kern w:val="0"/>
                <w:szCs w:val="21"/>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完成时限</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2021.12.31前</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 w:val="18"/>
                <w:szCs w:val="18"/>
                <w:lang w:val="en-US" w:eastAsia="zh-CN"/>
              </w:rPr>
              <w:t>100%</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556"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总投入成本</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374.99万元</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374.99万元</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50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623"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619"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经济效益指标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产生经济小于</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97"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绩效指标</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益</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生态效益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产生生态效益</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大于5年</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大于5年</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产生可持续影响</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大于5年</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大于5年</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843"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303" w:type="dxa"/>
            <w:gridSpan w:val="2"/>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784"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满意度指标</w:t>
            </w:r>
          </w:p>
        </w:tc>
        <w:tc>
          <w:tcPr>
            <w:tcW w:w="709"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群众满意度</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大于9</w:t>
            </w:r>
            <w:r>
              <w:rPr>
                <w:rFonts w:hint="eastAsia" w:ascii="仿宋_GB2312" w:hAnsi="宋体" w:eastAsia="仿宋_GB2312" w:cs="宋体"/>
                <w:kern w:val="0"/>
                <w:sz w:val="18"/>
                <w:szCs w:val="18"/>
                <w:lang w:val="en-US" w:eastAsia="zh-CN"/>
              </w:rPr>
              <w:t>9</w:t>
            </w:r>
            <w:r>
              <w:rPr>
                <w:rFonts w:hint="eastAsia" w:ascii="仿宋_GB2312" w:hAnsi="宋体" w:eastAsia="仿宋_GB2312" w:cs="宋体"/>
                <w:kern w:val="0"/>
                <w:sz w:val="18"/>
                <w:szCs w:val="18"/>
              </w:rPr>
              <w:t>%</w:t>
            </w:r>
          </w:p>
        </w:tc>
        <w:tc>
          <w:tcPr>
            <w:tcW w:w="1303"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大于9</w:t>
            </w:r>
            <w:r>
              <w:rPr>
                <w:rFonts w:hint="eastAsia" w:ascii="仿宋_GB2312" w:hAnsi="宋体" w:eastAsia="仿宋_GB2312" w:cs="宋体"/>
                <w:kern w:val="0"/>
                <w:sz w:val="18"/>
                <w:szCs w:val="18"/>
                <w:lang w:val="en-US" w:eastAsia="zh-CN"/>
              </w:rPr>
              <w:t>9</w:t>
            </w:r>
            <w:r>
              <w:rPr>
                <w:rFonts w:hint="eastAsia" w:ascii="仿宋_GB2312" w:hAnsi="宋体" w:eastAsia="仿宋_GB2312" w:cs="宋体"/>
                <w:kern w:val="0"/>
                <w:sz w:val="18"/>
                <w:szCs w:val="18"/>
              </w:rPr>
              <w:t>%</w:t>
            </w:r>
          </w:p>
        </w:tc>
        <w:tc>
          <w:tcPr>
            <w:tcW w:w="1784"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952" w:hRule="atLeast"/>
          <w:jc w:val="center"/>
        </w:trPr>
        <w:tc>
          <w:tcPr>
            <w:tcW w:w="769" w:type="dxa"/>
            <w:vMerge w:val="continue"/>
            <w:tcBorders>
              <w:top w:val="single" w:color="auto" w:sz="4" w:space="0"/>
              <w:left w:val="single" w:color="auto" w:sz="4" w:space="0"/>
              <w:bottom w:val="nil"/>
              <w:right w:val="single" w:color="auto" w:sz="4" w:space="0"/>
            </w:tcBorders>
            <w:noWrap/>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nil"/>
              <w:bottom w:val="nil"/>
              <w:right w:val="single" w:color="000000" w:sz="4" w:space="0"/>
            </w:tcBorders>
            <w:noWrap/>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nil"/>
              <w:bottom w:val="nil"/>
              <w:right w:val="single" w:color="000000" w:sz="4" w:space="0"/>
            </w:tcBorders>
            <w:noWrap/>
            <w:vAlign w:val="center"/>
          </w:tcPr>
          <w:p>
            <w:pPr>
              <w:widowControl/>
              <w:jc w:val="left"/>
            </w:pPr>
          </w:p>
        </w:tc>
        <w:tc>
          <w:tcPr>
            <w:tcW w:w="1701" w:type="dxa"/>
            <w:tcBorders>
              <w:top w:val="single" w:color="auto" w:sz="4" w:space="0"/>
              <w:left w:val="nil"/>
              <w:bottom w:val="nil"/>
              <w:right w:val="single" w:color="000000" w:sz="4" w:space="0"/>
            </w:tcBorders>
            <w:noWrap/>
            <w:vAlign w:val="bottom"/>
          </w:tcPr>
          <w:p>
            <w:pPr>
              <w:widowControl/>
              <w:jc w:val="left"/>
            </w:pPr>
            <w:r>
              <w:rPr>
                <w:rFonts w:hint="eastAsia" w:ascii="仿宋_GB2312" w:hAnsi="宋体" w:eastAsia="仿宋_GB2312" w:cs="宋体"/>
                <w:kern w:val="0"/>
                <w:sz w:val="18"/>
                <w:szCs w:val="18"/>
              </w:rPr>
              <w:t>　</w:t>
            </w:r>
          </w:p>
        </w:tc>
        <w:tc>
          <w:tcPr>
            <w:tcW w:w="1843" w:type="dxa"/>
            <w:tcBorders>
              <w:top w:val="single" w:color="auto" w:sz="4" w:space="0"/>
              <w:left w:val="nil"/>
              <w:bottom w:val="nil"/>
              <w:right w:val="single" w:color="000000" w:sz="4" w:space="0"/>
            </w:tcBorders>
            <w:noWrap/>
            <w:vAlign w:val="bottom"/>
          </w:tcPr>
          <w:p>
            <w:pPr>
              <w:widowControl/>
              <w:jc w:val="left"/>
            </w:pPr>
            <w:r>
              <w:rPr>
                <w:rFonts w:hint="eastAsia" w:ascii="仿宋_GB2312" w:hAnsi="宋体" w:eastAsia="仿宋_GB2312" w:cs="宋体"/>
                <w:kern w:val="0"/>
                <w:sz w:val="18"/>
                <w:szCs w:val="18"/>
              </w:rPr>
              <w:t>　</w:t>
            </w:r>
          </w:p>
        </w:tc>
        <w:tc>
          <w:tcPr>
            <w:tcW w:w="1276" w:type="dxa"/>
            <w:tcBorders>
              <w:top w:val="single" w:color="auto" w:sz="4" w:space="0"/>
              <w:left w:val="nil"/>
              <w:bottom w:val="nil"/>
              <w:right w:val="single" w:color="000000" w:sz="4" w:space="0"/>
            </w:tcBorders>
            <w:noWrap/>
            <w:vAlign w:val="bottom"/>
          </w:tcPr>
          <w:p>
            <w:pPr>
              <w:widowControl/>
              <w:jc w:val="left"/>
            </w:pPr>
            <w:r>
              <w:rPr>
                <w:rFonts w:hint="eastAsia" w:ascii="仿宋_GB2312" w:hAnsi="宋体" w:eastAsia="仿宋_GB2312" w:cs="宋体"/>
                <w:kern w:val="0"/>
                <w:sz w:val="18"/>
                <w:szCs w:val="18"/>
              </w:rPr>
              <w:t>　</w:t>
            </w:r>
          </w:p>
        </w:tc>
        <w:tc>
          <w:tcPr>
            <w:tcW w:w="1303" w:type="dxa"/>
            <w:gridSpan w:val="2"/>
            <w:tcBorders>
              <w:top w:val="single" w:color="auto" w:sz="4" w:space="0"/>
              <w:left w:val="nil"/>
              <w:bottom w:val="nil"/>
              <w:right w:val="single" w:color="000000" w:sz="4" w:space="0"/>
            </w:tcBorders>
            <w:noWrap/>
            <w:vAlign w:val="bottom"/>
          </w:tcPr>
          <w:p>
            <w:pPr>
              <w:widowControl/>
              <w:jc w:val="left"/>
            </w:pPr>
            <w:r>
              <w:rPr>
                <w:rFonts w:hint="eastAsia" w:ascii="仿宋_GB2312" w:hAnsi="宋体" w:eastAsia="仿宋_GB2312" w:cs="宋体"/>
                <w:kern w:val="0"/>
                <w:sz w:val="18"/>
                <w:szCs w:val="18"/>
              </w:rPr>
              <w:t>　</w:t>
            </w:r>
          </w:p>
        </w:tc>
        <w:tc>
          <w:tcPr>
            <w:tcW w:w="1784" w:type="dxa"/>
            <w:tcBorders>
              <w:top w:val="single" w:color="auto" w:sz="4" w:space="0"/>
              <w:left w:val="nil"/>
              <w:bottom w:val="nil"/>
              <w:right w:val="single" w:color="000000" w:sz="4" w:space="0"/>
            </w:tcBorders>
            <w:noWrap/>
            <w:vAlign w:val="bottom"/>
          </w:tcPr>
          <w:p>
            <w:pPr>
              <w:widowControl/>
              <w:jc w:val="left"/>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85" w:hRule="atLeast"/>
          <w:jc w:val="center"/>
        </w:trPr>
        <w:tc>
          <w:tcPr>
            <w:tcW w:w="10060" w:type="dxa"/>
            <w:gridSpan w:val="9"/>
            <w:tcBorders>
              <w:top w:val="single" w:color="auto" w:sz="8" w:space="0"/>
              <w:left w:val="nil"/>
              <w:bottom w:val="nil"/>
              <w:right w:val="nil"/>
            </w:tcBorders>
          </w:tcPr>
          <w:p>
            <w:pPr>
              <w:widowControl/>
              <w:ind w:firstLine="402" w:firstLineChars="200"/>
              <w:jc w:val="left"/>
              <w:rPr>
                <w:rFonts w:ascii="仿宋_GB2312" w:hAnsi="宋体" w:eastAsia="仿宋_GB2312" w:cs="宋体"/>
                <w:kern w:val="0"/>
                <w:szCs w:val="21"/>
              </w:rPr>
            </w:pPr>
          </w:p>
          <w:p>
            <w:pPr>
              <w:widowControl/>
              <w:spacing w:line="360" w:lineRule="exact"/>
              <w:ind w:firstLine="402" w:firstLineChars="200"/>
              <w:jc w:val="left"/>
              <w:rPr>
                <w:rFonts w:ascii="仿宋_GB2312" w:hAnsi="宋体" w:eastAsia="仿宋_GB2312" w:cs="宋体"/>
                <w:kern w:val="0"/>
                <w:szCs w:val="21"/>
              </w:rPr>
            </w:pPr>
            <w:r>
              <w:rPr>
                <w:rFonts w:hint="eastAsia" w:ascii="仿宋_GB2312" w:hAnsi="宋体" w:eastAsia="仿宋_GB2312" w:cs="宋体"/>
                <w:kern w:val="0"/>
                <w:szCs w:val="21"/>
              </w:rPr>
              <w:t>注：</w:t>
            </w:r>
            <w:r>
              <w:rPr>
                <w:rFonts w:ascii="仿宋_GB2312" w:hAnsi="宋体" w:eastAsia="仿宋_GB2312" w:cs="宋体"/>
                <w:kern w:val="0"/>
                <w:szCs w:val="21"/>
              </w:rPr>
              <w:t>1</w:t>
            </w:r>
            <w:r>
              <w:rPr>
                <w:rFonts w:hint="eastAsia" w:ascii="仿宋_GB2312" w:hAnsi="宋体" w:eastAsia="仿宋_GB2312" w:cs="宋体"/>
                <w:kern w:val="0"/>
                <w:szCs w:val="21"/>
              </w:rPr>
              <w:t>、其他资金包括和中央、省、市补助、地方财政资金共同投入到同一项目的自有资金、社会资金，以及以前年度的结转结余资金等。</w:t>
            </w:r>
            <w:r>
              <w:rPr>
                <w:rFonts w:ascii="仿宋_GB2312" w:hAnsi="宋体" w:eastAsia="仿宋_GB2312" w:cs="宋体"/>
                <w:kern w:val="0"/>
                <w:szCs w:val="21"/>
              </w:rPr>
              <w:t xml:space="preserve"> </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、定量指标，资金使用单位填写本地区实际完成数。各部门汇总时，对绝对值直接累加计算，相对值按照资金额度加权平均计算。</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、定性指标根据指标完成情况分为：全部或基本达成预期指标、部分达成预期指标并具有一定效果、未达成预期指标且效果较差三档，资金使用单位分别按照</w:t>
            </w:r>
            <w:r>
              <w:rPr>
                <w:rFonts w:ascii="仿宋_GB2312" w:hAnsi="宋体" w:eastAsia="仿宋_GB2312" w:cs="宋体"/>
                <w:kern w:val="0"/>
                <w:szCs w:val="21"/>
              </w:rPr>
              <w:t>100</w:t>
            </w:r>
            <w:r>
              <w:rPr>
                <w:rFonts w:hint="eastAsia" w:ascii="仿宋_GB2312" w:hAnsi="宋体" w:eastAsia="仿宋_GB2312" w:cs="宋体"/>
                <w:kern w:val="0"/>
                <w:szCs w:val="21"/>
              </w:rPr>
              <w:t>％</w:t>
            </w:r>
            <w:r>
              <w:rPr>
                <w:rFonts w:ascii="仿宋_GB2312" w:hAnsi="宋体" w:eastAsia="仿宋_GB2312" w:cs="宋体"/>
                <w:kern w:val="0"/>
                <w:szCs w:val="21"/>
              </w:rPr>
              <w:t>—80</w:t>
            </w:r>
            <w:r>
              <w:rPr>
                <w:rFonts w:hint="eastAsia" w:ascii="仿宋_GB2312" w:hAnsi="宋体" w:eastAsia="仿宋_GB2312" w:cs="宋体"/>
                <w:kern w:val="0"/>
                <w:szCs w:val="21"/>
              </w:rPr>
              <w:t>％（含）、</w:t>
            </w:r>
            <w:r>
              <w:rPr>
                <w:rFonts w:ascii="仿宋_GB2312" w:hAnsi="宋体" w:eastAsia="仿宋_GB2312" w:cs="宋体"/>
                <w:kern w:val="0"/>
                <w:szCs w:val="21"/>
              </w:rPr>
              <w:t>80</w:t>
            </w:r>
            <w:r>
              <w:rPr>
                <w:rFonts w:hint="eastAsia" w:ascii="仿宋_GB2312" w:hAnsi="宋体" w:eastAsia="仿宋_GB2312" w:cs="宋体"/>
                <w:kern w:val="0"/>
                <w:szCs w:val="21"/>
              </w:rPr>
              <w:t>％</w:t>
            </w:r>
            <w:r>
              <w:rPr>
                <w:rFonts w:ascii="仿宋_GB2312" w:hAnsi="宋体" w:eastAsia="仿宋_GB2312" w:cs="宋体"/>
                <w:kern w:val="0"/>
                <w:szCs w:val="21"/>
              </w:rPr>
              <w:t>—60</w:t>
            </w:r>
            <w:r>
              <w:rPr>
                <w:rFonts w:hint="eastAsia" w:ascii="仿宋_GB2312" w:hAnsi="宋体" w:eastAsia="仿宋_GB2312" w:cs="宋体"/>
                <w:kern w:val="0"/>
                <w:szCs w:val="21"/>
              </w:rPr>
              <w:t>％（含）、</w:t>
            </w:r>
            <w:r>
              <w:rPr>
                <w:rFonts w:ascii="仿宋_GB2312" w:hAnsi="宋体" w:eastAsia="仿宋_GB2312" w:cs="宋体"/>
                <w:kern w:val="0"/>
                <w:szCs w:val="21"/>
              </w:rPr>
              <w:t>60</w:t>
            </w:r>
            <w:r>
              <w:rPr>
                <w:rFonts w:hint="eastAsia" w:ascii="仿宋_GB2312" w:hAnsi="宋体" w:eastAsia="仿宋_GB2312" w:cs="宋体"/>
                <w:kern w:val="0"/>
                <w:szCs w:val="21"/>
              </w:rPr>
              <w:t>％</w:t>
            </w:r>
            <w:r>
              <w:rPr>
                <w:rFonts w:ascii="仿宋_GB2312" w:hAnsi="宋体" w:eastAsia="仿宋_GB2312" w:cs="宋体"/>
                <w:kern w:val="0"/>
                <w:szCs w:val="21"/>
              </w:rPr>
              <w:t>—0</w:t>
            </w:r>
            <w:r>
              <w:rPr>
                <w:rFonts w:hint="eastAsia" w:ascii="仿宋_GB2312" w:hAnsi="宋体" w:eastAsia="仿宋_GB2312" w:cs="宋体"/>
                <w:kern w:val="0"/>
                <w:szCs w:val="21"/>
              </w:rPr>
              <w:t>％合理填写完成比例。</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、各主管部门及资金使用单位填写《自评表》并报送同级财政部门审核后，形成县级专项资金《自评表》。</w:t>
            </w:r>
          </w:p>
        </w:tc>
      </w:tr>
    </w:tbl>
    <w:p>
      <w:pPr>
        <w:rPr>
          <w:rFonts w:eastAsia="仿宋_GB2312"/>
          <w:kern w:val="0"/>
          <w:sz w:val="22"/>
          <w:szCs w:val="22"/>
        </w:rPr>
      </w:pPr>
    </w:p>
    <w:sectPr>
      <w:footerReference r:id="rId3" w:type="default"/>
      <w:footerReference r:id="rId4" w:type="even"/>
      <w:pgSz w:w="11906" w:h="16838"/>
      <w:pgMar w:top="1559" w:right="1287" w:bottom="1440" w:left="1622" w:header="851" w:footer="1021" w:gutter="0"/>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黑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15</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F6CC5A"/>
    <w:multiLevelType w:val="singleLevel"/>
    <w:tmpl w:val="ABF6CC5A"/>
    <w:lvl w:ilvl="0" w:tentative="0">
      <w:start w:val="7"/>
      <w:numFmt w:val="chineseCounting"/>
      <w:suff w:val="nothing"/>
      <w:lvlText w:val="%1、"/>
      <w:lvlJc w:val="left"/>
      <w:rPr>
        <w:rFonts w:hint="eastAsia"/>
      </w:rPr>
    </w:lvl>
  </w:abstractNum>
  <w:abstractNum w:abstractNumId="1">
    <w:nsid w:val="01C1EFDF"/>
    <w:multiLevelType w:val="singleLevel"/>
    <w:tmpl w:val="01C1EFD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NjJmNjRmYTg3Y2E3MGUxMmY0NmIxMmU3Y2I2N2UifQ=="/>
  </w:docVars>
  <w:rsids>
    <w:rsidRoot w:val="00CC3008"/>
    <w:rsid w:val="0003350F"/>
    <w:rsid w:val="000A03FC"/>
    <w:rsid w:val="000C2790"/>
    <w:rsid w:val="001347B3"/>
    <w:rsid w:val="00137B91"/>
    <w:rsid w:val="0019007B"/>
    <w:rsid w:val="00191481"/>
    <w:rsid w:val="00223AA5"/>
    <w:rsid w:val="003209DE"/>
    <w:rsid w:val="003963BE"/>
    <w:rsid w:val="00651D89"/>
    <w:rsid w:val="007961C3"/>
    <w:rsid w:val="009135E6"/>
    <w:rsid w:val="009642A6"/>
    <w:rsid w:val="009D4A2F"/>
    <w:rsid w:val="00A761CD"/>
    <w:rsid w:val="00AF3825"/>
    <w:rsid w:val="00B23360"/>
    <w:rsid w:val="00BA4F96"/>
    <w:rsid w:val="00BD235D"/>
    <w:rsid w:val="00C43FE7"/>
    <w:rsid w:val="00CC3008"/>
    <w:rsid w:val="00DC6F3D"/>
    <w:rsid w:val="00E25E12"/>
    <w:rsid w:val="00ED2940"/>
    <w:rsid w:val="00EF2DF2"/>
    <w:rsid w:val="01272D04"/>
    <w:rsid w:val="015B24A8"/>
    <w:rsid w:val="01617558"/>
    <w:rsid w:val="02455F87"/>
    <w:rsid w:val="02C54842"/>
    <w:rsid w:val="03416D30"/>
    <w:rsid w:val="03477B1B"/>
    <w:rsid w:val="04C12E56"/>
    <w:rsid w:val="05182747"/>
    <w:rsid w:val="053C3E95"/>
    <w:rsid w:val="063844BB"/>
    <w:rsid w:val="076F17D0"/>
    <w:rsid w:val="08D94C0E"/>
    <w:rsid w:val="08FD198A"/>
    <w:rsid w:val="096B5405"/>
    <w:rsid w:val="09794E88"/>
    <w:rsid w:val="098918BD"/>
    <w:rsid w:val="09F443DD"/>
    <w:rsid w:val="0A22721B"/>
    <w:rsid w:val="0BFE251F"/>
    <w:rsid w:val="0D2A2730"/>
    <w:rsid w:val="0DCC1D79"/>
    <w:rsid w:val="0F4A61D4"/>
    <w:rsid w:val="0F7C7881"/>
    <w:rsid w:val="0FB9437B"/>
    <w:rsid w:val="0FFF3027"/>
    <w:rsid w:val="1058783D"/>
    <w:rsid w:val="106D071A"/>
    <w:rsid w:val="10C872CB"/>
    <w:rsid w:val="10F9419F"/>
    <w:rsid w:val="117A645B"/>
    <w:rsid w:val="117B7B6F"/>
    <w:rsid w:val="11B14106"/>
    <w:rsid w:val="12A0589E"/>
    <w:rsid w:val="133C6252"/>
    <w:rsid w:val="135321CE"/>
    <w:rsid w:val="13692CBD"/>
    <w:rsid w:val="13985EC3"/>
    <w:rsid w:val="14286793"/>
    <w:rsid w:val="144D3647"/>
    <w:rsid w:val="17D077E9"/>
    <w:rsid w:val="1876264D"/>
    <w:rsid w:val="18CE767E"/>
    <w:rsid w:val="196D5AB7"/>
    <w:rsid w:val="1B3705A4"/>
    <w:rsid w:val="1B8F2882"/>
    <w:rsid w:val="1BEA1616"/>
    <w:rsid w:val="1C87381E"/>
    <w:rsid w:val="1D087FB6"/>
    <w:rsid w:val="1D8F5110"/>
    <w:rsid w:val="1DAA00D7"/>
    <w:rsid w:val="1E1A23D7"/>
    <w:rsid w:val="1EF735A2"/>
    <w:rsid w:val="1F1F4DDA"/>
    <w:rsid w:val="1F396318"/>
    <w:rsid w:val="1FB45F0F"/>
    <w:rsid w:val="1FC94CEA"/>
    <w:rsid w:val="201A6446"/>
    <w:rsid w:val="20383431"/>
    <w:rsid w:val="20E622DF"/>
    <w:rsid w:val="21006BC6"/>
    <w:rsid w:val="21E36307"/>
    <w:rsid w:val="21E76082"/>
    <w:rsid w:val="221116FD"/>
    <w:rsid w:val="225F2D1D"/>
    <w:rsid w:val="2275376B"/>
    <w:rsid w:val="24065E24"/>
    <w:rsid w:val="240A2293"/>
    <w:rsid w:val="256933B7"/>
    <w:rsid w:val="26272D45"/>
    <w:rsid w:val="264D4540"/>
    <w:rsid w:val="27752EF5"/>
    <w:rsid w:val="27D574EC"/>
    <w:rsid w:val="28D07ACF"/>
    <w:rsid w:val="295957C7"/>
    <w:rsid w:val="2B00293F"/>
    <w:rsid w:val="2B012358"/>
    <w:rsid w:val="2B822DAB"/>
    <w:rsid w:val="2C2E5F7C"/>
    <w:rsid w:val="2DD36304"/>
    <w:rsid w:val="2E291568"/>
    <w:rsid w:val="2E30680B"/>
    <w:rsid w:val="2E402363"/>
    <w:rsid w:val="2F6C5286"/>
    <w:rsid w:val="302C4A40"/>
    <w:rsid w:val="30F32B92"/>
    <w:rsid w:val="313C01EE"/>
    <w:rsid w:val="317148EA"/>
    <w:rsid w:val="31CB5DD1"/>
    <w:rsid w:val="3279262B"/>
    <w:rsid w:val="32EB3137"/>
    <w:rsid w:val="335953C4"/>
    <w:rsid w:val="340872C3"/>
    <w:rsid w:val="35F12975"/>
    <w:rsid w:val="36205CD4"/>
    <w:rsid w:val="36345270"/>
    <w:rsid w:val="365C493F"/>
    <w:rsid w:val="36A74BA1"/>
    <w:rsid w:val="37132688"/>
    <w:rsid w:val="39781D6C"/>
    <w:rsid w:val="39973E89"/>
    <w:rsid w:val="3A777AE9"/>
    <w:rsid w:val="3BD9145F"/>
    <w:rsid w:val="3BDD7F30"/>
    <w:rsid w:val="3BEF42F4"/>
    <w:rsid w:val="3C4325EB"/>
    <w:rsid w:val="3D34152D"/>
    <w:rsid w:val="3E1F174F"/>
    <w:rsid w:val="3E434562"/>
    <w:rsid w:val="3EF72981"/>
    <w:rsid w:val="403A30C1"/>
    <w:rsid w:val="406C60FA"/>
    <w:rsid w:val="4083128C"/>
    <w:rsid w:val="43BE0814"/>
    <w:rsid w:val="44BB3411"/>
    <w:rsid w:val="45462059"/>
    <w:rsid w:val="45756983"/>
    <w:rsid w:val="459372DD"/>
    <w:rsid w:val="461B1AE5"/>
    <w:rsid w:val="47E11C83"/>
    <w:rsid w:val="47ED4D60"/>
    <w:rsid w:val="484C0426"/>
    <w:rsid w:val="48BA04F2"/>
    <w:rsid w:val="48FB0CF8"/>
    <w:rsid w:val="49D41D54"/>
    <w:rsid w:val="4ADD67E7"/>
    <w:rsid w:val="4B293978"/>
    <w:rsid w:val="4BAB1E25"/>
    <w:rsid w:val="4CBD4AD6"/>
    <w:rsid w:val="4D034A47"/>
    <w:rsid w:val="4D3335E5"/>
    <w:rsid w:val="4D615CDD"/>
    <w:rsid w:val="4D724297"/>
    <w:rsid w:val="4ECC0D0D"/>
    <w:rsid w:val="4F846A62"/>
    <w:rsid w:val="4FA82935"/>
    <w:rsid w:val="4FC444B7"/>
    <w:rsid w:val="516D5E44"/>
    <w:rsid w:val="528840FB"/>
    <w:rsid w:val="54E55D9E"/>
    <w:rsid w:val="550B661A"/>
    <w:rsid w:val="55385166"/>
    <w:rsid w:val="55566AC0"/>
    <w:rsid w:val="56740D3E"/>
    <w:rsid w:val="56AD686D"/>
    <w:rsid w:val="575C2F2E"/>
    <w:rsid w:val="57CB0F0E"/>
    <w:rsid w:val="58752EA4"/>
    <w:rsid w:val="594136C1"/>
    <w:rsid w:val="598C1034"/>
    <w:rsid w:val="59990A67"/>
    <w:rsid w:val="59D647E5"/>
    <w:rsid w:val="5A1D2863"/>
    <w:rsid w:val="5A360F6C"/>
    <w:rsid w:val="5B224258"/>
    <w:rsid w:val="5B8A0E52"/>
    <w:rsid w:val="5CD92A06"/>
    <w:rsid w:val="5D1D4026"/>
    <w:rsid w:val="5D3D2F32"/>
    <w:rsid w:val="5DC96B8D"/>
    <w:rsid w:val="5DD57CE4"/>
    <w:rsid w:val="5F535233"/>
    <w:rsid w:val="5FA872E7"/>
    <w:rsid w:val="5FD50536"/>
    <w:rsid w:val="60484B86"/>
    <w:rsid w:val="60BD5077"/>
    <w:rsid w:val="60C3247D"/>
    <w:rsid w:val="612A7DA9"/>
    <w:rsid w:val="613251A1"/>
    <w:rsid w:val="61A12808"/>
    <w:rsid w:val="61B930E3"/>
    <w:rsid w:val="63B80209"/>
    <w:rsid w:val="63F81206"/>
    <w:rsid w:val="64027CBF"/>
    <w:rsid w:val="64294A7E"/>
    <w:rsid w:val="645231EE"/>
    <w:rsid w:val="65513B7D"/>
    <w:rsid w:val="656B4739"/>
    <w:rsid w:val="65F84999"/>
    <w:rsid w:val="66546ABA"/>
    <w:rsid w:val="672C2690"/>
    <w:rsid w:val="676976F5"/>
    <w:rsid w:val="6770247C"/>
    <w:rsid w:val="679243DF"/>
    <w:rsid w:val="680D070A"/>
    <w:rsid w:val="686C26F5"/>
    <w:rsid w:val="693572E8"/>
    <w:rsid w:val="69A53D9C"/>
    <w:rsid w:val="69AB4BF8"/>
    <w:rsid w:val="6A031A26"/>
    <w:rsid w:val="6BA51144"/>
    <w:rsid w:val="6DCA321F"/>
    <w:rsid w:val="6E1B7329"/>
    <w:rsid w:val="6E7B3F77"/>
    <w:rsid w:val="6E7D0F33"/>
    <w:rsid w:val="6E93157D"/>
    <w:rsid w:val="6EAA4366"/>
    <w:rsid w:val="6FCE4722"/>
    <w:rsid w:val="70EB5491"/>
    <w:rsid w:val="71A90719"/>
    <w:rsid w:val="72BD1577"/>
    <w:rsid w:val="73B364EA"/>
    <w:rsid w:val="74995C3D"/>
    <w:rsid w:val="752B3344"/>
    <w:rsid w:val="778625B8"/>
    <w:rsid w:val="77CE21CB"/>
    <w:rsid w:val="77D321EA"/>
    <w:rsid w:val="78944EF7"/>
    <w:rsid w:val="78D0369C"/>
    <w:rsid w:val="7B580F6B"/>
    <w:rsid w:val="7BA414E4"/>
    <w:rsid w:val="7C723CC5"/>
    <w:rsid w:val="7CF6398C"/>
    <w:rsid w:val="7DC8137A"/>
    <w:rsid w:val="7DCC3590"/>
    <w:rsid w:val="7DF52E29"/>
    <w:rsid w:val="7E5774DE"/>
    <w:rsid w:val="7F4E7C9A"/>
    <w:rsid w:val="7F572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99"/>
    <w:pPr>
      <w:jc w:val="left"/>
    </w:pPr>
  </w:style>
  <w:style w:type="paragraph" w:styleId="3">
    <w:name w:val="Body Text"/>
    <w:basedOn w:val="1"/>
    <w:link w:val="13"/>
    <w:qFormat/>
    <w:uiPriority w:val="99"/>
    <w:rPr>
      <w:sz w:val="32"/>
    </w:rPr>
  </w:style>
  <w:style w:type="paragraph" w:styleId="4">
    <w:name w:val="Balloon Text"/>
    <w:basedOn w:val="1"/>
    <w:link w:val="16"/>
    <w:semiHidden/>
    <w:qFormat/>
    <w:locked/>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Normal (Web)"/>
    <w:basedOn w:val="1"/>
    <w:unhideWhenUsed/>
    <w:locked/>
    <w:uiPriority w:val="99"/>
    <w:pPr>
      <w:spacing w:before="100" w:beforeAutospacing="1" w:after="100" w:afterAutospacing="1"/>
      <w:jc w:val="left"/>
    </w:pPr>
    <w:rPr>
      <w:kern w:val="0"/>
      <w:sz w:val="24"/>
    </w:rPr>
  </w:style>
  <w:style w:type="character" w:styleId="9">
    <w:name w:val="page number"/>
    <w:basedOn w:val="8"/>
    <w:qFormat/>
    <w:uiPriority w:val="99"/>
    <w:rPr>
      <w:rFonts w:cs="Times New Roman"/>
    </w:rPr>
  </w:style>
  <w:style w:type="character" w:styleId="10">
    <w:name w:val="annotation reference"/>
    <w:basedOn w:val="8"/>
    <w:qFormat/>
    <w:uiPriority w:val="99"/>
    <w:rPr>
      <w:rFonts w:cs="Times New Roman"/>
      <w:sz w:val="21"/>
      <w:szCs w:val="21"/>
    </w:rPr>
  </w:style>
  <w:style w:type="paragraph" w:customStyle="1" w:styleId="11">
    <w:name w:val="列出段落1"/>
    <w:basedOn w:val="1"/>
    <w:qFormat/>
    <w:uiPriority w:val="99"/>
    <w:pPr>
      <w:ind w:firstLine="420" w:firstLineChars="200"/>
    </w:pPr>
  </w:style>
  <w:style w:type="paragraph" w:styleId="12">
    <w:name w:val="List Paragraph"/>
    <w:basedOn w:val="1"/>
    <w:qFormat/>
    <w:uiPriority w:val="99"/>
    <w:pPr>
      <w:ind w:firstLine="420" w:firstLineChars="200"/>
    </w:pPr>
  </w:style>
  <w:style w:type="character" w:customStyle="1" w:styleId="13">
    <w:name w:val="正文文本 Char"/>
    <w:basedOn w:val="8"/>
    <w:link w:val="3"/>
    <w:semiHidden/>
    <w:qFormat/>
    <w:locked/>
    <w:uiPriority w:val="99"/>
    <w:rPr>
      <w:rFonts w:cs="Times New Roman"/>
      <w:sz w:val="24"/>
      <w:szCs w:val="24"/>
    </w:rPr>
  </w:style>
  <w:style w:type="character" w:customStyle="1" w:styleId="14">
    <w:name w:val="页脚 Char"/>
    <w:basedOn w:val="8"/>
    <w:link w:val="5"/>
    <w:semiHidden/>
    <w:qFormat/>
    <w:locked/>
    <w:uiPriority w:val="99"/>
    <w:rPr>
      <w:rFonts w:cs="Times New Roman"/>
      <w:sz w:val="18"/>
      <w:szCs w:val="18"/>
    </w:rPr>
  </w:style>
  <w:style w:type="character" w:customStyle="1" w:styleId="15">
    <w:name w:val="批注文字 Char"/>
    <w:basedOn w:val="8"/>
    <w:link w:val="2"/>
    <w:semiHidden/>
    <w:qFormat/>
    <w:locked/>
    <w:uiPriority w:val="99"/>
    <w:rPr>
      <w:rFonts w:cs="Times New Roman"/>
      <w:sz w:val="24"/>
      <w:szCs w:val="24"/>
    </w:rPr>
  </w:style>
  <w:style w:type="character" w:customStyle="1" w:styleId="16">
    <w:name w:val="批注框文本 Char"/>
    <w:basedOn w:val="8"/>
    <w:link w:val="4"/>
    <w:semiHidden/>
    <w:qFormat/>
    <w:uiPriority w:val="99"/>
    <w:rPr>
      <w:sz w:val="16"/>
      <w:szCs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4172</Words>
  <Characters>4609</Characters>
  <Lines>42</Lines>
  <Paragraphs>11</Paragraphs>
  <TotalTime>9</TotalTime>
  <ScaleCrop>false</ScaleCrop>
  <LinksUpToDate>false</LinksUpToDate>
  <CharactersWithSpaces>5131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2023-04-20T03:37:00Z</dcterms:created>
  <dc:creator>Administrator</dc:creator>
  <cp:lastModifiedBy>Administrator</cp:lastModifiedBy>
  <cp:lastPrinted>2019-09-02T02:59:00Z</cp:lastPrinted>
  <dcterms:modified xsi:type="dcterms:W3CDTF">2023-04-21T08:45:12Z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9CA7A2A6DFEF47D3BD6CD7B0D9C53474_13</vt:lpwstr>
  </property>
</Properties>
</file>