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rPr>
        <w:t>2</w:t>
      </w:r>
      <w:r>
        <w:rPr>
          <w:rFonts w:hint="eastAsia" w:ascii="方正小标宋_GBK" w:eastAsia="方正小标宋_GBK"/>
          <w:sz w:val="48"/>
          <w:szCs w:val="48"/>
          <w:lang w:val="en-US" w:eastAsia="zh-CN"/>
        </w:rPr>
        <w:t>1</w:t>
      </w:r>
      <w:r>
        <w:rPr>
          <w:rFonts w:hint="eastAsia" w:ascii="方正小标宋_GBK" w:eastAsia="方正小标宋_GBK"/>
          <w:sz w:val="48"/>
          <w:szCs w:val="48"/>
        </w:rPr>
        <w:t>年度部门整体支出绩效自评报告</w:t>
      </w:r>
    </w:p>
    <w:p>
      <w:pP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ascii="宋体" w:eastAsia="宋体" w:cs="宋体"/>
          <w:b/>
          <w:color w:val="000000"/>
          <w:kern w:val="0"/>
          <w:sz w:val="44"/>
          <w:szCs w:val="44"/>
        </w:rPr>
        <w:t>衡山县花鼓戏剧团</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r>
        <w:rPr>
          <w:rFonts w:hint="eastAsia" w:ascii="仿宋_GB2312" w:eastAsia="仿宋_GB2312"/>
          <w:sz w:val="32"/>
          <w:szCs w:val="32"/>
        </w:rPr>
        <w:t>（此页为封面）</w:t>
      </w:r>
    </w:p>
    <w:p>
      <w:pPr>
        <w:pStyle w:val="10"/>
        <w:widowControl/>
        <w:spacing w:line="600" w:lineRule="exact"/>
        <w:ind w:firstLine="620"/>
        <w:rPr>
          <w:rFonts w:ascii="黑体" w:hAnsi="黑体" w:eastAsia="黑体"/>
          <w:sz w:val="32"/>
          <w:szCs w:val="32"/>
        </w:rPr>
      </w:pPr>
    </w:p>
    <w:p>
      <w:pPr>
        <w:pStyle w:val="10"/>
        <w:widowControl/>
        <w:spacing w:line="600" w:lineRule="exact"/>
        <w:ind w:firstLine="620"/>
        <w:rPr>
          <w:rFonts w:ascii="黑体" w:hAnsi="黑体" w:eastAsia="黑体"/>
          <w:sz w:val="32"/>
          <w:szCs w:val="32"/>
        </w:rPr>
      </w:pPr>
    </w:p>
    <w:p>
      <w:pPr>
        <w:pStyle w:val="10"/>
        <w:widowControl/>
        <w:spacing w:line="600" w:lineRule="exact"/>
        <w:ind w:firstLine="620"/>
        <w:rPr>
          <w:rFonts w:ascii="黑体" w:hAnsi="黑体" w:eastAsia="黑体"/>
          <w:sz w:val="32"/>
          <w:szCs w:val="32"/>
        </w:rPr>
      </w:pPr>
    </w:p>
    <w:p>
      <w:pPr>
        <w:pStyle w:val="10"/>
        <w:widowControl/>
        <w:spacing w:line="600" w:lineRule="exact"/>
        <w:ind w:firstLine="620"/>
        <w:rPr>
          <w:rFonts w:ascii="黑体" w:hAnsi="黑体" w:eastAsia="黑体"/>
          <w:sz w:val="32"/>
          <w:szCs w:val="32"/>
        </w:rPr>
      </w:pPr>
    </w:p>
    <w:p>
      <w:pPr>
        <w:ind w:firstLine="582" w:firstLineChars="200"/>
        <w:rPr>
          <w:rFonts w:ascii="黑体" w:hAnsi="黑体" w:eastAsia="黑体" w:cs="黑体"/>
          <w:b/>
          <w:bCs/>
          <w:sz w:val="30"/>
          <w:szCs w:val="32"/>
        </w:rPr>
      </w:pPr>
      <w:r>
        <w:rPr>
          <w:rFonts w:hint="eastAsia" w:ascii="黑体" w:hAnsi="黑体" w:eastAsia="黑体" w:cs="黑体"/>
          <w:b/>
          <w:bCs/>
          <w:sz w:val="30"/>
          <w:szCs w:val="32"/>
        </w:rPr>
        <w:t>一、部门、单位基本情况</w:t>
      </w:r>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（一）单位主要职责</w:t>
      </w:r>
    </w:p>
    <w:p>
      <w:pPr>
        <w:spacing w:line="570" w:lineRule="atLeast"/>
        <w:ind w:firstLine="622" w:firstLineChars="200"/>
        <w:rPr>
          <w:rFonts w:ascii="仿宋_GB2312" w:hAnsi="仿宋_GB2312" w:eastAsia="仿宋_GB2312" w:cs="仿宋_GB2312"/>
          <w:color w:val="000000"/>
          <w:sz w:val="32"/>
          <w:szCs w:val="32"/>
          <w:shd w:val="clear" w:color="auto" w:fill="FFFFFF"/>
        </w:rPr>
      </w:pPr>
      <w:bookmarkStart w:id="0" w:name="FUNCRESP"/>
      <w:r>
        <w:rPr>
          <w:rFonts w:hint="eastAsia" w:ascii="仿宋_GB2312" w:hAnsi="仿宋_GB2312" w:eastAsia="仿宋_GB2312" w:cs="仿宋_GB2312"/>
          <w:color w:val="000000"/>
          <w:sz w:val="32"/>
          <w:szCs w:val="32"/>
          <w:shd w:val="clear" w:color="auto" w:fill="FFFFFF"/>
        </w:rPr>
        <w:t>创作生产多姿多彩的剧（节）目,丰富群众文化生活、陶冶观众情操、宣传国家文化方针政策和社会主义精神文明建设；参加全县社区、广场、企业、校园、乡村等各种文化下乡演出活动；传统花鼓灯艺术整理与保护艺术作品；普及戏曲艺术及推广艺术创作表演人才培养，传承戏曲文化；衡山剧院承接县委、县政府各种重要会议接待，承接各外团院校的各类演出工作。</w:t>
      </w:r>
      <w:bookmarkEnd w:id="0"/>
    </w:p>
    <w:p>
      <w:pPr>
        <w:adjustRightInd w:val="0"/>
        <w:spacing w:line="620" w:lineRule="exact"/>
        <w:ind w:firstLine="582" w:firstLineChars="200"/>
        <w:rPr>
          <w:rFonts w:ascii="楷体" w:hAnsi="楷体" w:eastAsia="仿宋" w:cs="SimSun-Identity-H"/>
          <w:b/>
          <w:bCs/>
          <w:color w:val="000000"/>
          <w:kern w:val="0"/>
          <w:sz w:val="30"/>
          <w:szCs w:val="28"/>
        </w:rPr>
      </w:pPr>
      <w:r>
        <w:rPr>
          <w:rFonts w:hint="eastAsia" w:ascii="楷体" w:hAnsi="楷体" w:eastAsia="仿宋" w:cs="SimSun-Identity-H"/>
          <w:b/>
          <w:bCs/>
          <w:color w:val="000000"/>
          <w:kern w:val="0"/>
          <w:sz w:val="30"/>
          <w:szCs w:val="28"/>
        </w:rPr>
        <w:t>（二）机构设置及人员情况</w:t>
      </w:r>
    </w:p>
    <w:p>
      <w:pPr>
        <w:keepNext w:val="0"/>
        <w:keepLines w:val="0"/>
        <w:pageBreakBefore w:val="0"/>
        <w:widowControl w:val="0"/>
        <w:kinsoku/>
        <w:wordWrap/>
        <w:overflowPunct/>
        <w:topLinePunct w:val="0"/>
        <w:autoSpaceDE/>
        <w:autoSpaceDN/>
        <w:bidi w:val="0"/>
        <w:adjustRightInd/>
        <w:snapToGrid/>
        <w:spacing w:line="570" w:lineRule="atLeast"/>
        <w:ind w:firstLine="622" w:firstLineChars="200"/>
        <w:textAlignment w:val="auto"/>
        <w:rPr>
          <w:rFonts w:hint="eastAsia" w:ascii="仿宋_GB2312" w:hAnsi="仿宋_GB2312" w:eastAsia="仿宋_GB2312" w:cs="仿宋_GB2312"/>
          <w:color w:val="000000"/>
          <w:sz w:val="32"/>
          <w:szCs w:val="32"/>
          <w:shd w:val="clear" w:color="auto" w:fill="FFFFFF"/>
        </w:rPr>
      </w:pPr>
      <w:bookmarkStart w:id="1" w:name="AGENCY_NAME_TITLE2"/>
      <w:bookmarkStart w:id="2" w:name="ORG_SET"/>
      <w:r>
        <w:rPr>
          <w:rFonts w:hint="eastAsia" w:ascii="仿宋_GB2312" w:hAnsi="仿宋_GB2312" w:eastAsia="仿宋_GB2312" w:cs="仿宋_GB2312"/>
          <w:color w:val="000000"/>
          <w:sz w:val="32"/>
          <w:szCs w:val="32"/>
          <w:shd w:val="clear" w:color="auto" w:fill="FFFFFF"/>
          <w:lang w:val="en-US" w:eastAsia="zh-CN"/>
        </w:rPr>
        <w:t>衡山县花鼓戏剧团</w:t>
      </w:r>
      <w:bookmarkEnd w:id="1"/>
      <w:r>
        <w:rPr>
          <w:rFonts w:hint="eastAsia" w:ascii="仿宋_GB2312" w:hAnsi="仿宋_GB2312" w:eastAsia="仿宋_GB2312" w:cs="仿宋_GB2312"/>
          <w:color w:val="000000"/>
          <w:sz w:val="32"/>
          <w:szCs w:val="32"/>
          <w:shd w:val="clear" w:color="auto" w:fill="FFFFFF"/>
        </w:rPr>
        <w:t>为正股级公益类事业单位，差额拨款事业编制15名，设团长1名，副团长2名。</w:t>
      </w:r>
      <w:bookmarkEnd w:id="2"/>
      <w:r>
        <w:rPr>
          <w:rFonts w:hint="eastAsia" w:ascii="仿宋_GB2312" w:hAnsi="仿宋_GB2312" w:eastAsia="仿宋_GB2312" w:cs="仿宋_GB2312"/>
          <w:color w:val="000000"/>
          <w:sz w:val="32"/>
          <w:szCs w:val="32"/>
          <w:shd w:val="clear" w:color="auto" w:fill="FFFFFF"/>
        </w:rPr>
        <w:t>现有在职在岗在编职工</w:t>
      </w:r>
      <w:bookmarkStart w:id="3" w:name="JBQK_XYZGZBZGRS"/>
      <w:r>
        <w:rPr>
          <w:rFonts w:hint="eastAsia" w:ascii="仿宋_GB2312" w:hAnsi="仿宋_GB2312" w:eastAsia="仿宋_GB2312" w:cs="仿宋_GB2312"/>
          <w:color w:val="000000"/>
          <w:sz w:val="32"/>
          <w:szCs w:val="32"/>
          <w:shd w:val="clear" w:color="auto" w:fill="FFFFFF"/>
        </w:rPr>
        <w:t>14</w:t>
      </w:r>
      <w:bookmarkEnd w:id="3"/>
      <w:r>
        <w:rPr>
          <w:rFonts w:hint="eastAsia" w:ascii="仿宋_GB2312" w:hAnsi="仿宋_GB2312" w:eastAsia="仿宋_GB2312" w:cs="仿宋_GB2312"/>
          <w:color w:val="000000"/>
          <w:sz w:val="32"/>
          <w:szCs w:val="32"/>
          <w:shd w:val="clear" w:color="auto" w:fill="FFFFFF"/>
        </w:rPr>
        <w:t>人，离退休</w:t>
      </w:r>
      <w:r>
        <w:rPr>
          <w:rFonts w:hint="eastAsia" w:ascii="仿宋_GB2312" w:hAnsi="仿宋_GB2312" w:eastAsia="仿宋_GB2312" w:cs="仿宋_GB2312"/>
          <w:color w:val="000000"/>
          <w:sz w:val="32"/>
          <w:szCs w:val="32"/>
          <w:shd w:val="clear" w:color="auto" w:fill="FFFFFF"/>
          <w:lang w:val="en-US" w:eastAsia="zh-CN"/>
        </w:rPr>
        <w:t>30</w:t>
      </w:r>
      <w:r>
        <w:rPr>
          <w:rFonts w:hint="eastAsia" w:ascii="仿宋_GB2312" w:hAnsi="仿宋_GB2312" w:eastAsia="仿宋_GB2312" w:cs="仿宋_GB2312"/>
          <w:color w:val="000000"/>
          <w:sz w:val="32"/>
          <w:szCs w:val="32"/>
          <w:shd w:val="clear" w:color="auto" w:fill="FFFFFF"/>
        </w:rPr>
        <w:t>人，临</w:t>
      </w:r>
      <w:r>
        <w:rPr>
          <w:rFonts w:hint="eastAsia" w:ascii="仿宋_GB2312" w:hAnsi="仿宋_GB2312" w:eastAsia="仿宋_GB2312" w:cs="仿宋_GB2312"/>
          <w:color w:val="000000"/>
          <w:sz w:val="32"/>
          <w:szCs w:val="32"/>
          <w:shd w:val="clear" w:color="auto" w:fill="FFFFFF"/>
          <w:lang w:val="en-US" w:eastAsia="zh-CN"/>
        </w:rPr>
        <w:t>聘人员9</w:t>
      </w:r>
      <w:r>
        <w:rPr>
          <w:rFonts w:hint="eastAsia" w:ascii="仿宋_GB2312" w:hAnsi="仿宋_GB2312" w:eastAsia="仿宋_GB2312" w:cs="仿宋_GB2312"/>
          <w:color w:val="000000"/>
          <w:sz w:val="32"/>
          <w:szCs w:val="32"/>
          <w:shd w:val="clear" w:color="auto" w:fill="FFFFFF"/>
        </w:rPr>
        <w:t>人。</w:t>
      </w:r>
    </w:p>
    <w:p>
      <w:pPr>
        <w:widowControl/>
        <w:shd w:val="clear" w:color="auto" w:fill="FFFFFF"/>
        <w:spacing w:line="420" w:lineRule="atLeast"/>
        <w:ind w:left="640" w:firstLine="678" w:firstLineChars="250"/>
        <w:jc w:val="left"/>
        <w:textAlignment w:val="bottom"/>
        <w:rPr>
          <w:rFonts w:ascii="仿宋" w:hAnsi="仿宋" w:eastAsia="仿宋"/>
          <w:sz w:val="28"/>
          <w:szCs w:val="28"/>
        </w:rPr>
      </w:pPr>
    </w:p>
    <w:p>
      <w:pPr>
        <w:widowControl/>
        <w:shd w:val="clear" w:color="auto" w:fill="FFFFFF"/>
        <w:spacing w:line="420" w:lineRule="atLeast"/>
        <w:ind w:left="640"/>
        <w:jc w:val="left"/>
        <w:textAlignment w:val="bottom"/>
        <w:rPr>
          <w:rFonts w:ascii="黑体" w:hAnsi="黑体" w:eastAsia="黑体" w:cs="黑体"/>
          <w:b/>
          <w:bCs/>
          <w:sz w:val="30"/>
          <w:szCs w:val="32"/>
        </w:rPr>
      </w:pPr>
      <w:r>
        <w:rPr>
          <w:rFonts w:hint="eastAsia" w:ascii="黑体" w:hAnsi="黑体" w:eastAsia="黑体"/>
          <w:sz w:val="30"/>
          <w:szCs w:val="30"/>
        </w:rPr>
        <w:t>二、</w:t>
      </w:r>
      <w:r>
        <w:rPr>
          <w:rFonts w:hint="eastAsia" w:ascii="黑体" w:hAnsi="黑体" w:eastAsia="黑体" w:cs="黑体"/>
          <w:b/>
          <w:bCs/>
          <w:sz w:val="30"/>
          <w:szCs w:val="32"/>
        </w:rPr>
        <w:t>基本支出情况</w:t>
      </w:r>
    </w:p>
    <w:p>
      <w:pPr>
        <w:widowControl/>
        <w:shd w:val="clear" w:color="auto" w:fill="FFFFFF"/>
        <w:spacing w:line="420" w:lineRule="atLeast"/>
        <w:ind w:firstLine="873" w:firstLineChars="300"/>
        <w:jc w:val="left"/>
        <w:textAlignment w:val="bottom"/>
        <w:rPr>
          <w:rFonts w:eastAsia="仿宋"/>
          <w:kern w:val="0"/>
          <w:sz w:val="30"/>
          <w:szCs w:val="28"/>
        </w:rPr>
      </w:pPr>
      <w:r>
        <w:rPr>
          <w:rFonts w:hint="eastAsia" w:ascii="仿宋" w:hAnsi="仿宋" w:eastAsia="仿宋" w:cs="Calibri"/>
          <w:color w:val="000000"/>
          <w:kern w:val="0"/>
          <w:sz w:val="30"/>
          <w:szCs w:val="32"/>
        </w:rPr>
        <w:t>根据山财预</w:t>
      </w:r>
      <w:r>
        <w:rPr>
          <w:rFonts w:hint="eastAsia" w:ascii="仿宋" w:hAnsi="仿宋" w:eastAsia="仿宋" w:cs="Calibri"/>
          <w:color w:val="000000"/>
          <w:kern w:val="0"/>
          <w:sz w:val="30"/>
          <w:szCs w:val="32"/>
          <w:lang w:eastAsia="zh-CN"/>
        </w:rPr>
        <w:t>字</w:t>
      </w:r>
      <w:r>
        <w:rPr>
          <w:rFonts w:hint="eastAsia" w:ascii="仿宋" w:hAnsi="仿宋" w:eastAsia="仿宋" w:cs="Calibri"/>
          <w:color w:val="000000"/>
          <w:kern w:val="0"/>
          <w:sz w:val="30"/>
          <w:szCs w:val="32"/>
        </w:rPr>
        <w:t>【202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w:t>
      </w:r>
      <w:r>
        <w:rPr>
          <w:rFonts w:hint="eastAsia" w:ascii="仿宋" w:hAnsi="仿宋" w:eastAsia="仿宋" w:cs="Calibri"/>
          <w:color w:val="000000"/>
          <w:kern w:val="0"/>
          <w:sz w:val="30"/>
          <w:szCs w:val="32"/>
          <w:lang w:val="en-US" w:eastAsia="zh-CN"/>
        </w:rPr>
        <w:t>58</w:t>
      </w:r>
      <w:r>
        <w:rPr>
          <w:rFonts w:hint="eastAsia" w:ascii="仿宋" w:hAnsi="仿宋" w:eastAsia="仿宋" w:cs="Calibri"/>
          <w:color w:val="000000"/>
          <w:kern w:val="0"/>
          <w:sz w:val="30"/>
          <w:szCs w:val="32"/>
        </w:rPr>
        <w:t>号文件，</w:t>
      </w:r>
      <w:r>
        <w:rPr>
          <w:rFonts w:hint="eastAsia" w:ascii="仿宋_GB2312" w:hAnsi="仿宋_GB2312" w:eastAsia="仿宋_GB2312" w:cs="仿宋_GB2312"/>
          <w:color w:val="000000"/>
          <w:sz w:val="30"/>
          <w:szCs w:val="30"/>
          <w:shd w:val="clear" w:color="auto" w:fill="FFFFFF"/>
          <w:lang w:val="en-US" w:eastAsia="zh-CN"/>
        </w:rPr>
        <w:t>衡山县花鼓戏剧团</w:t>
      </w:r>
      <w:r>
        <w:rPr>
          <w:rFonts w:hint="eastAsia" w:ascii="仿宋" w:hAnsi="仿宋" w:eastAsia="仿宋" w:cs="Calibri"/>
          <w:color w:val="000000"/>
          <w:kern w:val="0"/>
          <w:sz w:val="30"/>
          <w:szCs w:val="32"/>
        </w:rPr>
        <w:t>部门202</w:t>
      </w:r>
      <w:r>
        <w:rPr>
          <w:rFonts w:hint="eastAsia" w:ascii="仿宋" w:hAnsi="仿宋" w:eastAsia="仿宋" w:cs="Calibri"/>
          <w:color w:val="000000"/>
          <w:kern w:val="0"/>
          <w:sz w:val="30"/>
          <w:szCs w:val="32"/>
          <w:lang w:val="en-US" w:eastAsia="zh-CN"/>
        </w:rPr>
        <w:t>1</w:t>
      </w:r>
      <w:r>
        <w:rPr>
          <w:rFonts w:hint="eastAsia" w:ascii="仿宋" w:hAnsi="仿宋" w:eastAsia="仿宋" w:cs="Calibri"/>
          <w:color w:val="000000"/>
          <w:kern w:val="0"/>
          <w:sz w:val="30"/>
          <w:szCs w:val="32"/>
        </w:rPr>
        <w:t>年收入预算</w:t>
      </w:r>
      <w:r>
        <w:rPr>
          <w:rFonts w:hint="eastAsia" w:ascii="仿宋" w:hAnsi="仿宋" w:eastAsia="仿宋" w:cs="Calibri"/>
          <w:color w:val="000000"/>
          <w:kern w:val="0"/>
          <w:sz w:val="30"/>
          <w:szCs w:val="32"/>
          <w:lang w:val="en-US" w:eastAsia="zh-CN"/>
        </w:rPr>
        <w:t>204.51</w:t>
      </w:r>
      <w:r>
        <w:rPr>
          <w:rFonts w:hint="eastAsia" w:ascii="仿宋" w:hAnsi="仿宋" w:eastAsia="仿宋" w:cs="Calibri"/>
          <w:color w:val="000000"/>
          <w:kern w:val="0"/>
          <w:sz w:val="30"/>
          <w:szCs w:val="32"/>
        </w:rPr>
        <w:t>万元，其中：一般公共预算财政拨款</w:t>
      </w:r>
      <w:r>
        <w:rPr>
          <w:rFonts w:hint="eastAsia" w:ascii="仿宋" w:hAnsi="仿宋" w:eastAsia="仿宋" w:cs="Calibri"/>
          <w:color w:val="000000"/>
          <w:kern w:val="0"/>
          <w:sz w:val="30"/>
          <w:szCs w:val="32"/>
          <w:lang w:val="en-US" w:eastAsia="zh-CN"/>
        </w:rPr>
        <w:t>204.51</w:t>
      </w:r>
      <w:r>
        <w:rPr>
          <w:rFonts w:hint="eastAsia" w:ascii="仿宋" w:hAnsi="仿宋" w:eastAsia="仿宋" w:cs="Calibri"/>
          <w:color w:val="000000"/>
          <w:kern w:val="0"/>
          <w:sz w:val="30"/>
          <w:szCs w:val="32"/>
        </w:rPr>
        <w:t>万元，纳入预算管理的非税收入拨款</w:t>
      </w:r>
      <w:r>
        <w:rPr>
          <w:rFonts w:hint="eastAsia" w:ascii="仿宋" w:hAnsi="仿宋" w:eastAsia="仿宋" w:cs="Calibri"/>
          <w:color w:val="000000"/>
          <w:kern w:val="0"/>
          <w:sz w:val="30"/>
          <w:szCs w:val="32"/>
          <w:lang w:val="en-US" w:eastAsia="zh-CN"/>
        </w:rPr>
        <w:t>0</w:t>
      </w:r>
      <w:r>
        <w:rPr>
          <w:rFonts w:hint="eastAsia" w:ascii="仿宋" w:hAnsi="仿宋" w:eastAsia="仿宋" w:cs="Calibri"/>
          <w:color w:val="000000"/>
          <w:kern w:val="0"/>
          <w:sz w:val="30"/>
          <w:szCs w:val="32"/>
        </w:rPr>
        <w:t>万元。全年支出预算总计</w:t>
      </w:r>
      <w:r>
        <w:rPr>
          <w:rFonts w:hint="eastAsia" w:ascii="仿宋" w:hAnsi="仿宋" w:eastAsia="仿宋" w:cs="Calibri"/>
          <w:color w:val="000000"/>
          <w:kern w:val="0"/>
          <w:sz w:val="30"/>
          <w:szCs w:val="32"/>
          <w:lang w:val="en-US" w:eastAsia="zh-CN"/>
        </w:rPr>
        <w:t>217.74</w:t>
      </w:r>
      <w:r>
        <w:rPr>
          <w:rFonts w:hint="eastAsia" w:ascii="仿宋" w:hAnsi="仿宋" w:eastAsia="仿宋" w:cs="Calibri"/>
          <w:color w:val="000000"/>
          <w:kern w:val="0"/>
          <w:sz w:val="30"/>
          <w:szCs w:val="32"/>
        </w:rPr>
        <w:t>万元，其中基本支出</w:t>
      </w:r>
      <w:r>
        <w:rPr>
          <w:rFonts w:hint="eastAsia" w:ascii="仿宋" w:hAnsi="仿宋" w:eastAsia="仿宋" w:cs="Calibri"/>
          <w:color w:val="000000"/>
          <w:kern w:val="0"/>
          <w:sz w:val="30"/>
          <w:szCs w:val="32"/>
          <w:lang w:val="en-US" w:eastAsia="zh-CN"/>
        </w:rPr>
        <w:t>217.74</w:t>
      </w:r>
      <w:r>
        <w:rPr>
          <w:rFonts w:hint="eastAsia" w:ascii="仿宋" w:hAnsi="仿宋" w:eastAsia="仿宋" w:cs="Calibri"/>
          <w:color w:val="000000"/>
          <w:kern w:val="0"/>
          <w:sz w:val="30"/>
          <w:szCs w:val="32"/>
        </w:rPr>
        <w:t>万元（工资福利支出</w:t>
      </w:r>
      <w:r>
        <w:rPr>
          <w:rFonts w:hint="eastAsia" w:ascii="仿宋" w:hAnsi="仿宋" w:eastAsia="仿宋" w:cs="Calibri"/>
          <w:color w:val="000000"/>
          <w:kern w:val="0"/>
          <w:sz w:val="30"/>
          <w:szCs w:val="32"/>
          <w:lang w:val="en-US" w:eastAsia="zh-CN"/>
        </w:rPr>
        <w:t>144.41</w:t>
      </w:r>
      <w:r>
        <w:rPr>
          <w:rFonts w:hint="eastAsia" w:ascii="仿宋" w:hAnsi="仿宋" w:eastAsia="仿宋" w:cs="Calibri"/>
          <w:color w:val="000000"/>
          <w:kern w:val="0"/>
          <w:sz w:val="30"/>
          <w:szCs w:val="32"/>
        </w:rPr>
        <w:t>万元、一般商品和服务支出</w:t>
      </w:r>
      <w:r>
        <w:rPr>
          <w:rFonts w:hint="eastAsia" w:ascii="仿宋" w:hAnsi="仿宋" w:eastAsia="仿宋" w:cs="Calibri"/>
          <w:color w:val="000000"/>
          <w:kern w:val="0"/>
          <w:sz w:val="30"/>
          <w:szCs w:val="32"/>
          <w:lang w:val="en-US" w:eastAsia="zh-CN"/>
        </w:rPr>
        <w:t>69.93</w:t>
      </w:r>
      <w:r>
        <w:rPr>
          <w:rFonts w:hint="eastAsia" w:ascii="仿宋" w:hAnsi="仿宋" w:eastAsia="仿宋" w:cs="Calibri"/>
          <w:color w:val="000000"/>
          <w:kern w:val="0"/>
          <w:sz w:val="30"/>
          <w:szCs w:val="32"/>
        </w:rPr>
        <w:t>万元、对个人和家庭的补助</w:t>
      </w:r>
      <w:r>
        <w:rPr>
          <w:rFonts w:hint="eastAsia" w:ascii="仿宋" w:hAnsi="仿宋" w:eastAsia="仿宋" w:cs="Calibri"/>
          <w:color w:val="000000"/>
          <w:kern w:val="0"/>
          <w:sz w:val="30"/>
          <w:szCs w:val="32"/>
          <w:lang w:val="en-US" w:eastAsia="zh-CN"/>
        </w:rPr>
        <w:t>3.40</w:t>
      </w:r>
      <w:r>
        <w:rPr>
          <w:rFonts w:hint="eastAsia" w:ascii="仿宋" w:hAnsi="仿宋" w:eastAsia="仿宋" w:cs="Calibri"/>
          <w:color w:val="000000"/>
          <w:kern w:val="0"/>
          <w:sz w:val="30"/>
          <w:szCs w:val="32"/>
        </w:rPr>
        <w:t>万元）、项目支出</w:t>
      </w:r>
      <w:r>
        <w:rPr>
          <w:rFonts w:hint="eastAsia" w:ascii="仿宋" w:hAnsi="仿宋" w:eastAsia="仿宋" w:cs="Calibri"/>
          <w:color w:val="000000"/>
          <w:kern w:val="0"/>
          <w:sz w:val="30"/>
          <w:szCs w:val="32"/>
          <w:lang w:val="en-US" w:eastAsia="zh-CN"/>
        </w:rPr>
        <w:t>0</w:t>
      </w:r>
      <w:r>
        <w:rPr>
          <w:rFonts w:hint="eastAsia" w:ascii="仿宋" w:hAnsi="仿宋" w:eastAsia="仿宋" w:cs="Calibri"/>
          <w:color w:val="000000"/>
          <w:kern w:val="0"/>
          <w:sz w:val="30"/>
          <w:szCs w:val="32"/>
        </w:rPr>
        <w:t>万元。</w:t>
      </w:r>
    </w:p>
    <w:p>
      <w:pPr>
        <w:pStyle w:val="10"/>
        <w:widowControl/>
        <w:spacing w:line="600" w:lineRule="exact"/>
        <w:ind w:firstLine="582"/>
        <w:rPr>
          <w:rFonts w:ascii="黑体" w:hAnsi="黑体" w:eastAsia="黑体" w:cs="黑体"/>
          <w:b/>
          <w:bCs/>
          <w:sz w:val="30"/>
          <w:szCs w:val="32"/>
        </w:rPr>
      </w:pPr>
      <w:r>
        <w:rPr>
          <w:rFonts w:hint="eastAsia" w:ascii="黑体" w:hAnsi="黑体" w:eastAsia="黑体" w:cs="黑体"/>
          <w:b/>
          <w:bCs/>
          <w:sz w:val="30"/>
          <w:szCs w:val="32"/>
        </w:rPr>
        <w:t>三、项目支出情况</w:t>
      </w:r>
    </w:p>
    <w:p>
      <w:pPr>
        <w:widowControl/>
        <w:spacing w:line="600" w:lineRule="exact"/>
        <w:ind w:firstLine="582" w:firstLineChars="200"/>
        <w:jc w:val="left"/>
        <w:rPr>
          <w:rFonts w:ascii="仿宋" w:hAnsi="仿宋" w:eastAsia="仿宋" w:cs="宋体"/>
          <w:color w:val="333333"/>
          <w:kern w:val="0"/>
          <w:sz w:val="30"/>
          <w:szCs w:val="30"/>
        </w:rPr>
      </w:pPr>
      <w:r>
        <w:rPr>
          <w:rFonts w:hint="eastAsia" w:ascii="仿宋" w:hAnsi="仿宋" w:eastAsia="仿宋" w:cs="SimSun-Identity-H"/>
          <w:color w:val="000000"/>
          <w:kern w:val="0"/>
          <w:sz w:val="30"/>
          <w:szCs w:val="32"/>
        </w:rPr>
        <w:t>根据《财政部关于印发&lt;财政支出绩效评价管理暂行办法&gt;的通知》（财预〔</w:t>
      </w:r>
      <w:r>
        <w:rPr>
          <w:rFonts w:hint="eastAsia" w:eastAsia="仿宋"/>
          <w:color w:val="000000"/>
          <w:kern w:val="0"/>
          <w:sz w:val="30"/>
          <w:szCs w:val="32"/>
        </w:rPr>
        <w:t>2011〕285</w:t>
      </w:r>
      <w:r>
        <w:rPr>
          <w:rFonts w:hint="eastAsia" w:ascii="仿宋" w:hAnsi="仿宋" w:eastAsia="仿宋" w:cs="SimSun-Identity-H"/>
          <w:color w:val="000000"/>
          <w:kern w:val="0"/>
          <w:sz w:val="30"/>
          <w:szCs w:val="32"/>
        </w:rPr>
        <w:t>号）、《湖南省人民政府关于深化预算管理制度改革的实施意见》（湘政发</w:t>
      </w:r>
      <w:r>
        <w:rPr>
          <w:rFonts w:eastAsia="仿宋"/>
          <w:color w:val="000000"/>
          <w:kern w:val="0"/>
          <w:sz w:val="30"/>
          <w:szCs w:val="32"/>
        </w:rPr>
        <w:t>〔201</w:t>
      </w:r>
      <w:r>
        <w:rPr>
          <w:rFonts w:hint="eastAsia" w:eastAsia="仿宋"/>
          <w:color w:val="000000"/>
          <w:kern w:val="0"/>
          <w:sz w:val="30"/>
          <w:szCs w:val="32"/>
        </w:rPr>
        <w:t>5</w:t>
      </w:r>
      <w:r>
        <w:rPr>
          <w:rFonts w:eastAsia="仿宋"/>
          <w:color w:val="000000"/>
          <w:kern w:val="0"/>
          <w:sz w:val="30"/>
          <w:szCs w:val="32"/>
        </w:rPr>
        <w:t>〕</w:t>
      </w:r>
      <w:r>
        <w:rPr>
          <w:rFonts w:hint="eastAsia" w:eastAsia="仿宋"/>
          <w:color w:val="000000"/>
          <w:kern w:val="0"/>
          <w:sz w:val="30"/>
          <w:szCs w:val="32"/>
        </w:rPr>
        <w:t>8</w:t>
      </w:r>
      <w:r>
        <w:rPr>
          <w:rFonts w:eastAsia="仿宋"/>
          <w:color w:val="000000"/>
          <w:kern w:val="0"/>
          <w:sz w:val="30"/>
          <w:szCs w:val="32"/>
        </w:rPr>
        <w:t>号</w:t>
      </w:r>
      <w:r>
        <w:rPr>
          <w:rFonts w:hint="eastAsia" w:ascii="仿宋" w:hAnsi="仿宋" w:eastAsia="仿宋" w:cs="SimSun-Identity-H"/>
          <w:color w:val="000000"/>
          <w:kern w:val="0"/>
          <w:sz w:val="30"/>
          <w:szCs w:val="32"/>
        </w:rPr>
        <w:t>）、《湖南省文化综合发展专项资金管理办法》（湘财教〔2015〕54号）、《衡山县县级财政专项资金管理办法》（</w:t>
      </w:r>
      <w:r>
        <w:rPr>
          <w:rFonts w:hint="eastAsia" w:ascii="仿宋" w:hAnsi="仿宋" w:eastAsia="仿宋" w:cs="SimSun-Identity-H"/>
          <w:color w:val="000000"/>
          <w:kern w:val="0"/>
          <w:sz w:val="30"/>
          <w:szCs w:val="32"/>
        </w:rPr>
        <w:tab/>
      </w:r>
      <w:r>
        <w:rPr>
          <w:rFonts w:hint="eastAsia" w:ascii="仿宋" w:hAnsi="仿宋" w:eastAsia="仿宋" w:cs="SimSun-Identity-H"/>
          <w:color w:val="000000"/>
          <w:kern w:val="0"/>
          <w:sz w:val="30"/>
          <w:szCs w:val="32"/>
        </w:rPr>
        <w:t>山财办</w:t>
      </w:r>
      <w:r>
        <w:rPr>
          <w:rFonts w:hint="eastAsia" w:eastAsia="仿宋"/>
          <w:color w:val="000000"/>
          <w:kern w:val="0"/>
          <w:sz w:val="30"/>
          <w:szCs w:val="32"/>
        </w:rPr>
        <w:t>〔2016〕110</w:t>
      </w:r>
      <w:r>
        <w:rPr>
          <w:rFonts w:hint="eastAsia" w:ascii="仿宋" w:hAnsi="仿宋" w:eastAsia="仿宋" w:cs="SimSun-Identity-H"/>
          <w:color w:val="000000"/>
          <w:kern w:val="0"/>
          <w:sz w:val="30"/>
          <w:szCs w:val="32"/>
        </w:rPr>
        <w:t>号）及《中华人民共和国预算法》、《中华人民共和国政府采购法》及相关财务会计制度等规定对财政预算资金进行管理。</w:t>
      </w:r>
      <w:r>
        <w:rPr>
          <w:rFonts w:hint="eastAsia" w:ascii="仿宋_GB2312" w:hAnsi="仿宋_GB2312" w:eastAsia="仿宋_GB2312" w:cs="仿宋_GB2312"/>
          <w:color w:val="000000"/>
          <w:sz w:val="30"/>
          <w:szCs w:val="30"/>
          <w:shd w:val="clear" w:color="auto" w:fill="FFFFFF"/>
          <w:lang w:val="en-US" w:eastAsia="zh-CN"/>
        </w:rPr>
        <w:t>衡山县花鼓戏剧团</w:t>
      </w:r>
      <w:r>
        <w:rPr>
          <w:rFonts w:hint="eastAsia" w:eastAsia="仿宋"/>
          <w:bCs/>
          <w:color w:val="000000"/>
          <w:kern w:val="0"/>
          <w:sz w:val="30"/>
          <w:szCs w:val="32"/>
        </w:rPr>
        <w:t>资金使用符合国家财经法规和财务管理制度规定以及有关专项资金管理办法，符合部门预算批复的用途，不存在截留、挤占、挪用、虚列支出等情况。</w:t>
      </w:r>
      <w:r>
        <w:rPr>
          <w:rFonts w:hint="eastAsia" w:ascii="仿宋" w:hAnsi="仿宋" w:eastAsia="仿宋" w:cs="宋体"/>
          <w:color w:val="333333"/>
          <w:kern w:val="0"/>
          <w:sz w:val="30"/>
          <w:szCs w:val="30"/>
        </w:rPr>
        <w:t>专项资金严格按照专项资金使用用途，专款专用。项目组织实施情况项目资金的支出进度和范围等与申报计划的相符，资金的支出合理、合法和合规，单位相应的制定了相关的管理制度。</w:t>
      </w:r>
    </w:p>
    <w:p>
      <w:pPr>
        <w:widowControl/>
        <w:spacing w:line="600" w:lineRule="exact"/>
        <w:ind w:left="640"/>
        <w:jc w:val="left"/>
        <w:rPr>
          <w:rFonts w:ascii="黑体" w:hAnsi="黑体" w:eastAsia="黑体" w:cs="黑体"/>
          <w:b/>
          <w:bCs/>
          <w:sz w:val="30"/>
          <w:szCs w:val="32"/>
        </w:rPr>
      </w:pPr>
      <w:r>
        <w:rPr>
          <w:rFonts w:hint="eastAsia" w:ascii="黑体" w:hAnsi="黑体" w:eastAsia="黑体" w:cs="黑体"/>
          <w:b/>
          <w:bCs/>
          <w:sz w:val="30"/>
          <w:szCs w:val="32"/>
        </w:rPr>
        <w:t>四、部门整体支出绩效情况</w:t>
      </w:r>
    </w:p>
    <w:p>
      <w:pPr>
        <w:pStyle w:val="6"/>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sz w:val="30"/>
          <w:szCs w:val="30"/>
          <w:shd w:val="clear" w:color="auto" w:fill="FFFFFF"/>
        </w:rPr>
        <w:t>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年，我</w:t>
      </w:r>
      <w:r>
        <w:rPr>
          <w:rFonts w:hint="eastAsia" w:ascii="仿宋" w:hAnsi="仿宋" w:eastAsia="仿宋" w:cs="仿宋"/>
          <w:sz w:val="30"/>
          <w:szCs w:val="30"/>
          <w:shd w:val="clear" w:color="auto" w:fill="FFFFFF"/>
          <w:lang w:eastAsia="zh-CN"/>
        </w:rPr>
        <w:t>团</w:t>
      </w:r>
      <w:r>
        <w:rPr>
          <w:rFonts w:ascii="仿宋" w:hAnsi="仿宋" w:eastAsia="仿宋" w:cs="仿宋"/>
          <w:sz w:val="30"/>
          <w:szCs w:val="30"/>
          <w:shd w:val="clear" w:color="auto" w:fill="FFFFFF"/>
        </w:rPr>
        <w:t>积极履职，强化管理，较好的完成了年度工作目标。通过加强预算收支管理，不断建立健全内部管理制度，梳理内部管理流程，部门整体支出管理水平得到提升。根据部门整体支出绩效评价指标体系，我单位202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sz w:val="30"/>
          <w:szCs w:val="30"/>
          <w:shd w:val="clear" w:color="auto" w:fill="FFFFFF"/>
          <w:lang w:val="en-US" w:eastAsia="zh-CN"/>
        </w:rPr>
        <w:t>1</w:t>
      </w:r>
      <w:r>
        <w:rPr>
          <w:rFonts w:ascii="仿宋" w:hAnsi="仿宋" w:eastAsia="仿宋" w:cs="仿宋"/>
          <w:sz w:val="30"/>
          <w:szCs w:val="30"/>
          <w:shd w:val="clear" w:color="auto" w:fill="FFFFFF"/>
        </w:rPr>
        <w:t>年度评价得分为 98 分。部门整体支出绩效情况如下：</w:t>
      </w:r>
    </w:p>
    <w:p>
      <w:pPr>
        <w:spacing w:afterLines="100"/>
        <w:jc w:val="center"/>
        <w:rPr>
          <w:kern w:val="0"/>
          <w:sz w:val="24"/>
        </w:rPr>
      </w:pPr>
      <w:r>
        <w:rPr>
          <w:rFonts w:hint="eastAsia" w:eastAsia="方正小标宋_GBK"/>
          <w:kern w:val="0"/>
          <w:sz w:val="36"/>
          <w:szCs w:val="36"/>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Pr>
        <w:widowControl/>
        <w:spacing w:line="600" w:lineRule="exact"/>
        <w:ind w:firstLine="873" w:firstLineChars="300"/>
        <w:jc w:val="left"/>
        <w:rPr>
          <w:rFonts w:ascii="黑体" w:hAnsi="黑体" w:eastAsia="黑体" w:cs="黑体"/>
          <w:b/>
          <w:bCs/>
          <w:color w:val="666666"/>
          <w:sz w:val="30"/>
          <w:szCs w:val="30"/>
        </w:rPr>
      </w:pPr>
      <w:r>
        <w:rPr>
          <w:rFonts w:hint="eastAsia" w:ascii="黑体" w:hAnsi="黑体" w:eastAsia="黑体" w:cs="黑体"/>
          <w:b/>
          <w:bCs/>
          <w:sz w:val="30"/>
          <w:szCs w:val="32"/>
        </w:rPr>
        <w:t>五、存在的主要问题及下一步改进措施</w:t>
      </w:r>
    </w:p>
    <w:p>
      <w:pPr>
        <w:pStyle w:val="6"/>
        <w:widowControl/>
        <w:shd w:val="clear" w:color="auto" w:fill="FFFFFF"/>
        <w:spacing w:before="360" w:line="360" w:lineRule="atLeast"/>
        <w:ind w:firstLine="560"/>
        <w:jc w:val="both"/>
        <w:rPr>
          <w:rFonts w:hint="default" w:ascii="仿宋" w:hAnsi="仿宋" w:eastAsia="仿宋" w:cs="仿宋"/>
          <w:sz w:val="30"/>
          <w:szCs w:val="30"/>
          <w:shd w:val="clear" w:color="auto" w:fill="FFFFFF"/>
        </w:rPr>
      </w:pPr>
      <w:r>
        <w:rPr>
          <w:rFonts w:ascii="仿宋" w:hAnsi="仿宋" w:eastAsia="仿宋" w:cs="仿宋"/>
          <w:color w:val="666666"/>
          <w:sz w:val="30"/>
          <w:szCs w:val="30"/>
        </w:rPr>
        <w:t xml:space="preserve"> </w:t>
      </w:r>
      <w:r>
        <w:rPr>
          <w:rFonts w:ascii="仿宋" w:hAnsi="仿宋" w:eastAsia="仿宋" w:cs="仿宋"/>
          <w:sz w:val="30"/>
          <w:szCs w:val="30"/>
          <w:shd w:val="clear" w:color="auto" w:fill="FFFFFF"/>
        </w:rPr>
        <w:t>1、细化预算编制工作，认真做好预算的编制。进一步加强单位内部机构各股室的预算管理意识，严格按照预算编制的相关制度和要求进行预算编制。</w:t>
      </w:r>
    </w:p>
    <w:p>
      <w:pPr>
        <w:pStyle w:val="6"/>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6"/>
        <w:widowControl/>
        <w:shd w:val="clear" w:color="auto" w:fill="FFFFFF"/>
        <w:spacing w:before="360" w:line="360" w:lineRule="atLeast"/>
        <w:ind w:firstLine="560"/>
        <w:jc w:val="both"/>
        <w:rPr>
          <w:rFonts w:hint="default" w:ascii="Times New Roman" w:hAnsi="Times New Roman"/>
          <w:sz w:val="30"/>
          <w:szCs w:val="30"/>
        </w:rPr>
      </w:pPr>
      <w:r>
        <w:rPr>
          <w:rFonts w:ascii="仿宋" w:hAnsi="仿宋" w:eastAsia="仿宋" w:cs="仿宋"/>
          <w:sz w:val="30"/>
          <w:szCs w:val="30"/>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6"/>
        <w:widowControl/>
        <w:shd w:val="clear" w:color="auto" w:fill="FFFFFF"/>
        <w:spacing w:before="360" w:line="360" w:lineRule="atLeast"/>
        <w:ind w:firstLine="560"/>
        <w:jc w:val="both"/>
        <w:rPr>
          <w:rFonts w:hint="default" w:ascii="仿宋" w:hAnsi="仿宋" w:eastAsia="仿宋" w:cs="仿宋"/>
          <w:sz w:val="30"/>
          <w:szCs w:val="30"/>
        </w:rPr>
      </w:pPr>
      <w:r>
        <w:rPr>
          <w:rFonts w:ascii="仿宋" w:hAnsi="仿宋" w:eastAsia="仿宋" w:cs="仿宋"/>
          <w:sz w:val="30"/>
          <w:szCs w:val="30"/>
          <w:shd w:val="clear" w:color="auto" w:fill="FFFFFF"/>
        </w:rPr>
        <w:t>4、对相关人员加强培训，特别是针对《预算法》、《行政事业单位会计制度》等学习培训，规范部门预算收支核算，切实提高部门预算收支管理水平</w:t>
      </w:r>
    </w:p>
    <w:p>
      <w:pPr>
        <w:widowControl/>
        <w:spacing w:before="100" w:beforeAutospacing="1" w:afterAutospacing="1" w:line="420" w:lineRule="atLeast"/>
        <w:ind w:firstLine="582" w:firstLineChars="200"/>
        <w:jc w:val="left"/>
        <w:rPr>
          <w:rFonts w:ascii="黑体" w:hAnsi="黑体" w:eastAsia="黑体" w:cs="黑体"/>
          <w:b/>
          <w:bCs/>
          <w:sz w:val="30"/>
          <w:szCs w:val="32"/>
        </w:rPr>
      </w:pPr>
      <w:r>
        <w:rPr>
          <w:rFonts w:hint="eastAsia" w:ascii="黑体" w:hAnsi="黑体" w:eastAsia="黑体" w:cs="黑体"/>
          <w:b/>
          <w:bCs/>
          <w:sz w:val="30"/>
          <w:szCs w:val="32"/>
        </w:rPr>
        <w:t>六、绩效自评结果拟应用和公开情况</w:t>
      </w:r>
    </w:p>
    <w:p>
      <w:pPr>
        <w:ind w:firstLine="582" w:firstLineChars="2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年，我</w:t>
      </w:r>
      <w:r>
        <w:rPr>
          <w:rFonts w:hint="eastAsia" w:ascii="仿宋" w:hAnsi="仿宋" w:eastAsia="仿宋" w:cs="仿宋"/>
          <w:sz w:val="30"/>
          <w:szCs w:val="30"/>
          <w:lang w:eastAsia="zh-CN"/>
        </w:rPr>
        <w:t>团</w:t>
      </w:r>
      <w:r>
        <w:rPr>
          <w:rFonts w:hint="eastAsia" w:ascii="仿宋" w:hAnsi="仿宋" w:eastAsia="仿宋" w:cs="仿宋"/>
          <w:sz w:val="30"/>
          <w:szCs w:val="30"/>
        </w:rPr>
        <w:t>非常重视专项资金预算执行工作，严格按照国家的法律法规加强预算管理，不断完善内控制度，取得了良好的预算执行效果。专项资金的有效使用，对改善基层公共文化体育设施条件，加快构建现代公共文化服务体系，促进基本公共文化服务标准化、均等化、保障广大群众读书看报、观看电影、开展文化体育活动等基本权益起到了很好的引导和支持作用，群众满意度达到了100%，基本达到了预期的经济效益、社会效益和可持续影响。绩效自评结果得分98分。</w:t>
      </w:r>
    </w:p>
    <w:p>
      <w:pPr>
        <w:widowControl/>
        <w:spacing w:line="600" w:lineRule="exact"/>
        <w:ind w:firstLine="645"/>
        <w:jc w:val="left"/>
        <w:rPr>
          <w:rFonts w:ascii="仿宋_GB2312" w:hAnsi="黑体" w:eastAsia="仿宋"/>
          <w:sz w:val="30"/>
          <w:szCs w:val="32"/>
        </w:rPr>
      </w:pPr>
      <w:r>
        <w:rPr>
          <w:rFonts w:hint="eastAsia" w:ascii="仿宋_GB2312" w:hAnsi="黑体" w:eastAsia="仿宋"/>
          <w:sz w:val="30"/>
          <w:szCs w:val="32"/>
        </w:rPr>
        <w:t>附件：</w:t>
      </w:r>
      <w:r>
        <w:rPr>
          <w:rFonts w:ascii="仿宋_GB2312" w:hAnsi="黑体" w:eastAsia="仿宋"/>
          <w:sz w:val="30"/>
          <w:szCs w:val="32"/>
        </w:rPr>
        <w:t>1.</w:t>
      </w:r>
      <w:r>
        <w:rPr>
          <w:rFonts w:hint="eastAsia" w:ascii="仿宋_GB2312" w:hAnsi="黑体" w:eastAsia="仿宋"/>
          <w:sz w:val="30"/>
          <w:szCs w:val="32"/>
        </w:rPr>
        <w:t>部门整体支出绩效评价指标评分表</w:t>
      </w:r>
    </w:p>
    <w:p>
      <w:pPr>
        <w:widowControl/>
        <w:spacing w:line="600" w:lineRule="exact"/>
        <w:ind w:firstLine="1479" w:firstLineChars="508"/>
        <w:jc w:val="left"/>
        <w:rPr>
          <w:rFonts w:ascii="仿宋_GB2312" w:hAnsi="黑体" w:eastAsia="仿宋"/>
          <w:sz w:val="30"/>
          <w:szCs w:val="32"/>
        </w:rPr>
      </w:pPr>
      <w:r>
        <w:rPr>
          <w:rFonts w:ascii="仿宋_GB2312" w:hAnsi="黑体" w:eastAsia="仿宋"/>
          <w:sz w:val="30"/>
          <w:szCs w:val="32"/>
        </w:rPr>
        <w:t>2.</w:t>
      </w:r>
      <w:r>
        <w:rPr>
          <w:rFonts w:hint="eastAsia" w:ascii="仿宋_GB2312" w:hAnsi="黑体" w:eastAsia="仿宋"/>
          <w:sz w:val="30"/>
          <w:szCs w:val="32"/>
        </w:rPr>
        <w:t>部门整体支出绩效评价基础数据表</w:t>
      </w:r>
    </w:p>
    <w:p>
      <w:pPr>
        <w:widowControl/>
        <w:spacing w:line="600" w:lineRule="exact"/>
        <w:ind w:firstLine="1479" w:firstLineChars="508"/>
        <w:jc w:val="left"/>
        <w:rPr>
          <w:rFonts w:eastAsia="仿宋"/>
          <w:sz w:val="30"/>
        </w:rPr>
      </w:pPr>
      <w:r>
        <w:rPr>
          <w:rFonts w:ascii="仿宋_GB2312" w:hAnsi="黑体" w:eastAsia="仿宋"/>
          <w:sz w:val="30"/>
          <w:szCs w:val="32"/>
        </w:rPr>
        <w:t>3.20</w:t>
      </w:r>
      <w:r>
        <w:rPr>
          <w:rFonts w:hint="eastAsia" w:ascii="仿宋_GB2312" w:hAnsi="黑体" w:eastAsia="仿宋"/>
          <w:sz w:val="30"/>
          <w:szCs w:val="32"/>
        </w:rPr>
        <w:t>2</w:t>
      </w:r>
      <w:r>
        <w:rPr>
          <w:rFonts w:hint="eastAsia" w:ascii="仿宋_GB2312" w:hAnsi="黑体" w:eastAsia="仿宋"/>
          <w:sz w:val="30"/>
          <w:szCs w:val="32"/>
          <w:lang w:val="en-US" w:eastAsia="zh-CN"/>
        </w:rPr>
        <w:t>1</w:t>
      </w:r>
      <w:r>
        <w:rPr>
          <w:rFonts w:hint="eastAsia" w:ascii="仿宋_GB2312" w:hAnsi="黑体" w:eastAsia="仿宋"/>
          <w:sz w:val="30"/>
          <w:szCs w:val="32"/>
        </w:rPr>
        <w:t>年度县级专项资金绩效目标自评表</w:t>
      </w:r>
    </w:p>
    <w:p>
      <w:r>
        <w:rPr>
          <w:rFonts w:eastAsia="方正小标宋_GBK"/>
          <w:kern w:val="0"/>
          <w:sz w:val="36"/>
          <w:szCs w:val="36"/>
        </w:rPr>
        <w:br w:type="page"/>
      </w:r>
    </w:p>
    <w:p>
      <w:pPr>
        <w:ind w:firstLine="1755" w:firstLineChars="500"/>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14</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1"/>
                <w:szCs w:val="21"/>
                <w:lang w:val="en-US" w:eastAsia="zh-CN" w:bidi="ar-SA"/>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pStyle w:val="10"/>
              <w:widowControl/>
              <w:ind w:left="360" w:firstLine="503" w:firstLineChars="250"/>
              <w:rPr>
                <w:rFonts w:hint="eastAsia" w:eastAsia="仿宋_GB2312"/>
                <w:kern w:val="0"/>
                <w:szCs w:val="21"/>
                <w:lang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val="en-US" w:eastAsia="zh-CN"/>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eastAsia="仿宋_GB2312"/>
                <w:kern w:val="0"/>
                <w:szCs w:val="21"/>
              </w:rPr>
            </w:pPr>
            <w:r>
              <w:rPr>
                <w:rFonts w:hint="eastAsia" w:ascii="仿宋_GB2312" w:eastAsia="仿宋_GB2312"/>
                <w:kern w:val="0"/>
                <w:szCs w:val="21"/>
              </w:rPr>
              <w:t>工作经费专项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69.93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1.98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both"/>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9.87</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1.73</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201</w:t>
            </w:r>
            <w:r>
              <w:rPr>
                <w:rFonts w:hint="eastAsia" w:eastAsia="仿宋_GB2312"/>
                <w:kern w:val="0"/>
                <w:szCs w:val="21"/>
              </w:rPr>
              <w:t>9年完工项目）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rPr>
        <w:t>2</w:t>
      </w:r>
      <w:r>
        <w:rPr>
          <w:rFonts w:hint="eastAsia" w:ascii="方正小标宋_GBK" w:hAnsi="宋体" w:eastAsia="方正小标宋_GBK" w:cs="宋体"/>
          <w:kern w:val="0"/>
          <w:sz w:val="36"/>
          <w:szCs w:val="36"/>
          <w:lang w:val="en-US" w:eastAsia="zh-CN"/>
        </w:rPr>
        <w:t>1</w:t>
      </w:r>
      <w:r>
        <w:rPr>
          <w:rFonts w:hint="eastAsia" w:ascii="方正小标宋_GBK" w:hAnsi="宋体" w:eastAsia="方正小标宋_GBK" w:cs="宋体"/>
          <w:kern w:val="0"/>
          <w:sz w:val="36"/>
          <w:szCs w:val="36"/>
        </w:rPr>
        <w:t>年度县级专项资金绩效目标自评表</w:t>
      </w:r>
    </w:p>
    <w:tbl>
      <w:tblPr>
        <w:tblStyle w:val="7"/>
        <w:tblW w:w="10000" w:type="dxa"/>
        <w:jc w:val="center"/>
        <w:tblLayout w:type="fixed"/>
        <w:tblCellMar>
          <w:top w:w="0" w:type="dxa"/>
          <w:left w:w="108" w:type="dxa"/>
          <w:bottom w:w="0" w:type="dxa"/>
          <w:right w:w="108" w:type="dxa"/>
        </w:tblCellMar>
      </w:tblPr>
      <w:tblGrid>
        <w:gridCol w:w="764"/>
        <w:gridCol w:w="670"/>
        <w:gridCol w:w="706"/>
        <w:gridCol w:w="2060"/>
        <w:gridCol w:w="1462"/>
        <w:gridCol w:w="1268"/>
        <w:gridCol w:w="1066"/>
        <w:gridCol w:w="30"/>
        <w:gridCol w:w="1974"/>
      </w:tblGrid>
      <w:tr>
        <w:tblPrEx>
          <w:tblCellMar>
            <w:top w:w="0" w:type="dxa"/>
            <w:left w:w="108" w:type="dxa"/>
            <w:bottom w:w="0" w:type="dxa"/>
            <w:right w:w="108" w:type="dxa"/>
          </w:tblCellMar>
        </w:tblPrEx>
        <w:trPr>
          <w:trHeight w:val="90" w:hRule="atLeast"/>
          <w:jc w:val="center"/>
        </w:trPr>
        <w:tc>
          <w:tcPr>
            <w:tcW w:w="1000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90"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22"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单位专项业务工作经费</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7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宋体"/>
                <w:kern w:val="0"/>
                <w:szCs w:val="21"/>
                <w:lang w:val="en-US" w:eastAsia="zh-CN"/>
              </w:rPr>
            </w:pPr>
            <w:r>
              <w:rPr>
                <w:rFonts w:hint="eastAsia" w:ascii="宋体" w:cs="宋体"/>
                <w:kern w:val="0"/>
                <w:sz w:val="18"/>
                <w:szCs w:val="18"/>
                <w:lang w:eastAsia="zh-CN"/>
              </w:rPr>
              <w:t>刘智</w:t>
            </w:r>
          </w:p>
        </w:tc>
      </w:tr>
      <w:tr>
        <w:tblPrEx>
          <w:tblCellMar>
            <w:top w:w="0" w:type="dxa"/>
            <w:left w:w="108" w:type="dxa"/>
            <w:bottom w:w="0" w:type="dxa"/>
            <w:right w:w="108" w:type="dxa"/>
          </w:tblCellMar>
        </w:tblPrEx>
        <w:trPr>
          <w:trHeight w:val="90"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衡山县</w:t>
            </w:r>
            <w:r>
              <w:rPr>
                <w:rFonts w:hint="eastAsia" w:ascii="仿宋_GB2312" w:hAnsi="宋体" w:eastAsia="仿宋_GB2312" w:cs="宋体"/>
                <w:kern w:val="0"/>
                <w:szCs w:val="21"/>
                <w:lang w:eastAsia="zh-CN"/>
              </w:rPr>
              <w:t>文化旅游广电体育局</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70"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r>
              <w:rPr>
                <w:rFonts w:hint="eastAsia" w:ascii="仿宋_GB2312" w:hAnsi="仿宋_GB2312" w:eastAsia="仿宋_GB2312" w:cs="仿宋_GB2312"/>
                <w:color w:val="000000"/>
                <w:sz w:val="21"/>
                <w:szCs w:val="21"/>
                <w:shd w:val="clear" w:color="auto" w:fill="FFFFFF"/>
                <w:lang w:val="en-US" w:eastAsia="zh-CN"/>
              </w:rPr>
              <w:t>衡山县花鼓戏剧团</w:t>
            </w:r>
          </w:p>
        </w:tc>
      </w:tr>
      <w:tr>
        <w:tblPrEx>
          <w:tblCellMar>
            <w:top w:w="0" w:type="dxa"/>
            <w:left w:w="108" w:type="dxa"/>
            <w:bottom w:w="0" w:type="dxa"/>
            <w:right w:w="108" w:type="dxa"/>
          </w:tblCellMar>
        </w:tblPrEx>
        <w:trPr>
          <w:trHeight w:val="90" w:hRule="atLeast"/>
          <w:jc w:val="center"/>
        </w:trPr>
        <w:tc>
          <w:tcPr>
            <w:tcW w:w="21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2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90"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4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204.51</w:t>
            </w:r>
          </w:p>
        </w:tc>
        <w:tc>
          <w:tcPr>
            <w:tcW w:w="23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217.74</w:t>
            </w:r>
          </w:p>
        </w:tc>
        <w:tc>
          <w:tcPr>
            <w:tcW w:w="20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106</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4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4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204.51</w:t>
            </w:r>
          </w:p>
        </w:tc>
        <w:tc>
          <w:tcPr>
            <w:tcW w:w="23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217.74</w:t>
            </w:r>
          </w:p>
        </w:tc>
        <w:tc>
          <w:tcPr>
            <w:tcW w:w="20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106</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21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2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4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9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3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3107"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898" w:type="dxa"/>
            <w:gridSpan w:val="4"/>
            <w:tcBorders>
              <w:top w:val="single" w:color="auto" w:sz="4" w:space="0"/>
              <w:left w:val="single" w:color="auto" w:sz="4" w:space="0"/>
              <w:bottom w:val="single" w:color="auto" w:sz="4" w:space="0"/>
              <w:right w:val="single" w:color="auto" w:sz="4" w:space="0"/>
            </w:tcBorders>
            <w:noWrap/>
            <w:vAlign w:val="center"/>
          </w:tcPr>
          <w:p>
            <w:pPr>
              <w:pStyle w:val="10"/>
              <w:widowControl/>
              <w:numPr>
                <w:ilvl w:val="0"/>
                <w:numId w:val="1"/>
              </w:numPr>
              <w:ind w:lef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创作剧目不少于1个</w:t>
            </w:r>
          </w:p>
          <w:p>
            <w:pPr>
              <w:pStyle w:val="10"/>
              <w:widowControl/>
              <w:numPr>
                <w:ilvl w:val="0"/>
                <w:numId w:val="1"/>
              </w:numPr>
              <w:ind w:leftChars="0"/>
              <w:rPr>
                <w:rFonts w:hint="default" w:ascii="宋体" w:cs="宋体"/>
                <w:kern w:val="0"/>
                <w:szCs w:val="21"/>
                <w:lang w:val="en-US" w:eastAsia="zh-CN"/>
              </w:rPr>
            </w:pPr>
            <w:r>
              <w:rPr>
                <w:rFonts w:hint="eastAsia" w:ascii="仿宋_GB2312" w:hAnsi="Times New Roman" w:eastAsia="仿宋_GB2312" w:cs="Times New Roman"/>
                <w:color w:val="000000" w:themeColor="text1"/>
                <w:sz w:val="21"/>
                <w:szCs w:val="21"/>
                <w14:textFill>
                  <w14:solidFill>
                    <w14:schemeClr w14:val="tx1"/>
                  </w14:solidFill>
                </w14:textFill>
              </w:rPr>
              <w:t>完成“演艺惠民送戏下</w:t>
            </w:r>
            <w:bookmarkStart w:id="4" w:name="_GoBack"/>
            <w:bookmarkEnd w:id="4"/>
            <w:r>
              <w:rPr>
                <w:rFonts w:hint="eastAsia" w:ascii="仿宋_GB2312" w:hAnsi="Times New Roman" w:eastAsia="仿宋_GB2312" w:cs="Times New Roman"/>
                <w:color w:val="000000" w:themeColor="text1"/>
                <w:sz w:val="21"/>
                <w:szCs w:val="21"/>
                <w14:textFill>
                  <w14:solidFill>
                    <w14:schemeClr w14:val="tx1"/>
                  </w14:solidFill>
                </w14:textFill>
              </w:rPr>
              <w:t>乡”</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任务100</w:t>
            </w:r>
            <w:r>
              <w:rPr>
                <w:rFonts w:hint="eastAsia" w:ascii="仿宋_GB2312" w:hAnsi="Times New Roman" w:eastAsia="仿宋_GB2312" w:cs="Times New Roman"/>
                <w:color w:val="000000" w:themeColor="text1"/>
                <w:sz w:val="21"/>
                <w:szCs w:val="21"/>
                <w14:textFill>
                  <w14:solidFill>
                    <w14:schemeClr w14:val="tx1"/>
                  </w14:solidFill>
                </w14:textFill>
              </w:rPr>
              <w:t>场</w:t>
            </w:r>
          </w:p>
        </w:tc>
        <w:tc>
          <w:tcPr>
            <w:tcW w:w="433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02" w:firstLineChars="200"/>
              <w:jc w:val="both"/>
              <w:textAlignment w:val="auto"/>
              <w:rPr>
                <w:rFonts w:hint="eastAsia"/>
                <w:sz w:val="21"/>
                <w:szCs w:val="21"/>
                <w:lang w:val="en-US" w:eastAsia="zh-CN"/>
              </w:rPr>
            </w:pPr>
            <w:r>
              <w:rPr>
                <w:rFonts w:hint="eastAsia" w:ascii="仿宋_GB2312" w:hAnsi="Times New Roman" w:eastAsia="仿宋_GB2312" w:cs="Times New Roman"/>
                <w:color w:val="000000" w:themeColor="text1"/>
                <w:sz w:val="21"/>
                <w:szCs w:val="21"/>
                <w14:textFill>
                  <w14:solidFill>
                    <w14:schemeClr w14:val="tx1"/>
                  </w14:solidFill>
                </w14:textFill>
              </w:rPr>
              <w:t>邀请省戏剧研究院的李薇薇老师进行《毛泽建》剧本的新创作</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小戏更名为《不负青春》，入选湖南省第七届艺术节，并被</w:t>
            </w:r>
            <w:r>
              <w:rPr>
                <w:rFonts w:hint="eastAsia" w:ascii="仿宋_GB2312" w:hAnsi="Times New Roman" w:eastAsia="仿宋_GB2312" w:cs="Times New Roman"/>
                <w:color w:val="000000" w:themeColor="text1"/>
                <w:sz w:val="21"/>
                <w:szCs w:val="21"/>
                <w14:textFill>
                  <w14:solidFill>
                    <w14:schemeClr w14:val="tx1"/>
                  </w14:solidFill>
                </w14:textFill>
              </w:rPr>
              <w:t>列入衡阳 2021 年重点剧目</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文化艺术中心排练的山歌剧《头班茶》，被评选上第七届艺术节展演。惠民活动方面，</w:t>
            </w:r>
            <w:r>
              <w:rPr>
                <w:rFonts w:hint="eastAsia" w:ascii="仿宋_GB2312" w:hAnsi="Times New Roman" w:eastAsia="仿宋_GB2312" w:cs="Times New Roman"/>
                <w:color w:val="000000" w:themeColor="text1"/>
                <w:sz w:val="21"/>
                <w:szCs w:val="21"/>
                <w14:textFill>
                  <w14:solidFill>
                    <w14:schemeClr w14:val="tx1"/>
                  </w14:solidFill>
                </w14:textFill>
              </w:rPr>
              <w:t>共完成“演艺惠民送戏下乡”</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任务100</w:t>
            </w:r>
            <w:r>
              <w:rPr>
                <w:rFonts w:hint="eastAsia" w:ascii="仿宋_GB2312" w:hAnsi="Times New Roman" w:eastAsia="仿宋_GB2312" w:cs="Times New Roman"/>
                <w:color w:val="000000" w:themeColor="text1"/>
                <w:sz w:val="21"/>
                <w:szCs w:val="21"/>
                <w14:textFill>
                  <w14:solidFill>
                    <w14:schemeClr w14:val="tx1"/>
                  </w14:solidFill>
                </w14:textFill>
              </w:rPr>
              <w:t>场</w:t>
            </w:r>
            <w:r>
              <w:rPr>
                <w:rFonts w:hint="eastAsia" w:ascii="仿宋_GB2312" w:hAnsi="Times New Roman" w:eastAsia="仿宋_GB2312" w:cs="Times New Roman"/>
                <w:color w:val="000000" w:themeColor="text1"/>
                <w:sz w:val="21"/>
                <w:szCs w:val="21"/>
                <w:lang w:eastAsia="zh-CN"/>
                <w14:textFill>
                  <w14:solidFill>
                    <w14:schemeClr w14:val="tx1"/>
                  </w14:solidFill>
                </w14:textFill>
              </w:rPr>
              <w:t>，</w:t>
            </w:r>
            <w:r>
              <w:rPr>
                <w:rFonts w:hint="eastAsia" w:ascii="仿宋_GB2312" w:hAnsi="Times New Roman" w:eastAsia="仿宋_GB2312" w:cs="Times New Roman"/>
                <w:color w:val="000000" w:themeColor="text1"/>
                <w:sz w:val="21"/>
                <w:szCs w:val="21"/>
                <w:lang w:val="en-US" w:eastAsia="zh-CN"/>
                <w14:textFill>
                  <w14:solidFill>
                    <w14:schemeClr w14:val="tx1"/>
                  </w14:solidFill>
                </w14:textFill>
              </w:rPr>
              <w:t>广及县内12个乡镇</w:t>
            </w:r>
          </w:p>
          <w:p>
            <w:pPr>
              <w:widowControl/>
              <w:jc w:val="center"/>
              <w:rPr>
                <w:rFonts w:hint="eastAsia" w:ascii="仿宋_GB2312" w:hAnsi="宋体" w:eastAsia="仿宋_GB2312" w:cs="宋体"/>
                <w:kern w:val="0"/>
                <w:szCs w:val="21"/>
                <w:lang w:eastAsia="zh-CN"/>
              </w:rPr>
            </w:pPr>
          </w:p>
        </w:tc>
      </w:tr>
      <w:tr>
        <w:tblPrEx>
          <w:tblCellMar>
            <w:top w:w="0" w:type="dxa"/>
            <w:left w:w="108" w:type="dxa"/>
            <w:bottom w:w="0" w:type="dxa"/>
            <w:right w:w="108" w:type="dxa"/>
          </w:tblCellMar>
        </w:tblPrEx>
        <w:trPr>
          <w:trHeight w:val="90"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0"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6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6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09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6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文艺作品</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p>
        </w:tc>
        <w:tc>
          <w:tcPr>
            <w:tcW w:w="1096"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2060"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_GB2312" w:hAnsi="宋体" w:eastAsia="仿宋_GB2312" w:cs="宋体"/>
                <w:kern w:val="0"/>
                <w:szCs w:val="21"/>
              </w:rPr>
            </w:pPr>
            <w:r>
              <w:rPr>
                <w:rFonts w:hint="eastAsia" w:ascii="仿宋_GB2312" w:hAnsi="Times New Roman" w:eastAsia="仿宋_GB2312" w:cs="Times New Roman"/>
                <w:color w:val="000000" w:themeColor="text1"/>
                <w:sz w:val="21"/>
                <w:szCs w:val="21"/>
                <w14:textFill>
                  <w14:solidFill>
                    <w14:schemeClr w14:val="tx1"/>
                  </w14:solidFill>
                </w14:textFill>
              </w:rPr>
              <w:t>演艺惠民送戏下乡</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p>
        </w:tc>
        <w:tc>
          <w:tcPr>
            <w:tcW w:w="1268" w:type="dxa"/>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096"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6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验收合格率</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96"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ascii="仿宋_GB2312" w:hAnsi="宋体" w:eastAsia="仿宋_GB2312" w:cs="宋体"/>
                <w:kern w:val="0"/>
                <w:szCs w:val="21"/>
              </w:rPr>
            </w:pPr>
            <w:r>
              <w:rPr>
                <w:rFonts w:hint="eastAsia" w:ascii="仿宋_GB2312" w:hAnsi="宋体" w:eastAsia="仿宋_GB2312" w:cs="宋体"/>
                <w:kern w:val="0"/>
                <w:szCs w:val="21"/>
              </w:rPr>
              <w:t>100%　</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6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按时完成</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9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06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9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p>
        </w:tc>
        <w:tc>
          <w:tcPr>
            <w:tcW w:w="206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无</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9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60"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广大职工及群众</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非常满意</w:t>
            </w:r>
          </w:p>
        </w:tc>
        <w:tc>
          <w:tcPr>
            <w:tcW w:w="146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68"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09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100%</w:t>
            </w:r>
          </w:p>
        </w:tc>
        <w:tc>
          <w:tcPr>
            <w:tcW w:w="197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36" w:type="dxa"/>
            <w:gridSpan w:val="8"/>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bl>
    <w:p>
      <w:pPr>
        <w:rPr>
          <w:rFonts w:eastAsia="仿宋_GB2312"/>
          <w:kern w:val="0"/>
          <w:sz w:val="22"/>
          <w:szCs w:val="22"/>
        </w:rPr>
      </w:pPr>
    </w:p>
    <w:p/>
    <w:p/>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99EE"/>
    <w:multiLevelType w:val="singleLevel"/>
    <w:tmpl w:val="8DBB9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mI3NDg4NDM4OWZmODA3ZDYzMmE1YjlhYjg1MTAifQ=="/>
  </w:docVars>
  <w:rsids>
    <w:rsidRoot w:val="76CA2446"/>
    <w:rsid w:val="00022D25"/>
    <w:rsid w:val="00060F2F"/>
    <w:rsid w:val="0006737B"/>
    <w:rsid w:val="000A5542"/>
    <w:rsid w:val="000B4A69"/>
    <w:rsid w:val="000D3CE1"/>
    <w:rsid w:val="000E6B8C"/>
    <w:rsid w:val="00135F14"/>
    <w:rsid w:val="001651B7"/>
    <w:rsid w:val="001A03F7"/>
    <w:rsid w:val="001A627D"/>
    <w:rsid w:val="001C4444"/>
    <w:rsid w:val="00220759"/>
    <w:rsid w:val="00223DBD"/>
    <w:rsid w:val="0023676C"/>
    <w:rsid w:val="0027014E"/>
    <w:rsid w:val="00286A0E"/>
    <w:rsid w:val="00296904"/>
    <w:rsid w:val="00310C50"/>
    <w:rsid w:val="003872A3"/>
    <w:rsid w:val="003C48BD"/>
    <w:rsid w:val="00440310"/>
    <w:rsid w:val="00483CA9"/>
    <w:rsid w:val="004B21B2"/>
    <w:rsid w:val="004B56CB"/>
    <w:rsid w:val="004F1787"/>
    <w:rsid w:val="00524F6E"/>
    <w:rsid w:val="00527B92"/>
    <w:rsid w:val="00541081"/>
    <w:rsid w:val="0055589A"/>
    <w:rsid w:val="00566410"/>
    <w:rsid w:val="00580C0E"/>
    <w:rsid w:val="006004E5"/>
    <w:rsid w:val="0066181F"/>
    <w:rsid w:val="00667C76"/>
    <w:rsid w:val="00674811"/>
    <w:rsid w:val="007E05B3"/>
    <w:rsid w:val="008222BA"/>
    <w:rsid w:val="0083351F"/>
    <w:rsid w:val="00856095"/>
    <w:rsid w:val="008568EE"/>
    <w:rsid w:val="00860D04"/>
    <w:rsid w:val="00894F28"/>
    <w:rsid w:val="008B1005"/>
    <w:rsid w:val="008F51F5"/>
    <w:rsid w:val="00902C2A"/>
    <w:rsid w:val="0097553A"/>
    <w:rsid w:val="00982D8A"/>
    <w:rsid w:val="00A12869"/>
    <w:rsid w:val="00A424C4"/>
    <w:rsid w:val="00A5400C"/>
    <w:rsid w:val="00A86759"/>
    <w:rsid w:val="00A8716A"/>
    <w:rsid w:val="00B26D88"/>
    <w:rsid w:val="00B66E3E"/>
    <w:rsid w:val="00BA6B0F"/>
    <w:rsid w:val="00BC320E"/>
    <w:rsid w:val="00C26F20"/>
    <w:rsid w:val="00C27722"/>
    <w:rsid w:val="00C667B3"/>
    <w:rsid w:val="00C76C37"/>
    <w:rsid w:val="00CD4190"/>
    <w:rsid w:val="00CF7B2A"/>
    <w:rsid w:val="00DA054B"/>
    <w:rsid w:val="00E31312"/>
    <w:rsid w:val="00E90B7D"/>
    <w:rsid w:val="00EB4475"/>
    <w:rsid w:val="00ED6745"/>
    <w:rsid w:val="00F0408F"/>
    <w:rsid w:val="00F2616D"/>
    <w:rsid w:val="00F47AFE"/>
    <w:rsid w:val="00F63D80"/>
    <w:rsid w:val="00FD1F6B"/>
    <w:rsid w:val="0D21776C"/>
    <w:rsid w:val="193E6884"/>
    <w:rsid w:val="1CC63637"/>
    <w:rsid w:val="1E6F53A1"/>
    <w:rsid w:val="2064408E"/>
    <w:rsid w:val="2FAF5D60"/>
    <w:rsid w:val="3D3710B0"/>
    <w:rsid w:val="407F75B0"/>
    <w:rsid w:val="459C6ADE"/>
    <w:rsid w:val="558D6683"/>
    <w:rsid w:val="593221FB"/>
    <w:rsid w:val="5CB928FB"/>
    <w:rsid w:val="6BBA3B00"/>
    <w:rsid w:val="6BBB094C"/>
    <w:rsid w:val="750D60CF"/>
    <w:rsid w:val="76CA2446"/>
    <w:rsid w:val="7739614C"/>
    <w:rsid w:val="7B5B26D2"/>
    <w:rsid w:val="7B8C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hint="eastAsia" w:ascii="微软雅黑" w:hAnsi="微软雅黑" w:eastAsia="微软雅黑"/>
      <w:kern w:val="0"/>
      <w:sz w:val="24"/>
    </w:rPr>
  </w:style>
  <w:style w:type="character" w:styleId="9">
    <w:name w:val="page number"/>
    <w:basedOn w:val="8"/>
    <w:qFormat/>
    <w:uiPriority w:val="99"/>
    <w:rPr>
      <w:rFonts w:cs="Times New Roman"/>
    </w:rPr>
  </w:style>
  <w:style w:type="paragraph" w:styleId="10">
    <w:name w:val="List Paragraph"/>
    <w:basedOn w:val="1"/>
    <w:qFormat/>
    <w:uiPriority w:val="99"/>
    <w:pPr>
      <w:ind w:firstLine="420" w:firstLineChars="200"/>
    </w:pPr>
  </w:style>
  <w:style w:type="character" w:customStyle="1" w:styleId="11">
    <w:name w:val="页眉 Char"/>
    <w:basedOn w:val="8"/>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4031</Words>
  <Characters>4336</Characters>
  <Lines>55</Lines>
  <Paragraphs>15</Paragraphs>
  <TotalTime>5</TotalTime>
  <ScaleCrop>false</ScaleCrop>
  <LinksUpToDate>false</LinksUpToDate>
  <CharactersWithSpaces>4792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2021-03-30T02:48:00Z</dcterms:created>
  <dc:creator>Administrator</dc:creator>
  <cp:lastModifiedBy>Administrator</cp:lastModifiedBy>
  <dcterms:modified xsi:type="dcterms:W3CDTF">2023-04-21T09:31:02Z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8A0609DB43824354BFCB5AE626B99E4B_13</vt:lpwstr>
  </property>
</Properties>
</file>