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51" w:rsidRDefault="00354951" w:rsidP="009230CC">
      <w:pPr>
        <w:jc w:val="center"/>
        <w:rPr>
          <w:rFonts w:ascii="方正小标宋_GBK" w:eastAsia="方正小标宋_GBK" w:hint="eastAsia"/>
          <w:sz w:val="48"/>
          <w:szCs w:val="48"/>
        </w:rPr>
      </w:pPr>
    </w:p>
    <w:p w:rsidR="00354951" w:rsidRDefault="00354951" w:rsidP="009230CC">
      <w:pPr>
        <w:jc w:val="center"/>
        <w:rPr>
          <w:rFonts w:ascii="方正小标宋_GBK" w:eastAsia="方正小标宋_GBK" w:hint="eastAsia"/>
          <w:sz w:val="48"/>
          <w:szCs w:val="48"/>
        </w:rPr>
      </w:pPr>
    </w:p>
    <w:p w:rsidR="009230CC" w:rsidRDefault="009230CC" w:rsidP="009230CC">
      <w:pPr>
        <w:jc w:val="center"/>
        <w:rPr>
          <w:rFonts w:ascii="方正小标宋_GBK" w:eastAsia="方正小标宋_GBK"/>
          <w:sz w:val="48"/>
          <w:szCs w:val="48"/>
        </w:rPr>
      </w:pPr>
      <w:r>
        <w:rPr>
          <w:rFonts w:ascii="方正小标宋_GBK" w:eastAsia="方正小标宋_GBK"/>
          <w:sz w:val="48"/>
          <w:szCs w:val="48"/>
        </w:rPr>
        <w:t>20</w:t>
      </w:r>
      <w:r>
        <w:rPr>
          <w:rFonts w:ascii="方正小标宋_GBK" w:eastAsia="方正小标宋_GBK" w:hint="eastAsia"/>
          <w:sz w:val="48"/>
          <w:szCs w:val="48"/>
        </w:rPr>
        <w:t>2</w:t>
      </w:r>
      <w:r>
        <w:rPr>
          <w:rFonts w:ascii="方正小标宋_GBK" w:eastAsia="方正小标宋_GBK"/>
          <w:sz w:val="48"/>
          <w:szCs w:val="48"/>
        </w:rPr>
        <w:t>2</w:t>
      </w:r>
      <w:r>
        <w:rPr>
          <w:rFonts w:ascii="方正小标宋_GBK" w:eastAsia="方正小标宋_GBK" w:hint="eastAsia"/>
          <w:sz w:val="48"/>
          <w:szCs w:val="48"/>
        </w:rPr>
        <w:t>年度部门整体支出绩效自评报告</w:t>
      </w: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44"/>
          <w:szCs w:val="44"/>
        </w:rPr>
      </w:pPr>
      <w:r>
        <w:rPr>
          <w:rFonts w:ascii="黑体" w:eastAsia="黑体" w:hint="eastAsia"/>
          <w:sz w:val="44"/>
          <w:szCs w:val="44"/>
        </w:rPr>
        <w:t>单位名称（盖章）：衡山县商务和粮食局</w:t>
      </w: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jc w:val="center"/>
        <w:rPr>
          <w:rFonts w:ascii="黑体" w:eastAsia="黑体"/>
          <w:sz w:val="32"/>
          <w:szCs w:val="32"/>
        </w:rPr>
      </w:pPr>
    </w:p>
    <w:p w:rsidR="009230CC" w:rsidRDefault="009230CC" w:rsidP="009230CC">
      <w:pPr>
        <w:rPr>
          <w:rFonts w:ascii="黑体" w:eastAsia="黑体"/>
          <w:sz w:val="32"/>
          <w:szCs w:val="32"/>
        </w:rPr>
      </w:pPr>
    </w:p>
    <w:p w:rsidR="009230CC" w:rsidRDefault="009230CC" w:rsidP="009230CC">
      <w:pPr>
        <w:jc w:val="center"/>
        <w:rPr>
          <w:rFonts w:ascii="黑体" w:eastAsia="黑体" w:hAnsi="黑体"/>
          <w:sz w:val="32"/>
          <w:szCs w:val="32"/>
        </w:rPr>
      </w:pPr>
      <w:r>
        <w:rPr>
          <w:rFonts w:ascii="仿宋_GB2312" w:eastAsia="仿宋_GB2312" w:hint="eastAsia"/>
          <w:sz w:val="32"/>
          <w:szCs w:val="32"/>
        </w:rPr>
        <w:t>（此页为封面）</w:t>
      </w:r>
    </w:p>
    <w:p w:rsidR="009230CC" w:rsidRDefault="009230CC" w:rsidP="009230CC">
      <w:pPr>
        <w:pStyle w:val="a5"/>
        <w:widowControl/>
        <w:spacing w:line="600" w:lineRule="exact"/>
        <w:ind w:firstLine="640"/>
        <w:rPr>
          <w:rFonts w:ascii="黑体" w:eastAsia="黑体" w:hAnsi="黑体"/>
          <w:sz w:val="32"/>
          <w:szCs w:val="32"/>
        </w:rPr>
      </w:pPr>
    </w:p>
    <w:p w:rsidR="009230CC" w:rsidRDefault="009230CC" w:rsidP="009230CC">
      <w:pPr>
        <w:pStyle w:val="a5"/>
        <w:widowControl/>
        <w:spacing w:line="600" w:lineRule="exact"/>
        <w:ind w:firstLine="640"/>
        <w:rPr>
          <w:rFonts w:ascii="黑体" w:eastAsia="黑体" w:hAnsi="黑体"/>
          <w:sz w:val="32"/>
          <w:szCs w:val="32"/>
        </w:rPr>
      </w:pPr>
    </w:p>
    <w:p w:rsidR="009230CC" w:rsidRDefault="009230CC" w:rsidP="009230CC">
      <w:pPr>
        <w:spacing w:before="140" w:line="221" w:lineRule="auto"/>
        <w:jc w:val="center"/>
        <w:rPr>
          <w:rFonts w:ascii="黑体" w:eastAsia="黑体" w:hAnsi="黑体" w:cs="黑体"/>
          <w:color w:val="auto"/>
          <w:spacing w:val="8"/>
          <w:sz w:val="44"/>
          <w:szCs w:val="44"/>
        </w:rPr>
      </w:pPr>
    </w:p>
    <w:p w:rsidR="009230CC" w:rsidRDefault="009230CC" w:rsidP="009230CC">
      <w:pPr>
        <w:spacing w:before="140" w:line="221" w:lineRule="auto"/>
        <w:jc w:val="center"/>
        <w:rPr>
          <w:rFonts w:ascii="黑体" w:eastAsia="黑体" w:hAnsi="黑体" w:cs="黑体"/>
          <w:color w:val="auto"/>
          <w:spacing w:val="8"/>
          <w:sz w:val="44"/>
          <w:szCs w:val="44"/>
        </w:rPr>
      </w:pPr>
    </w:p>
    <w:p w:rsidR="009230CC" w:rsidRDefault="009230CC" w:rsidP="009230CC">
      <w:pPr>
        <w:spacing w:before="140" w:line="221" w:lineRule="auto"/>
        <w:jc w:val="center"/>
        <w:rPr>
          <w:rFonts w:ascii="黑体" w:eastAsia="黑体" w:hAnsi="黑体" w:cs="黑体"/>
          <w:color w:val="auto"/>
          <w:spacing w:val="8"/>
          <w:sz w:val="44"/>
          <w:szCs w:val="44"/>
        </w:rPr>
      </w:pPr>
    </w:p>
    <w:p w:rsidR="009230CC" w:rsidRDefault="009230CC" w:rsidP="009230CC">
      <w:pPr>
        <w:spacing w:before="140" w:line="221" w:lineRule="auto"/>
        <w:jc w:val="center"/>
        <w:rPr>
          <w:rFonts w:ascii="黑体" w:eastAsia="黑体" w:hAnsi="黑体" w:cs="黑体"/>
          <w:color w:val="auto"/>
          <w:spacing w:val="8"/>
          <w:sz w:val="44"/>
          <w:szCs w:val="44"/>
        </w:rPr>
      </w:pPr>
    </w:p>
    <w:p w:rsidR="009230CC" w:rsidRDefault="009230CC" w:rsidP="009230CC">
      <w:pPr>
        <w:spacing w:before="140" w:line="221" w:lineRule="auto"/>
        <w:rPr>
          <w:rFonts w:ascii="黑体" w:eastAsia="黑体" w:hAnsi="黑体" w:cs="黑体"/>
          <w:color w:val="auto"/>
          <w:spacing w:val="8"/>
          <w:sz w:val="44"/>
          <w:szCs w:val="44"/>
        </w:rPr>
      </w:pPr>
    </w:p>
    <w:p w:rsidR="00354951" w:rsidRDefault="00354951"/>
    <w:p w:rsidR="00B454FA" w:rsidRDefault="00DF6893">
      <w:pPr>
        <w:widowControl w:val="0"/>
        <w:kinsoku/>
        <w:adjustRightInd/>
        <w:snapToGrid/>
        <w:spacing w:line="360" w:lineRule="auto"/>
        <w:ind w:firstLineChars="200" w:firstLine="643"/>
        <w:jc w:val="both"/>
        <w:outlineLvl w:val="0"/>
        <w:rPr>
          <w:rFonts w:ascii="仿宋_GB2312" w:eastAsia="仿宋_GB2312" w:hAnsi="黑体" w:cs="黑体"/>
          <w:snapToGrid/>
          <w:color w:val="auto"/>
          <w:kern w:val="21"/>
          <w:sz w:val="32"/>
          <w:szCs w:val="32"/>
        </w:rPr>
      </w:pPr>
      <w:r>
        <w:rPr>
          <w:rFonts w:ascii="仿宋_GB2312" w:eastAsia="仿宋_GB2312" w:hAnsi="黑体" w:cs="黑体" w:hint="eastAsia"/>
          <w:b/>
          <w:bCs/>
          <w:snapToGrid/>
          <w:color w:val="auto"/>
          <w:kern w:val="21"/>
          <w:sz w:val="32"/>
          <w:szCs w:val="32"/>
        </w:rPr>
        <w:lastRenderedPageBreak/>
        <w:t>一、单位基本情况</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w:t>
      </w:r>
      <w:proofErr w:type="gramStart"/>
      <w:r>
        <w:rPr>
          <w:rFonts w:ascii="仿宋_GB2312" w:eastAsia="仿宋_GB2312" w:hAnsi="仿宋" w:cs="仿宋" w:hint="eastAsia"/>
          <w:snapToGrid/>
          <w:color w:val="auto"/>
          <w:kern w:val="21"/>
          <w:sz w:val="32"/>
          <w:szCs w:val="32"/>
        </w:rPr>
        <w:t>一</w:t>
      </w:r>
      <w:proofErr w:type="gramEnd"/>
      <w:r>
        <w:rPr>
          <w:rFonts w:ascii="仿宋_GB2312" w:eastAsia="仿宋_GB2312" w:hAnsi="仿宋" w:cs="仿宋" w:hint="eastAsia"/>
          <w:snapToGrid/>
          <w:color w:val="auto"/>
          <w:kern w:val="21"/>
          <w:sz w:val="32"/>
          <w:szCs w:val="32"/>
        </w:rPr>
        <w:t>)部门主要职责</w:t>
      </w:r>
    </w:p>
    <w:p w:rsidR="00B454FA" w:rsidRDefault="00DF6893">
      <w:pPr>
        <w:widowControl w:val="0"/>
        <w:kinsoku/>
        <w:adjustRightInd/>
        <w:snapToGrid/>
        <w:spacing w:line="360" w:lineRule="auto"/>
        <w:ind w:firstLineChars="200" w:firstLine="643"/>
        <w:jc w:val="both"/>
        <w:rPr>
          <w:rFonts w:ascii="仿宋_GB2312" w:eastAsia="仿宋_GB2312"/>
          <w:b/>
          <w:snapToGrid/>
          <w:color w:val="auto"/>
          <w:kern w:val="21"/>
          <w:sz w:val="32"/>
          <w:szCs w:val="32"/>
        </w:rPr>
      </w:pPr>
      <w:r>
        <w:rPr>
          <w:rFonts w:ascii="仿宋_GB2312" w:eastAsia="仿宋_GB2312" w:hAnsi="宋体" w:hint="eastAsia"/>
          <w:b/>
          <w:snapToGrid/>
          <w:color w:val="auto"/>
          <w:kern w:val="21"/>
          <w:sz w:val="32"/>
          <w:szCs w:val="32"/>
        </w:rPr>
        <w:t>1、机构情况：</w:t>
      </w:r>
    </w:p>
    <w:p w:rsidR="00B454FA" w:rsidRDefault="00DF6893">
      <w:pPr>
        <w:widowControl w:val="0"/>
        <w:kinsoku/>
        <w:adjustRightInd/>
        <w:snapToGrid/>
        <w:spacing w:line="360" w:lineRule="auto"/>
        <w:ind w:firstLineChars="200" w:firstLine="640"/>
        <w:jc w:val="both"/>
        <w:rPr>
          <w:rFonts w:ascii="仿宋_GB2312" w:eastAsia="仿宋_GB2312"/>
          <w:snapToGrid/>
          <w:color w:val="auto"/>
          <w:kern w:val="21"/>
          <w:sz w:val="32"/>
          <w:szCs w:val="32"/>
        </w:rPr>
      </w:pPr>
      <w:r>
        <w:rPr>
          <w:rFonts w:ascii="仿宋_GB2312" w:eastAsia="仿宋_GB2312" w:cs="仿宋_GB2312" w:hint="eastAsia"/>
          <w:snapToGrid/>
          <w:color w:val="auto"/>
          <w:kern w:val="21"/>
          <w:sz w:val="32"/>
          <w:szCs w:val="32"/>
        </w:rPr>
        <w:t>衡山县商务和粮食局为县政府组成机构，内设11个股室、3个副科级事业单位</w:t>
      </w:r>
      <w:r>
        <w:rPr>
          <w:rFonts w:ascii="仿宋_GB2312" w:eastAsia="仿宋_GB2312" w:hAnsi="宋体" w:cs="仿宋_GB2312" w:hint="eastAsia"/>
          <w:snapToGrid/>
          <w:color w:val="auto"/>
          <w:kern w:val="21"/>
          <w:sz w:val="32"/>
          <w:szCs w:val="32"/>
        </w:rPr>
        <w:t>（</w:t>
      </w:r>
      <w:r>
        <w:rPr>
          <w:rFonts w:ascii="仿宋_GB2312" w:eastAsia="仿宋_GB2312" w:hAnsi="仿宋_GB2312" w:cs="仿宋_GB2312" w:hint="eastAsia"/>
          <w:snapToGrid/>
          <w:color w:val="auto"/>
          <w:kern w:val="21"/>
          <w:sz w:val="32"/>
          <w:szCs w:val="32"/>
        </w:rPr>
        <w:t>衡山县投资促进事务中心、衡山县粮食和物资储备中心、衡山县市场服务中心）</w:t>
      </w:r>
      <w:r>
        <w:rPr>
          <w:rFonts w:ascii="仿宋_GB2312" w:eastAsia="仿宋_GB2312" w:cs="仿宋_GB2312" w:hint="eastAsia"/>
          <w:snapToGrid/>
          <w:color w:val="auto"/>
          <w:kern w:val="21"/>
          <w:sz w:val="32"/>
          <w:szCs w:val="32"/>
        </w:rPr>
        <w:t>，行政编制12人、全额事业编制44人，经费自理事业编制7人。机关运行独立的部门预算、核算、决算财政财务体系，全额拨款一级预算行政管理</w:t>
      </w:r>
      <w:r>
        <w:rPr>
          <w:rFonts w:ascii="仿宋_GB2312" w:eastAsia="仿宋_GB2312" w:hAnsi="宋体" w:cs="仿宋_GB2312" w:hint="eastAsia"/>
          <w:snapToGrid/>
          <w:color w:val="auto"/>
          <w:kern w:val="21"/>
          <w:sz w:val="32"/>
          <w:szCs w:val="32"/>
        </w:rPr>
        <w:t>，执行政府会计制度，会计机构改革归并单位</w:t>
      </w:r>
      <w:r>
        <w:rPr>
          <w:rFonts w:ascii="仿宋_GB2312" w:eastAsia="仿宋_GB2312" w:cs="仿宋_GB2312" w:hint="eastAsia"/>
          <w:snapToGrid/>
          <w:color w:val="auto"/>
          <w:kern w:val="21"/>
          <w:sz w:val="32"/>
          <w:szCs w:val="32"/>
        </w:rPr>
        <w:t>。</w:t>
      </w:r>
    </w:p>
    <w:p w:rsidR="00B454FA" w:rsidRDefault="00DF6893">
      <w:pPr>
        <w:widowControl w:val="0"/>
        <w:kinsoku/>
        <w:adjustRightInd/>
        <w:snapToGrid/>
        <w:spacing w:line="360" w:lineRule="auto"/>
        <w:ind w:firstLineChars="200" w:firstLine="643"/>
        <w:jc w:val="both"/>
        <w:rPr>
          <w:rFonts w:ascii="仿宋_GB2312" w:eastAsia="仿宋_GB2312" w:hAnsi="仿宋_GB2312" w:cs="仿宋_GB2312"/>
          <w:snapToGrid/>
          <w:color w:val="auto"/>
          <w:kern w:val="21"/>
          <w:sz w:val="32"/>
          <w:szCs w:val="32"/>
        </w:rPr>
      </w:pPr>
      <w:r>
        <w:rPr>
          <w:rFonts w:ascii="仿宋_GB2312" w:eastAsia="仿宋_GB2312" w:hint="eastAsia"/>
          <w:b/>
          <w:snapToGrid/>
          <w:color w:val="auto"/>
          <w:kern w:val="21"/>
          <w:sz w:val="32"/>
          <w:szCs w:val="32"/>
        </w:rPr>
        <w:t>2</w:t>
      </w:r>
      <w:r>
        <w:rPr>
          <w:rFonts w:ascii="仿宋_GB2312" w:eastAsia="仿宋_GB2312" w:hAnsi="宋体" w:hint="eastAsia"/>
          <w:b/>
          <w:snapToGrid/>
          <w:color w:val="auto"/>
          <w:kern w:val="21"/>
          <w:sz w:val="32"/>
          <w:szCs w:val="32"/>
        </w:rPr>
        <w:t>、</w:t>
      </w:r>
      <w:r>
        <w:rPr>
          <w:rFonts w:ascii="仿宋_GB2312" w:eastAsia="仿宋_GB2312" w:hint="eastAsia"/>
          <w:b/>
          <w:snapToGrid/>
          <w:color w:val="auto"/>
          <w:kern w:val="21"/>
          <w:sz w:val="32"/>
          <w:szCs w:val="32"/>
        </w:rPr>
        <w:t>主要职能</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一）贯彻落实国家、省、市、县有关内外贸易、粮食流通、粮食宏观调控、承接产业转移、区域经济合作、国际经济合作、物资储备、对外援助和招商引资的发展战略、方针、政策，并拟订全县相应的中长期发展规划以及规定、办法和措施；研究提出全县粮食宏观调控、粮食流通、物资储备的中长期规划和经济全球化、区域经济合作、现代流通方式的发展趋势和流通体制改革的建议。</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（二）负责推进流通产业结构调整</w:t>
      </w:r>
      <w:r>
        <w:rPr>
          <w:rFonts w:ascii="仿宋_GB2312" w:eastAsia="仿宋_GB2312" w:hAnsi="宋体" w:cs="宋体" w:hint="eastAsia"/>
          <w:snapToGrid/>
          <w:color w:val="auto"/>
          <w:kern w:val="21"/>
          <w:sz w:val="32"/>
          <w:szCs w:val="32"/>
        </w:rPr>
        <w:t>，</w:t>
      </w:r>
      <w:r>
        <w:rPr>
          <w:rFonts w:ascii="仿宋_GB2312" w:eastAsia="仿宋_GB2312" w:hAnsi="宋体" w:cs="仿宋_GB2312" w:hint="eastAsia"/>
          <w:snapToGrid/>
          <w:color w:val="auto"/>
          <w:kern w:val="21"/>
          <w:sz w:val="32"/>
          <w:szCs w:val="32"/>
        </w:rPr>
        <w:t>指导流通企业改革，促进商贸服务业、社区商业和粮食产业发展，研究提出促进商贸中小企业发展的政策建议，推动流通标准化和连锁经营、商业特许经营、物流配送、电子商务等现代流通方式的发展。负责全县商贸服务业(含餐饮业、住宿业、美容美发、家政</w:t>
      </w:r>
      <w:r>
        <w:rPr>
          <w:rFonts w:ascii="仿宋_GB2312" w:eastAsia="仿宋_GB2312" w:hAnsi="宋体" w:cs="仿宋_GB2312" w:hint="eastAsia"/>
          <w:snapToGrid/>
          <w:color w:val="auto"/>
          <w:kern w:val="21"/>
          <w:sz w:val="32"/>
          <w:szCs w:val="32"/>
        </w:rPr>
        <w:lastRenderedPageBreak/>
        <w:t>服务等)的行业管理；按有关规定对拍卖、典当、租赁、旧货流通等特殊流通行业进行监督管理；按有关规定对成品油流通进行监督管理；承担汽车（含二手车、报废车）流通行业监督管理工作；负责全县再生资源回收管理工作;负责研究拟订本县药品流通行业发展的规划、政策，推进药品流通行业结构调整，指导药品流通企业改革，推动现代药品流通方式的发展。负责拟订流通体制改革方案，指导流通行业管理工作。会同有关部门拟订全县粮食市场体系建设与发展规划并组织实施，编制粮食流通、仓储、加工设施建设规划，管理有关粮食流通设施投资项目。</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三）负责拟订全县流通领域市场体系、流通秩序规划；负责组织整顿和规范市场经济秩序，协调开展专项整治行动，督促查处重大案件；负责市场运行和商品供求状况监测分析，组织实施重要消费品储备管理和市场调控及重要生产资料的流通管理；负责商业发展基金的管理；负责市场预测、预警和信息发布，提出市场运作及调控的政策建议，组织协调处理市场运行的有关重大问题；负责商品流通的行业指导和管理工作;研究提出全县粮食宏观调控、总量平衡以及粮食流通的中长期规划和收储、动用县级储备粮的建议;拟订粮食流通体制改革和发展方案并组织实施，负责国有粮食控股企业管理，研究提出现代粮食流通产业发展战略的建议。</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（四）负责粮食流通的行业管理，拟订行业发展规划、</w:t>
      </w:r>
      <w:r>
        <w:rPr>
          <w:rFonts w:ascii="仿宋_GB2312" w:eastAsia="仿宋_GB2312" w:hAnsi="宋体" w:cs="仿宋_GB2312" w:hint="eastAsia"/>
          <w:snapToGrid/>
          <w:color w:val="auto"/>
          <w:kern w:val="21"/>
          <w:sz w:val="32"/>
          <w:szCs w:val="32"/>
        </w:rPr>
        <w:lastRenderedPageBreak/>
        <w:t>政策，负责国家、省粮食质量标准的贯彻落实，提出粮食收购市场准入标准建议，负责实施粮食收购行政许可的有关行政管理，指导粮食流通的科技进步、技术改造和新技术推广。负责国家、省、市粮食流通、物资储备和粮食质量有关标准、技术规范的贯彻落实，督促、检查粮食补贴资金的拨付、使用及管理。</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五）承担县级储备粮（油）行政管理责任，会同有关部门研究提出县级储备粮（油）的规模、总体布局、购销计划以及提出动用县级储备粮（油）的建议，会同有关部门审批县级储备粮（油）轮换计划并监督实施，监督检查县级储备粮（油）的数量、质量和储存安全，制定县级储备粮（油）管理的技术规范并监督执行。</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六）负责市场运行调节、规范市场秩序工作。监测、分析市场运行和商品供求状况,调查分析商品价格信息，负责市场预测、预警和信息发布；拟订规范市场秩序的政策措施；牵头协调整顿和规范全县商务领域市场经济秩序的相关工作，组织开展专项整治。推动商务领域信用建设，指导商业信用销售，建立市场诚信公共服务平台。负责</w:t>
      </w:r>
      <w:r>
        <w:rPr>
          <w:rFonts w:ascii="仿宋_GB2312" w:eastAsia="仿宋_GB2312" w:hAnsi="宋体" w:hint="eastAsia"/>
          <w:snapToGrid/>
          <w:color w:val="auto"/>
          <w:kern w:val="21"/>
          <w:sz w:val="32"/>
          <w:szCs w:val="32"/>
        </w:rPr>
        <w:t>单用途商业预付</w:t>
      </w:r>
      <w:proofErr w:type="gramStart"/>
      <w:r>
        <w:rPr>
          <w:rFonts w:ascii="仿宋_GB2312" w:eastAsia="仿宋_GB2312" w:hAnsi="宋体" w:hint="eastAsia"/>
          <w:snapToGrid/>
          <w:color w:val="auto"/>
          <w:kern w:val="21"/>
          <w:sz w:val="32"/>
          <w:szCs w:val="32"/>
        </w:rPr>
        <w:t>卡监督</w:t>
      </w:r>
      <w:proofErr w:type="gramEnd"/>
      <w:r>
        <w:rPr>
          <w:rFonts w:ascii="仿宋_GB2312" w:eastAsia="仿宋_GB2312" w:hAnsi="宋体" w:hint="eastAsia"/>
          <w:snapToGrid/>
          <w:color w:val="auto"/>
          <w:kern w:val="21"/>
          <w:sz w:val="32"/>
          <w:szCs w:val="32"/>
        </w:rPr>
        <w:t>管理工作；</w:t>
      </w:r>
      <w:r>
        <w:rPr>
          <w:rFonts w:ascii="仿宋_GB2312" w:eastAsia="仿宋_GB2312" w:hAnsi="宋体" w:cs="仿宋_GB2312" w:hint="eastAsia"/>
          <w:snapToGrid/>
          <w:color w:val="auto"/>
          <w:kern w:val="21"/>
          <w:sz w:val="32"/>
          <w:szCs w:val="32"/>
        </w:rPr>
        <w:t>规范商贸企业交易行为，会同有关部门</w:t>
      </w:r>
      <w:r>
        <w:rPr>
          <w:rFonts w:ascii="仿宋_GB2312" w:eastAsia="仿宋_GB2312" w:hAnsi="宋体" w:hint="eastAsia"/>
          <w:snapToGrid/>
          <w:color w:val="auto"/>
          <w:kern w:val="21"/>
          <w:sz w:val="32"/>
          <w:szCs w:val="32"/>
        </w:rPr>
        <w:t>规范零售商、供应商公平交易行为；</w:t>
      </w:r>
      <w:r>
        <w:rPr>
          <w:rFonts w:ascii="仿宋_GB2312" w:eastAsia="仿宋_GB2312" w:hAnsi="宋体" w:cs="仿宋_GB2312" w:hint="eastAsia"/>
          <w:snapToGrid/>
          <w:color w:val="auto"/>
          <w:kern w:val="21"/>
          <w:sz w:val="32"/>
          <w:szCs w:val="32"/>
        </w:rPr>
        <w:t>负责直销管理及内资直销企业的选址、确认和上报。</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（七）根据国、省、市储备总体发展规划，统一负责储</w:t>
      </w:r>
      <w:r>
        <w:rPr>
          <w:rFonts w:ascii="仿宋_GB2312" w:eastAsia="仿宋_GB2312" w:hAnsi="宋体" w:cs="仿宋_GB2312" w:hint="eastAsia"/>
          <w:snapToGrid/>
          <w:color w:val="auto"/>
          <w:kern w:val="21"/>
          <w:sz w:val="32"/>
          <w:szCs w:val="32"/>
        </w:rPr>
        <w:lastRenderedPageBreak/>
        <w:t>备基础设施建设和管理。拟订全县储备基础设施、粮食流通设施建设规划并组织实施，管理有关储备基础设施和粮食流通设施投资项目。</w:t>
      </w:r>
    </w:p>
    <w:p w:rsidR="00B454FA" w:rsidRDefault="00DF6893">
      <w:pPr>
        <w:widowControl w:val="0"/>
        <w:kinsoku/>
        <w:adjustRightInd/>
        <w:snapToGrid/>
        <w:spacing w:line="360" w:lineRule="auto"/>
        <w:ind w:firstLineChars="200" w:firstLine="640"/>
        <w:jc w:val="both"/>
        <w:rPr>
          <w:rFonts w:ascii="仿宋_GB2312" w:eastAsia="仿宋_GB2312" w:hAnsi="宋体"/>
          <w:snapToGrid/>
          <w:color w:val="auto"/>
          <w:kern w:val="21"/>
          <w:sz w:val="32"/>
          <w:szCs w:val="32"/>
          <w:u w:val="single"/>
        </w:rPr>
      </w:pPr>
      <w:r>
        <w:rPr>
          <w:rFonts w:ascii="仿宋_GB2312" w:eastAsia="仿宋_GB2312" w:hAnsi="宋体" w:cs="仿宋_GB2312" w:hint="eastAsia"/>
          <w:snapToGrid/>
          <w:color w:val="auto"/>
          <w:kern w:val="21"/>
          <w:sz w:val="32"/>
          <w:szCs w:val="32"/>
        </w:rPr>
        <w:t>（八）研究提出全县战略物资储备规划、全县储备品种目录的建议。根据全县储备总体发展规划和品种目录，组织实施全县战略和应急储备物资的收储、轮换和日常管理，落实有关动用计划和指令；负责对管理的政府储备、企业储备及储备政策落实情况进行监督检查。</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（九）承担粮食监测预警和应急责任，负责全县粮食流通宏观调控的具体工作，指导协调粮食最低收购价等政策性粮食购销和粮食产销合作，保障军队粮食供应。负责重要商品储备、生活必需品的应急供应。</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负责拟订全县市场体系建设整体规划，包括商业网点、物流设施建设发展规划并组织实施；负责重要商品市场、大型商业设施、物流设施建设项目的论证、评审和报批工作；负责管理商业网点建设资金；指导大宗产品批发市场规划和城市商业网点规划、商业体系建设工作，推进农村市场体系建设，组织实施农村现代流通网络工程。负责实施粮食流通、粮食库存监督检查制度，负责对粮食收购、储存环节的粮食质量安全和原粮卫生进行监督管理。</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（十一）负责指导和管理全县招商引资工作，拟订全县招商引资政策，统一对外发布全县重点招商项目；做好客商</w:t>
      </w:r>
      <w:r>
        <w:rPr>
          <w:rFonts w:ascii="仿宋_GB2312" w:eastAsia="仿宋_GB2312" w:hAnsi="宋体" w:cs="仿宋_GB2312" w:hint="eastAsia"/>
          <w:snapToGrid/>
          <w:color w:val="auto"/>
          <w:kern w:val="21"/>
          <w:sz w:val="32"/>
          <w:szCs w:val="32"/>
        </w:rPr>
        <w:lastRenderedPageBreak/>
        <w:t>接待、商务洽谈、签约；组织招商引资中介人的认定和奖励实施；负责为外商投资提供政策法规和业务咨询服务；负责组织、协调处理外商投资企业投诉。指导县级以上经济技术开发区有关工作。</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二）负责组织内外贸易促销活动和招商引资、对外经济技术合作活动；负责组织、指导、协调以衡山县名义在境内外举办的各种内外贸易交易会、展览会、展销会和招商引资等商务活动；负责管理以县政府名义聘请的招商顾问的联络、协调工作。做好承接产业转移示范区建设投资促进有关工作。</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三）负责全县对外经济技术合作工作，拟订并执行全县对外经济技术合作的政策措施和管理办法；负责指导和监督全县对外承包工程、劳务合作、设计咨询等业务；负责全县国际经济援助和受援项目的归口管理工作。</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（十四）负责执行国家制定的进出口商品管理办法、进出口商品目录和进出口商品配额招标政策；指导、协调全县各类进出口企业的进出口业务和加工贸易业务，研究、推广国际贸易新方式。</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五）负责协调管理内外贸易科技发展和技术进出口，协调全县高新技术产品出口及出口市场的开拓和技术出口的管理工作。负责管理全县内外贸易、利用外资、国际经济合作的各项业务资金、专项资金、专项经费。</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lastRenderedPageBreak/>
        <w:t>（十六）负责全县商务和粮食系统涉及世贸组织相关事务的确定、指导和服务工作；组织协调本县反倾销、反补贴、保障措施及其他与进出口公平贸易相关工作；组织全县产业损害调查；组织协调国外对我县出口商品的反倾销、反补贴、保障措施的应诉及相关工作。</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七）负责全县商务和粮食系统统计和信息发布工作；负责指导全县流通领域信息网络和电子商务建设。负责全县社会粮食流通的统计工作，指导全县商务和粮食系统财务工作，承担全县商务和粮食系统财务建设项目和内部审计工作，按相关权限做好全县商务和粮食系统国有资产的具体管理。</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八）负责全县粮食流通、加工行业安全生产工作的监督管理，承担所属物资储备承储单位安全生产的监督责任。负责本行业、领域的应急管理工作，对本行业、领域（包括商业贸易等）的安全生产工作实施监督管理。</w:t>
      </w:r>
    </w:p>
    <w:p w:rsidR="00B454FA" w:rsidRDefault="00DF6893">
      <w:pPr>
        <w:widowControl w:val="0"/>
        <w:kinsoku/>
        <w:adjustRightInd/>
        <w:snapToGrid/>
        <w:spacing w:line="360" w:lineRule="auto"/>
        <w:ind w:firstLineChars="200" w:firstLine="640"/>
        <w:jc w:val="both"/>
        <w:rPr>
          <w:rFonts w:ascii="仿宋_GB2312" w:eastAsia="仿宋_GB2312" w:hAnsi="宋体" w:cs="仿宋_GB2312"/>
          <w:snapToGrid/>
          <w:color w:val="auto"/>
          <w:kern w:val="21"/>
          <w:sz w:val="32"/>
          <w:szCs w:val="32"/>
        </w:rPr>
      </w:pPr>
      <w:r>
        <w:rPr>
          <w:rFonts w:ascii="仿宋_GB2312" w:eastAsia="仿宋_GB2312" w:hAnsi="宋体" w:cs="仿宋_GB2312" w:hint="eastAsia"/>
          <w:snapToGrid/>
          <w:color w:val="auto"/>
          <w:kern w:val="21"/>
          <w:sz w:val="32"/>
          <w:szCs w:val="32"/>
        </w:rPr>
        <w:t>（十九）完成县委、县人民政府交办的其他任务。</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(二)人员编制情况</w:t>
      </w:r>
    </w:p>
    <w:p w:rsidR="00B454FA" w:rsidRDefault="00DF6893">
      <w:pPr>
        <w:widowControl w:val="0"/>
        <w:kinsoku/>
        <w:adjustRightInd/>
        <w:snapToGrid/>
        <w:spacing w:line="360" w:lineRule="auto"/>
        <w:ind w:firstLineChars="200" w:firstLine="640"/>
        <w:jc w:val="both"/>
        <w:rPr>
          <w:rFonts w:ascii="仿宋_GB2312" w:eastAsia="仿宋_GB2312"/>
          <w:snapToGrid/>
          <w:color w:val="auto"/>
          <w:kern w:val="21"/>
          <w:sz w:val="32"/>
          <w:szCs w:val="32"/>
        </w:rPr>
      </w:pPr>
      <w:r>
        <w:rPr>
          <w:rFonts w:ascii="仿宋_GB2312" w:eastAsia="仿宋_GB2312" w:hAnsi="宋体" w:hint="eastAsia"/>
          <w:snapToGrid/>
          <w:color w:val="auto"/>
          <w:kern w:val="21"/>
          <w:sz w:val="32"/>
          <w:szCs w:val="32"/>
        </w:rPr>
        <w:t>2022年部门决算财政供养在职人员43人、离退休人员87人、其他人员17人（原企业改制法人6人、军转干1人、长期聘任人员8人、临聘人员2人）。</w:t>
      </w:r>
    </w:p>
    <w:p w:rsidR="00B454FA" w:rsidRDefault="00DF6893">
      <w:pPr>
        <w:widowControl w:val="0"/>
        <w:kinsoku/>
        <w:adjustRightInd/>
        <w:snapToGrid/>
        <w:spacing w:line="360" w:lineRule="auto"/>
        <w:ind w:firstLineChars="200" w:firstLine="643"/>
        <w:jc w:val="both"/>
        <w:outlineLvl w:val="0"/>
        <w:rPr>
          <w:rFonts w:ascii="仿宋_GB2312" w:eastAsia="仿宋_GB2312" w:hAnsi="黑体" w:cs="黑体"/>
          <w:snapToGrid/>
          <w:color w:val="auto"/>
          <w:kern w:val="21"/>
          <w:sz w:val="32"/>
          <w:szCs w:val="32"/>
        </w:rPr>
      </w:pPr>
      <w:r>
        <w:rPr>
          <w:rFonts w:ascii="仿宋_GB2312" w:eastAsia="仿宋_GB2312" w:hAnsi="黑体" w:cs="黑体" w:hint="eastAsia"/>
          <w:b/>
          <w:bCs/>
          <w:snapToGrid/>
          <w:color w:val="auto"/>
          <w:kern w:val="21"/>
          <w:sz w:val="32"/>
          <w:szCs w:val="32"/>
        </w:rPr>
        <w:t>二、预算支出及绩效情况</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w:t>
      </w:r>
      <w:proofErr w:type="gramStart"/>
      <w:r>
        <w:rPr>
          <w:rFonts w:ascii="仿宋_GB2312" w:eastAsia="仿宋_GB2312" w:hAnsi="仿宋" w:cs="仿宋" w:hint="eastAsia"/>
          <w:snapToGrid/>
          <w:color w:val="auto"/>
          <w:kern w:val="21"/>
          <w:sz w:val="32"/>
          <w:szCs w:val="32"/>
        </w:rPr>
        <w:t>一</w:t>
      </w:r>
      <w:proofErr w:type="gramEnd"/>
      <w:r>
        <w:rPr>
          <w:rFonts w:ascii="仿宋_GB2312" w:eastAsia="仿宋_GB2312" w:hAnsi="仿宋" w:cs="仿宋" w:hint="eastAsia"/>
          <w:snapToGrid/>
          <w:color w:val="auto"/>
          <w:kern w:val="21"/>
          <w:sz w:val="32"/>
          <w:szCs w:val="32"/>
        </w:rPr>
        <w:t>)部门预决算情况</w:t>
      </w:r>
    </w:p>
    <w:p w:rsidR="00B454FA" w:rsidRDefault="00DF6893">
      <w:pPr>
        <w:widowControl w:val="0"/>
        <w:kinsoku/>
        <w:adjustRightInd/>
        <w:snapToGrid/>
        <w:spacing w:line="360" w:lineRule="auto"/>
        <w:ind w:firstLineChars="200" w:firstLine="643"/>
        <w:jc w:val="both"/>
        <w:outlineLvl w:val="0"/>
        <w:rPr>
          <w:rFonts w:ascii="仿宋_GB2312" w:eastAsia="仿宋_GB2312" w:hAnsi="仿宋" w:cs="仿宋"/>
          <w:snapToGrid/>
          <w:color w:val="auto"/>
          <w:kern w:val="21"/>
          <w:sz w:val="32"/>
          <w:szCs w:val="32"/>
        </w:rPr>
      </w:pPr>
      <w:r>
        <w:rPr>
          <w:rFonts w:ascii="仿宋_GB2312" w:eastAsia="仿宋_GB2312" w:hAnsi="仿宋" w:cs="仿宋" w:hint="eastAsia"/>
          <w:b/>
          <w:bCs/>
          <w:snapToGrid/>
          <w:color w:val="auto"/>
          <w:kern w:val="21"/>
          <w:sz w:val="32"/>
          <w:szCs w:val="32"/>
        </w:rPr>
        <w:t>1.部门预算情况</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lastRenderedPageBreak/>
        <w:t>2022年年初预算安排收入684.34万元，其中一般公共财政拨</w:t>
      </w:r>
      <w:r>
        <w:rPr>
          <w:rFonts w:ascii="仿宋_GB2312" w:eastAsia="仿宋_GB2312" w:hAnsi="仿宋" w:cs="仿宋" w:hint="eastAsia"/>
          <w:b/>
          <w:bCs/>
          <w:snapToGrid/>
          <w:color w:val="auto"/>
          <w:kern w:val="21"/>
          <w:sz w:val="32"/>
          <w:szCs w:val="32"/>
        </w:rPr>
        <w:t>款623.38</w:t>
      </w:r>
      <w:r>
        <w:rPr>
          <w:rFonts w:ascii="仿宋_GB2312" w:eastAsia="仿宋_GB2312" w:hAnsi="仿宋" w:cs="仿宋" w:hint="eastAsia"/>
          <w:snapToGrid/>
          <w:color w:val="auto"/>
          <w:kern w:val="21"/>
          <w:sz w:val="32"/>
          <w:szCs w:val="32"/>
        </w:rPr>
        <w:t>万元；2022年年初预算安排支出684.34万元，其中：基本支出</w:t>
      </w:r>
      <w:r>
        <w:rPr>
          <w:rFonts w:ascii="仿宋_GB2312" w:eastAsia="仿宋_GB2312" w:hAnsi="仿宋" w:cs="仿宋" w:hint="eastAsia"/>
          <w:b/>
          <w:bCs/>
          <w:snapToGrid/>
          <w:color w:val="auto"/>
          <w:kern w:val="21"/>
          <w:sz w:val="32"/>
          <w:szCs w:val="32"/>
        </w:rPr>
        <w:t>578.38万</w:t>
      </w:r>
      <w:r>
        <w:rPr>
          <w:rFonts w:ascii="仿宋_GB2312" w:eastAsia="仿宋_GB2312" w:hAnsi="仿宋" w:cs="仿宋" w:hint="eastAsia"/>
          <w:snapToGrid/>
          <w:color w:val="auto"/>
          <w:kern w:val="21"/>
          <w:sz w:val="32"/>
          <w:szCs w:val="32"/>
        </w:rPr>
        <w:t>元，项目支出105.96万元。</w:t>
      </w:r>
    </w:p>
    <w:p w:rsidR="00B454FA" w:rsidRDefault="00DF6893">
      <w:pPr>
        <w:widowControl w:val="0"/>
        <w:kinsoku/>
        <w:adjustRightInd/>
        <w:snapToGrid/>
        <w:spacing w:line="360" w:lineRule="auto"/>
        <w:ind w:firstLineChars="200" w:firstLine="643"/>
        <w:jc w:val="both"/>
        <w:outlineLvl w:val="0"/>
        <w:rPr>
          <w:rFonts w:ascii="仿宋_GB2312" w:eastAsia="仿宋_GB2312" w:hAnsi="仿宋" w:cs="仿宋"/>
          <w:snapToGrid/>
          <w:color w:val="auto"/>
          <w:kern w:val="21"/>
          <w:sz w:val="32"/>
          <w:szCs w:val="32"/>
        </w:rPr>
      </w:pPr>
      <w:r>
        <w:rPr>
          <w:rFonts w:ascii="仿宋_GB2312" w:eastAsia="仿宋_GB2312" w:hAnsi="仿宋" w:cs="仿宋" w:hint="eastAsia"/>
          <w:b/>
          <w:bCs/>
          <w:snapToGrid/>
          <w:color w:val="auto"/>
          <w:kern w:val="21"/>
          <w:sz w:val="32"/>
          <w:szCs w:val="32"/>
        </w:rPr>
        <w:t>2.部门决算情况(</w:t>
      </w:r>
      <w:proofErr w:type="gramStart"/>
      <w:r>
        <w:rPr>
          <w:rFonts w:ascii="仿宋_GB2312" w:eastAsia="仿宋_GB2312" w:hAnsi="仿宋" w:cs="仿宋" w:hint="eastAsia"/>
          <w:b/>
          <w:bCs/>
          <w:snapToGrid/>
          <w:color w:val="auto"/>
          <w:kern w:val="21"/>
          <w:sz w:val="32"/>
          <w:szCs w:val="32"/>
        </w:rPr>
        <w:t>含年中</w:t>
      </w:r>
      <w:proofErr w:type="gramEnd"/>
      <w:r>
        <w:rPr>
          <w:rFonts w:ascii="仿宋_GB2312" w:eastAsia="仿宋_GB2312" w:hAnsi="仿宋" w:cs="仿宋" w:hint="eastAsia"/>
          <w:b/>
          <w:bCs/>
          <w:snapToGrid/>
          <w:color w:val="auto"/>
          <w:kern w:val="21"/>
          <w:sz w:val="32"/>
          <w:szCs w:val="32"/>
        </w:rPr>
        <w:t>预算追加情况)</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2022年决算总收入2695.59万元，</w:t>
      </w:r>
      <w:proofErr w:type="gramStart"/>
      <w:r>
        <w:rPr>
          <w:rFonts w:ascii="仿宋_GB2312" w:eastAsia="仿宋_GB2312" w:hAnsi="仿宋" w:cs="仿宋" w:hint="eastAsia"/>
          <w:snapToGrid/>
          <w:color w:val="auto"/>
          <w:kern w:val="21"/>
          <w:sz w:val="32"/>
          <w:szCs w:val="32"/>
        </w:rPr>
        <w:t>较预算</w:t>
      </w:r>
      <w:proofErr w:type="gramEnd"/>
      <w:r>
        <w:rPr>
          <w:rFonts w:ascii="仿宋_GB2312" w:eastAsia="仿宋_GB2312" w:hAnsi="仿宋" w:cs="仿宋" w:hint="eastAsia"/>
          <w:snapToGrid/>
          <w:color w:val="auto"/>
          <w:kern w:val="21"/>
          <w:sz w:val="32"/>
          <w:szCs w:val="32"/>
        </w:rPr>
        <w:t>增加2011.25万元，总支出2669.35万元，其中：基本支出915.76万元，占总支出的34.31%;项目支出</w:t>
      </w:r>
      <w:r>
        <w:rPr>
          <w:rFonts w:ascii="仿宋_GB2312" w:eastAsia="仿宋_GB2312" w:hAnsi="仿宋" w:cs="仿宋" w:hint="eastAsia"/>
          <w:b/>
          <w:bCs/>
          <w:snapToGrid/>
          <w:color w:val="auto"/>
          <w:kern w:val="21"/>
          <w:sz w:val="32"/>
          <w:szCs w:val="32"/>
        </w:rPr>
        <w:t>1753.59</w:t>
      </w:r>
      <w:r>
        <w:rPr>
          <w:rFonts w:ascii="仿宋_GB2312" w:eastAsia="仿宋_GB2312" w:hAnsi="仿宋" w:cs="仿宋" w:hint="eastAsia"/>
          <w:snapToGrid/>
          <w:color w:val="auto"/>
          <w:kern w:val="21"/>
          <w:sz w:val="32"/>
          <w:szCs w:val="32"/>
        </w:rPr>
        <w:t>万元，占总支出的65.69%。差异产生的主要原因是：年初预算只针对部门日常支出未含部门重点项目支出。</w:t>
      </w:r>
    </w:p>
    <w:p w:rsidR="00B454FA" w:rsidRDefault="00DF6893">
      <w:pPr>
        <w:widowControl w:val="0"/>
        <w:kinsoku/>
        <w:adjustRightInd/>
        <w:snapToGrid/>
        <w:spacing w:line="360" w:lineRule="auto"/>
        <w:ind w:firstLineChars="200" w:firstLine="643"/>
        <w:jc w:val="both"/>
        <w:outlineLvl w:val="0"/>
        <w:rPr>
          <w:rFonts w:ascii="仿宋_GB2312" w:eastAsia="仿宋_GB2312" w:hAnsi="仿宋" w:cs="仿宋"/>
          <w:snapToGrid/>
          <w:color w:val="auto"/>
          <w:kern w:val="21"/>
          <w:sz w:val="32"/>
          <w:szCs w:val="32"/>
        </w:rPr>
      </w:pPr>
      <w:r>
        <w:rPr>
          <w:rFonts w:ascii="仿宋_GB2312" w:eastAsia="仿宋_GB2312" w:hAnsi="仿宋" w:cs="仿宋" w:hint="eastAsia"/>
          <w:b/>
          <w:bCs/>
          <w:snapToGrid/>
          <w:color w:val="auto"/>
          <w:kern w:val="21"/>
          <w:sz w:val="32"/>
          <w:szCs w:val="32"/>
        </w:rPr>
        <w:t>3."三公"经费执行情况</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2022年"三公"经费预算数23万元，其中：因公出国(境)费0万元，公务用车购置及运行维护费11万元，公务接待费12万元。"三公"经费决算数9.81元，其中：因公出国(境)费0万万元，公务用车运行维护费4.64万元，公务接待费5.17万元。</w:t>
      </w:r>
    </w:p>
    <w:p w:rsidR="00B454FA" w:rsidRDefault="00DF6893">
      <w:pPr>
        <w:widowControl w:val="0"/>
        <w:kinsoku/>
        <w:adjustRightInd/>
        <w:snapToGrid/>
        <w:spacing w:line="360" w:lineRule="auto"/>
        <w:ind w:firstLineChars="200" w:firstLine="643"/>
        <w:jc w:val="both"/>
        <w:outlineLvl w:val="0"/>
        <w:rPr>
          <w:rFonts w:ascii="仿宋_GB2312" w:eastAsia="仿宋_GB2312" w:hAnsi="仿宋" w:cs="仿宋"/>
          <w:snapToGrid/>
          <w:color w:val="auto"/>
          <w:kern w:val="21"/>
          <w:sz w:val="32"/>
          <w:szCs w:val="32"/>
        </w:rPr>
      </w:pPr>
      <w:r>
        <w:rPr>
          <w:rFonts w:ascii="仿宋_GB2312" w:eastAsia="仿宋_GB2312" w:hAnsi="仿宋" w:cs="仿宋" w:hint="eastAsia"/>
          <w:b/>
          <w:bCs/>
          <w:snapToGrid/>
          <w:color w:val="auto"/>
          <w:kern w:val="21"/>
          <w:sz w:val="32"/>
          <w:szCs w:val="32"/>
        </w:rPr>
        <w:t>4.政府采购执行情况</w:t>
      </w:r>
    </w:p>
    <w:p w:rsidR="00B454FA" w:rsidRDefault="00DF6893">
      <w:pPr>
        <w:widowControl w:val="0"/>
        <w:kinsoku/>
        <w:adjustRightInd/>
        <w:snapToGrid/>
        <w:spacing w:line="360" w:lineRule="auto"/>
        <w:ind w:firstLineChars="200" w:firstLine="620"/>
        <w:jc w:val="both"/>
        <w:rPr>
          <w:rFonts w:ascii="仿宋_GB2312" w:eastAsia="仿宋_GB2312" w:hAnsi="仿宋" w:cs="仿宋"/>
          <w:snapToGrid/>
          <w:color w:val="auto"/>
          <w:kern w:val="21"/>
          <w:sz w:val="31"/>
          <w:szCs w:val="31"/>
        </w:rPr>
      </w:pPr>
      <w:r>
        <w:rPr>
          <w:rFonts w:ascii="仿宋_GB2312" w:eastAsia="仿宋_GB2312" w:hAnsi="仿宋" w:cs="仿宋" w:hint="eastAsia"/>
          <w:snapToGrid/>
          <w:color w:val="auto"/>
          <w:kern w:val="21"/>
          <w:sz w:val="31"/>
          <w:szCs w:val="31"/>
        </w:rPr>
        <w:t>2022年度政府采购支出54.15万元，其中：货物31.26万元</w:t>
      </w:r>
      <w:proofErr w:type="gramStart"/>
      <w:r>
        <w:rPr>
          <w:rFonts w:ascii="仿宋_GB2312" w:eastAsia="仿宋_GB2312" w:hAnsi="仿宋" w:cs="仿宋" w:hint="eastAsia"/>
          <w:snapToGrid/>
          <w:color w:val="auto"/>
          <w:kern w:val="21"/>
          <w:sz w:val="31"/>
          <w:szCs w:val="31"/>
        </w:rPr>
        <w:t>元</w:t>
      </w:r>
      <w:proofErr w:type="gramEnd"/>
      <w:r>
        <w:rPr>
          <w:rFonts w:ascii="仿宋_GB2312" w:eastAsia="仿宋_GB2312" w:hAnsi="仿宋" w:cs="仿宋" w:hint="eastAsia"/>
          <w:snapToGrid/>
          <w:color w:val="auto"/>
          <w:kern w:val="21"/>
          <w:sz w:val="31"/>
          <w:szCs w:val="31"/>
        </w:rPr>
        <w:t>，工程</w:t>
      </w:r>
      <w:r>
        <w:rPr>
          <w:rFonts w:ascii="仿宋_GB2312" w:eastAsia="仿宋_GB2312" w:hAnsi="仿宋" w:cs="仿宋" w:hint="eastAsia"/>
          <w:b/>
          <w:bCs/>
          <w:snapToGrid/>
          <w:color w:val="auto"/>
          <w:kern w:val="21"/>
          <w:sz w:val="31"/>
          <w:szCs w:val="31"/>
        </w:rPr>
        <w:t>22.89</w:t>
      </w:r>
      <w:r>
        <w:rPr>
          <w:rFonts w:ascii="仿宋_GB2312" w:eastAsia="仿宋_GB2312" w:hAnsi="仿宋" w:cs="仿宋" w:hint="eastAsia"/>
          <w:snapToGrid/>
          <w:color w:val="auto"/>
          <w:kern w:val="21"/>
          <w:sz w:val="31"/>
          <w:szCs w:val="31"/>
        </w:rPr>
        <w:t>万元，服务0万元。</w:t>
      </w:r>
    </w:p>
    <w:p w:rsidR="00B454FA" w:rsidRDefault="00DF6893">
      <w:pPr>
        <w:widowControl w:val="0"/>
        <w:kinsoku/>
        <w:adjustRightInd/>
        <w:snapToGrid/>
        <w:spacing w:line="360" w:lineRule="auto"/>
        <w:ind w:firstLineChars="200" w:firstLine="643"/>
        <w:jc w:val="both"/>
        <w:outlineLvl w:val="0"/>
        <w:rPr>
          <w:rFonts w:ascii="仿宋_GB2312" w:eastAsia="仿宋_GB2312" w:hAnsi="仿宋" w:cs="仿宋"/>
          <w:snapToGrid/>
          <w:color w:val="auto"/>
          <w:kern w:val="21"/>
          <w:sz w:val="32"/>
          <w:szCs w:val="32"/>
        </w:rPr>
      </w:pPr>
      <w:r>
        <w:rPr>
          <w:rFonts w:ascii="仿宋_GB2312" w:eastAsia="仿宋_GB2312" w:hAnsi="仿宋" w:cs="仿宋" w:hint="eastAsia"/>
          <w:b/>
          <w:bCs/>
          <w:snapToGrid/>
          <w:color w:val="auto"/>
          <w:kern w:val="21"/>
          <w:sz w:val="32"/>
          <w:szCs w:val="32"/>
        </w:rPr>
        <w:t>5.资产管理情况</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2022年年</w:t>
      </w:r>
      <w:proofErr w:type="gramStart"/>
      <w:r>
        <w:rPr>
          <w:rFonts w:ascii="仿宋_GB2312" w:eastAsia="仿宋_GB2312" w:hAnsi="仿宋" w:cs="仿宋" w:hint="eastAsia"/>
          <w:snapToGrid/>
          <w:color w:val="auto"/>
          <w:kern w:val="21"/>
          <w:sz w:val="32"/>
          <w:szCs w:val="32"/>
        </w:rPr>
        <w:t>末资产</w:t>
      </w:r>
      <w:proofErr w:type="gramEnd"/>
      <w:r>
        <w:rPr>
          <w:rFonts w:ascii="仿宋_GB2312" w:eastAsia="仿宋_GB2312" w:hAnsi="仿宋" w:cs="仿宋" w:hint="eastAsia"/>
          <w:snapToGrid/>
          <w:color w:val="auto"/>
          <w:kern w:val="21"/>
          <w:sz w:val="32"/>
          <w:szCs w:val="32"/>
        </w:rPr>
        <w:t>总额9273.2万元，负债总额8882.31万元，净资产</w:t>
      </w:r>
      <w:r>
        <w:rPr>
          <w:rFonts w:ascii="仿宋_GB2312" w:eastAsia="仿宋_GB2312" w:hAnsi="仿宋" w:cs="仿宋" w:hint="eastAsia"/>
          <w:b/>
          <w:bCs/>
          <w:snapToGrid/>
          <w:color w:val="auto"/>
          <w:kern w:val="21"/>
          <w:sz w:val="32"/>
          <w:szCs w:val="32"/>
        </w:rPr>
        <w:t>390.89</w:t>
      </w:r>
      <w:r>
        <w:rPr>
          <w:rFonts w:ascii="仿宋_GB2312" w:eastAsia="仿宋_GB2312" w:hAnsi="仿宋" w:cs="仿宋" w:hint="eastAsia"/>
          <w:snapToGrid/>
          <w:color w:val="auto"/>
          <w:kern w:val="21"/>
          <w:sz w:val="32"/>
          <w:szCs w:val="32"/>
        </w:rPr>
        <w:t>万元。截至2022年12月31日，固定资产账面原值612.09万元，在用资产612.09万元，资产使用率100%。</w:t>
      </w:r>
    </w:p>
    <w:p w:rsidR="00B454FA" w:rsidRDefault="00DF6893">
      <w:pPr>
        <w:widowControl w:val="0"/>
        <w:kinsoku/>
        <w:adjustRightInd/>
        <w:snapToGrid/>
        <w:spacing w:line="360" w:lineRule="auto"/>
        <w:ind w:firstLineChars="200" w:firstLine="643"/>
        <w:jc w:val="both"/>
        <w:rPr>
          <w:rFonts w:ascii="仿宋_GB2312" w:eastAsia="仿宋_GB2312" w:hAnsi="仿宋" w:cs="仿宋"/>
          <w:snapToGrid/>
          <w:color w:val="auto"/>
          <w:kern w:val="21"/>
          <w:sz w:val="32"/>
          <w:szCs w:val="32"/>
        </w:rPr>
      </w:pPr>
      <w:r>
        <w:rPr>
          <w:rFonts w:ascii="仿宋_GB2312" w:eastAsia="仿宋_GB2312" w:hAnsi="仿宋" w:cs="仿宋" w:hint="eastAsia"/>
          <w:b/>
          <w:bCs/>
          <w:snapToGrid/>
          <w:color w:val="auto"/>
          <w:kern w:val="21"/>
          <w:sz w:val="32"/>
          <w:szCs w:val="32"/>
        </w:rPr>
        <w:lastRenderedPageBreak/>
        <w:t>(二)资金使用及绩效情况</w:t>
      </w:r>
    </w:p>
    <w:p w:rsidR="00B454FA" w:rsidRDefault="00DF6893">
      <w:pPr>
        <w:widowControl w:val="0"/>
        <w:kinsoku/>
        <w:adjustRightInd/>
        <w:snapToGrid/>
        <w:spacing w:line="360" w:lineRule="auto"/>
        <w:ind w:firstLineChars="200" w:firstLine="643"/>
        <w:jc w:val="both"/>
        <w:rPr>
          <w:rFonts w:ascii="仿宋_GB2312" w:eastAsia="仿宋_GB2312" w:hAnsi="仿宋" w:cs="仿宋"/>
          <w:b/>
          <w:bCs/>
          <w:snapToGrid/>
          <w:color w:val="auto"/>
          <w:kern w:val="21"/>
          <w:sz w:val="32"/>
          <w:szCs w:val="32"/>
        </w:rPr>
      </w:pPr>
      <w:r>
        <w:rPr>
          <w:rFonts w:ascii="仿宋_GB2312" w:eastAsia="仿宋_GB2312" w:hAnsi="仿宋" w:cs="仿宋" w:hint="eastAsia"/>
          <w:b/>
          <w:bCs/>
          <w:snapToGrid/>
          <w:color w:val="auto"/>
          <w:kern w:val="21"/>
          <w:sz w:val="32"/>
          <w:szCs w:val="32"/>
        </w:rPr>
        <w:t>1.整体绩效目标完成情况</w:t>
      </w:r>
    </w:p>
    <w:p w:rsidR="00B454FA" w:rsidRDefault="00DF6893">
      <w:pPr>
        <w:widowControl w:val="0"/>
        <w:kinsoku/>
        <w:adjustRightInd/>
        <w:snapToGrid/>
        <w:spacing w:line="360" w:lineRule="auto"/>
        <w:ind w:firstLineChars="200" w:firstLine="640"/>
        <w:jc w:val="both"/>
        <w:rPr>
          <w:rFonts w:ascii="仿宋_GB2312" w:eastAsia="仿宋_GB2312" w:hAnsi="微软雅黑"/>
          <w:snapToGrid/>
          <w:color w:val="auto"/>
          <w:kern w:val="21"/>
          <w:sz w:val="32"/>
          <w:szCs w:val="32"/>
        </w:rPr>
      </w:pPr>
      <w:r>
        <w:rPr>
          <w:rFonts w:ascii="仿宋_GB2312" w:eastAsia="仿宋_GB2312" w:hAnsi="微软雅黑" w:hint="eastAsia"/>
          <w:snapToGrid/>
          <w:color w:val="auto"/>
          <w:kern w:val="21"/>
          <w:sz w:val="32"/>
          <w:szCs w:val="32"/>
        </w:rPr>
        <w:t>今年以来，在县委、县政府的正确领导下，</w:t>
      </w:r>
      <w:proofErr w:type="gramStart"/>
      <w:r>
        <w:rPr>
          <w:rFonts w:ascii="仿宋_GB2312" w:eastAsia="仿宋_GB2312" w:hAnsi="微软雅黑" w:hint="eastAsia"/>
          <w:snapToGrid/>
          <w:color w:val="auto"/>
          <w:kern w:val="21"/>
          <w:sz w:val="32"/>
          <w:szCs w:val="32"/>
        </w:rPr>
        <w:t>县商</w:t>
      </w:r>
      <w:r w:rsidR="007D6183">
        <w:rPr>
          <w:rFonts w:ascii="仿宋_GB2312" w:eastAsia="仿宋_GB2312" w:hAnsi="微软雅黑" w:hint="eastAsia"/>
          <w:snapToGrid/>
          <w:color w:val="auto"/>
          <w:kern w:val="21"/>
          <w:sz w:val="32"/>
          <w:szCs w:val="32"/>
        </w:rPr>
        <w:t>粮</w:t>
      </w:r>
      <w:r>
        <w:rPr>
          <w:rFonts w:ascii="仿宋_GB2312" w:eastAsia="仿宋_GB2312" w:hAnsi="微软雅黑" w:hint="eastAsia"/>
          <w:snapToGrid/>
          <w:color w:val="auto"/>
          <w:kern w:val="21"/>
          <w:sz w:val="32"/>
          <w:szCs w:val="32"/>
        </w:rPr>
        <w:t>局</w:t>
      </w:r>
      <w:proofErr w:type="gramEnd"/>
      <w:r>
        <w:rPr>
          <w:rFonts w:ascii="仿宋_GB2312" w:eastAsia="仿宋_GB2312" w:hAnsi="微软雅黑" w:hint="eastAsia"/>
          <w:snapToGrid/>
          <w:color w:val="auto"/>
          <w:kern w:val="21"/>
          <w:sz w:val="32"/>
          <w:szCs w:val="32"/>
        </w:rPr>
        <w:t>以习近平新时代中国特色社会主义思想为指引，深入贯彻党的十九大、二十大和习近平总书记考察湖南时的重要讲话精神，积极发挥商务工作职能，强化自身建设，助力经济社会发展，较好完成了各项工作任务。</w:t>
      </w:r>
    </w:p>
    <w:p w:rsidR="00B454FA" w:rsidRDefault="00DF6893">
      <w:pPr>
        <w:widowControl w:val="0"/>
        <w:kinsoku/>
        <w:adjustRightInd/>
        <w:snapToGrid/>
        <w:spacing w:line="360" w:lineRule="auto"/>
        <w:ind w:firstLineChars="200" w:firstLine="643"/>
        <w:jc w:val="both"/>
        <w:rPr>
          <w:rFonts w:ascii="仿宋_GB2312" w:eastAsia="仿宋_GB2312" w:hAnsi="楷体"/>
          <w:b/>
          <w:snapToGrid/>
          <w:color w:val="auto"/>
          <w:kern w:val="21"/>
          <w:sz w:val="32"/>
          <w:szCs w:val="32"/>
        </w:rPr>
      </w:pPr>
      <w:r>
        <w:rPr>
          <w:rFonts w:ascii="仿宋_GB2312" w:eastAsia="仿宋_GB2312" w:hAnsi="楷体" w:hint="eastAsia"/>
          <w:b/>
          <w:snapToGrid/>
          <w:color w:val="auto"/>
          <w:kern w:val="21"/>
          <w:sz w:val="32"/>
          <w:szCs w:val="32"/>
        </w:rPr>
        <w:t>（一）商贸工作积极谋划，经济社会指标全面发展。</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hint="eastAsia"/>
          <w:b/>
          <w:snapToGrid/>
          <w:color w:val="auto"/>
          <w:kern w:val="21"/>
          <w:sz w:val="32"/>
          <w:szCs w:val="32"/>
        </w:rPr>
        <w:t>一是招商引资稳步推进。</w:t>
      </w:r>
      <w:r>
        <w:rPr>
          <w:rFonts w:ascii="仿宋_GB2312" w:eastAsia="仿宋_GB2312" w:hAnsi="微软雅黑" w:hint="eastAsia"/>
          <w:snapToGrid/>
          <w:color w:val="auto"/>
          <w:kern w:val="21"/>
          <w:sz w:val="32"/>
          <w:szCs w:val="32"/>
        </w:rPr>
        <w:t>截至11月，我县实际使用内资68.07亿元，同比增长20.49%，已完成</w:t>
      </w:r>
      <w:proofErr w:type="gramStart"/>
      <w:r>
        <w:rPr>
          <w:rFonts w:ascii="仿宋_GB2312" w:eastAsia="仿宋_GB2312" w:hAnsi="微软雅黑" w:hint="eastAsia"/>
          <w:snapToGrid/>
          <w:color w:val="auto"/>
          <w:kern w:val="21"/>
          <w:sz w:val="32"/>
          <w:szCs w:val="32"/>
        </w:rPr>
        <w:t>年奋斗</w:t>
      </w:r>
      <w:proofErr w:type="gramEnd"/>
      <w:r>
        <w:rPr>
          <w:rFonts w:ascii="仿宋_GB2312" w:eastAsia="仿宋_GB2312" w:hAnsi="微软雅黑" w:hint="eastAsia"/>
          <w:snapToGrid/>
          <w:color w:val="auto"/>
          <w:kern w:val="21"/>
          <w:sz w:val="32"/>
          <w:szCs w:val="32"/>
        </w:rPr>
        <w:t>目标任务（71亿）的95.87%，“五制</w:t>
      </w:r>
      <w:proofErr w:type="gramStart"/>
      <w:r>
        <w:rPr>
          <w:rFonts w:ascii="仿宋_GB2312" w:eastAsia="仿宋_GB2312" w:hAnsi="微软雅黑" w:hint="eastAsia"/>
          <w:snapToGrid/>
          <w:color w:val="auto"/>
          <w:kern w:val="21"/>
          <w:sz w:val="32"/>
          <w:szCs w:val="32"/>
        </w:rPr>
        <w:t>一</w:t>
      </w:r>
      <w:proofErr w:type="gramEnd"/>
      <w:r>
        <w:rPr>
          <w:rFonts w:ascii="仿宋_GB2312" w:eastAsia="仿宋_GB2312" w:hAnsi="微软雅黑" w:hint="eastAsia"/>
          <w:snapToGrid/>
          <w:color w:val="auto"/>
          <w:kern w:val="21"/>
          <w:sz w:val="32"/>
          <w:szCs w:val="32"/>
        </w:rPr>
        <w:t>平台”招商引资考核，截至11月，我县“五制</w:t>
      </w:r>
      <w:proofErr w:type="gramStart"/>
      <w:r>
        <w:rPr>
          <w:rFonts w:ascii="仿宋_GB2312" w:eastAsia="仿宋_GB2312" w:hAnsi="微软雅黑" w:hint="eastAsia"/>
          <w:snapToGrid/>
          <w:color w:val="auto"/>
          <w:kern w:val="21"/>
          <w:sz w:val="32"/>
          <w:szCs w:val="32"/>
        </w:rPr>
        <w:t>一</w:t>
      </w:r>
      <w:proofErr w:type="gramEnd"/>
      <w:r>
        <w:rPr>
          <w:rFonts w:ascii="仿宋_GB2312" w:eastAsia="仿宋_GB2312" w:hAnsi="微软雅黑" w:hint="eastAsia"/>
          <w:snapToGrid/>
          <w:color w:val="auto"/>
          <w:kern w:val="21"/>
          <w:sz w:val="32"/>
          <w:szCs w:val="32"/>
        </w:rPr>
        <w:t>平台”入库项目10个，总引资额9.9亿元，到位资金81240万元，项目履约率100%，开工率100%，资金到位率达82.06%，备案监督（履约率）排名七县（市）第1，引资榜排名七县（市）第7，总排名七县（市）第7。“三类500强”项目引进方面，我县已与排名中国500强企业第41名的中国能源建设集团有限公司的全资子公司中国能源建设集团投资有限公司下辖中南分公司签订了衡山县</w:t>
      </w:r>
      <w:proofErr w:type="gramStart"/>
      <w:r>
        <w:rPr>
          <w:rFonts w:ascii="仿宋_GB2312" w:eastAsia="仿宋_GB2312" w:hAnsi="微软雅黑" w:hint="eastAsia"/>
          <w:snapToGrid/>
          <w:color w:val="auto"/>
          <w:kern w:val="21"/>
          <w:sz w:val="32"/>
          <w:szCs w:val="32"/>
        </w:rPr>
        <w:t>糖铺光</w:t>
      </w:r>
      <w:proofErr w:type="gramEnd"/>
      <w:r>
        <w:rPr>
          <w:rFonts w:ascii="仿宋_GB2312" w:eastAsia="仿宋_GB2312" w:hAnsi="微软雅黑" w:hint="eastAsia"/>
          <w:snapToGrid/>
          <w:color w:val="auto"/>
          <w:kern w:val="21"/>
          <w:sz w:val="32"/>
          <w:szCs w:val="32"/>
        </w:rPr>
        <w:t>伏发电项目，与民营500强企业金荣集团签订PBOS模式产业发展战略合作协议，引进木林森股份有限公司（2021年《财富》中国500强排行榜第500位）与本土企业湖南耀湘机械有限公司，本土成功人士杨友文、李</w:t>
      </w:r>
      <w:proofErr w:type="gramStart"/>
      <w:r>
        <w:rPr>
          <w:rFonts w:ascii="仿宋_GB2312" w:eastAsia="仿宋_GB2312" w:hAnsi="微软雅黑" w:hint="eastAsia"/>
          <w:snapToGrid/>
          <w:color w:val="auto"/>
          <w:kern w:val="21"/>
          <w:sz w:val="32"/>
          <w:szCs w:val="32"/>
        </w:rPr>
        <w:t>主湘共同</w:t>
      </w:r>
      <w:proofErr w:type="gramEnd"/>
      <w:r>
        <w:rPr>
          <w:rFonts w:ascii="仿宋_GB2312" w:eastAsia="仿宋_GB2312" w:hAnsi="微软雅黑" w:hint="eastAsia"/>
          <w:snapToGrid/>
          <w:color w:val="auto"/>
          <w:kern w:val="21"/>
          <w:sz w:val="32"/>
          <w:szCs w:val="32"/>
        </w:rPr>
        <w:t>投资建设</w:t>
      </w:r>
      <w:proofErr w:type="gramStart"/>
      <w:r>
        <w:rPr>
          <w:rFonts w:ascii="仿宋_GB2312" w:eastAsia="仿宋_GB2312" w:hAnsi="微软雅黑" w:hint="eastAsia"/>
          <w:snapToGrid/>
          <w:color w:val="auto"/>
          <w:kern w:val="21"/>
          <w:sz w:val="32"/>
          <w:szCs w:val="32"/>
        </w:rPr>
        <w:t>育秧机</w:t>
      </w:r>
      <w:proofErr w:type="gramEnd"/>
      <w:r>
        <w:rPr>
          <w:rFonts w:ascii="仿宋_GB2312" w:eastAsia="仿宋_GB2312" w:hAnsi="微软雅黑" w:hint="eastAsia"/>
          <w:snapToGrid/>
          <w:color w:val="auto"/>
          <w:kern w:val="21"/>
          <w:sz w:val="32"/>
          <w:szCs w:val="32"/>
        </w:rPr>
        <w:t>及植</w:t>
      </w:r>
      <w:r>
        <w:rPr>
          <w:rFonts w:ascii="仿宋_GB2312" w:eastAsia="仿宋_GB2312" w:hAnsi="微软雅黑" w:hint="eastAsia"/>
          <w:snapToGrid/>
          <w:color w:val="auto"/>
          <w:kern w:val="21"/>
          <w:sz w:val="32"/>
          <w:szCs w:val="32"/>
        </w:rPr>
        <w:lastRenderedPageBreak/>
        <w:t>物照明设备生产项目，已完成年任务（2个）的100%。主要措施为：</w:t>
      </w:r>
    </w:p>
    <w:p w:rsidR="00B454FA" w:rsidRDefault="00DF6893">
      <w:pPr>
        <w:widowControl w:val="0"/>
        <w:kinsoku/>
        <w:adjustRightInd/>
        <w:snapToGrid/>
        <w:spacing w:line="360" w:lineRule="auto"/>
        <w:ind w:firstLineChars="200" w:firstLine="640"/>
        <w:jc w:val="both"/>
        <w:rPr>
          <w:rFonts w:ascii="仿宋_GB2312" w:eastAsia="仿宋_GB2312" w:hAnsi="微软雅黑"/>
          <w:snapToGrid/>
          <w:color w:val="auto"/>
          <w:kern w:val="21"/>
          <w:sz w:val="32"/>
          <w:szCs w:val="32"/>
        </w:rPr>
      </w:pPr>
      <w:r>
        <w:rPr>
          <w:rFonts w:ascii="仿宋_GB2312" w:eastAsia="仿宋_GB2312" w:hAnsi="微软雅黑" w:hint="eastAsia"/>
          <w:snapToGrid/>
          <w:color w:val="auto"/>
          <w:kern w:val="21"/>
          <w:sz w:val="32"/>
          <w:szCs w:val="32"/>
        </w:rPr>
        <w:t>1、争取主要领导重视。1-11月，由县委、县政府主要领导带队，多次组团赴柳州、贺州、深圳、珠海、北京、长沙、佛山、中山、江西、云南等地开展了上门招商活动，对接洽谈了</w:t>
      </w:r>
      <w:proofErr w:type="gramStart"/>
      <w:r>
        <w:rPr>
          <w:rFonts w:ascii="仿宋_GB2312" w:eastAsia="仿宋_GB2312" w:hAnsi="微软雅黑" w:hint="eastAsia"/>
          <w:snapToGrid/>
          <w:color w:val="auto"/>
          <w:kern w:val="21"/>
          <w:sz w:val="32"/>
          <w:szCs w:val="32"/>
        </w:rPr>
        <w:t>开云湖五星级</w:t>
      </w:r>
      <w:proofErr w:type="gramEnd"/>
      <w:r>
        <w:rPr>
          <w:rFonts w:ascii="仿宋_GB2312" w:eastAsia="仿宋_GB2312" w:hAnsi="微软雅黑" w:hint="eastAsia"/>
          <w:snapToGrid/>
          <w:color w:val="auto"/>
          <w:kern w:val="21"/>
          <w:sz w:val="32"/>
          <w:szCs w:val="32"/>
        </w:rPr>
        <w:t>度假酒店、啤酒小镇、衡山巷子、中山木林森集团注资</w:t>
      </w:r>
      <w:proofErr w:type="gramStart"/>
      <w:r>
        <w:rPr>
          <w:rFonts w:ascii="仿宋_GB2312" w:eastAsia="仿宋_GB2312" w:hAnsi="微软雅黑" w:hint="eastAsia"/>
          <w:snapToGrid/>
          <w:color w:val="auto"/>
          <w:kern w:val="21"/>
          <w:sz w:val="32"/>
          <w:szCs w:val="32"/>
        </w:rPr>
        <w:t>祥</w:t>
      </w:r>
      <w:proofErr w:type="gramEnd"/>
      <w:r>
        <w:rPr>
          <w:rFonts w:ascii="仿宋_GB2312" w:eastAsia="仿宋_GB2312" w:hAnsi="微软雅黑" w:hint="eastAsia"/>
          <w:snapToGrid/>
          <w:color w:val="auto"/>
          <w:kern w:val="21"/>
          <w:sz w:val="32"/>
          <w:szCs w:val="32"/>
        </w:rPr>
        <w:t>友</w:t>
      </w:r>
      <w:proofErr w:type="gramStart"/>
      <w:r>
        <w:rPr>
          <w:rFonts w:ascii="仿宋_GB2312" w:eastAsia="仿宋_GB2312" w:hAnsi="微软雅黑" w:hint="eastAsia"/>
          <w:snapToGrid/>
          <w:color w:val="auto"/>
          <w:kern w:val="21"/>
          <w:sz w:val="32"/>
          <w:szCs w:val="32"/>
        </w:rPr>
        <w:t>—耀湘</w:t>
      </w:r>
      <w:proofErr w:type="gramEnd"/>
      <w:r>
        <w:rPr>
          <w:rFonts w:ascii="仿宋_GB2312" w:eastAsia="仿宋_GB2312" w:hAnsi="微软雅黑" w:hint="eastAsia"/>
          <w:snapToGrid/>
          <w:color w:val="auto"/>
          <w:kern w:val="21"/>
          <w:sz w:val="32"/>
          <w:szCs w:val="32"/>
        </w:rPr>
        <w:t>的循环运动式育秧苗床生产、华彪电动车研发生产基地等多个项目，并与来</w:t>
      </w:r>
      <w:proofErr w:type="gramStart"/>
      <w:r>
        <w:rPr>
          <w:rFonts w:ascii="仿宋_GB2312" w:eastAsia="仿宋_GB2312" w:hAnsi="微软雅黑" w:hint="eastAsia"/>
          <w:snapToGrid/>
          <w:color w:val="auto"/>
          <w:kern w:val="21"/>
          <w:sz w:val="32"/>
          <w:szCs w:val="32"/>
        </w:rPr>
        <w:t>衡投资</w:t>
      </w:r>
      <w:proofErr w:type="gramEnd"/>
      <w:r>
        <w:rPr>
          <w:rFonts w:ascii="仿宋_GB2312" w:eastAsia="仿宋_GB2312" w:hAnsi="微软雅黑" w:hint="eastAsia"/>
          <w:snapToGrid/>
          <w:color w:val="auto"/>
          <w:kern w:val="21"/>
          <w:sz w:val="32"/>
          <w:szCs w:val="32"/>
        </w:rPr>
        <w:t>考察的客商洽谈了开云农贸市场重建、华润屋顶光伏发电、紫盖峰民宿酒店及</w:t>
      </w:r>
      <w:proofErr w:type="gramStart"/>
      <w:r>
        <w:rPr>
          <w:rFonts w:ascii="仿宋_GB2312" w:eastAsia="仿宋_GB2312" w:hAnsi="微软雅黑" w:hint="eastAsia"/>
          <w:snapToGrid/>
          <w:color w:val="auto"/>
          <w:kern w:val="21"/>
          <w:sz w:val="32"/>
          <w:szCs w:val="32"/>
        </w:rPr>
        <w:t>研学基地</w:t>
      </w:r>
      <w:proofErr w:type="gramEnd"/>
      <w:r>
        <w:rPr>
          <w:rFonts w:ascii="仿宋_GB2312" w:eastAsia="仿宋_GB2312" w:hAnsi="微软雅黑" w:hint="eastAsia"/>
          <w:snapToGrid/>
          <w:color w:val="auto"/>
          <w:kern w:val="21"/>
          <w:sz w:val="32"/>
          <w:szCs w:val="32"/>
        </w:rPr>
        <w:t>建设、时代广场商业综合体、八里小镇智慧</w:t>
      </w:r>
      <w:proofErr w:type="gramStart"/>
      <w:r>
        <w:rPr>
          <w:rFonts w:ascii="仿宋_GB2312" w:eastAsia="仿宋_GB2312" w:hAnsi="微软雅黑" w:hint="eastAsia"/>
          <w:snapToGrid/>
          <w:color w:val="auto"/>
          <w:kern w:val="21"/>
          <w:sz w:val="32"/>
          <w:szCs w:val="32"/>
        </w:rPr>
        <w:t>康养及农旅</w:t>
      </w:r>
      <w:proofErr w:type="gramEnd"/>
      <w:r>
        <w:rPr>
          <w:rFonts w:ascii="仿宋_GB2312" w:eastAsia="仿宋_GB2312" w:hAnsi="微软雅黑" w:hint="eastAsia"/>
          <w:snapToGrid/>
          <w:color w:val="auto"/>
          <w:kern w:val="21"/>
          <w:sz w:val="32"/>
          <w:szCs w:val="32"/>
        </w:rPr>
        <w:t>开发、高</w:t>
      </w:r>
      <w:proofErr w:type="gramStart"/>
      <w:r>
        <w:rPr>
          <w:rFonts w:ascii="仿宋_GB2312" w:eastAsia="仿宋_GB2312" w:hAnsi="微软雅黑" w:hint="eastAsia"/>
          <w:snapToGrid/>
          <w:color w:val="auto"/>
          <w:kern w:val="21"/>
          <w:sz w:val="32"/>
          <w:szCs w:val="32"/>
        </w:rPr>
        <w:t>新区电蓄能</w:t>
      </w:r>
      <w:proofErr w:type="gramEnd"/>
      <w:r>
        <w:rPr>
          <w:rFonts w:ascii="仿宋_GB2312" w:eastAsia="仿宋_GB2312" w:hAnsi="微软雅黑" w:hint="eastAsia"/>
          <w:snapToGrid/>
          <w:color w:val="auto"/>
          <w:kern w:val="21"/>
          <w:sz w:val="32"/>
          <w:szCs w:val="32"/>
        </w:rPr>
        <w:t>、通用机场建设、启</w:t>
      </w:r>
      <w:proofErr w:type="gramStart"/>
      <w:r>
        <w:rPr>
          <w:rFonts w:ascii="仿宋_GB2312" w:eastAsia="仿宋_GB2312" w:hAnsi="微软雅黑" w:hint="eastAsia"/>
          <w:snapToGrid/>
          <w:color w:val="auto"/>
          <w:kern w:val="21"/>
          <w:sz w:val="32"/>
          <w:szCs w:val="32"/>
        </w:rPr>
        <w:t>煜</w:t>
      </w:r>
      <w:proofErr w:type="gramEnd"/>
      <w:r>
        <w:rPr>
          <w:rFonts w:ascii="仿宋_GB2312" w:eastAsia="仿宋_GB2312" w:hAnsi="微软雅黑" w:hint="eastAsia"/>
          <w:snapToGrid/>
          <w:color w:val="auto"/>
          <w:kern w:val="21"/>
          <w:sz w:val="32"/>
          <w:szCs w:val="32"/>
        </w:rPr>
        <w:t>锂电池生产等一系列项目。</w:t>
      </w:r>
    </w:p>
    <w:p w:rsidR="00B454FA" w:rsidRDefault="00DF6893">
      <w:pPr>
        <w:widowControl w:val="0"/>
        <w:kinsoku/>
        <w:adjustRightInd/>
        <w:snapToGrid/>
        <w:spacing w:line="360" w:lineRule="auto"/>
        <w:ind w:firstLineChars="200" w:firstLine="640"/>
        <w:jc w:val="both"/>
        <w:rPr>
          <w:rFonts w:ascii="仿宋_GB2312" w:eastAsia="仿宋_GB2312" w:hAnsi="微软雅黑"/>
          <w:snapToGrid/>
          <w:color w:val="auto"/>
          <w:kern w:val="21"/>
          <w:sz w:val="32"/>
          <w:szCs w:val="32"/>
        </w:rPr>
      </w:pPr>
      <w:r>
        <w:rPr>
          <w:rFonts w:ascii="仿宋_GB2312" w:eastAsia="仿宋_GB2312" w:hAnsi="微软雅黑" w:hint="eastAsia"/>
          <w:snapToGrid/>
          <w:color w:val="auto"/>
          <w:kern w:val="21"/>
          <w:sz w:val="32"/>
          <w:szCs w:val="32"/>
        </w:rPr>
        <w:t>2、着力夯实工作基础。争取出台了《衡山县招商引资工作考核奖惩办法》（【2022】11号）；组织县内相关职能部门对我县2018年出台的优惠政策（</w:t>
      </w:r>
      <w:proofErr w:type="gramStart"/>
      <w:r>
        <w:rPr>
          <w:rFonts w:ascii="仿宋_GB2312" w:eastAsia="仿宋_GB2312" w:hAnsi="微软雅黑" w:hint="eastAsia"/>
          <w:snapToGrid/>
          <w:color w:val="auto"/>
          <w:kern w:val="21"/>
          <w:sz w:val="32"/>
          <w:szCs w:val="32"/>
        </w:rPr>
        <w:t>山委【2018】</w:t>
      </w:r>
      <w:proofErr w:type="gramEnd"/>
      <w:r>
        <w:rPr>
          <w:rFonts w:ascii="仿宋_GB2312" w:eastAsia="仿宋_GB2312" w:hAnsi="微软雅黑" w:hint="eastAsia"/>
          <w:snapToGrid/>
          <w:color w:val="auto"/>
          <w:kern w:val="21"/>
          <w:sz w:val="32"/>
          <w:szCs w:val="32"/>
        </w:rPr>
        <w:t>4号）文件进行了重新修订，目前已由县委、县政府正式印发出台衡山县《关于进一步促进招商引资工作的若干规定》（山发【2022】8号）；联合</w:t>
      </w:r>
      <w:proofErr w:type="gramStart"/>
      <w:r>
        <w:rPr>
          <w:rFonts w:ascii="仿宋_GB2312" w:eastAsia="仿宋_GB2312" w:hAnsi="微软雅黑" w:hint="eastAsia"/>
          <w:snapToGrid/>
          <w:color w:val="auto"/>
          <w:kern w:val="21"/>
          <w:sz w:val="32"/>
          <w:szCs w:val="32"/>
        </w:rPr>
        <w:t>县发改局</w:t>
      </w:r>
      <w:proofErr w:type="gramEnd"/>
      <w:r>
        <w:rPr>
          <w:rFonts w:ascii="仿宋_GB2312" w:eastAsia="仿宋_GB2312" w:hAnsi="微软雅黑" w:hint="eastAsia"/>
          <w:snapToGrid/>
          <w:color w:val="auto"/>
          <w:kern w:val="21"/>
          <w:sz w:val="32"/>
          <w:szCs w:val="32"/>
        </w:rPr>
        <w:t>重新包装制作了《衡山县2022年重点招商引资项目册》，以增强我县对外投资吸引力；重新印制了招商宣传册和优惠政策白皮书，委托湖南省都市频道启动招商宣传片拍摄，加大了宣传推介力度。</w:t>
      </w:r>
    </w:p>
    <w:p w:rsidR="00B454FA" w:rsidRDefault="00DF6893">
      <w:pPr>
        <w:widowControl w:val="0"/>
        <w:kinsoku/>
        <w:adjustRightInd/>
        <w:snapToGrid/>
        <w:spacing w:line="360" w:lineRule="auto"/>
        <w:ind w:firstLineChars="200" w:firstLine="640"/>
        <w:jc w:val="both"/>
        <w:rPr>
          <w:rFonts w:ascii="仿宋_GB2312" w:eastAsia="仿宋_GB2312" w:hAnsi="微软雅黑"/>
          <w:snapToGrid/>
          <w:color w:val="auto"/>
          <w:kern w:val="21"/>
          <w:sz w:val="32"/>
          <w:szCs w:val="32"/>
        </w:rPr>
      </w:pPr>
      <w:r>
        <w:rPr>
          <w:rFonts w:ascii="仿宋_GB2312" w:eastAsia="仿宋_GB2312" w:hAnsi="微软雅黑" w:hint="eastAsia"/>
          <w:snapToGrid/>
          <w:color w:val="auto"/>
          <w:kern w:val="21"/>
          <w:sz w:val="32"/>
          <w:szCs w:val="32"/>
        </w:rPr>
        <w:t>3、不断创新招商方式。积极尝试委托专业机构、衡山</w:t>
      </w:r>
      <w:r>
        <w:rPr>
          <w:rFonts w:ascii="仿宋_GB2312" w:eastAsia="仿宋_GB2312" w:hAnsi="微软雅黑" w:hint="eastAsia"/>
          <w:snapToGrid/>
          <w:color w:val="auto"/>
          <w:kern w:val="21"/>
          <w:sz w:val="32"/>
          <w:szCs w:val="32"/>
        </w:rPr>
        <w:lastRenderedPageBreak/>
        <w:t>在外异地商会、部分优质客商资源等进行招商的模式，分别与上海东方龙商务科技集团有限公司、天</w:t>
      </w:r>
      <w:proofErr w:type="gramStart"/>
      <w:r>
        <w:rPr>
          <w:rFonts w:ascii="仿宋_GB2312" w:eastAsia="仿宋_GB2312" w:hAnsi="微软雅黑" w:hint="eastAsia"/>
          <w:snapToGrid/>
          <w:color w:val="auto"/>
          <w:kern w:val="21"/>
          <w:sz w:val="32"/>
          <w:szCs w:val="32"/>
        </w:rPr>
        <w:t>金招政府</w:t>
      </w:r>
      <w:proofErr w:type="gramEnd"/>
      <w:r>
        <w:rPr>
          <w:rFonts w:ascii="仿宋_GB2312" w:eastAsia="仿宋_GB2312" w:hAnsi="微软雅黑" w:hint="eastAsia"/>
          <w:snapToGrid/>
          <w:color w:val="auto"/>
          <w:kern w:val="21"/>
          <w:sz w:val="32"/>
          <w:szCs w:val="32"/>
        </w:rPr>
        <w:t>精准招商平台对接委托招商事项。争取县政府同意设立广东四个异地衡山商会为我县异地招商联络处，开展委托招商事宜。</w:t>
      </w:r>
    </w:p>
    <w:p w:rsidR="00B454FA" w:rsidRDefault="00DF6893">
      <w:pPr>
        <w:widowControl w:val="0"/>
        <w:kinsoku/>
        <w:adjustRightInd/>
        <w:snapToGrid/>
        <w:spacing w:line="360" w:lineRule="auto"/>
        <w:ind w:firstLineChars="200" w:firstLine="640"/>
        <w:jc w:val="both"/>
        <w:rPr>
          <w:rFonts w:ascii="仿宋_GB2312" w:eastAsia="仿宋_GB2312" w:hAnsi="微软雅黑"/>
          <w:snapToGrid/>
          <w:color w:val="auto"/>
          <w:kern w:val="21"/>
          <w:sz w:val="32"/>
          <w:szCs w:val="32"/>
        </w:rPr>
      </w:pPr>
      <w:r>
        <w:rPr>
          <w:rFonts w:ascii="仿宋_GB2312" w:eastAsia="仿宋_GB2312" w:hAnsi="微软雅黑" w:hint="eastAsia"/>
          <w:snapToGrid/>
          <w:color w:val="auto"/>
          <w:kern w:val="21"/>
          <w:sz w:val="32"/>
          <w:szCs w:val="32"/>
        </w:rPr>
        <w:t>4、扎实优化投资环境。落实首问责任制，以高标准、高效率抓好“大综窗”标准化改革。积极宣传并严格执行企业赋码制度，不断规范工作人员行为，切实为外商投资企业提供优质的服务，主动营造良好的投资环境</w:t>
      </w:r>
      <w:proofErr w:type="gramStart"/>
      <w:r>
        <w:rPr>
          <w:rFonts w:ascii="仿宋_GB2312" w:eastAsia="仿宋_GB2312" w:hAnsi="微软雅黑" w:hint="eastAsia"/>
          <w:snapToGrid/>
          <w:color w:val="auto"/>
          <w:kern w:val="21"/>
          <w:sz w:val="32"/>
          <w:szCs w:val="32"/>
        </w:rPr>
        <w:t>和</w:t>
      </w:r>
      <w:proofErr w:type="gramEnd"/>
      <w:r>
        <w:rPr>
          <w:rFonts w:ascii="仿宋_GB2312" w:eastAsia="仿宋_GB2312" w:hAnsi="微软雅黑" w:hint="eastAsia"/>
          <w:snapToGrid/>
          <w:color w:val="auto"/>
          <w:kern w:val="21"/>
          <w:sz w:val="32"/>
          <w:szCs w:val="32"/>
        </w:rPr>
        <w:t>。及时全程跟踪项目服务，协调解决项目建设中出现的问题。多次对县内招商企业开展上门帮扶走访活动，为企业解困</w:t>
      </w:r>
      <w:proofErr w:type="gramStart"/>
      <w:r>
        <w:rPr>
          <w:rFonts w:ascii="仿宋_GB2312" w:eastAsia="仿宋_GB2312" w:hAnsi="微软雅黑" w:hint="eastAsia"/>
          <w:snapToGrid/>
          <w:color w:val="auto"/>
          <w:kern w:val="21"/>
          <w:sz w:val="32"/>
          <w:szCs w:val="32"/>
        </w:rPr>
        <w:t>纾</w:t>
      </w:r>
      <w:proofErr w:type="gramEnd"/>
      <w:r>
        <w:rPr>
          <w:rFonts w:ascii="仿宋_GB2312" w:eastAsia="仿宋_GB2312" w:hAnsi="微软雅黑" w:hint="eastAsia"/>
          <w:snapToGrid/>
          <w:color w:val="auto"/>
          <w:kern w:val="21"/>
          <w:sz w:val="32"/>
          <w:szCs w:val="32"/>
        </w:rPr>
        <w:t>难。</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微软雅黑" w:hint="eastAsia"/>
          <w:b/>
          <w:bCs/>
          <w:snapToGrid/>
          <w:color w:val="auto"/>
          <w:kern w:val="21"/>
          <w:sz w:val="32"/>
          <w:szCs w:val="32"/>
        </w:rPr>
        <w:t>二是三外工作有喜有忧。</w:t>
      </w:r>
      <w:r>
        <w:rPr>
          <w:rFonts w:ascii="仿宋_GB2312" w:eastAsia="仿宋_GB2312" w:hAnsi="微软雅黑" w:hint="eastAsia"/>
          <w:snapToGrid/>
          <w:color w:val="auto"/>
          <w:kern w:val="21"/>
          <w:sz w:val="32"/>
          <w:szCs w:val="32"/>
        </w:rPr>
        <w:t>1-9月，我县外贸进出口总额3014万元，同比负增长22.2%，其总量及增速在七县市中排位靠后。另1-3季度新办理外贸进出口资质企业4家；实际利用外商直接投资任务暂未有实质性的突破；发展境外投资注册企业1家（湖南恒信新型建材有限公司），1-11月恒信新型建材完成境外实物投资110万美元，我县人均直接投资实现破零。指导帮助</w:t>
      </w:r>
      <w:proofErr w:type="gramStart"/>
      <w:r>
        <w:rPr>
          <w:rFonts w:ascii="仿宋_GB2312" w:eastAsia="仿宋_GB2312" w:hAnsi="微软雅黑" w:hint="eastAsia"/>
          <w:snapToGrid/>
          <w:color w:val="auto"/>
          <w:kern w:val="21"/>
          <w:sz w:val="32"/>
          <w:szCs w:val="32"/>
        </w:rPr>
        <w:t>衡山萌泰电子</w:t>
      </w:r>
      <w:proofErr w:type="gramEnd"/>
      <w:r>
        <w:rPr>
          <w:rFonts w:ascii="仿宋_GB2312" w:eastAsia="仿宋_GB2312" w:hAnsi="微软雅黑" w:hint="eastAsia"/>
          <w:snapToGrid/>
          <w:color w:val="auto"/>
          <w:kern w:val="21"/>
          <w:sz w:val="32"/>
          <w:szCs w:val="32"/>
        </w:rPr>
        <w:t>有限公司积极开展跨境电商，于2022年7月中旬通过跨境B2B出口至捷克共和国540美金，标志着我县第一家跨境电商成功落地；组织帮助外贸企业开展外经贸发展资金申报，全年为我县丰泰鞋业等企业申报2021年市级稳外经贸专项资金15.36万元，为丰泰鞋业、卓盈服装2家企业申报2022年中央外经贸专项资金（加工贸易）</w:t>
      </w:r>
      <w:r>
        <w:rPr>
          <w:rFonts w:ascii="仿宋_GB2312" w:eastAsia="仿宋_GB2312" w:hAnsi="微软雅黑" w:hint="eastAsia"/>
          <w:snapToGrid/>
          <w:color w:val="auto"/>
          <w:kern w:val="21"/>
          <w:sz w:val="32"/>
          <w:szCs w:val="32"/>
        </w:rPr>
        <w:lastRenderedPageBreak/>
        <w:t>50万元整；积极组团参加第二届中国国际消费品博览会（海南海口），衡山日升工艺品有限公司作为湖南省14家参展企业之一精彩亮相，为下阶段开展跨境电商开拓了新的市场和方向。</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微软雅黑" w:hint="eastAsia"/>
          <w:b/>
          <w:bCs/>
          <w:snapToGrid/>
          <w:color w:val="auto"/>
          <w:kern w:val="21"/>
          <w:sz w:val="32"/>
          <w:szCs w:val="32"/>
        </w:rPr>
        <w:t>三是消费活力持续激发。</w:t>
      </w:r>
      <w:r>
        <w:rPr>
          <w:rFonts w:ascii="仿宋_GB2312" w:eastAsia="仿宋_GB2312" w:hAnsi="微软雅黑" w:hint="eastAsia"/>
          <w:snapToGrid/>
          <w:color w:val="auto"/>
          <w:kern w:val="21"/>
          <w:sz w:val="32"/>
          <w:szCs w:val="32"/>
        </w:rPr>
        <w:t>全县社会消费品零售总额逐步增长。1-11月，全县实现社会消费品零售总额45.85亿元，增长2.6%。新增限上企3家（其中1家争取在12月25日前完成入网申报）；争取出台我县限上</w:t>
      </w:r>
      <w:proofErr w:type="gramStart"/>
      <w:r>
        <w:rPr>
          <w:rFonts w:ascii="仿宋_GB2312" w:eastAsia="仿宋_GB2312" w:hAnsi="微软雅黑" w:hint="eastAsia"/>
          <w:snapToGrid/>
          <w:color w:val="auto"/>
          <w:kern w:val="21"/>
          <w:sz w:val="32"/>
          <w:szCs w:val="32"/>
        </w:rPr>
        <w:t>批零住餐企业</w:t>
      </w:r>
      <w:proofErr w:type="gramEnd"/>
      <w:r>
        <w:rPr>
          <w:rFonts w:ascii="仿宋_GB2312" w:eastAsia="仿宋_GB2312" w:hAnsi="微软雅黑" w:hint="eastAsia"/>
          <w:snapToGrid/>
          <w:color w:val="auto"/>
          <w:kern w:val="21"/>
          <w:sz w:val="32"/>
          <w:szCs w:val="32"/>
        </w:rPr>
        <w:t>培育办法，联合县统计局、市场监管局等部门通过实地走访，摸清商贸流通企业底数；积极开展“百人联百企”活动，确定54家限额以上</w:t>
      </w:r>
      <w:proofErr w:type="gramStart"/>
      <w:r>
        <w:rPr>
          <w:rFonts w:ascii="仿宋_GB2312" w:eastAsia="仿宋_GB2312" w:hAnsi="微软雅黑" w:hint="eastAsia"/>
          <w:snapToGrid/>
          <w:color w:val="auto"/>
          <w:kern w:val="21"/>
          <w:sz w:val="32"/>
          <w:szCs w:val="32"/>
        </w:rPr>
        <w:t>批零住餐企业</w:t>
      </w:r>
      <w:proofErr w:type="gramEnd"/>
      <w:r>
        <w:rPr>
          <w:rFonts w:ascii="仿宋_GB2312" w:eastAsia="仿宋_GB2312" w:hAnsi="微软雅黑" w:hint="eastAsia"/>
          <w:snapToGrid/>
          <w:color w:val="auto"/>
          <w:kern w:val="21"/>
          <w:sz w:val="32"/>
          <w:szCs w:val="32"/>
        </w:rPr>
        <w:t>为重点服务对象，派出24名懂政策、懂业务、能力强的干部实地走访企业，共收集问题 58条并提交相关部门协调予以解决；组织开展</w:t>
      </w:r>
      <w:proofErr w:type="gramStart"/>
      <w:r>
        <w:rPr>
          <w:rFonts w:ascii="仿宋_GB2312" w:eastAsia="仿宋_GB2312" w:hAnsi="微软雅黑" w:hint="eastAsia"/>
          <w:snapToGrid/>
          <w:color w:val="auto"/>
          <w:kern w:val="21"/>
          <w:sz w:val="32"/>
          <w:szCs w:val="32"/>
        </w:rPr>
        <w:t>各类促消费</w:t>
      </w:r>
      <w:proofErr w:type="gramEnd"/>
      <w:r>
        <w:rPr>
          <w:rFonts w:ascii="仿宋_GB2312" w:eastAsia="仿宋_GB2312" w:hAnsi="微软雅黑" w:hint="eastAsia"/>
          <w:snapToGrid/>
          <w:color w:val="auto"/>
          <w:kern w:val="21"/>
          <w:sz w:val="32"/>
          <w:szCs w:val="32"/>
        </w:rPr>
        <w:t>活动。与梦想公馆及群英电器等联合举办“梦想星光夜市”“惠购衡山 乐享生活——家电下乡促消费”等一系列促消费活动；持续推进电</w:t>
      </w:r>
      <w:proofErr w:type="gramStart"/>
      <w:r>
        <w:rPr>
          <w:rFonts w:ascii="仿宋_GB2312" w:eastAsia="仿宋_GB2312" w:hAnsi="微软雅黑" w:hint="eastAsia"/>
          <w:snapToGrid/>
          <w:color w:val="auto"/>
          <w:kern w:val="21"/>
          <w:sz w:val="32"/>
          <w:szCs w:val="32"/>
        </w:rPr>
        <w:t>商消费</w:t>
      </w:r>
      <w:proofErr w:type="gramEnd"/>
      <w:r>
        <w:rPr>
          <w:rFonts w:ascii="仿宋_GB2312" w:eastAsia="仿宋_GB2312" w:hAnsi="微软雅黑" w:hint="eastAsia"/>
          <w:snapToGrid/>
          <w:color w:val="auto"/>
          <w:kern w:val="21"/>
          <w:sz w:val="32"/>
          <w:szCs w:val="32"/>
        </w:rPr>
        <w:t>帮扶。在县惠农供销“农品山香”线下馆、九福</w:t>
      </w:r>
      <w:proofErr w:type="gramStart"/>
      <w:r>
        <w:rPr>
          <w:rFonts w:ascii="仿宋_GB2312" w:eastAsia="仿宋_GB2312" w:hAnsi="微软雅黑" w:hint="eastAsia"/>
          <w:snapToGrid/>
          <w:color w:val="auto"/>
          <w:kern w:val="21"/>
          <w:sz w:val="32"/>
          <w:szCs w:val="32"/>
        </w:rPr>
        <w:t>祥</w:t>
      </w:r>
      <w:proofErr w:type="gramEnd"/>
      <w:r>
        <w:rPr>
          <w:rFonts w:ascii="仿宋_GB2312" w:eastAsia="仿宋_GB2312" w:hAnsi="微软雅黑" w:hint="eastAsia"/>
          <w:snapToGrid/>
          <w:color w:val="auto"/>
          <w:kern w:val="21"/>
          <w:sz w:val="32"/>
          <w:szCs w:val="32"/>
        </w:rPr>
        <w:t>超市、盛豪超市、衡山邮政等设立“电商消费帮扶产品销售专区”。引导衡山农民</w:t>
      </w:r>
      <w:proofErr w:type="gramStart"/>
      <w:r>
        <w:rPr>
          <w:rFonts w:ascii="仿宋_GB2312" w:eastAsia="仿宋_GB2312" w:hAnsi="微软雅黑" w:hint="eastAsia"/>
          <w:snapToGrid/>
          <w:color w:val="auto"/>
          <w:kern w:val="21"/>
          <w:sz w:val="32"/>
          <w:szCs w:val="32"/>
        </w:rPr>
        <w:t>伯伯电</w:t>
      </w:r>
      <w:proofErr w:type="gramEnd"/>
      <w:r>
        <w:rPr>
          <w:rFonts w:ascii="仿宋_GB2312" w:eastAsia="仿宋_GB2312" w:hAnsi="微软雅黑" w:hint="eastAsia"/>
          <w:snapToGrid/>
          <w:color w:val="auto"/>
          <w:kern w:val="21"/>
          <w:sz w:val="32"/>
          <w:szCs w:val="32"/>
        </w:rPr>
        <w:t>商公司用自身农产品交易平台开通消费扶贫专区，通过线下引流、线上</w:t>
      </w:r>
      <w:r>
        <w:rPr>
          <w:rFonts w:ascii="仿宋_GB2312" w:eastAsia="仿宋_GB2312" w:hAnsi="仿宋" w:cstheme="minorBidi" w:hint="eastAsia"/>
          <w:snapToGrid/>
          <w:color w:val="auto"/>
          <w:kern w:val="21"/>
          <w:sz w:val="32"/>
          <w:szCs w:val="32"/>
          <w:shd w:val="clear" w:color="auto" w:fill="FFFFFF"/>
        </w:rPr>
        <w:t>下单方式销售当地农特产品。电子商务</w:t>
      </w:r>
      <w:r>
        <w:rPr>
          <w:rFonts w:ascii="仿宋_GB2312" w:eastAsia="仿宋_GB2312" w:hAnsi="微软雅黑" w:hint="eastAsia"/>
          <w:snapToGrid/>
          <w:color w:val="auto"/>
          <w:kern w:val="21"/>
          <w:sz w:val="32"/>
          <w:szCs w:val="32"/>
        </w:rPr>
        <w:t>2022年</w:t>
      </w:r>
      <w:proofErr w:type="gramStart"/>
      <w:r>
        <w:rPr>
          <w:rFonts w:ascii="仿宋_GB2312" w:eastAsia="仿宋_GB2312" w:hAnsi="微软雅黑" w:hint="eastAsia"/>
          <w:snapToGrid/>
          <w:color w:val="auto"/>
          <w:kern w:val="21"/>
          <w:sz w:val="32"/>
          <w:szCs w:val="32"/>
        </w:rPr>
        <w:t>全县电</w:t>
      </w:r>
      <w:proofErr w:type="gramEnd"/>
      <w:r>
        <w:rPr>
          <w:rFonts w:ascii="仿宋_GB2312" w:eastAsia="仿宋_GB2312" w:hAnsi="微软雅黑" w:hint="eastAsia"/>
          <w:snapToGrid/>
          <w:color w:val="auto"/>
          <w:kern w:val="21"/>
          <w:sz w:val="32"/>
          <w:szCs w:val="32"/>
        </w:rPr>
        <w:t>商销售农产品零售额约2.12亿元；鼓励加强与全国知名电商、社区团购、短视频等大平台的对接、合作，利用各类展会、节庆、大赛等活动，</w:t>
      </w:r>
      <w:r>
        <w:rPr>
          <w:rFonts w:ascii="仿宋_GB2312" w:eastAsia="仿宋_GB2312" w:hAnsi="微软雅黑" w:hint="eastAsia"/>
          <w:snapToGrid/>
          <w:color w:val="auto"/>
          <w:kern w:val="21"/>
          <w:sz w:val="32"/>
          <w:szCs w:val="32"/>
        </w:rPr>
        <w:lastRenderedPageBreak/>
        <w:t>采取线上、线下相结合方式，开展品牌推介、产销对接。一是全力办好电商年货节。组织开展“嗨购年货-2022衡阳网上年货节－衡山专场”活动，组织县内12家企业近百种优质农产品直播带货，开启线上线下联动销售模式，直播间观看人数1000余人，带动销售农产品12万元；二是助力乡村振兴，推动衡山小水果产业发展。1月14日在湖南龙凤农业开发公司</w:t>
      </w:r>
      <w:proofErr w:type="gramStart"/>
      <w:r>
        <w:rPr>
          <w:rFonts w:ascii="仿宋_GB2312" w:eastAsia="仿宋_GB2312" w:hAnsi="微软雅黑" w:hint="eastAsia"/>
          <w:snapToGrid/>
          <w:color w:val="auto"/>
          <w:kern w:val="21"/>
          <w:sz w:val="32"/>
          <w:szCs w:val="32"/>
        </w:rPr>
        <w:t>的沃柑种植</w:t>
      </w:r>
      <w:proofErr w:type="gramEnd"/>
      <w:r>
        <w:rPr>
          <w:rFonts w:ascii="仿宋_GB2312" w:eastAsia="仿宋_GB2312" w:hAnsi="微软雅黑" w:hint="eastAsia"/>
          <w:snapToGrid/>
          <w:color w:val="auto"/>
          <w:kern w:val="21"/>
          <w:sz w:val="32"/>
          <w:szCs w:val="32"/>
        </w:rPr>
        <w:t>基地举办“幸福在沃•柑甜如春”衡山县永和</w:t>
      </w:r>
      <w:proofErr w:type="gramStart"/>
      <w:r>
        <w:rPr>
          <w:rFonts w:ascii="仿宋_GB2312" w:eastAsia="仿宋_GB2312" w:hAnsi="微软雅黑" w:hint="eastAsia"/>
          <w:snapToGrid/>
          <w:color w:val="auto"/>
          <w:kern w:val="21"/>
          <w:sz w:val="32"/>
          <w:szCs w:val="32"/>
        </w:rPr>
        <w:t>乡沃柑</w:t>
      </w:r>
      <w:proofErr w:type="gramEnd"/>
      <w:r>
        <w:rPr>
          <w:rFonts w:ascii="仿宋_GB2312" w:eastAsia="仿宋_GB2312" w:hAnsi="微软雅黑" w:hint="eastAsia"/>
          <w:snapToGrid/>
          <w:color w:val="auto"/>
          <w:kern w:val="21"/>
          <w:sz w:val="32"/>
          <w:szCs w:val="32"/>
        </w:rPr>
        <w:t>采摘季暨“数商兴农”活动。衡山县邮政分公司、农民伯伯电子商务公司、惠农供销电子商务公司等5家企业分别与湖南龙凤农业开发公司速递服务和电</w:t>
      </w:r>
      <w:proofErr w:type="gramStart"/>
      <w:r>
        <w:rPr>
          <w:rFonts w:ascii="仿宋_GB2312" w:eastAsia="仿宋_GB2312" w:hAnsi="微软雅黑" w:hint="eastAsia"/>
          <w:snapToGrid/>
          <w:color w:val="auto"/>
          <w:kern w:val="21"/>
          <w:sz w:val="32"/>
          <w:szCs w:val="32"/>
        </w:rPr>
        <w:t>商服务</w:t>
      </w:r>
      <w:proofErr w:type="gramEnd"/>
      <w:r>
        <w:rPr>
          <w:rFonts w:ascii="仿宋_GB2312" w:eastAsia="仿宋_GB2312" w:hAnsi="微软雅黑" w:hint="eastAsia"/>
          <w:snapToGrid/>
          <w:color w:val="auto"/>
          <w:kern w:val="21"/>
          <w:sz w:val="32"/>
          <w:szCs w:val="32"/>
        </w:rPr>
        <w:t>协议。并组织农民伯伯、惠农供销、</w:t>
      </w:r>
      <w:proofErr w:type="gramStart"/>
      <w:r>
        <w:rPr>
          <w:rFonts w:ascii="仿宋_GB2312" w:eastAsia="仿宋_GB2312" w:hAnsi="微软雅黑" w:hint="eastAsia"/>
          <w:snapToGrid/>
          <w:color w:val="auto"/>
          <w:kern w:val="21"/>
          <w:sz w:val="32"/>
          <w:szCs w:val="32"/>
        </w:rPr>
        <w:t>邮政等电商</w:t>
      </w:r>
      <w:proofErr w:type="gramEnd"/>
      <w:r>
        <w:rPr>
          <w:rFonts w:ascii="仿宋_GB2312" w:eastAsia="仿宋_GB2312" w:hAnsi="微软雅黑" w:hint="eastAsia"/>
          <w:snapToGrid/>
          <w:color w:val="auto"/>
          <w:kern w:val="21"/>
          <w:sz w:val="32"/>
          <w:szCs w:val="32"/>
        </w:rPr>
        <w:t>公司开展直播带货；三是结合“初恋味道　果约永和”活动，开展衡山县第二届水果采摘季“数商兴农”直播带货和学员实训；四是携手科技专家服务团开展“村播带货”，直接助力农产品销售，扩大衡山小水果在全省乃至全国的影响力和知名度，今年共直播带货8期；五是积极组织湘宏、拾梦、</w:t>
      </w:r>
      <w:proofErr w:type="gramStart"/>
      <w:r>
        <w:rPr>
          <w:rFonts w:ascii="仿宋_GB2312" w:eastAsia="仿宋_GB2312" w:hAnsi="微软雅黑" w:hint="eastAsia"/>
          <w:snapToGrid/>
          <w:color w:val="auto"/>
          <w:kern w:val="21"/>
          <w:sz w:val="32"/>
          <w:szCs w:val="32"/>
        </w:rPr>
        <w:t>萌泰电子</w:t>
      </w:r>
      <w:proofErr w:type="gramEnd"/>
      <w:r>
        <w:rPr>
          <w:rFonts w:ascii="仿宋_GB2312" w:eastAsia="仿宋_GB2312" w:hAnsi="微软雅黑" w:hint="eastAsia"/>
          <w:snapToGrid/>
          <w:color w:val="auto"/>
          <w:kern w:val="21"/>
          <w:sz w:val="32"/>
          <w:szCs w:val="32"/>
        </w:rPr>
        <w:t>等外贸、传统企业参加2022年湖南（长沙）跨境电商交易会、第二十三届中部农博会等节会活动。</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微软雅黑" w:hint="eastAsia"/>
          <w:b/>
          <w:bCs/>
          <w:snapToGrid/>
          <w:color w:val="auto"/>
          <w:kern w:val="21"/>
          <w:sz w:val="32"/>
          <w:szCs w:val="32"/>
        </w:rPr>
        <w:t>四是市场运行保持平稳。</w:t>
      </w:r>
      <w:r>
        <w:rPr>
          <w:rFonts w:ascii="仿宋_GB2312" w:eastAsia="仿宋_GB2312" w:hAnsi="微软雅黑" w:hint="eastAsia"/>
          <w:snapToGrid/>
          <w:color w:val="auto"/>
          <w:kern w:val="21"/>
          <w:sz w:val="32"/>
          <w:szCs w:val="32"/>
        </w:rPr>
        <w:t>1、加强市场监测预警，确保物价稳定。特别是十月份全县疫情实行静默期间，县商务局要求九福</w:t>
      </w:r>
      <w:proofErr w:type="gramStart"/>
      <w:r>
        <w:rPr>
          <w:rFonts w:ascii="仿宋_GB2312" w:eastAsia="仿宋_GB2312" w:hAnsi="微软雅黑" w:hint="eastAsia"/>
          <w:snapToGrid/>
          <w:color w:val="auto"/>
          <w:kern w:val="21"/>
          <w:sz w:val="32"/>
          <w:szCs w:val="32"/>
        </w:rPr>
        <w:t>祥</w:t>
      </w:r>
      <w:proofErr w:type="gramEnd"/>
      <w:r>
        <w:rPr>
          <w:rFonts w:ascii="仿宋_GB2312" w:eastAsia="仿宋_GB2312" w:hAnsi="微软雅黑" w:hint="eastAsia"/>
          <w:snapToGrid/>
          <w:color w:val="auto"/>
          <w:kern w:val="21"/>
          <w:sz w:val="32"/>
          <w:szCs w:val="32"/>
        </w:rPr>
        <w:t>、步步高、盛豪超市、</w:t>
      </w:r>
      <w:proofErr w:type="gramStart"/>
      <w:r>
        <w:rPr>
          <w:rFonts w:ascii="仿宋_GB2312" w:eastAsia="仿宋_GB2312" w:hAnsi="微软雅黑" w:hint="eastAsia"/>
          <w:snapToGrid/>
          <w:color w:val="auto"/>
          <w:kern w:val="21"/>
          <w:sz w:val="32"/>
          <w:szCs w:val="32"/>
        </w:rPr>
        <w:t>萱州红</w:t>
      </w:r>
      <w:proofErr w:type="gramEnd"/>
      <w:r>
        <w:rPr>
          <w:rFonts w:ascii="仿宋_GB2312" w:eastAsia="仿宋_GB2312" w:hAnsi="微软雅黑" w:hint="eastAsia"/>
          <w:snapToGrid/>
          <w:color w:val="auto"/>
          <w:kern w:val="21"/>
          <w:sz w:val="32"/>
          <w:szCs w:val="32"/>
        </w:rPr>
        <w:t>宇百货加大对粮油、猪肉、禽蛋、蔬菜等群众生活必需品重要生产资料市场供求、</w:t>
      </w:r>
      <w:r>
        <w:rPr>
          <w:rFonts w:ascii="仿宋_GB2312" w:eastAsia="仿宋_GB2312" w:hAnsi="微软雅黑" w:hint="eastAsia"/>
          <w:snapToGrid/>
          <w:color w:val="auto"/>
          <w:kern w:val="21"/>
          <w:sz w:val="32"/>
          <w:szCs w:val="32"/>
        </w:rPr>
        <w:lastRenderedPageBreak/>
        <w:t>价格、库存情况要实行重点监测，指导湖南湘宏食品股份有限公司紧急投放省级储备肉，确保生活必需品市场供应和价格稳定，据统计中秋、国庆及静默期间全县共投放省级储备冻猪肉52.6吨。2、开展成品油流通领域专项执法百日行动，我局多次对全县各加油站油气回收装置正常运行、单层油罐改双层油罐、地下防渗池改造、疫情防控和安全生产工作进行检查。今年来共出动监管人员30余人次，车辆10余台次，对2家加油站（点）下达限期整改通知书。3、积极做好省级冻猪肉储备企业推荐工作，确定湖南湘宏食品有限公司为我县省级冻肉储备企业，储备规模达300吨。完成对2022年度衡阳市市级生猪活体储备企业摸底、推荐工作。经自愿申请、现场调查市级审批确认衡山</w:t>
      </w:r>
      <w:proofErr w:type="gramStart"/>
      <w:r>
        <w:rPr>
          <w:rFonts w:ascii="仿宋_GB2312" w:eastAsia="仿宋_GB2312" w:hAnsi="微软雅黑" w:hint="eastAsia"/>
          <w:snapToGrid/>
          <w:color w:val="auto"/>
          <w:kern w:val="21"/>
          <w:sz w:val="32"/>
          <w:szCs w:val="32"/>
        </w:rPr>
        <w:t>县盛汇牧业</w:t>
      </w:r>
      <w:proofErr w:type="gramEnd"/>
      <w:r>
        <w:rPr>
          <w:rFonts w:ascii="仿宋_GB2312" w:eastAsia="仿宋_GB2312" w:hAnsi="微软雅黑" w:hint="eastAsia"/>
          <w:snapToGrid/>
          <w:color w:val="auto"/>
          <w:kern w:val="21"/>
          <w:sz w:val="32"/>
          <w:szCs w:val="32"/>
        </w:rPr>
        <w:t>农民专业合作社、衡山潮水生态旅游开发有限公司两家为我县市级生猪活体储备基地场。</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微软雅黑" w:hint="eastAsia"/>
          <w:b/>
          <w:bCs/>
          <w:snapToGrid/>
          <w:color w:val="auto"/>
          <w:kern w:val="21"/>
          <w:sz w:val="32"/>
          <w:szCs w:val="32"/>
        </w:rPr>
        <w:t>五是市场体系不断完善。</w:t>
      </w:r>
      <w:r>
        <w:rPr>
          <w:rFonts w:ascii="仿宋_GB2312" w:eastAsia="仿宋_GB2312" w:hAnsi="微软雅黑" w:hint="eastAsia"/>
          <w:snapToGrid/>
          <w:color w:val="auto"/>
          <w:kern w:val="21"/>
          <w:sz w:val="32"/>
          <w:szCs w:val="32"/>
        </w:rPr>
        <w:t>在</w:t>
      </w:r>
      <w:r>
        <w:rPr>
          <w:rFonts w:ascii="仿宋_GB2312" w:eastAsia="仿宋_GB2312" w:hAnsi="微软雅黑" w:hint="eastAsia"/>
          <w:b/>
          <w:bCs/>
          <w:snapToGrid/>
          <w:color w:val="auto"/>
          <w:kern w:val="21"/>
          <w:sz w:val="32"/>
          <w:szCs w:val="32"/>
        </w:rPr>
        <w:t>电子商务体系建设</w:t>
      </w:r>
      <w:r>
        <w:rPr>
          <w:rFonts w:ascii="仿宋_GB2312" w:eastAsia="仿宋_GB2312" w:hAnsi="微软雅黑" w:hint="eastAsia"/>
          <w:snapToGrid/>
          <w:color w:val="auto"/>
          <w:kern w:val="21"/>
          <w:sz w:val="32"/>
          <w:szCs w:val="32"/>
        </w:rPr>
        <w:t>方面，抓好了三项工作：1、完善县级电商服务中心及村级电商服务站体系。在盘活县级电商运营中心同时，积极引进衡山湘宏、源</w:t>
      </w:r>
      <w:proofErr w:type="gramStart"/>
      <w:r>
        <w:rPr>
          <w:rFonts w:ascii="仿宋_GB2312" w:eastAsia="仿宋_GB2312" w:hAnsi="微软雅黑" w:hint="eastAsia"/>
          <w:snapToGrid/>
          <w:color w:val="auto"/>
          <w:kern w:val="21"/>
          <w:sz w:val="32"/>
          <w:szCs w:val="32"/>
        </w:rPr>
        <w:t>舟律等电</w:t>
      </w:r>
      <w:proofErr w:type="gramEnd"/>
      <w:r>
        <w:rPr>
          <w:rFonts w:ascii="仿宋_GB2312" w:eastAsia="仿宋_GB2312" w:hAnsi="微软雅黑" w:hint="eastAsia"/>
          <w:snapToGrid/>
          <w:color w:val="auto"/>
          <w:kern w:val="21"/>
          <w:sz w:val="32"/>
          <w:szCs w:val="32"/>
        </w:rPr>
        <w:t>商公司进驻。升级电商扶贫示范网点26个，并由县供销惠农电子商务有限公司进行管理、维护。2、加强县域电商专业人才培养。一是组织全县近70名创业青年开展“数商兴农”助力乡村振兴直播带货培训。二是组织传统内贸企业、一般贸易出口企业、</w:t>
      </w:r>
      <w:proofErr w:type="gramStart"/>
      <w:r>
        <w:rPr>
          <w:rFonts w:ascii="仿宋_GB2312" w:eastAsia="仿宋_GB2312" w:hAnsi="微软雅黑" w:hint="eastAsia"/>
          <w:snapToGrid/>
          <w:color w:val="auto"/>
          <w:kern w:val="21"/>
          <w:sz w:val="32"/>
          <w:szCs w:val="32"/>
        </w:rPr>
        <w:t>内贸电</w:t>
      </w:r>
      <w:proofErr w:type="gramEnd"/>
      <w:r>
        <w:rPr>
          <w:rFonts w:ascii="仿宋_GB2312" w:eastAsia="仿宋_GB2312" w:hAnsi="微软雅黑" w:hint="eastAsia"/>
          <w:snapToGrid/>
          <w:color w:val="auto"/>
          <w:kern w:val="21"/>
          <w:sz w:val="32"/>
          <w:szCs w:val="32"/>
        </w:rPr>
        <w:t>商企业、跨境电商企业、</w:t>
      </w:r>
      <w:r>
        <w:rPr>
          <w:rFonts w:ascii="仿宋_GB2312" w:eastAsia="仿宋_GB2312" w:hAnsi="微软雅黑" w:hint="eastAsia"/>
          <w:snapToGrid/>
          <w:color w:val="auto"/>
          <w:kern w:val="21"/>
          <w:sz w:val="32"/>
          <w:szCs w:val="32"/>
        </w:rPr>
        <w:lastRenderedPageBreak/>
        <w:t>有意向做出口或跨境电商的团体、个人或大学生等近40人参加“数字商务 衡品出境”衡山县数字内</w:t>
      </w:r>
      <w:proofErr w:type="gramStart"/>
      <w:r>
        <w:rPr>
          <w:rFonts w:ascii="仿宋_GB2312" w:eastAsia="仿宋_GB2312" w:hAnsi="微软雅黑" w:hint="eastAsia"/>
          <w:snapToGrid/>
          <w:color w:val="auto"/>
          <w:kern w:val="21"/>
          <w:sz w:val="32"/>
          <w:szCs w:val="32"/>
        </w:rPr>
        <w:t>外贸公益</w:t>
      </w:r>
      <w:proofErr w:type="gramEnd"/>
      <w:r>
        <w:rPr>
          <w:rFonts w:ascii="仿宋_GB2312" w:eastAsia="仿宋_GB2312" w:hAnsi="微软雅黑" w:hint="eastAsia"/>
          <w:snapToGrid/>
          <w:color w:val="auto"/>
          <w:kern w:val="21"/>
          <w:sz w:val="32"/>
          <w:szCs w:val="32"/>
        </w:rPr>
        <w:t>培育活动。3、积极争取上级资金扶持。会同县财政局通过摸排筛选，推荐衡山拾梦工艺礼品有限公司、衡山火山电子商务有限公司申报市级电商发展资金。在</w:t>
      </w:r>
      <w:r>
        <w:rPr>
          <w:rFonts w:ascii="仿宋_GB2312" w:eastAsia="仿宋_GB2312" w:hAnsi="微软雅黑" w:hint="eastAsia"/>
          <w:b/>
          <w:bCs/>
          <w:snapToGrid/>
          <w:color w:val="auto"/>
          <w:kern w:val="21"/>
          <w:sz w:val="32"/>
          <w:szCs w:val="32"/>
        </w:rPr>
        <w:t>商业体系建设</w:t>
      </w:r>
      <w:r>
        <w:rPr>
          <w:rFonts w:ascii="仿宋_GB2312" w:eastAsia="仿宋_GB2312" w:hAnsi="微软雅黑" w:hint="eastAsia"/>
          <w:snapToGrid/>
          <w:color w:val="auto"/>
          <w:kern w:val="21"/>
          <w:sz w:val="32"/>
          <w:szCs w:val="32"/>
        </w:rPr>
        <w:t>方面,一是摸清底数，储备项目。今年组织对全县商业体系概况进行了摸底，并将县域商业摸底情况及初步工作方案录入商务部县域商业摸底系统，建立了2022－2025年县域商业体系建设项目库信息，目前储备全县商业体系建设项目42个。二是认真筛选，组织申报。与县财政、乡村</w:t>
      </w:r>
      <w:proofErr w:type="gramStart"/>
      <w:r>
        <w:rPr>
          <w:rFonts w:ascii="仿宋_GB2312" w:eastAsia="仿宋_GB2312" w:hAnsi="微软雅黑" w:hint="eastAsia"/>
          <w:snapToGrid/>
          <w:color w:val="auto"/>
          <w:kern w:val="21"/>
          <w:sz w:val="32"/>
          <w:szCs w:val="32"/>
        </w:rPr>
        <w:t>振兴局会商</w:t>
      </w:r>
      <w:proofErr w:type="gramEnd"/>
      <w:r>
        <w:rPr>
          <w:rFonts w:ascii="仿宋_GB2312" w:eastAsia="仿宋_GB2312" w:hAnsi="微软雅黑" w:hint="eastAsia"/>
          <w:snapToGrid/>
          <w:color w:val="auto"/>
          <w:kern w:val="21"/>
          <w:sz w:val="32"/>
          <w:szCs w:val="32"/>
        </w:rPr>
        <w:t>，推荐申报2022年县域商业体系建设项目3个（湖南奇山农业发展有限公司申报的“</w:t>
      </w:r>
      <w:proofErr w:type="gramStart"/>
      <w:r>
        <w:rPr>
          <w:rFonts w:ascii="仿宋_GB2312" w:eastAsia="仿宋_GB2312" w:hAnsi="微软雅黑" w:hint="eastAsia"/>
          <w:snapToGrid/>
          <w:color w:val="auto"/>
          <w:kern w:val="21"/>
          <w:sz w:val="32"/>
          <w:szCs w:val="32"/>
        </w:rPr>
        <w:t>萱</w:t>
      </w:r>
      <w:proofErr w:type="gramEnd"/>
      <w:r>
        <w:rPr>
          <w:rFonts w:ascii="仿宋_GB2312" w:eastAsia="仿宋_GB2312" w:hAnsi="微软雅黑" w:hint="eastAsia"/>
          <w:snapToGrid/>
          <w:color w:val="auto"/>
          <w:kern w:val="21"/>
          <w:sz w:val="32"/>
          <w:szCs w:val="32"/>
        </w:rPr>
        <w:t>洲镇农产品产地集配中心”、衡山红新生态农业开发有限公司申报的“新鲜水果储存及商品化处理设施建设”、湖南华江置业有限公司申报的“东湖新城商贸中心”三个项目）、申报2022年加快农产品供应链体</w:t>
      </w:r>
      <w:proofErr w:type="gramStart"/>
      <w:r>
        <w:rPr>
          <w:rFonts w:ascii="仿宋_GB2312" w:eastAsia="仿宋_GB2312" w:hAnsi="微软雅黑" w:hint="eastAsia"/>
          <w:snapToGrid/>
          <w:color w:val="auto"/>
          <w:kern w:val="21"/>
          <w:sz w:val="32"/>
          <w:szCs w:val="32"/>
        </w:rPr>
        <w:t>系建设</w:t>
      </w:r>
      <w:proofErr w:type="gramEnd"/>
      <w:r>
        <w:rPr>
          <w:rFonts w:ascii="仿宋_GB2312" w:eastAsia="仿宋_GB2312" w:hAnsi="微软雅黑" w:hint="eastAsia"/>
          <w:snapToGrid/>
          <w:color w:val="auto"/>
          <w:kern w:val="21"/>
          <w:sz w:val="32"/>
          <w:szCs w:val="32"/>
        </w:rPr>
        <w:t>进一步促进冷链物流发展项目1个（湖南省龙凤农业开发股份有限公司申报“水果商品化处理设施设备建设”项目），共得到上级资金支持近160万元；筛选推荐湖南湘宏食品股份有限公司申请纳入“2022年度农产品冷链物流贷款贴息项目”，申请贴息金额19万元；推荐申报2023年农产品供应</w:t>
      </w:r>
      <w:proofErr w:type="gramStart"/>
      <w:r>
        <w:rPr>
          <w:rFonts w:ascii="仿宋_GB2312" w:eastAsia="仿宋_GB2312" w:hAnsi="微软雅黑" w:hint="eastAsia"/>
          <w:snapToGrid/>
          <w:color w:val="auto"/>
          <w:kern w:val="21"/>
          <w:sz w:val="32"/>
          <w:szCs w:val="32"/>
        </w:rPr>
        <w:t>链项目</w:t>
      </w:r>
      <w:proofErr w:type="gramEnd"/>
      <w:r>
        <w:rPr>
          <w:rFonts w:ascii="仿宋_GB2312" w:eastAsia="仿宋_GB2312" w:hAnsi="微软雅黑" w:hint="eastAsia"/>
          <w:snapToGrid/>
          <w:color w:val="auto"/>
          <w:kern w:val="21"/>
          <w:sz w:val="32"/>
          <w:szCs w:val="32"/>
        </w:rPr>
        <w:t>2个、推荐申报商业体系建设项目3个。三是加强监管，重点扶持。抓好内外贸易的融合，突出商贸流通重点项目建设，培育、</w:t>
      </w:r>
      <w:r>
        <w:rPr>
          <w:rFonts w:ascii="仿宋_GB2312" w:eastAsia="仿宋_GB2312" w:hAnsi="微软雅黑" w:hint="eastAsia"/>
          <w:snapToGrid/>
          <w:color w:val="auto"/>
          <w:kern w:val="21"/>
          <w:sz w:val="32"/>
          <w:szCs w:val="32"/>
        </w:rPr>
        <w:lastRenderedPageBreak/>
        <w:t>扶持大型商贸物流企业发展，做好品牌中华行品牌企业入库（拾梦工艺、</w:t>
      </w:r>
      <w:proofErr w:type="gramStart"/>
      <w:r>
        <w:rPr>
          <w:rFonts w:ascii="仿宋_GB2312" w:eastAsia="仿宋_GB2312" w:hAnsi="微软雅黑" w:hint="eastAsia"/>
          <w:snapToGrid/>
          <w:color w:val="auto"/>
          <w:kern w:val="21"/>
          <w:sz w:val="32"/>
          <w:szCs w:val="32"/>
        </w:rPr>
        <w:t>湘宏食品</w:t>
      </w:r>
      <w:proofErr w:type="gramEnd"/>
      <w:r>
        <w:rPr>
          <w:rFonts w:ascii="仿宋_GB2312" w:eastAsia="仿宋_GB2312" w:hAnsi="微软雅黑" w:hint="eastAsia"/>
          <w:snapToGrid/>
          <w:color w:val="auto"/>
          <w:kern w:val="21"/>
          <w:sz w:val="32"/>
          <w:szCs w:val="32"/>
        </w:rPr>
        <w:t>）及采购商入库企业（</w:t>
      </w:r>
      <w:proofErr w:type="gramStart"/>
      <w:r>
        <w:rPr>
          <w:rFonts w:ascii="仿宋_GB2312" w:eastAsia="仿宋_GB2312" w:hAnsi="微软雅黑" w:hint="eastAsia"/>
          <w:snapToGrid/>
          <w:color w:val="auto"/>
          <w:kern w:val="21"/>
          <w:sz w:val="32"/>
          <w:szCs w:val="32"/>
        </w:rPr>
        <w:t>遨</w:t>
      </w:r>
      <w:proofErr w:type="gramEnd"/>
      <w:r>
        <w:rPr>
          <w:rFonts w:ascii="仿宋_GB2312" w:eastAsia="仿宋_GB2312" w:hAnsi="微软雅黑" w:hint="eastAsia"/>
          <w:snapToGrid/>
          <w:color w:val="auto"/>
          <w:kern w:val="21"/>
          <w:sz w:val="32"/>
          <w:szCs w:val="32"/>
        </w:rPr>
        <w:t>辰商贸公司）工作；加大行业政策宣传，积极指导拾梦工艺公司做好“湖南老字号”申报；完成2021“味道湖南”美食季活动的后续工作，会同相关部门筹划2022(2023)年“衡山宴 宴天下”美食节会活动；加强对商超、市场、再生资源及二手车等行业监管及业务指导工作。</w:t>
      </w:r>
    </w:p>
    <w:p w:rsidR="00B454FA" w:rsidRDefault="00DF6893">
      <w:pPr>
        <w:widowControl w:val="0"/>
        <w:kinsoku/>
        <w:adjustRightInd/>
        <w:snapToGrid/>
        <w:spacing w:line="360" w:lineRule="auto"/>
        <w:ind w:firstLineChars="200" w:firstLine="643"/>
        <w:jc w:val="both"/>
        <w:rPr>
          <w:rFonts w:ascii="仿宋_GB2312" w:eastAsia="仿宋_GB2312" w:hAnsi="楷体"/>
          <w:b/>
          <w:snapToGrid/>
          <w:color w:val="auto"/>
          <w:kern w:val="21"/>
          <w:sz w:val="32"/>
          <w:szCs w:val="32"/>
        </w:rPr>
      </w:pPr>
      <w:r>
        <w:rPr>
          <w:rFonts w:ascii="仿宋_GB2312" w:eastAsia="仿宋_GB2312" w:hAnsi="楷体" w:hint="eastAsia"/>
          <w:b/>
          <w:snapToGrid/>
          <w:color w:val="auto"/>
          <w:kern w:val="21"/>
          <w:sz w:val="32"/>
          <w:szCs w:val="32"/>
        </w:rPr>
        <w:t>（二）党建和中心工作两手抓，各项主体责任得到落实。</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微软雅黑" w:hint="eastAsia"/>
          <w:b/>
          <w:snapToGrid/>
          <w:color w:val="auto"/>
          <w:kern w:val="21"/>
          <w:sz w:val="32"/>
          <w:szCs w:val="32"/>
        </w:rPr>
        <w:t>1.深化主题教育学习。</w:t>
      </w:r>
      <w:r>
        <w:rPr>
          <w:rFonts w:ascii="仿宋_GB2312" w:eastAsia="仿宋_GB2312" w:hAnsi="微软雅黑" w:hint="eastAsia"/>
          <w:snapToGrid/>
          <w:color w:val="auto"/>
          <w:kern w:val="21"/>
          <w:sz w:val="32"/>
          <w:szCs w:val="32"/>
        </w:rPr>
        <w:t>一是制定党委学习中心组学习计划，每月在中心组（扩大）会议上，集中学习贯彻习近平新时代中国特色社会主义思想，全面贯彻落</w:t>
      </w:r>
      <w:proofErr w:type="gramStart"/>
      <w:r>
        <w:rPr>
          <w:rFonts w:ascii="仿宋_GB2312" w:eastAsia="仿宋_GB2312" w:hAnsi="微软雅黑" w:hint="eastAsia"/>
          <w:snapToGrid/>
          <w:color w:val="auto"/>
          <w:kern w:val="21"/>
          <w:sz w:val="32"/>
          <w:szCs w:val="32"/>
        </w:rPr>
        <w:t>实习近</w:t>
      </w:r>
      <w:proofErr w:type="gramEnd"/>
      <w:r>
        <w:rPr>
          <w:rFonts w:ascii="仿宋_GB2312" w:eastAsia="仿宋_GB2312" w:hAnsi="微软雅黑" w:hint="eastAsia"/>
          <w:snapToGrid/>
          <w:color w:val="auto"/>
          <w:kern w:val="21"/>
          <w:sz w:val="32"/>
          <w:szCs w:val="32"/>
        </w:rPr>
        <w:t>平总书记关于力戒形式主义官僚主义、安全生产工作、“六稳”“六保”、防范化解重大风险、保障粮食安全重要讲话和批示指示精神、学习《习近平谈治国理政》第四卷、学习党史，推进党史学习教育常态化。二</w:t>
      </w:r>
      <w:proofErr w:type="gramStart"/>
      <w:r>
        <w:rPr>
          <w:rFonts w:ascii="仿宋_GB2312" w:eastAsia="仿宋_GB2312" w:hAnsi="微软雅黑" w:hint="eastAsia"/>
          <w:snapToGrid/>
          <w:color w:val="auto"/>
          <w:kern w:val="21"/>
          <w:sz w:val="32"/>
          <w:szCs w:val="32"/>
        </w:rPr>
        <w:t>是委党坚持</w:t>
      </w:r>
      <w:proofErr w:type="gramEnd"/>
      <w:r>
        <w:rPr>
          <w:rFonts w:ascii="仿宋_GB2312" w:eastAsia="仿宋_GB2312" w:hAnsi="微软雅黑" w:hint="eastAsia"/>
          <w:snapToGrid/>
          <w:color w:val="auto"/>
          <w:kern w:val="21"/>
          <w:sz w:val="32"/>
          <w:szCs w:val="32"/>
        </w:rPr>
        <w:t>每月集中学习外，全体机关党员干部职工每周不少于4个小时的自学时间，学习政策、法律、法规以及业务知识等内容。开展党的二十大精神、疫情防控、粮食专项巡查整改、优化营商环境等年度专题交流研讨4次。三是所属各党支部坚持“三会一课”和主题党日制度，所有班子成员到企业党支部上党课、督党建，深入一线调查研究，把理论和实践结合起来，把学习和工作紧密联系起来，做到学以致用。</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微软雅黑" w:hint="eastAsia"/>
          <w:b/>
          <w:snapToGrid/>
          <w:color w:val="auto"/>
          <w:kern w:val="21"/>
          <w:sz w:val="32"/>
          <w:szCs w:val="32"/>
        </w:rPr>
        <w:lastRenderedPageBreak/>
        <w:t>2.夯实基层党建工作。</w:t>
      </w:r>
      <w:r>
        <w:rPr>
          <w:rFonts w:ascii="仿宋_GB2312" w:eastAsia="仿宋_GB2312" w:hAnsi="微软雅黑" w:hint="eastAsia"/>
          <w:snapToGrid/>
          <w:color w:val="auto"/>
          <w:kern w:val="21"/>
          <w:sz w:val="32"/>
          <w:szCs w:val="32"/>
        </w:rPr>
        <w:t>一是重视中青年、后备人才的培养和使用力度，着力整合、理顺机构改革后各股室、二级机构和粮食企业的工作和人事关系，充分发挥党委在干部人事工作上的领导把关作用。二是严肃组织生活，扎实开展党史学习教育专题民主生活会、2021年度组织生活会和民主评议党员大会、2021年度党支部书记抓基层党建述职评议考核会议，配强抗</w:t>
      </w:r>
      <w:proofErr w:type="gramStart"/>
      <w:r>
        <w:rPr>
          <w:rFonts w:ascii="仿宋_GB2312" w:eastAsia="仿宋_GB2312" w:hAnsi="微软雅黑" w:hint="eastAsia"/>
          <w:snapToGrid/>
          <w:color w:val="auto"/>
          <w:kern w:val="21"/>
          <w:sz w:val="32"/>
          <w:szCs w:val="32"/>
        </w:rPr>
        <w:t>疫</w:t>
      </w:r>
      <w:proofErr w:type="gramEnd"/>
      <w:r>
        <w:rPr>
          <w:rFonts w:ascii="仿宋_GB2312" w:eastAsia="仿宋_GB2312" w:hAnsi="微软雅黑" w:hint="eastAsia"/>
          <w:snapToGrid/>
          <w:color w:val="auto"/>
          <w:kern w:val="21"/>
          <w:sz w:val="32"/>
          <w:szCs w:val="32"/>
        </w:rPr>
        <w:t>一线党员突击队力量，激发全系统党员干部在抗</w:t>
      </w:r>
      <w:proofErr w:type="gramStart"/>
      <w:r>
        <w:rPr>
          <w:rFonts w:ascii="仿宋_GB2312" w:eastAsia="仿宋_GB2312" w:hAnsi="微软雅黑" w:hint="eastAsia"/>
          <w:snapToGrid/>
          <w:color w:val="auto"/>
          <w:kern w:val="21"/>
          <w:sz w:val="32"/>
          <w:szCs w:val="32"/>
        </w:rPr>
        <w:t>疫</w:t>
      </w:r>
      <w:proofErr w:type="gramEnd"/>
      <w:r>
        <w:rPr>
          <w:rFonts w:ascii="仿宋_GB2312" w:eastAsia="仿宋_GB2312" w:hAnsi="微软雅黑" w:hint="eastAsia"/>
          <w:snapToGrid/>
          <w:color w:val="auto"/>
          <w:kern w:val="21"/>
          <w:sz w:val="32"/>
          <w:szCs w:val="32"/>
        </w:rPr>
        <w:t>防火一线冲锋作为，推动党建与业务深度融合。三是开展志愿服务，</w:t>
      </w:r>
      <w:proofErr w:type="gramStart"/>
      <w:r>
        <w:rPr>
          <w:rFonts w:ascii="仿宋_GB2312" w:eastAsia="仿宋_GB2312" w:hAnsi="微软雅黑" w:hint="eastAsia"/>
          <w:snapToGrid/>
          <w:color w:val="auto"/>
          <w:kern w:val="21"/>
          <w:sz w:val="32"/>
          <w:szCs w:val="32"/>
        </w:rPr>
        <w:t>鼓励全</w:t>
      </w:r>
      <w:proofErr w:type="gramEnd"/>
      <w:r>
        <w:rPr>
          <w:rFonts w:ascii="仿宋_GB2312" w:eastAsia="仿宋_GB2312" w:hAnsi="微软雅黑" w:hint="eastAsia"/>
          <w:snapToGrid/>
          <w:color w:val="auto"/>
          <w:kern w:val="21"/>
          <w:sz w:val="32"/>
          <w:szCs w:val="32"/>
        </w:rPr>
        <w:t>系统党员干部进社区报到、在社区服务，先后开展“帮扶责任村、社区困难党员慰问”“在职党员进社区志愿服务”“疫情防控志愿者服务”等活动。</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hint="eastAsia"/>
          <w:b/>
          <w:snapToGrid/>
          <w:color w:val="auto"/>
          <w:kern w:val="21"/>
          <w:sz w:val="32"/>
          <w:szCs w:val="32"/>
          <w:shd w:val="clear" w:color="auto" w:fill="FFFFFF"/>
        </w:rPr>
        <w:t>3.突出党风廉政建设。</w:t>
      </w:r>
      <w:r>
        <w:rPr>
          <w:rFonts w:ascii="仿宋_GB2312" w:eastAsia="仿宋_GB2312" w:hAnsi="微软雅黑" w:hint="eastAsia"/>
          <w:snapToGrid/>
          <w:color w:val="auto"/>
          <w:kern w:val="21"/>
          <w:sz w:val="32"/>
          <w:szCs w:val="32"/>
        </w:rPr>
        <w:t>一是坚持“一岗双责”，抓好党风廉政建设和反腐败工作，开展主体责任谈话，干部谈话</w:t>
      </w:r>
      <w:proofErr w:type="gramStart"/>
      <w:r>
        <w:rPr>
          <w:rFonts w:ascii="仿宋_GB2312" w:eastAsia="仿宋_GB2312" w:hAnsi="微软雅黑" w:hint="eastAsia"/>
          <w:snapToGrid/>
          <w:color w:val="auto"/>
          <w:kern w:val="21"/>
          <w:sz w:val="32"/>
          <w:szCs w:val="32"/>
        </w:rPr>
        <w:t>履盖</w:t>
      </w:r>
      <w:proofErr w:type="gramEnd"/>
      <w:r>
        <w:rPr>
          <w:rFonts w:ascii="仿宋_GB2312" w:eastAsia="仿宋_GB2312" w:hAnsi="微软雅黑" w:hint="eastAsia"/>
          <w:snapToGrid/>
          <w:color w:val="auto"/>
          <w:kern w:val="21"/>
          <w:sz w:val="32"/>
          <w:szCs w:val="32"/>
        </w:rPr>
        <w:t>率达100％。二是杨群局长与班子成员、班子成员与分管股室负责人逐级签订“落实党风廉政建设责任书”，层层压实责任。三是加强与派驻纪检监察组沟通，邀请派驻纪检监察组列席</w:t>
      </w:r>
      <w:proofErr w:type="gramStart"/>
      <w:r>
        <w:rPr>
          <w:rFonts w:ascii="仿宋_GB2312" w:eastAsia="仿宋_GB2312" w:hAnsi="微软雅黑" w:hint="eastAsia"/>
          <w:snapToGrid/>
          <w:color w:val="auto"/>
          <w:kern w:val="21"/>
          <w:sz w:val="32"/>
          <w:szCs w:val="32"/>
        </w:rPr>
        <w:t>委党委</w:t>
      </w:r>
      <w:proofErr w:type="gramEnd"/>
      <w:r>
        <w:rPr>
          <w:rFonts w:ascii="仿宋_GB2312" w:eastAsia="仿宋_GB2312" w:hAnsi="微软雅黑" w:hint="eastAsia"/>
          <w:snapToGrid/>
          <w:color w:val="auto"/>
          <w:kern w:val="21"/>
          <w:sz w:val="32"/>
          <w:szCs w:val="32"/>
        </w:rPr>
        <w:t>会议，按时报送履行党风廉政建设主体责任情况。截至目前，召开党风廉政建设专题研究会议4次，配合上级纪委办理案件2件。四是通过发放清廉倡议书、召开家属座谈会、撰写清廉家书等形式、加大廉政宣传等形式，扎实开展商务系统“清廉机关”建设工作。</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hint="eastAsia"/>
          <w:b/>
          <w:snapToGrid/>
          <w:color w:val="auto"/>
          <w:kern w:val="21"/>
          <w:sz w:val="32"/>
          <w:szCs w:val="32"/>
          <w:shd w:val="clear" w:color="auto" w:fill="FFFFFF"/>
        </w:rPr>
        <w:t>4.化解重点信访矛盾。</w:t>
      </w:r>
      <w:r>
        <w:rPr>
          <w:rFonts w:ascii="仿宋_GB2312" w:eastAsia="仿宋_GB2312" w:hAnsi="微软雅黑" w:hint="eastAsia"/>
          <w:snapToGrid/>
          <w:color w:val="auto"/>
          <w:kern w:val="21"/>
          <w:sz w:val="32"/>
          <w:szCs w:val="32"/>
        </w:rPr>
        <w:t>一是认清形势，提高认识。深刻</w:t>
      </w:r>
      <w:r>
        <w:rPr>
          <w:rFonts w:ascii="仿宋_GB2312" w:eastAsia="仿宋_GB2312" w:hAnsi="微软雅黑" w:hint="eastAsia"/>
          <w:snapToGrid/>
          <w:color w:val="auto"/>
          <w:kern w:val="21"/>
          <w:sz w:val="32"/>
          <w:szCs w:val="32"/>
        </w:rPr>
        <w:lastRenderedPageBreak/>
        <w:t>理解新形势下信访工作的重要性，坚持每次会议研究信访工作，及时掌握动态，做到早安排、早部署。二是明确责任，强化领导。切实加强信访工作，成立了以杨群局长为组长的信访工作领导小组，负责全系统的信访稳定工作，组织机关集体学习了新修订颁布的《信访工作条例》。三是各负其责，齐抓共管。建立信访工作的新格局，落实领导干部下访日和分包制度，对一些有诉求的群众，做到热情接待，认真宣传政策。截至目前，县商务局共办理县信访局转办信访件2件，化解廖某庚重点信访案件，市、县信访件（信箱、热线）均已按期办结。</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hint="eastAsia"/>
          <w:b/>
          <w:snapToGrid/>
          <w:color w:val="auto"/>
          <w:kern w:val="21"/>
          <w:sz w:val="32"/>
          <w:szCs w:val="32"/>
          <w:shd w:val="clear" w:color="auto" w:fill="FFFFFF"/>
        </w:rPr>
        <w:t>5.落实意识形态责任制。</w:t>
      </w:r>
      <w:r>
        <w:rPr>
          <w:rFonts w:ascii="仿宋_GB2312" w:eastAsia="仿宋_GB2312" w:hAnsi="微软雅黑" w:hint="eastAsia"/>
          <w:snapToGrid/>
          <w:color w:val="auto"/>
          <w:kern w:val="21"/>
          <w:sz w:val="32"/>
          <w:szCs w:val="32"/>
        </w:rPr>
        <w:t>一是加强意识形态工作领导。成立领导小组，</w:t>
      </w:r>
      <w:proofErr w:type="gramStart"/>
      <w:r>
        <w:rPr>
          <w:rFonts w:ascii="仿宋_GB2312" w:eastAsia="仿宋_GB2312" w:hAnsi="微软雅黑" w:hint="eastAsia"/>
          <w:snapToGrid/>
          <w:color w:val="auto"/>
          <w:kern w:val="21"/>
          <w:sz w:val="32"/>
          <w:szCs w:val="32"/>
        </w:rPr>
        <w:t>明确局</w:t>
      </w:r>
      <w:proofErr w:type="gramEnd"/>
      <w:r>
        <w:rPr>
          <w:rFonts w:ascii="仿宋_GB2312" w:eastAsia="仿宋_GB2312" w:hAnsi="微软雅黑" w:hint="eastAsia"/>
          <w:snapToGrid/>
          <w:color w:val="auto"/>
          <w:kern w:val="21"/>
          <w:sz w:val="32"/>
          <w:szCs w:val="32"/>
        </w:rPr>
        <w:t>党委书记为意识形态工作第一责任人，班子成员按照“一岗双责”要求对职责范围内的意识形态工作负领导责任。二是加强制度建设，健全党委定期听取意识形态工作研讨机制。健全防控体系，提升对重大思想理论和舆论问题凝聚共识。三是积极主动做好网上正面宣传。发布网上公众号信息10余篇，真正做到了网上重大主题活动的正面宣传和引导。</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hint="eastAsia"/>
          <w:b/>
          <w:bCs/>
          <w:snapToGrid/>
          <w:color w:val="auto"/>
          <w:kern w:val="21"/>
          <w:sz w:val="32"/>
          <w:szCs w:val="32"/>
          <w:shd w:val="clear" w:color="auto" w:fill="FFFFFF"/>
        </w:rPr>
        <w:t>6.扛牢安全生产责任。</w:t>
      </w:r>
      <w:r>
        <w:rPr>
          <w:rFonts w:ascii="仿宋_GB2312" w:eastAsia="仿宋_GB2312" w:hAnsi="微软雅黑" w:hint="eastAsia"/>
          <w:snapToGrid/>
          <w:color w:val="auto"/>
          <w:kern w:val="21"/>
          <w:sz w:val="32"/>
          <w:szCs w:val="32"/>
        </w:rPr>
        <w:t>一是切实履行职责。制定了《2022年衡山县商务系统安全生产工作要点》，与相关股室、二级机构、有关行业企业签订了《安全生产责任状》，要求企业切实落实安全生产主体责任。二是扎实开展阶段性工作。在</w:t>
      </w:r>
      <w:r>
        <w:rPr>
          <w:rFonts w:ascii="仿宋_GB2312" w:eastAsia="仿宋_GB2312" w:hAnsi="微软雅黑" w:hint="eastAsia"/>
          <w:snapToGrid/>
          <w:color w:val="auto"/>
          <w:kern w:val="21"/>
          <w:sz w:val="32"/>
          <w:szCs w:val="32"/>
        </w:rPr>
        <w:lastRenderedPageBreak/>
        <w:t>每月召开的局务会上都要对安全生产的文件进行学习，对安全生产工作进行安排调度。今年来，按照要求先后制定了衡山县商务领域岁末年初安全生产百日大会战工作方案、建立底线工作“五全</w:t>
      </w:r>
      <w:proofErr w:type="gramStart"/>
      <w:r>
        <w:rPr>
          <w:rFonts w:ascii="仿宋_GB2312" w:eastAsia="仿宋_GB2312" w:hAnsi="微软雅黑" w:hint="eastAsia"/>
          <w:snapToGrid/>
          <w:color w:val="auto"/>
          <w:kern w:val="21"/>
          <w:sz w:val="32"/>
          <w:szCs w:val="32"/>
        </w:rPr>
        <w:t>一</w:t>
      </w:r>
      <w:proofErr w:type="gramEnd"/>
      <w:r>
        <w:rPr>
          <w:rFonts w:ascii="仿宋_GB2312" w:eastAsia="仿宋_GB2312" w:hAnsi="微软雅黑" w:hint="eastAsia"/>
          <w:snapToGrid/>
          <w:color w:val="auto"/>
          <w:kern w:val="21"/>
          <w:sz w:val="32"/>
          <w:szCs w:val="32"/>
        </w:rPr>
        <w:t>常态”机制实施方案、安全生产大检查工作方案、既有房屋安全隐患专项排查整治工作方案等文件。截止目前，我局先后开展各类安全生产监督检查20余批次，出动检查人员60余人次，检查大型市场超市、加油站点、粮食加工收储企业、燃气餐饮企业、废旧回收点100余家次，现场整改安全隐患60余处。三是及时完成上级交办工作。今年来，共收到市、县安委办交办的安全隐患整改函5件共6处，均按要求完成了隐患整改。</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hint="eastAsia"/>
          <w:b/>
          <w:snapToGrid/>
          <w:color w:val="auto"/>
          <w:kern w:val="21"/>
          <w:sz w:val="32"/>
          <w:szCs w:val="32"/>
          <w:shd w:val="clear" w:color="auto" w:fill="FFFFFF"/>
        </w:rPr>
        <w:t>7.强化政务公开和服务。</w:t>
      </w:r>
      <w:r>
        <w:rPr>
          <w:rFonts w:ascii="仿宋_GB2312" w:eastAsia="仿宋_GB2312" w:hAnsi="微软雅黑" w:hint="eastAsia"/>
          <w:snapToGrid/>
          <w:color w:val="auto"/>
          <w:kern w:val="21"/>
          <w:sz w:val="32"/>
          <w:szCs w:val="32"/>
        </w:rPr>
        <w:t>一是</w:t>
      </w:r>
      <w:proofErr w:type="gramStart"/>
      <w:r>
        <w:rPr>
          <w:rFonts w:ascii="仿宋_GB2312" w:eastAsia="仿宋_GB2312" w:hAnsi="微软雅黑" w:hint="eastAsia"/>
          <w:snapToGrid/>
          <w:color w:val="auto"/>
          <w:kern w:val="21"/>
          <w:sz w:val="32"/>
          <w:szCs w:val="32"/>
        </w:rPr>
        <w:t>创建县商务局微信公众号</w:t>
      </w:r>
      <w:proofErr w:type="gramEnd"/>
      <w:r>
        <w:rPr>
          <w:rFonts w:ascii="仿宋_GB2312" w:eastAsia="仿宋_GB2312" w:hAnsi="微软雅黑" w:hint="eastAsia"/>
          <w:snapToGrid/>
          <w:color w:val="auto"/>
          <w:kern w:val="21"/>
          <w:sz w:val="32"/>
          <w:szCs w:val="32"/>
        </w:rPr>
        <w:t>。截止目前，我局发布公众</w:t>
      </w:r>
      <w:proofErr w:type="gramStart"/>
      <w:r>
        <w:rPr>
          <w:rFonts w:ascii="仿宋_GB2312" w:eastAsia="仿宋_GB2312" w:hAnsi="微软雅黑" w:hint="eastAsia"/>
          <w:snapToGrid/>
          <w:color w:val="auto"/>
          <w:kern w:val="21"/>
          <w:sz w:val="32"/>
          <w:szCs w:val="32"/>
        </w:rPr>
        <w:t>号文章</w:t>
      </w:r>
      <w:proofErr w:type="gramEnd"/>
      <w:r>
        <w:rPr>
          <w:rFonts w:ascii="仿宋_GB2312" w:eastAsia="仿宋_GB2312" w:hAnsi="微软雅黑" w:hint="eastAsia"/>
          <w:snapToGrid/>
          <w:color w:val="auto"/>
          <w:kern w:val="21"/>
          <w:sz w:val="32"/>
          <w:szCs w:val="32"/>
        </w:rPr>
        <w:t>80余篇，有力助推我局政务公开、政务服务及宣传工作。二是认真做好政务集成服务“大综窗”标准化改革，各行政事项按“大综窗”标准化改革要求规范运作。三是完成了2021年度成品油零售经营年检工作，共年检65家，并上报省、市主管部门备案。四是做好了加油站建设许可初审及上报工作。截止12月5日止，全县“十三五”规划已批待建（含在建）加油站规划批文共受理办结4件《成品油零售经营批准证书》到期换证10家。五是“12345”政府服务热线信息知识库</w:t>
      </w:r>
      <w:proofErr w:type="gramStart"/>
      <w:r>
        <w:rPr>
          <w:rFonts w:ascii="仿宋_GB2312" w:eastAsia="仿宋_GB2312" w:hAnsi="微软雅黑" w:hint="eastAsia"/>
          <w:snapToGrid/>
          <w:color w:val="auto"/>
          <w:kern w:val="21"/>
          <w:sz w:val="32"/>
          <w:szCs w:val="32"/>
        </w:rPr>
        <w:t>采集共更新</w:t>
      </w:r>
      <w:proofErr w:type="gramEnd"/>
      <w:r>
        <w:rPr>
          <w:rFonts w:ascii="仿宋_GB2312" w:eastAsia="仿宋_GB2312" w:hAnsi="微软雅黑" w:hint="eastAsia"/>
          <w:snapToGrid/>
          <w:color w:val="auto"/>
          <w:kern w:val="21"/>
          <w:sz w:val="32"/>
          <w:szCs w:val="32"/>
        </w:rPr>
        <w:t>上传信息28条。六是完善湖南省互联网+政务服务一体化云平台信息。全面核查补</w:t>
      </w:r>
      <w:r>
        <w:rPr>
          <w:rFonts w:ascii="仿宋_GB2312" w:eastAsia="仿宋_GB2312" w:hAnsi="微软雅黑" w:hint="eastAsia"/>
          <w:snapToGrid/>
          <w:color w:val="auto"/>
          <w:kern w:val="21"/>
          <w:sz w:val="32"/>
          <w:szCs w:val="32"/>
        </w:rPr>
        <w:lastRenderedPageBreak/>
        <w:t>充填报了许可、给付、奖励、确认、裁决、其他行政权力6类政务服务事项拓展的37个要素，同时对已填报的各个要素中存在的错漏进行了修正，并经省平台审核通过，共完善和填报44条信息。七是抓好优化营商环境攻坚年工作。先后成立了衡山县商务局“优化营商环境攻坚年”工作领导小组、优化营商环境“政务服务便利化”工作领导小组等五个工作小组，同时制定并印发了局2022年“优化营商环境攻坚年”行动方案、2022年优化营商环境“政务服务便利化”行动实施方案、“互联网+监管”工作实施方案及事中事后监督管理制度等相关方案和制度，确保了我局优化营商环境工作的顺利开展。严格按照县委要求，认真抓好优化营商环境专项巡查整改。根据省、市、县“放管服”改革要求，做好了“三集中三到位”工作任务，积极开展了“走流程、解难题、优服务”活动，</w:t>
      </w:r>
      <w:proofErr w:type="gramStart"/>
      <w:r>
        <w:rPr>
          <w:rFonts w:ascii="仿宋_GB2312" w:eastAsia="仿宋_GB2312" w:hAnsi="微软雅黑" w:hint="eastAsia"/>
          <w:snapToGrid/>
          <w:color w:val="auto"/>
          <w:kern w:val="21"/>
          <w:sz w:val="32"/>
          <w:szCs w:val="32"/>
        </w:rPr>
        <w:t>对综窗受理</w:t>
      </w:r>
      <w:proofErr w:type="gramEnd"/>
      <w:r>
        <w:rPr>
          <w:rFonts w:ascii="仿宋_GB2312" w:eastAsia="仿宋_GB2312" w:hAnsi="微软雅黑" w:hint="eastAsia"/>
          <w:snapToGrid/>
          <w:color w:val="auto"/>
          <w:kern w:val="21"/>
          <w:sz w:val="32"/>
          <w:szCs w:val="32"/>
        </w:rPr>
        <w:t>人员进行业务培训，对监管事项清单和监管检查动态信息及时录入“互联网+监管”平台，做到了对监管业务事项</w:t>
      </w:r>
      <w:proofErr w:type="gramStart"/>
      <w:r>
        <w:rPr>
          <w:rFonts w:ascii="仿宋_GB2312" w:eastAsia="仿宋_GB2312" w:hAnsi="微软雅黑" w:hint="eastAsia"/>
          <w:snapToGrid/>
          <w:color w:val="auto"/>
          <w:kern w:val="21"/>
          <w:sz w:val="32"/>
          <w:szCs w:val="32"/>
        </w:rPr>
        <w:t>数据应录尽录</w:t>
      </w:r>
      <w:proofErr w:type="gramEnd"/>
      <w:r>
        <w:rPr>
          <w:rFonts w:ascii="仿宋_GB2312" w:eastAsia="仿宋_GB2312" w:hAnsi="微软雅黑" w:hint="eastAsia"/>
          <w:snapToGrid/>
          <w:color w:val="auto"/>
          <w:kern w:val="21"/>
          <w:sz w:val="32"/>
          <w:szCs w:val="32"/>
        </w:rPr>
        <w:t>，归集共享。完善出台了《衡山县外商投资企业投诉处理办法》，为切实保障外商投资企业的合法权益奠定了基础。及时对巡查组交办的五个问题进行整改，通过巡查整改建立了优化营商环境长效工作机制。</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hint="eastAsia"/>
          <w:b/>
          <w:snapToGrid/>
          <w:color w:val="auto"/>
          <w:kern w:val="21"/>
          <w:sz w:val="32"/>
          <w:szCs w:val="32"/>
          <w:shd w:val="clear" w:color="auto" w:fill="FFFFFF"/>
        </w:rPr>
        <w:t>8.其他工作齐头并进</w:t>
      </w:r>
      <w:r>
        <w:rPr>
          <w:rFonts w:ascii="仿宋_GB2312" w:eastAsia="仿宋_GB2312" w:hAnsi="仿宋" w:hint="eastAsia"/>
          <w:snapToGrid/>
          <w:color w:val="auto"/>
          <w:kern w:val="21"/>
          <w:sz w:val="32"/>
          <w:szCs w:val="32"/>
          <w:shd w:val="clear" w:color="auto" w:fill="FFFFFF"/>
        </w:rPr>
        <w:t>。</w:t>
      </w:r>
      <w:r>
        <w:rPr>
          <w:rFonts w:ascii="仿宋_GB2312" w:eastAsia="仿宋_GB2312" w:hAnsi="微软雅黑" w:hint="eastAsia"/>
          <w:snapToGrid/>
          <w:color w:val="auto"/>
          <w:kern w:val="21"/>
          <w:sz w:val="32"/>
          <w:szCs w:val="32"/>
        </w:rPr>
        <w:t>一是市场服务中心工作有亮点。一年来，我局市场服务中心迎接省市县三级各项工作明察暗</w:t>
      </w:r>
      <w:r>
        <w:rPr>
          <w:rFonts w:ascii="仿宋_GB2312" w:eastAsia="仿宋_GB2312" w:hAnsi="微软雅黑" w:hint="eastAsia"/>
          <w:snapToGrid/>
          <w:color w:val="auto"/>
          <w:kern w:val="21"/>
          <w:sz w:val="32"/>
          <w:szCs w:val="32"/>
        </w:rPr>
        <w:lastRenderedPageBreak/>
        <w:t>访的检查近百余次，多次获得各级领导的鼓励和表扬，为县级农贸市场规范化管理做出了表率。市场服务中心在2022年创建省级文明城市工作中被县委、县政府授予“创建省级文明城市工作先进单位”荣誉称号。二是落实疫情防控工作常态化管理。严格落实商务主管部门主体责任，对管辖行业和场所严格要求申领“场所码”，设定场所管理员，对所有进出人员严格执行“一扫二看三查四验”。督促全员规范佩戴口罩，免费发放口罩近8000个。三是深入开展城乡治理标准化建设工作，进一步落实“统一领导、分工负责”的标准化管理模式。全年召开专题会议10次，专门研究、部署城乡治理标准化工作。四是积极推进平安创建。加大平安创建的宣传力度，提高群众知晓率、参与率。我局市场服务中心积极参与全市第二届“十大平安”创建示范单位评选表彰活动，现已向市里提交了创建“平安市场”申报资料。</w:t>
      </w:r>
      <w:r>
        <w:rPr>
          <w:rFonts w:ascii="仿宋_GB2312" w:eastAsia="仿宋_GB2312" w:hAnsi="微软雅黑" w:hint="eastAsia"/>
          <w:b/>
          <w:bCs/>
          <w:snapToGrid/>
          <w:color w:val="auto"/>
          <w:kern w:val="21"/>
          <w:sz w:val="32"/>
          <w:szCs w:val="32"/>
        </w:rPr>
        <w:t>五是巩固省级文明城市、省级卫生县城的创建成果。</w:t>
      </w:r>
      <w:r>
        <w:rPr>
          <w:rFonts w:ascii="仿宋_GB2312" w:eastAsia="仿宋_GB2312" w:hAnsi="微软雅黑" w:hint="eastAsia"/>
          <w:snapToGrid/>
          <w:color w:val="auto"/>
          <w:kern w:val="21"/>
          <w:sz w:val="32"/>
          <w:szCs w:val="32"/>
        </w:rPr>
        <w:t>局党委高度重视，</w:t>
      </w:r>
      <w:proofErr w:type="gramStart"/>
      <w:r>
        <w:rPr>
          <w:rFonts w:ascii="仿宋_GB2312" w:eastAsia="仿宋_GB2312" w:hAnsi="微软雅黑" w:hint="eastAsia"/>
          <w:snapToGrid/>
          <w:color w:val="auto"/>
          <w:kern w:val="21"/>
          <w:sz w:val="32"/>
          <w:szCs w:val="32"/>
        </w:rPr>
        <w:t>把创文巩卫</w:t>
      </w:r>
      <w:proofErr w:type="gramEnd"/>
      <w:r>
        <w:rPr>
          <w:rFonts w:ascii="仿宋_GB2312" w:eastAsia="仿宋_GB2312" w:hAnsi="微软雅黑" w:hint="eastAsia"/>
          <w:snapToGrid/>
          <w:color w:val="auto"/>
          <w:kern w:val="21"/>
          <w:sz w:val="32"/>
          <w:szCs w:val="32"/>
        </w:rPr>
        <w:t>工作始终摆在重要议事日程，严格按照要求把每一项工作逐一落到实处。</w:t>
      </w:r>
    </w:p>
    <w:p w:rsidR="00B454FA" w:rsidRDefault="00DF6893">
      <w:pPr>
        <w:widowControl w:val="0"/>
        <w:kinsoku/>
        <w:adjustRightInd/>
        <w:snapToGrid/>
        <w:spacing w:line="360" w:lineRule="auto"/>
        <w:ind w:firstLineChars="200" w:firstLine="643"/>
        <w:jc w:val="both"/>
        <w:rPr>
          <w:rFonts w:ascii="仿宋_GB2312" w:eastAsia="仿宋_GB2312" w:hAnsi="微软雅黑"/>
          <w:snapToGrid/>
          <w:color w:val="auto"/>
          <w:kern w:val="21"/>
          <w:sz w:val="32"/>
          <w:szCs w:val="32"/>
        </w:rPr>
      </w:pPr>
      <w:r>
        <w:rPr>
          <w:rFonts w:ascii="仿宋_GB2312" w:eastAsia="仿宋_GB2312" w:hAnsi="仿宋" w:cs="仿宋" w:hint="eastAsia"/>
          <w:b/>
          <w:bCs/>
          <w:snapToGrid/>
          <w:color w:val="auto"/>
          <w:kern w:val="21"/>
          <w:sz w:val="32"/>
          <w:szCs w:val="32"/>
        </w:rPr>
        <w:t>2.项目绩效目标完成情况(仅对50万元以上的项目资金进行分项说明)</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(1)招商引资项目：年初预算数400</w:t>
      </w:r>
      <w:r w:rsidR="009E1446">
        <w:rPr>
          <w:rFonts w:ascii="仿宋_GB2312" w:eastAsia="仿宋_GB2312" w:hAnsi="仿宋" w:cs="仿宋" w:hint="eastAsia"/>
          <w:snapToGrid/>
          <w:color w:val="auto"/>
          <w:kern w:val="21"/>
          <w:sz w:val="32"/>
          <w:szCs w:val="32"/>
        </w:rPr>
        <w:t>万元，全年实际</w:t>
      </w:r>
      <w:r>
        <w:rPr>
          <w:rFonts w:ascii="仿宋_GB2312" w:eastAsia="仿宋_GB2312" w:hAnsi="仿宋" w:cs="仿宋" w:hint="eastAsia"/>
          <w:snapToGrid/>
          <w:color w:val="auto"/>
          <w:kern w:val="21"/>
          <w:sz w:val="32"/>
          <w:szCs w:val="32"/>
        </w:rPr>
        <w:t>拨</w:t>
      </w:r>
      <w:r w:rsidR="009E1446">
        <w:rPr>
          <w:rFonts w:ascii="仿宋_GB2312" w:eastAsia="仿宋_GB2312" w:hAnsi="仿宋" w:cs="仿宋" w:hint="eastAsia"/>
          <w:snapToGrid/>
          <w:color w:val="auto"/>
          <w:kern w:val="21"/>
          <w:sz w:val="32"/>
          <w:szCs w:val="32"/>
        </w:rPr>
        <w:t>付</w:t>
      </w:r>
      <w:r>
        <w:rPr>
          <w:rFonts w:ascii="仿宋_GB2312" w:eastAsia="仿宋_GB2312" w:hAnsi="仿宋" w:cs="仿宋" w:hint="eastAsia"/>
          <w:snapToGrid/>
          <w:color w:val="auto"/>
          <w:kern w:val="21"/>
          <w:sz w:val="32"/>
          <w:szCs w:val="32"/>
        </w:rPr>
        <w:t>资金119.34万元，其中我局招商引资工作经费45万元，我县招商引资奖励资金14.6万元，其余资金用于招商引资专项活</w:t>
      </w:r>
      <w:r>
        <w:rPr>
          <w:rFonts w:ascii="仿宋_GB2312" w:eastAsia="仿宋_GB2312" w:hAnsi="仿宋" w:cs="仿宋" w:hint="eastAsia"/>
          <w:snapToGrid/>
          <w:color w:val="auto"/>
          <w:kern w:val="21"/>
          <w:sz w:val="32"/>
          <w:szCs w:val="32"/>
        </w:rPr>
        <w:lastRenderedPageBreak/>
        <w:t>动经费。</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(2)县级储备粮、临储粮项目：年初预算数2000万元，</w:t>
      </w:r>
      <w:r w:rsidR="009E1446">
        <w:rPr>
          <w:rFonts w:ascii="仿宋_GB2312" w:eastAsia="仿宋_GB2312" w:hAnsi="仿宋" w:cs="仿宋" w:hint="eastAsia"/>
          <w:snapToGrid/>
          <w:color w:val="auto"/>
          <w:kern w:val="21"/>
          <w:sz w:val="32"/>
          <w:szCs w:val="32"/>
        </w:rPr>
        <w:t>全年</w:t>
      </w:r>
      <w:r>
        <w:rPr>
          <w:rFonts w:ascii="仿宋_GB2312" w:eastAsia="仿宋_GB2312" w:hAnsi="仿宋" w:cs="仿宋" w:hint="eastAsia"/>
          <w:snapToGrid/>
          <w:color w:val="auto"/>
          <w:kern w:val="21"/>
          <w:sz w:val="32"/>
          <w:szCs w:val="32"/>
        </w:rPr>
        <w:t>实际拨</w:t>
      </w:r>
      <w:r w:rsidR="009E1446">
        <w:rPr>
          <w:rFonts w:ascii="仿宋_GB2312" w:eastAsia="仿宋_GB2312" w:hAnsi="仿宋" w:cs="仿宋" w:hint="eastAsia"/>
          <w:snapToGrid/>
          <w:color w:val="auto"/>
          <w:kern w:val="21"/>
          <w:sz w:val="32"/>
          <w:szCs w:val="32"/>
        </w:rPr>
        <w:t>付</w:t>
      </w:r>
      <w:r>
        <w:rPr>
          <w:rFonts w:ascii="仿宋_GB2312" w:eastAsia="仿宋_GB2312" w:hAnsi="仿宋" w:cs="仿宋" w:hint="eastAsia"/>
          <w:snapToGrid/>
          <w:color w:val="auto"/>
          <w:kern w:val="21"/>
          <w:sz w:val="32"/>
          <w:szCs w:val="32"/>
        </w:rPr>
        <w:t>666.59万元，除我局</w:t>
      </w:r>
      <w:proofErr w:type="gramStart"/>
      <w:r>
        <w:rPr>
          <w:rFonts w:ascii="仿宋_GB2312" w:eastAsia="仿宋_GB2312" w:hAnsi="仿宋" w:cs="仿宋" w:hint="eastAsia"/>
          <w:snapToGrid/>
          <w:color w:val="auto"/>
          <w:kern w:val="21"/>
          <w:sz w:val="32"/>
          <w:szCs w:val="32"/>
        </w:rPr>
        <w:t>拨工作</w:t>
      </w:r>
      <w:proofErr w:type="gramEnd"/>
      <w:r>
        <w:rPr>
          <w:rFonts w:ascii="仿宋_GB2312" w:eastAsia="仿宋_GB2312" w:hAnsi="仿宋" w:cs="仿宋" w:hint="eastAsia"/>
          <w:snapToGrid/>
          <w:color w:val="auto"/>
          <w:kern w:val="21"/>
          <w:sz w:val="32"/>
          <w:szCs w:val="32"/>
        </w:rPr>
        <w:t>经费9万元，其余资金为拨付粮食企业政策性贷款利息补贴、费用补贴、粮食出库监管费、粮食企业采购收粮机械以及收购政策性粮食开支的“三个一”费用；另从粮食风险资金中拨付企业政策性粮食处置价差补贴202.33万元。</w:t>
      </w:r>
    </w:p>
    <w:p w:rsidR="00B454FA" w:rsidRDefault="00DF6893">
      <w:pPr>
        <w:widowControl w:val="0"/>
        <w:kinsoku/>
        <w:adjustRightInd/>
        <w:snapToGrid/>
        <w:spacing w:line="360" w:lineRule="auto"/>
        <w:ind w:firstLineChars="200" w:firstLine="640"/>
        <w:jc w:val="both"/>
        <w:rPr>
          <w:rFonts w:ascii="仿宋_GB2312" w:eastAsia="仿宋_GB2312" w:hAnsi="仿宋" w:cs="仿宋"/>
          <w:snapToGrid/>
          <w:color w:val="auto"/>
          <w:kern w:val="21"/>
          <w:sz w:val="32"/>
          <w:szCs w:val="32"/>
        </w:rPr>
      </w:pPr>
      <w:r>
        <w:rPr>
          <w:rFonts w:ascii="仿宋_GB2312" w:eastAsia="仿宋_GB2312" w:hAnsi="仿宋" w:cs="仿宋" w:hint="eastAsia"/>
          <w:snapToGrid/>
          <w:color w:val="auto"/>
          <w:kern w:val="21"/>
          <w:sz w:val="32"/>
          <w:szCs w:val="32"/>
        </w:rPr>
        <w:t>（3）企业关闭破产补助项目：年初预算数52.75万元，</w:t>
      </w:r>
      <w:r w:rsidR="009E1446">
        <w:rPr>
          <w:rFonts w:ascii="仿宋_GB2312" w:eastAsia="仿宋_GB2312" w:hAnsi="仿宋" w:cs="仿宋" w:hint="eastAsia"/>
          <w:snapToGrid/>
          <w:color w:val="auto"/>
          <w:kern w:val="21"/>
          <w:sz w:val="32"/>
          <w:szCs w:val="32"/>
        </w:rPr>
        <w:t>全年</w:t>
      </w:r>
      <w:r>
        <w:rPr>
          <w:rFonts w:ascii="仿宋_GB2312" w:eastAsia="仿宋_GB2312" w:hAnsi="仿宋" w:cs="仿宋" w:hint="eastAsia"/>
          <w:snapToGrid/>
          <w:color w:val="auto"/>
          <w:kern w:val="21"/>
          <w:sz w:val="32"/>
          <w:szCs w:val="32"/>
        </w:rPr>
        <w:t>实际拨</w:t>
      </w:r>
      <w:r w:rsidR="009E1446">
        <w:rPr>
          <w:rFonts w:ascii="仿宋_GB2312" w:eastAsia="仿宋_GB2312" w:hAnsi="仿宋" w:cs="仿宋" w:hint="eastAsia"/>
          <w:snapToGrid/>
          <w:color w:val="auto"/>
          <w:kern w:val="21"/>
          <w:sz w:val="32"/>
          <w:szCs w:val="32"/>
        </w:rPr>
        <w:t>付</w:t>
      </w:r>
      <w:r>
        <w:rPr>
          <w:rFonts w:ascii="仿宋_GB2312" w:eastAsia="仿宋_GB2312" w:hAnsi="仿宋" w:cs="仿宋" w:hint="eastAsia"/>
          <w:snapToGrid/>
          <w:color w:val="auto"/>
          <w:kern w:val="21"/>
          <w:sz w:val="32"/>
          <w:szCs w:val="32"/>
        </w:rPr>
        <w:t>50.82万元，用于我局6</w:t>
      </w:r>
      <w:r w:rsidR="009E1446">
        <w:rPr>
          <w:rFonts w:ascii="仿宋_GB2312" w:eastAsia="仿宋_GB2312" w:hAnsi="仿宋" w:cs="仿宋" w:hint="eastAsia"/>
          <w:snapToGrid/>
          <w:color w:val="auto"/>
          <w:kern w:val="21"/>
          <w:sz w:val="32"/>
          <w:szCs w:val="32"/>
        </w:rPr>
        <w:t>位改制企业法人</w:t>
      </w:r>
      <w:r>
        <w:rPr>
          <w:rFonts w:ascii="仿宋_GB2312" w:eastAsia="仿宋_GB2312" w:hAnsi="仿宋" w:cs="仿宋" w:hint="eastAsia"/>
          <w:snapToGrid/>
          <w:color w:val="auto"/>
          <w:kern w:val="21"/>
          <w:sz w:val="32"/>
          <w:szCs w:val="32"/>
        </w:rPr>
        <w:t>的工资薪</w:t>
      </w:r>
      <w:r w:rsidR="00012A2F">
        <w:rPr>
          <w:rFonts w:ascii="仿宋_GB2312" w:eastAsia="仿宋_GB2312" w:hAnsi="仿宋" w:cs="仿宋" w:hint="eastAsia"/>
          <w:snapToGrid/>
          <w:color w:val="auto"/>
          <w:kern w:val="21"/>
          <w:sz w:val="32"/>
          <w:szCs w:val="32"/>
        </w:rPr>
        <w:t>酬</w:t>
      </w:r>
      <w:r>
        <w:rPr>
          <w:rFonts w:ascii="仿宋_GB2312" w:eastAsia="仿宋_GB2312" w:hAnsi="仿宋" w:cs="仿宋" w:hint="eastAsia"/>
          <w:snapToGrid/>
          <w:color w:val="auto"/>
          <w:kern w:val="21"/>
          <w:sz w:val="32"/>
          <w:szCs w:val="32"/>
        </w:rPr>
        <w:t>、</w:t>
      </w:r>
      <w:proofErr w:type="gramStart"/>
      <w:r>
        <w:rPr>
          <w:rFonts w:ascii="仿宋_GB2312" w:eastAsia="仿宋_GB2312" w:hAnsi="仿宋" w:cs="仿宋" w:hint="eastAsia"/>
          <w:snapToGrid/>
          <w:color w:val="auto"/>
          <w:kern w:val="21"/>
          <w:sz w:val="32"/>
          <w:szCs w:val="32"/>
        </w:rPr>
        <w:t>五险一</w:t>
      </w:r>
      <w:proofErr w:type="gramEnd"/>
      <w:r>
        <w:rPr>
          <w:rFonts w:ascii="仿宋_GB2312" w:eastAsia="仿宋_GB2312" w:hAnsi="仿宋" w:cs="仿宋" w:hint="eastAsia"/>
          <w:snapToGrid/>
          <w:color w:val="auto"/>
          <w:kern w:val="21"/>
          <w:sz w:val="32"/>
          <w:szCs w:val="32"/>
        </w:rPr>
        <w:t>金等待遇发放。</w:t>
      </w:r>
    </w:p>
    <w:p w:rsidR="00B454FA" w:rsidRDefault="00DF6893">
      <w:pPr>
        <w:widowControl w:val="0"/>
        <w:kinsoku/>
        <w:adjustRightInd/>
        <w:snapToGrid/>
        <w:spacing w:line="360" w:lineRule="auto"/>
        <w:ind w:firstLineChars="200" w:firstLine="643"/>
        <w:jc w:val="both"/>
        <w:outlineLvl w:val="0"/>
        <w:rPr>
          <w:rFonts w:ascii="仿宋_GB2312" w:eastAsia="仿宋_GB2312" w:hAnsi="黑体" w:cs="黑体"/>
          <w:b/>
          <w:bCs/>
          <w:snapToGrid/>
          <w:color w:val="auto"/>
          <w:kern w:val="21"/>
          <w:sz w:val="32"/>
          <w:szCs w:val="32"/>
        </w:rPr>
      </w:pPr>
      <w:r>
        <w:rPr>
          <w:rFonts w:ascii="仿宋_GB2312" w:eastAsia="仿宋_GB2312" w:hAnsi="黑体" w:cs="黑体" w:hint="eastAsia"/>
          <w:b/>
          <w:bCs/>
          <w:snapToGrid/>
          <w:color w:val="auto"/>
          <w:kern w:val="21"/>
          <w:sz w:val="32"/>
          <w:szCs w:val="32"/>
        </w:rPr>
        <w:t>三、存在的问题及改进措施</w:t>
      </w:r>
    </w:p>
    <w:p w:rsidR="00B454FA" w:rsidRDefault="006571C3">
      <w:pPr>
        <w:widowControl w:val="0"/>
        <w:kinsoku/>
        <w:adjustRightInd/>
        <w:snapToGrid/>
        <w:spacing w:line="360" w:lineRule="auto"/>
        <w:ind w:firstLineChars="200" w:firstLine="640"/>
        <w:jc w:val="both"/>
        <w:outlineLvl w:val="0"/>
        <w:rPr>
          <w:rFonts w:ascii="仿宋_GB2312" w:eastAsia="仿宋_GB2312" w:hAnsi="黑体" w:cs="黑体"/>
          <w:b/>
          <w:bCs/>
          <w:snapToGrid/>
          <w:color w:val="auto"/>
          <w:kern w:val="21"/>
          <w:sz w:val="32"/>
          <w:szCs w:val="32"/>
        </w:rPr>
      </w:pPr>
      <w:r>
        <w:rPr>
          <w:rFonts w:ascii="仿宋_GB2312" w:eastAsia="仿宋_GB2312" w:hAnsi="微软雅黑" w:hint="eastAsia"/>
          <w:bCs/>
          <w:sz w:val="32"/>
          <w:szCs w:val="32"/>
        </w:rPr>
        <w:t>招商</w:t>
      </w:r>
      <w:r w:rsidR="00DF6893">
        <w:rPr>
          <w:rFonts w:ascii="仿宋_GB2312" w:eastAsia="仿宋_GB2312" w:hAnsi="微软雅黑" w:hint="eastAsia"/>
          <w:bCs/>
          <w:sz w:val="32"/>
          <w:szCs w:val="32"/>
        </w:rPr>
        <w:t>重点项目建设还需加强。</w:t>
      </w:r>
      <w:r w:rsidR="00DF6893">
        <w:rPr>
          <w:rFonts w:ascii="仿宋_GB2312" w:eastAsia="仿宋_GB2312" w:hAnsi="微软雅黑" w:hint="eastAsia"/>
          <w:sz w:val="32"/>
          <w:szCs w:val="32"/>
        </w:rPr>
        <w:t>一是调度督查力度不够强。截至目前，部分项目没有开工，导致开工率不高，投资完成率没有百分百完成，应加大督查调度力度，确保完成年初制定目标任务。二是项目谋划质量不够高。谋划项目质优，量大，带动力强的项目少，应积极谋划一批补短板强弱项的重特大项目。三是要素保障不够到位。部分项目存在前期推进迟缓、征地拆迁缓慢、土地报批不及时等等问题，应加大要素保障力度，及早介入，前瞻性帮助项目解决问题。</w:t>
      </w:r>
    </w:p>
    <w:p w:rsidR="00B454FA" w:rsidRDefault="00DF6893">
      <w:pPr>
        <w:widowControl w:val="0"/>
        <w:kinsoku/>
        <w:adjustRightInd/>
        <w:snapToGrid/>
        <w:spacing w:line="360" w:lineRule="auto"/>
        <w:ind w:firstLineChars="200" w:firstLine="643"/>
        <w:jc w:val="both"/>
        <w:outlineLvl w:val="0"/>
        <w:rPr>
          <w:rFonts w:ascii="仿宋_GB2312" w:eastAsia="仿宋_GB2312" w:hAnsi="黑体" w:cs="黑体"/>
          <w:b/>
          <w:bCs/>
          <w:snapToGrid/>
          <w:color w:val="auto"/>
          <w:kern w:val="21"/>
          <w:sz w:val="32"/>
          <w:szCs w:val="32"/>
        </w:rPr>
      </w:pPr>
      <w:r>
        <w:rPr>
          <w:rFonts w:ascii="仿宋_GB2312" w:eastAsia="仿宋_GB2312" w:hAnsi="黑体" w:cs="黑体" w:hint="eastAsia"/>
          <w:b/>
          <w:bCs/>
          <w:snapToGrid/>
          <w:color w:val="auto"/>
          <w:kern w:val="21"/>
          <w:sz w:val="32"/>
          <w:szCs w:val="32"/>
        </w:rPr>
        <w:t>四、其他需要说明的情况</w:t>
      </w:r>
    </w:p>
    <w:p w:rsidR="00B454FA" w:rsidRDefault="00DF6893">
      <w:pPr>
        <w:widowControl w:val="0"/>
        <w:kinsoku/>
        <w:adjustRightInd/>
        <w:snapToGrid/>
        <w:spacing w:line="360" w:lineRule="auto"/>
        <w:ind w:firstLineChars="200" w:firstLine="640"/>
        <w:jc w:val="both"/>
        <w:rPr>
          <w:rFonts w:ascii="仿宋_GB2312" w:eastAsia="仿宋_GB2312" w:hAnsi="黑体"/>
          <w:snapToGrid/>
          <w:color w:val="auto"/>
          <w:kern w:val="21"/>
          <w:sz w:val="32"/>
          <w:szCs w:val="32"/>
        </w:rPr>
      </w:pPr>
      <w:r>
        <w:rPr>
          <w:rFonts w:ascii="仿宋_GB2312" w:eastAsia="仿宋_GB2312" w:hAnsi="黑体" w:hint="eastAsia"/>
          <w:snapToGrid/>
          <w:color w:val="auto"/>
          <w:kern w:val="21"/>
          <w:sz w:val="32"/>
          <w:szCs w:val="32"/>
        </w:rPr>
        <w:t>1、基于财政预算的控制和平衡及年度决算本级预算结转指标财政上收，年初部门预算支出和年度实际工作经费需</w:t>
      </w:r>
      <w:r>
        <w:rPr>
          <w:rFonts w:ascii="仿宋_GB2312" w:eastAsia="仿宋_GB2312" w:hAnsi="黑体" w:hint="eastAsia"/>
          <w:snapToGrid/>
          <w:color w:val="auto"/>
          <w:kern w:val="21"/>
          <w:sz w:val="32"/>
          <w:szCs w:val="32"/>
        </w:rPr>
        <w:lastRenderedPageBreak/>
        <w:t>求存在一些差异，年度预算整体调整额度和收支决算功能分类调整额度较大。</w:t>
      </w:r>
    </w:p>
    <w:p w:rsidR="00B454FA" w:rsidRDefault="00DF6893">
      <w:pPr>
        <w:widowControl w:val="0"/>
        <w:kinsoku/>
        <w:adjustRightInd/>
        <w:snapToGrid/>
        <w:spacing w:line="360" w:lineRule="auto"/>
        <w:ind w:firstLineChars="200" w:firstLine="640"/>
        <w:jc w:val="both"/>
        <w:rPr>
          <w:rFonts w:ascii="仿宋_GB2312" w:eastAsia="仿宋_GB2312" w:hAnsi="黑体"/>
          <w:snapToGrid/>
          <w:color w:val="auto"/>
          <w:kern w:val="21"/>
          <w:sz w:val="32"/>
          <w:szCs w:val="32"/>
        </w:rPr>
      </w:pPr>
      <w:r>
        <w:rPr>
          <w:rFonts w:ascii="仿宋_GB2312" w:eastAsia="仿宋_GB2312" w:hAnsi="黑体" w:hint="eastAsia"/>
          <w:snapToGrid/>
          <w:color w:val="auto"/>
          <w:kern w:val="21"/>
          <w:sz w:val="32"/>
          <w:szCs w:val="32"/>
        </w:rPr>
        <w:t>建议：县财政牵头统一制订全县财务内部控制制度范本，以加强部门管理，提高工作绩效。</w:t>
      </w:r>
    </w:p>
    <w:p w:rsidR="00B454FA" w:rsidRDefault="00DF6893">
      <w:pPr>
        <w:widowControl w:val="0"/>
        <w:kinsoku/>
        <w:adjustRightInd/>
        <w:snapToGrid/>
        <w:spacing w:line="360" w:lineRule="auto"/>
        <w:ind w:firstLineChars="200" w:firstLine="640"/>
        <w:jc w:val="both"/>
        <w:rPr>
          <w:rFonts w:ascii="仿宋_GB2312" w:eastAsia="仿宋_GB2312" w:hAnsi="仿宋_GB2312" w:cs="仿宋_GB2312"/>
          <w:snapToGrid/>
          <w:color w:val="auto"/>
          <w:kern w:val="21"/>
          <w:sz w:val="32"/>
          <w:szCs w:val="32"/>
        </w:rPr>
      </w:pPr>
      <w:r>
        <w:rPr>
          <w:rFonts w:ascii="仿宋_GB2312" w:eastAsia="仿宋_GB2312" w:hAnsi="黑体" w:hint="eastAsia"/>
          <w:snapToGrid/>
          <w:color w:val="auto"/>
          <w:kern w:val="21"/>
          <w:sz w:val="32"/>
          <w:szCs w:val="32"/>
        </w:rPr>
        <w:t>2、受衡山县地域和经济基础限制，“社零”总额量小、</w:t>
      </w:r>
      <w:r>
        <w:rPr>
          <w:rFonts w:ascii="仿宋_GB2312" w:eastAsia="仿宋_GB2312" w:hAnsi="仿宋_GB2312" w:cs="仿宋_GB2312" w:hint="eastAsia"/>
          <w:bCs/>
          <w:snapToGrid/>
          <w:color w:val="auto"/>
          <w:kern w:val="21"/>
          <w:sz w:val="32"/>
          <w:szCs w:val="32"/>
        </w:rPr>
        <w:t>新增限上企业培育入库难度大，招商引资</w:t>
      </w:r>
      <w:r>
        <w:rPr>
          <w:rFonts w:ascii="仿宋_GB2312" w:eastAsia="仿宋_GB2312" w:hint="eastAsia"/>
          <w:bCs/>
          <w:snapToGrid/>
          <w:color w:val="auto"/>
          <w:kern w:val="21"/>
          <w:sz w:val="32"/>
          <w:szCs w:val="32"/>
        </w:rPr>
        <w:t>落地企业发展普遍滞后，</w:t>
      </w:r>
      <w:r>
        <w:rPr>
          <w:rFonts w:ascii="仿宋_GB2312" w:eastAsia="仿宋_GB2312" w:hAnsi="楷体_GB2312" w:cs="楷体_GB2312" w:hint="eastAsia"/>
          <w:bCs/>
          <w:snapToGrid/>
          <w:color w:val="auto"/>
          <w:kern w:val="21"/>
          <w:sz w:val="32"/>
          <w:szCs w:val="32"/>
        </w:rPr>
        <w:t>“三外”</w:t>
      </w:r>
      <w:r>
        <w:rPr>
          <w:rFonts w:ascii="仿宋_GB2312" w:eastAsia="仿宋_GB2312" w:hAnsi="仿宋_GB2312" w:cs="仿宋_GB2312" w:hint="eastAsia"/>
          <w:bCs/>
          <w:snapToGrid/>
          <w:color w:val="auto"/>
          <w:kern w:val="21"/>
          <w:sz w:val="32"/>
          <w:szCs w:val="32"/>
        </w:rPr>
        <w:t>基础薄弱、载体较少、融资困难、后劲不足，</w:t>
      </w:r>
      <w:r>
        <w:rPr>
          <w:rFonts w:ascii="仿宋_GB2312" w:eastAsia="仿宋_GB2312" w:hAnsi="楷体_GB2312" w:cs="楷体_GB2312" w:hint="eastAsia"/>
          <w:bCs/>
          <w:snapToGrid/>
          <w:color w:val="auto"/>
          <w:kern w:val="21"/>
          <w:sz w:val="32"/>
          <w:szCs w:val="32"/>
        </w:rPr>
        <w:t>电</w:t>
      </w:r>
      <w:proofErr w:type="gramStart"/>
      <w:r>
        <w:rPr>
          <w:rFonts w:ascii="仿宋_GB2312" w:eastAsia="仿宋_GB2312" w:hAnsi="楷体_GB2312" w:cs="楷体_GB2312" w:hint="eastAsia"/>
          <w:bCs/>
          <w:snapToGrid/>
          <w:color w:val="auto"/>
          <w:kern w:val="21"/>
          <w:sz w:val="32"/>
          <w:szCs w:val="32"/>
        </w:rPr>
        <w:t>商</w:t>
      </w:r>
      <w:r>
        <w:rPr>
          <w:rFonts w:ascii="仿宋_GB2312" w:eastAsia="仿宋_GB2312" w:hAnsi="仿宋_GB2312" w:cs="仿宋_GB2312" w:hint="eastAsia"/>
          <w:bCs/>
          <w:snapToGrid/>
          <w:color w:val="auto"/>
          <w:kern w:val="21"/>
          <w:sz w:val="32"/>
          <w:szCs w:val="32"/>
        </w:rPr>
        <w:t>基础</w:t>
      </w:r>
      <w:proofErr w:type="gramEnd"/>
      <w:r>
        <w:rPr>
          <w:rFonts w:ascii="仿宋_GB2312" w:eastAsia="仿宋_GB2312" w:hAnsi="仿宋_GB2312" w:cs="仿宋_GB2312" w:hint="eastAsia"/>
          <w:bCs/>
          <w:snapToGrid/>
          <w:color w:val="auto"/>
          <w:kern w:val="21"/>
          <w:sz w:val="32"/>
          <w:szCs w:val="32"/>
        </w:rPr>
        <w:t>设施底子差、人才稀缺、产业支撑不力，</w:t>
      </w:r>
      <w:r>
        <w:rPr>
          <w:rFonts w:ascii="仿宋_GB2312" w:eastAsia="仿宋_GB2312" w:hAnsi="楷体_GB2312" w:cs="楷体_GB2312" w:hint="eastAsia"/>
          <w:bCs/>
          <w:snapToGrid/>
          <w:color w:val="auto"/>
          <w:kern w:val="21"/>
          <w:sz w:val="32"/>
          <w:szCs w:val="32"/>
        </w:rPr>
        <w:t>粮食收储</w:t>
      </w:r>
      <w:r>
        <w:rPr>
          <w:rFonts w:ascii="仿宋_GB2312" w:eastAsia="仿宋_GB2312" w:hAnsi="仿宋_GB2312" w:cs="仿宋_GB2312" w:hint="eastAsia"/>
          <w:snapToGrid/>
          <w:color w:val="auto"/>
          <w:kern w:val="21"/>
          <w:sz w:val="32"/>
          <w:szCs w:val="32"/>
        </w:rPr>
        <w:t>“优质粮油工程”缺乏实力项目等。</w:t>
      </w:r>
    </w:p>
    <w:p w:rsidR="00B454FA" w:rsidRDefault="00B454FA">
      <w:pPr>
        <w:spacing w:before="303" w:line="219" w:lineRule="auto"/>
        <w:jc w:val="center"/>
        <w:rPr>
          <w:rFonts w:ascii="宋体" w:eastAsia="宋体" w:hAnsi="宋体" w:cs="宋体"/>
          <w:b/>
          <w:bCs/>
          <w:color w:val="auto"/>
          <w:spacing w:val="11"/>
          <w:sz w:val="34"/>
          <w:szCs w:val="34"/>
        </w:rPr>
      </w:pPr>
    </w:p>
    <w:p w:rsidR="00B454FA" w:rsidRDefault="00B454FA">
      <w:pPr>
        <w:spacing w:before="303" w:line="219" w:lineRule="auto"/>
        <w:jc w:val="center"/>
        <w:rPr>
          <w:rFonts w:ascii="宋体" w:eastAsia="宋体" w:hAnsi="宋体" w:cs="宋体"/>
          <w:b/>
          <w:bCs/>
          <w:color w:val="auto"/>
          <w:spacing w:val="11"/>
          <w:sz w:val="34"/>
          <w:szCs w:val="34"/>
        </w:rPr>
      </w:pPr>
    </w:p>
    <w:p w:rsidR="00B454FA" w:rsidRDefault="00B454FA">
      <w:pPr>
        <w:spacing w:before="303" w:line="219" w:lineRule="auto"/>
        <w:jc w:val="center"/>
        <w:rPr>
          <w:rFonts w:ascii="宋体" w:eastAsia="宋体" w:hAnsi="宋体" w:cs="宋体"/>
          <w:b/>
          <w:bCs/>
          <w:color w:val="auto"/>
          <w:spacing w:val="11"/>
          <w:sz w:val="34"/>
          <w:szCs w:val="34"/>
        </w:rPr>
      </w:pPr>
    </w:p>
    <w:p w:rsidR="00B454FA" w:rsidRDefault="00B454FA">
      <w:pPr>
        <w:spacing w:before="303" w:line="219" w:lineRule="auto"/>
        <w:jc w:val="center"/>
        <w:rPr>
          <w:rFonts w:ascii="宋体" w:eastAsia="宋体" w:hAnsi="宋体" w:cs="宋体"/>
          <w:b/>
          <w:bCs/>
          <w:color w:val="auto"/>
          <w:spacing w:val="11"/>
          <w:sz w:val="34"/>
          <w:szCs w:val="34"/>
        </w:rPr>
      </w:pPr>
    </w:p>
    <w:p w:rsidR="00B454FA" w:rsidRDefault="00B454FA">
      <w:pPr>
        <w:spacing w:before="303" w:line="219" w:lineRule="auto"/>
        <w:jc w:val="center"/>
        <w:rPr>
          <w:rFonts w:ascii="宋体" w:eastAsia="宋体" w:hAnsi="宋体" w:cs="宋体"/>
          <w:b/>
          <w:bCs/>
          <w:color w:val="auto"/>
          <w:spacing w:val="11"/>
          <w:sz w:val="34"/>
          <w:szCs w:val="34"/>
        </w:rPr>
      </w:pPr>
    </w:p>
    <w:p w:rsidR="00B454FA" w:rsidRDefault="00B454FA">
      <w:pPr>
        <w:spacing w:before="303" w:line="219" w:lineRule="auto"/>
        <w:jc w:val="center"/>
        <w:rPr>
          <w:rFonts w:ascii="宋体" w:eastAsia="宋体" w:hAnsi="宋体" w:cs="宋体"/>
          <w:b/>
          <w:bCs/>
          <w:color w:val="auto"/>
          <w:spacing w:val="11"/>
          <w:sz w:val="34"/>
          <w:szCs w:val="34"/>
        </w:rPr>
      </w:pPr>
    </w:p>
    <w:p w:rsidR="00B454FA" w:rsidRDefault="00B454FA">
      <w:pPr>
        <w:spacing w:before="303" w:line="219" w:lineRule="auto"/>
        <w:jc w:val="center"/>
        <w:rPr>
          <w:rFonts w:ascii="宋体" w:eastAsia="宋体" w:hAnsi="宋体" w:cs="宋体"/>
          <w:b/>
          <w:bCs/>
          <w:color w:val="auto"/>
          <w:spacing w:val="11"/>
          <w:sz w:val="34"/>
          <w:szCs w:val="34"/>
        </w:rPr>
      </w:pPr>
    </w:p>
    <w:p w:rsidR="00535B33" w:rsidRDefault="00535B33">
      <w:pPr>
        <w:spacing w:before="303" w:line="219" w:lineRule="auto"/>
        <w:jc w:val="center"/>
        <w:rPr>
          <w:rFonts w:ascii="宋体" w:eastAsia="宋体" w:hAnsi="宋体" w:cs="宋体"/>
          <w:b/>
          <w:bCs/>
          <w:color w:val="auto"/>
          <w:spacing w:val="11"/>
          <w:sz w:val="34"/>
          <w:szCs w:val="34"/>
        </w:rPr>
      </w:pPr>
    </w:p>
    <w:p w:rsidR="00535B33" w:rsidRDefault="00535B33">
      <w:pPr>
        <w:spacing w:before="303" w:line="219" w:lineRule="auto"/>
        <w:jc w:val="center"/>
        <w:rPr>
          <w:rFonts w:ascii="宋体" w:eastAsia="宋体" w:hAnsi="宋体" w:cs="宋体" w:hint="eastAsia"/>
          <w:b/>
          <w:bCs/>
          <w:color w:val="auto"/>
          <w:spacing w:val="11"/>
          <w:sz w:val="34"/>
          <w:szCs w:val="34"/>
        </w:rPr>
      </w:pPr>
    </w:p>
    <w:p w:rsidR="00C56559" w:rsidRDefault="00C56559">
      <w:pPr>
        <w:spacing w:before="303" w:line="219" w:lineRule="auto"/>
        <w:jc w:val="center"/>
        <w:rPr>
          <w:rFonts w:ascii="宋体" w:eastAsia="宋体" w:hAnsi="宋体" w:cs="宋体" w:hint="eastAsia"/>
          <w:b/>
          <w:bCs/>
          <w:color w:val="auto"/>
          <w:spacing w:val="11"/>
          <w:sz w:val="34"/>
          <w:szCs w:val="34"/>
        </w:rPr>
      </w:pPr>
    </w:p>
    <w:p w:rsidR="00C56559" w:rsidRDefault="00C56559">
      <w:pPr>
        <w:spacing w:before="303" w:line="219" w:lineRule="auto"/>
        <w:jc w:val="center"/>
        <w:rPr>
          <w:rFonts w:ascii="宋体" w:eastAsia="宋体" w:hAnsi="宋体" w:cs="宋体"/>
          <w:b/>
          <w:bCs/>
          <w:color w:val="auto"/>
          <w:spacing w:val="11"/>
          <w:sz w:val="34"/>
          <w:szCs w:val="34"/>
        </w:rPr>
      </w:pPr>
    </w:p>
    <w:p w:rsidR="00B454FA" w:rsidRDefault="00DF6893">
      <w:pPr>
        <w:spacing w:before="303" w:line="219" w:lineRule="auto"/>
        <w:jc w:val="center"/>
        <w:rPr>
          <w:rFonts w:ascii="宋体" w:eastAsia="宋体" w:hAnsi="宋体" w:cs="宋体"/>
          <w:color w:val="auto"/>
          <w:sz w:val="34"/>
          <w:szCs w:val="34"/>
        </w:rPr>
      </w:pPr>
      <w:r>
        <w:rPr>
          <w:rFonts w:ascii="宋体" w:eastAsia="宋体" w:hAnsi="宋体" w:cs="宋体"/>
          <w:b/>
          <w:bCs/>
          <w:color w:val="auto"/>
          <w:spacing w:val="11"/>
          <w:sz w:val="34"/>
          <w:szCs w:val="34"/>
        </w:rPr>
        <w:lastRenderedPageBreak/>
        <w:t>2022年度预算支出绩效自评表</w:t>
      </w:r>
    </w:p>
    <w:p w:rsidR="00B454FA" w:rsidRDefault="00B454FA">
      <w:pPr>
        <w:spacing w:line="72" w:lineRule="exact"/>
        <w:rPr>
          <w:color w:val="auto"/>
        </w:rPr>
      </w:pPr>
    </w:p>
    <w:tbl>
      <w:tblPr>
        <w:tblStyle w:val="TableNormal"/>
        <w:tblW w:w="9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
        <w:gridCol w:w="192"/>
        <w:gridCol w:w="462"/>
        <w:gridCol w:w="589"/>
        <w:gridCol w:w="629"/>
        <w:gridCol w:w="77"/>
        <w:gridCol w:w="1166"/>
        <w:gridCol w:w="410"/>
        <w:gridCol w:w="295"/>
        <w:gridCol w:w="590"/>
        <w:gridCol w:w="1410"/>
        <w:gridCol w:w="500"/>
        <w:gridCol w:w="182"/>
        <w:gridCol w:w="498"/>
        <w:gridCol w:w="90"/>
        <w:gridCol w:w="538"/>
        <w:gridCol w:w="551"/>
        <w:gridCol w:w="1374"/>
      </w:tblGrid>
      <w:tr w:rsidR="00B454FA">
        <w:trPr>
          <w:trHeight w:val="90"/>
          <w:jc w:val="center"/>
        </w:trPr>
        <w:tc>
          <w:tcPr>
            <w:tcW w:w="1569" w:type="dxa"/>
            <w:gridSpan w:val="4"/>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项目支出名称</w:t>
            </w:r>
          </w:p>
        </w:tc>
        <w:tc>
          <w:tcPr>
            <w:tcW w:w="8310" w:type="dxa"/>
            <w:gridSpan w:val="14"/>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社零工作经费</w:t>
            </w:r>
          </w:p>
        </w:tc>
      </w:tr>
      <w:tr w:rsidR="00B454FA">
        <w:trPr>
          <w:trHeight w:val="90"/>
          <w:jc w:val="center"/>
        </w:trPr>
        <w:tc>
          <w:tcPr>
            <w:tcW w:w="1569" w:type="dxa"/>
            <w:gridSpan w:val="4"/>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主管部门</w:t>
            </w:r>
          </w:p>
        </w:tc>
        <w:tc>
          <w:tcPr>
            <w:tcW w:w="3167" w:type="dxa"/>
            <w:gridSpan w:val="6"/>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衡山县商务和粮食局</w:t>
            </w:r>
          </w:p>
        </w:tc>
        <w:tc>
          <w:tcPr>
            <w:tcW w:w="2092"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实施单位</w:t>
            </w:r>
          </w:p>
        </w:tc>
        <w:tc>
          <w:tcPr>
            <w:tcW w:w="3051" w:type="dxa"/>
            <w:gridSpan w:val="5"/>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市场运行秩序股</w:t>
            </w:r>
          </w:p>
        </w:tc>
      </w:tr>
      <w:tr w:rsidR="00B454FA">
        <w:trPr>
          <w:trHeight w:val="90"/>
          <w:jc w:val="center"/>
        </w:trPr>
        <w:tc>
          <w:tcPr>
            <w:tcW w:w="518" w:type="dxa"/>
            <w:gridSpan w:val="2"/>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项目资金</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(万元)</w:t>
            </w:r>
          </w:p>
        </w:tc>
        <w:tc>
          <w:tcPr>
            <w:tcW w:w="1680" w:type="dxa"/>
            <w:gridSpan w:val="3"/>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243"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年初预算数</w:t>
            </w:r>
          </w:p>
        </w:tc>
        <w:tc>
          <w:tcPr>
            <w:tcW w:w="1295"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全年预算数</w:t>
            </w:r>
          </w:p>
        </w:tc>
        <w:tc>
          <w:tcPr>
            <w:tcW w:w="1410" w:type="dxa"/>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全年执行数</w:t>
            </w:r>
          </w:p>
        </w:tc>
        <w:tc>
          <w:tcPr>
            <w:tcW w:w="1270" w:type="dxa"/>
            <w:gridSpan w:val="4"/>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分值</w:t>
            </w:r>
          </w:p>
        </w:tc>
        <w:tc>
          <w:tcPr>
            <w:tcW w:w="1089"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执行率</w:t>
            </w:r>
          </w:p>
        </w:tc>
        <w:tc>
          <w:tcPr>
            <w:tcW w:w="1374" w:type="dxa"/>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得分</w:t>
            </w:r>
          </w:p>
        </w:tc>
      </w:tr>
      <w:tr w:rsidR="00B454FA">
        <w:trPr>
          <w:trHeight w:val="90"/>
          <w:jc w:val="center"/>
        </w:trPr>
        <w:tc>
          <w:tcPr>
            <w:tcW w:w="518"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680"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年度资金总额</w:t>
            </w:r>
          </w:p>
        </w:tc>
        <w:tc>
          <w:tcPr>
            <w:tcW w:w="1243"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39</w:t>
            </w:r>
          </w:p>
        </w:tc>
        <w:tc>
          <w:tcPr>
            <w:tcW w:w="1295" w:type="dxa"/>
            <w:gridSpan w:val="3"/>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410" w:type="dxa"/>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270" w:type="dxa"/>
            <w:gridSpan w:val="4"/>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10</w:t>
            </w:r>
          </w:p>
        </w:tc>
        <w:tc>
          <w:tcPr>
            <w:tcW w:w="1089"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100%</w:t>
            </w:r>
          </w:p>
        </w:tc>
        <w:tc>
          <w:tcPr>
            <w:tcW w:w="1374" w:type="dxa"/>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8</w:t>
            </w:r>
          </w:p>
        </w:tc>
      </w:tr>
      <w:tr w:rsidR="00B454FA">
        <w:trPr>
          <w:trHeight w:val="90"/>
          <w:jc w:val="center"/>
        </w:trPr>
        <w:tc>
          <w:tcPr>
            <w:tcW w:w="518"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680"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其中：当年财政拨款</w:t>
            </w:r>
          </w:p>
        </w:tc>
        <w:tc>
          <w:tcPr>
            <w:tcW w:w="1243"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33</w:t>
            </w:r>
          </w:p>
        </w:tc>
        <w:tc>
          <w:tcPr>
            <w:tcW w:w="1295"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30</w:t>
            </w:r>
          </w:p>
        </w:tc>
        <w:tc>
          <w:tcPr>
            <w:tcW w:w="1410" w:type="dxa"/>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30</w:t>
            </w:r>
          </w:p>
        </w:tc>
        <w:tc>
          <w:tcPr>
            <w:tcW w:w="1270"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089"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374" w:type="dxa"/>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518"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680"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上年结转资金</w:t>
            </w:r>
          </w:p>
        </w:tc>
        <w:tc>
          <w:tcPr>
            <w:tcW w:w="1243"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295" w:type="dxa"/>
            <w:gridSpan w:val="3"/>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410" w:type="dxa"/>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270"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089"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374" w:type="dxa"/>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518" w:type="dxa"/>
            <w:gridSpan w:val="2"/>
            <w:vMerge/>
            <w:tcBorders>
              <w:top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680"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其他资金</w:t>
            </w:r>
          </w:p>
        </w:tc>
        <w:tc>
          <w:tcPr>
            <w:tcW w:w="1243"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6</w:t>
            </w:r>
          </w:p>
        </w:tc>
        <w:tc>
          <w:tcPr>
            <w:tcW w:w="1295" w:type="dxa"/>
            <w:gridSpan w:val="3"/>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18.92</w:t>
            </w:r>
          </w:p>
        </w:tc>
        <w:tc>
          <w:tcPr>
            <w:tcW w:w="1410" w:type="dxa"/>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18.92</w:t>
            </w:r>
          </w:p>
        </w:tc>
        <w:tc>
          <w:tcPr>
            <w:tcW w:w="1270"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089"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374" w:type="dxa"/>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518" w:type="dxa"/>
            <w:gridSpan w:val="2"/>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年度总体目标</w:t>
            </w:r>
          </w:p>
        </w:tc>
        <w:tc>
          <w:tcPr>
            <w:tcW w:w="3628" w:type="dxa"/>
            <w:gridSpan w:val="7"/>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预期目标</w:t>
            </w:r>
          </w:p>
        </w:tc>
        <w:tc>
          <w:tcPr>
            <w:tcW w:w="5733" w:type="dxa"/>
            <w:gridSpan w:val="9"/>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实际完成情况</w:t>
            </w:r>
          </w:p>
        </w:tc>
      </w:tr>
      <w:tr w:rsidR="00B454FA">
        <w:trPr>
          <w:trHeight w:val="90"/>
          <w:jc w:val="center"/>
        </w:trPr>
        <w:tc>
          <w:tcPr>
            <w:tcW w:w="518" w:type="dxa"/>
            <w:gridSpan w:val="2"/>
            <w:vMerge/>
            <w:tcBorders>
              <w:top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4218" w:type="dxa"/>
            <w:gridSpan w:val="8"/>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全县完成社会消费品零售总额53.46亿元，同比增长12%，新增限上企业30（8个大个体）家。</w:t>
            </w:r>
          </w:p>
        </w:tc>
        <w:tc>
          <w:tcPr>
            <w:tcW w:w="5143" w:type="dxa"/>
            <w:gridSpan w:val="8"/>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1-12月全县</w:t>
            </w:r>
            <w:proofErr w:type="gramStart"/>
            <w:r>
              <w:rPr>
                <w:rFonts w:ascii="宋体" w:eastAsia="宋体" w:hAnsi="宋体" w:cs="宋体" w:hint="eastAsia"/>
                <w:color w:val="auto"/>
                <w:spacing w:val="3"/>
                <w:position w:val="6"/>
                <w:sz w:val="18"/>
                <w:szCs w:val="18"/>
              </w:rPr>
              <w:t>完成社零总额</w:t>
            </w:r>
            <w:proofErr w:type="gramEnd"/>
            <w:r>
              <w:rPr>
                <w:rFonts w:ascii="宋体" w:eastAsia="宋体" w:hAnsi="宋体" w:cs="宋体" w:hint="eastAsia"/>
                <w:color w:val="auto"/>
                <w:spacing w:val="3"/>
                <w:position w:val="6"/>
                <w:sz w:val="18"/>
                <w:szCs w:val="18"/>
              </w:rPr>
              <w:t>50.29亿元，同比增长2.5%，新增限上企业2家。</w:t>
            </w:r>
          </w:p>
        </w:tc>
      </w:tr>
      <w:tr w:rsidR="00B454FA">
        <w:trPr>
          <w:trHeight w:val="90"/>
          <w:jc w:val="center"/>
        </w:trPr>
        <w:tc>
          <w:tcPr>
            <w:tcW w:w="326" w:type="dxa"/>
            <w:vMerge w:val="restart"/>
            <w:tcBorders>
              <w:bottom w:val="nil"/>
            </w:tcBorders>
            <w:textDirection w:val="tbRlV"/>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绩效指标</w:t>
            </w:r>
          </w:p>
        </w:tc>
        <w:tc>
          <w:tcPr>
            <w:tcW w:w="654"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一级指标</w:t>
            </w:r>
          </w:p>
        </w:tc>
        <w:tc>
          <w:tcPr>
            <w:tcW w:w="589" w:type="dxa"/>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二级</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指标</w:t>
            </w:r>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三级</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指标</w:t>
            </w:r>
          </w:p>
        </w:tc>
        <w:tc>
          <w:tcPr>
            <w:tcW w:w="1576"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年度</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指标值</w:t>
            </w:r>
          </w:p>
        </w:tc>
        <w:tc>
          <w:tcPr>
            <w:tcW w:w="2795" w:type="dxa"/>
            <w:gridSpan w:val="4"/>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实际</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完成值</w:t>
            </w:r>
          </w:p>
        </w:tc>
        <w:tc>
          <w:tcPr>
            <w:tcW w:w="680"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分值</w:t>
            </w:r>
          </w:p>
        </w:tc>
        <w:tc>
          <w:tcPr>
            <w:tcW w:w="628"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得分</w:t>
            </w:r>
          </w:p>
        </w:tc>
        <w:tc>
          <w:tcPr>
            <w:tcW w:w="1925"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偏差原因</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分析及改进措施</w:t>
            </w:r>
          </w:p>
        </w:tc>
      </w:tr>
      <w:tr w:rsidR="00B454FA">
        <w:trPr>
          <w:trHeight w:val="167"/>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产出</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指标</w:t>
            </w:r>
          </w:p>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(50分)</w:t>
            </w: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数量指标</w:t>
            </w: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576" w:type="dxa"/>
            <w:gridSpan w:val="2"/>
            <w:vAlign w:val="center"/>
          </w:tcPr>
          <w:p w:rsidR="00B454FA" w:rsidRDefault="00DF6893">
            <w:pPr>
              <w:adjustRightInd/>
              <w:snapToGrid/>
              <w:spacing w:line="0" w:lineRule="atLeast"/>
              <w:jc w:val="both"/>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全县完成社会消费品零售总额53.46亿元，同比增长12%，新增限上企业30（8个大个体）家。</w:t>
            </w:r>
          </w:p>
        </w:tc>
        <w:tc>
          <w:tcPr>
            <w:tcW w:w="2795" w:type="dxa"/>
            <w:gridSpan w:val="4"/>
            <w:vAlign w:val="center"/>
          </w:tcPr>
          <w:p w:rsidR="00B454FA" w:rsidRDefault="00DF6893">
            <w:pPr>
              <w:adjustRightInd/>
              <w:snapToGrid/>
              <w:spacing w:line="0" w:lineRule="atLeast"/>
              <w:jc w:val="both"/>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1-12月全县</w:t>
            </w:r>
            <w:proofErr w:type="gramStart"/>
            <w:r>
              <w:rPr>
                <w:rFonts w:ascii="宋体" w:eastAsia="宋体" w:hAnsi="宋体" w:cs="宋体" w:hint="eastAsia"/>
                <w:color w:val="auto"/>
                <w:spacing w:val="3"/>
                <w:position w:val="6"/>
                <w:sz w:val="18"/>
                <w:szCs w:val="18"/>
              </w:rPr>
              <w:t>完成社零总额</w:t>
            </w:r>
            <w:proofErr w:type="gramEnd"/>
            <w:r>
              <w:rPr>
                <w:rFonts w:ascii="宋体" w:eastAsia="宋体" w:hAnsi="宋体" w:cs="宋体" w:hint="eastAsia"/>
                <w:color w:val="auto"/>
                <w:spacing w:val="3"/>
                <w:position w:val="6"/>
                <w:sz w:val="18"/>
                <w:szCs w:val="18"/>
              </w:rPr>
              <w:t>50.29亿元，同比增长2.5%，新增限上企业2家。</w:t>
            </w:r>
          </w:p>
        </w:tc>
        <w:tc>
          <w:tcPr>
            <w:tcW w:w="680"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50</w:t>
            </w:r>
          </w:p>
        </w:tc>
        <w:tc>
          <w:tcPr>
            <w:tcW w:w="628"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45</w:t>
            </w:r>
          </w:p>
        </w:tc>
        <w:tc>
          <w:tcPr>
            <w:tcW w:w="1925" w:type="dxa"/>
            <w:gridSpan w:val="2"/>
            <w:vAlign w:val="center"/>
          </w:tcPr>
          <w:p w:rsidR="00B454FA" w:rsidRDefault="00DF6893">
            <w:pPr>
              <w:adjustRightInd/>
              <w:snapToGrid/>
              <w:spacing w:line="0" w:lineRule="atLeast"/>
              <w:jc w:val="both"/>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退出企业同期基数较大。已申请退出企全年累计带基数较大，将在一定程度上会导致</w:t>
            </w:r>
            <w:proofErr w:type="gramStart"/>
            <w:r>
              <w:rPr>
                <w:rFonts w:ascii="宋体" w:eastAsia="宋体" w:hAnsi="宋体" w:cs="宋体" w:hint="eastAsia"/>
                <w:color w:val="auto"/>
                <w:spacing w:val="3"/>
                <w:position w:val="6"/>
                <w:sz w:val="18"/>
                <w:szCs w:val="18"/>
              </w:rPr>
              <w:t>全县社零增速</w:t>
            </w:r>
            <w:proofErr w:type="gramEnd"/>
            <w:r>
              <w:rPr>
                <w:rFonts w:ascii="宋体" w:eastAsia="宋体" w:hAnsi="宋体" w:cs="宋体" w:hint="eastAsia"/>
                <w:color w:val="auto"/>
                <w:spacing w:val="3"/>
                <w:position w:val="6"/>
                <w:sz w:val="18"/>
                <w:szCs w:val="18"/>
              </w:rPr>
              <w:t>缓慢。</w:t>
            </w: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质量指标</w:t>
            </w:r>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无</w:t>
            </w: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时效指标</w:t>
            </w:r>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无</w:t>
            </w: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成本指标</w:t>
            </w:r>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pacing w:val="3"/>
                <w:position w:val="6"/>
                <w:sz w:val="18"/>
                <w:szCs w:val="18"/>
              </w:rPr>
            </w:pPr>
            <w:r>
              <w:rPr>
                <w:rFonts w:ascii="宋体" w:eastAsia="宋体" w:hAnsi="宋体" w:cs="宋体" w:hint="eastAsia"/>
                <w:color w:val="auto"/>
                <w:spacing w:val="3"/>
                <w:position w:val="6"/>
                <w:sz w:val="18"/>
                <w:szCs w:val="18"/>
              </w:rPr>
              <w:t>无</w:t>
            </w: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54" w:type="dxa"/>
            <w:gridSpan w:val="2"/>
            <w:vMerge/>
            <w:tcBorders>
              <w:top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r>
      <w:tr w:rsidR="00B454FA">
        <w:trPr>
          <w:trHeight w:val="482"/>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4"/>
                <w:sz w:val="18"/>
                <w:szCs w:val="18"/>
              </w:rPr>
              <w:t>效益</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31"/>
                <w:sz w:val="18"/>
                <w:szCs w:val="18"/>
              </w:rPr>
              <w:t>指标</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9"/>
                <w:sz w:val="18"/>
                <w:szCs w:val="18"/>
              </w:rPr>
              <w:t>(30分)</w:t>
            </w: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6"/>
                <w:sz w:val="18"/>
                <w:szCs w:val="18"/>
              </w:rPr>
              <w:t>经济</w:t>
            </w:r>
            <w:proofErr w:type="gramStart"/>
            <w:r>
              <w:rPr>
                <w:rFonts w:ascii="宋体" w:eastAsia="宋体" w:hAnsi="宋体" w:cs="宋体" w:hint="eastAsia"/>
                <w:color w:val="auto"/>
                <w:spacing w:val="-3"/>
                <w:position w:val="6"/>
                <w:sz w:val="18"/>
                <w:szCs w:val="18"/>
              </w:rPr>
              <w:t>效</w:t>
            </w:r>
            <w:proofErr w:type="gramEnd"/>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576" w:type="dxa"/>
            <w:gridSpan w:val="2"/>
            <w:vAlign w:val="center"/>
          </w:tcPr>
          <w:p w:rsidR="00B454FA" w:rsidRDefault="00DF6893">
            <w:pPr>
              <w:adjustRightInd/>
              <w:snapToGrid/>
              <w:spacing w:line="0" w:lineRule="atLeast"/>
              <w:jc w:val="both"/>
              <w:rPr>
                <w:rFonts w:ascii="宋体" w:eastAsia="宋体" w:hAnsi="宋体" w:cs="宋体"/>
                <w:sz w:val="18"/>
                <w:szCs w:val="18"/>
              </w:rPr>
            </w:pPr>
            <w:r>
              <w:rPr>
                <w:rFonts w:ascii="宋体" w:eastAsia="宋体" w:hAnsi="宋体" w:cs="宋体" w:hint="eastAsia"/>
                <w:sz w:val="18"/>
                <w:szCs w:val="18"/>
              </w:rPr>
              <w:t>以扩大销费规模，改善有效供给，激发居民销</w:t>
            </w:r>
            <w:proofErr w:type="gramStart"/>
            <w:r>
              <w:rPr>
                <w:rFonts w:ascii="宋体" w:eastAsia="宋体" w:hAnsi="宋体" w:cs="宋体" w:hint="eastAsia"/>
                <w:sz w:val="18"/>
                <w:szCs w:val="18"/>
              </w:rPr>
              <w:t>费热情</w:t>
            </w:r>
            <w:proofErr w:type="gramEnd"/>
            <w:r>
              <w:rPr>
                <w:rFonts w:ascii="宋体" w:eastAsia="宋体" w:hAnsi="宋体" w:cs="宋体" w:hint="eastAsia"/>
                <w:sz w:val="18"/>
                <w:szCs w:val="18"/>
              </w:rPr>
              <w:t>为目标，持续开展促消费活动，进一步释放我县消费潜力，推动消费市场增长，逐步形成衡山特色促消费活动品牌，为衡阳建设区域消费中心贡献我们衡山应有的新的力量。</w:t>
            </w:r>
          </w:p>
        </w:tc>
        <w:tc>
          <w:tcPr>
            <w:tcW w:w="2795" w:type="dxa"/>
            <w:gridSpan w:val="4"/>
            <w:vAlign w:val="center"/>
          </w:tcPr>
          <w:p w:rsidR="00B454FA" w:rsidRDefault="00DF6893">
            <w:pPr>
              <w:adjustRightInd/>
              <w:snapToGrid/>
              <w:spacing w:line="0" w:lineRule="atLeast"/>
              <w:jc w:val="both"/>
              <w:rPr>
                <w:rFonts w:ascii="宋体" w:eastAsia="宋体" w:hAnsi="宋体" w:cs="宋体"/>
                <w:sz w:val="18"/>
                <w:szCs w:val="18"/>
              </w:rPr>
            </w:pPr>
            <w:r>
              <w:rPr>
                <w:rFonts w:ascii="宋体" w:eastAsia="宋体" w:hAnsi="宋体" w:cs="宋体" w:hint="eastAsia"/>
                <w:sz w:val="18"/>
                <w:szCs w:val="18"/>
              </w:rPr>
              <w:t>我县按照“政府支持、平台补贴、厂商让利、惠及市民</w:t>
            </w:r>
            <w:r>
              <w:rPr>
                <w:rFonts w:ascii="宋体" w:eastAsia="宋体" w:hAnsi="宋体" w:cs="宋体" w:hint="eastAsia"/>
                <w:color w:val="000000" w:themeColor="text1"/>
                <w:sz w:val="18"/>
                <w:szCs w:val="18"/>
              </w:rPr>
              <w:t>”的原则，开展“</w:t>
            </w:r>
            <w:r>
              <w:rPr>
                <w:rFonts w:ascii="宋体" w:eastAsia="宋体" w:hAnsi="宋体" w:cs="宋体" w:hint="eastAsia"/>
                <w:color w:val="000000" w:themeColor="text1"/>
                <w:spacing w:val="7"/>
                <w:sz w:val="18"/>
                <w:szCs w:val="18"/>
                <w:shd w:val="clear" w:color="auto" w:fill="FFFFFF"/>
              </w:rPr>
              <w:t>梦想星光夜市</w:t>
            </w:r>
            <w:r>
              <w:rPr>
                <w:rFonts w:ascii="宋体" w:eastAsia="宋体" w:hAnsi="宋体" w:cs="宋体" w:hint="eastAsia"/>
                <w:color w:val="000000" w:themeColor="text1"/>
                <w:sz w:val="18"/>
                <w:szCs w:val="18"/>
              </w:rPr>
              <w:t>”“惠购衡山 乐享生活——家电下乡促消费”等一系列促消费活动，加快推进“五兴六强”新衡山建设，努力打造消费增长点，初步统计</w:t>
            </w:r>
            <w:r>
              <w:rPr>
                <w:rFonts w:ascii="宋体" w:eastAsia="宋体" w:hAnsi="宋体" w:cs="宋体" w:hint="eastAsia"/>
                <w:color w:val="000000" w:themeColor="text1"/>
                <w:spacing w:val="12"/>
                <w:sz w:val="18"/>
                <w:szCs w:val="18"/>
                <w:shd w:val="clear" w:color="auto" w:fill="FFFFFF"/>
              </w:rPr>
              <w:t>8月20日“梦想星光”</w:t>
            </w:r>
            <w:r>
              <w:rPr>
                <w:rFonts w:ascii="宋体" w:eastAsia="宋体" w:hAnsi="宋体" w:cs="宋体" w:hint="eastAsia"/>
                <w:color w:val="000000" w:themeColor="text1"/>
                <w:spacing w:val="7"/>
                <w:sz w:val="18"/>
                <w:szCs w:val="18"/>
                <w:shd w:val="clear" w:color="auto" w:fill="FFFFFF"/>
              </w:rPr>
              <w:t>夜市活动10天时间里吸引近百户商家参与，到访人数约6</w:t>
            </w:r>
            <w:proofErr w:type="gramStart"/>
            <w:r>
              <w:rPr>
                <w:rFonts w:ascii="宋体" w:eastAsia="宋体" w:hAnsi="宋体" w:cs="宋体" w:hint="eastAsia"/>
                <w:color w:val="000000" w:themeColor="text1"/>
                <w:spacing w:val="7"/>
                <w:sz w:val="18"/>
                <w:szCs w:val="18"/>
                <w:shd w:val="clear" w:color="auto" w:fill="FFFFFF"/>
              </w:rPr>
              <w:t>一</w:t>
            </w:r>
            <w:proofErr w:type="gramEnd"/>
            <w:r>
              <w:rPr>
                <w:rFonts w:ascii="宋体" w:eastAsia="宋体" w:hAnsi="宋体" w:cs="宋体" w:hint="eastAsia"/>
                <w:color w:val="000000" w:themeColor="text1"/>
                <w:spacing w:val="7"/>
                <w:sz w:val="18"/>
                <w:szCs w:val="18"/>
                <w:shd w:val="clear" w:color="auto" w:fill="FFFFFF"/>
              </w:rPr>
              <w:t>7万人次，发放美食消费</w:t>
            </w:r>
            <w:proofErr w:type="gramStart"/>
            <w:r>
              <w:rPr>
                <w:rFonts w:ascii="宋体" w:eastAsia="宋体" w:hAnsi="宋体" w:cs="宋体" w:hint="eastAsia"/>
                <w:color w:val="000000" w:themeColor="text1"/>
                <w:spacing w:val="7"/>
                <w:sz w:val="18"/>
                <w:szCs w:val="18"/>
                <w:shd w:val="clear" w:color="auto" w:fill="FFFFFF"/>
              </w:rPr>
              <w:t>券</w:t>
            </w:r>
            <w:proofErr w:type="gramEnd"/>
            <w:r>
              <w:rPr>
                <w:rFonts w:ascii="宋体" w:eastAsia="宋体" w:hAnsi="宋体" w:cs="宋体" w:hint="eastAsia"/>
                <w:color w:val="000000" w:themeColor="text1"/>
                <w:spacing w:val="7"/>
                <w:sz w:val="18"/>
                <w:szCs w:val="18"/>
                <w:shd w:val="clear" w:color="auto" w:fill="FFFFFF"/>
              </w:rPr>
              <w:t>一万余张；</w:t>
            </w:r>
            <w:r>
              <w:rPr>
                <w:rFonts w:ascii="宋体" w:eastAsia="宋体" w:hAnsi="宋体" w:cs="宋体" w:hint="eastAsia"/>
                <w:sz w:val="18"/>
                <w:szCs w:val="18"/>
              </w:rPr>
              <w:t>11月10日至13日“惠购衡山 乐享生活——家电下乡促消费”活动</w:t>
            </w:r>
            <w:r>
              <w:rPr>
                <w:rFonts w:ascii="宋体" w:eastAsia="宋体" w:hAnsi="宋体" w:cs="宋体" w:hint="eastAsia"/>
                <w:color w:val="000000" w:themeColor="text1"/>
                <w:sz w:val="18"/>
                <w:szCs w:val="18"/>
              </w:rPr>
              <w:t>共售出电器产品500余台，客流量达0.4万人次，累计实现销售额约260余万元。</w:t>
            </w: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30</w:t>
            </w: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25</w:t>
            </w: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8"/>
                <w:sz w:val="18"/>
                <w:szCs w:val="18"/>
              </w:rPr>
              <w:t>社会</w:t>
            </w:r>
            <w:proofErr w:type="gramStart"/>
            <w:r>
              <w:rPr>
                <w:rFonts w:ascii="宋体" w:eastAsia="宋体" w:hAnsi="宋体" w:cs="宋体" w:hint="eastAsia"/>
                <w:color w:val="auto"/>
                <w:spacing w:val="-3"/>
                <w:position w:val="8"/>
                <w:sz w:val="18"/>
                <w:szCs w:val="18"/>
              </w:rPr>
              <w:t>效</w:t>
            </w:r>
            <w:proofErr w:type="gramEnd"/>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104"/>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8"/>
                <w:sz w:val="18"/>
                <w:szCs w:val="18"/>
              </w:rPr>
              <w:t>生态</w:t>
            </w:r>
            <w:proofErr w:type="gramStart"/>
            <w:r>
              <w:rPr>
                <w:rFonts w:ascii="宋体" w:eastAsia="宋体" w:hAnsi="宋体" w:cs="宋体" w:hint="eastAsia"/>
                <w:color w:val="auto"/>
                <w:spacing w:val="-3"/>
                <w:position w:val="8"/>
                <w:sz w:val="18"/>
                <w:szCs w:val="18"/>
              </w:rPr>
              <w:t>效</w:t>
            </w:r>
            <w:proofErr w:type="gramEnd"/>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104"/>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可持续影</w:t>
            </w:r>
            <w:r>
              <w:rPr>
                <w:rFonts w:ascii="宋体" w:eastAsia="宋体" w:hAnsi="宋体" w:cs="宋体" w:hint="eastAsia"/>
                <w:color w:val="auto"/>
                <w:spacing w:val="2"/>
                <w:sz w:val="18"/>
                <w:szCs w:val="18"/>
              </w:rPr>
              <w:t>响指标</w:t>
            </w:r>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6"/>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326"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14"/>
                <w:sz w:val="18"/>
                <w:szCs w:val="18"/>
              </w:rPr>
              <w:t>满意度</w:t>
            </w:r>
            <w:r>
              <w:rPr>
                <w:rFonts w:ascii="宋体" w:eastAsia="宋体" w:hAnsi="宋体" w:cs="宋体" w:hint="eastAsia"/>
                <w:color w:val="auto"/>
                <w:spacing w:val="18"/>
                <w:w w:val="118"/>
                <w:sz w:val="18"/>
                <w:szCs w:val="18"/>
              </w:rPr>
              <w:t>指标</w:t>
            </w:r>
            <w:r>
              <w:rPr>
                <w:rFonts w:ascii="宋体" w:eastAsia="宋体" w:hAnsi="宋体" w:cs="宋体" w:hint="eastAsia"/>
                <w:color w:val="auto"/>
                <w:spacing w:val="15"/>
                <w:sz w:val="18"/>
                <w:szCs w:val="18"/>
              </w:rPr>
              <w:t>(10分)</w:t>
            </w:r>
          </w:p>
        </w:tc>
        <w:tc>
          <w:tcPr>
            <w:tcW w:w="589"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服务对象</w:t>
            </w:r>
            <w:r>
              <w:rPr>
                <w:rFonts w:ascii="宋体" w:eastAsia="宋体" w:hAnsi="宋体" w:cs="宋体" w:hint="eastAsia"/>
                <w:color w:val="auto"/>
                <w:spacing w:val="3"/>
                <w:sz w:val="18"/>
                <w:szCs w:val="18"/>
              </w:rPr>
              <w:t>满意度指</w:t>
            </w:r>
            <w:r>
              <w:rPr>
                <w:rFonts w:ascii="宋体" w:eastAsia="宋体" w:hAnsi="宋体" w:cs="宋体" w:hint="eastAsia"/>
                <w:color w:val="auto"/>
                <w:sz w:val="18"/>
                <w:szCs w:val="18"/>
              </w:rPr>
              <w:t>标</w:t>
            </w:r>
          </w:p>
        </w:tc>
        <w:tc>
          <w:tcPr>
            <w:tcW w:w="706"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企业满意度</w:t>
            </w:r>
          </w:p>
        </w:tc>
        <w:tc>
          <w:tcPr>
            <w:tcW w:w="1576"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满意</w:t>
            </w: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628"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6"/>
          <w:jc w:val="center"/>
        </w:trPr>
        <w:tc>
          <w:tcPr>
            <w:tcW w:w="326" w:type="dxa"/>
            <w:vMerge/>
            <w:tcBorders>
              <w:top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54" w:type="dxa"/>
            <w:gridSpan w:val="2"/>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589"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70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576"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2795" w:type="dxa"/>
            <w:gridSpan w:val="4"/>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8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6646" w:type="dxa"/>
            <w:gridSpan w:val="1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7"/>
                <w:sz w:val="18"/>
                <w:szCs w:val="18"/>
              </w:rPr>
              <w:t>总分</w:t>
            </w:r>
          </w:p>
        </w:tc>
        <w:tc>
          <w:tcPr>
            <w:tcW w:w="680"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6"/>
                <w:sz w:val="18"/>
                <w:szCs w:val="18"/>
              </w:rPr>
              <w:t>100</w:t>
            </w:r>
          </w:p>
        </w:tc>
        <w:tc>
          <w:tcPr>
            <w:tcW w:w="628"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88</w:t>
            </w:r>
          </w:p>
        </w:tc>
        <w:tc>
          <w:tcPr>
            <w:tcW w:w="1925"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r>
    </w:tbl>
    <w:p w:rsidR="00B454FA" w:rsidRDefault="00DF6893">
      <w:pPr>
        <w:spacing w:before="161" w:line="225" w:lineRule="auto"/>
        <w:rPr>
          <w:rFonts w:ascii="仿宋" w:eastAsia="仿宋" w:hAnsi="仿宋" w:cs="仿宋"/>
          <w:color w:val="auto"/>
          <w:sz w:val="24"/>
          <w:szCs w:val="24"/>
        </w:rPr>
      </w:pPr>
      <w:r>
        <w:rPr>
          <w:rFonts w:ascii="仿宋" w:eastAsia="仿宋" w:hAnsi="仿宋" w:cs="仿宋"/>
          <w:color w:val="auto"/>
          <w:spacing w:val="-24"/>
          <w:position w:val="-1"/>
          <w:sz w:val="24"/>
          <w:szCs w:val="24"/>
        </w:rPr>
        <w:t>填表人：</w:t>
      </w:r>
      <w:proofErr w:type="gramStart"/>
      <w:r>
        <w:rPr>
          <w:rFonts w:ascii="仿宋" w:eastAsia="仿宋" w:hAnsi="仿宋" w:cs="仿宋" w:hint="eastAsia"/>
          <w:color w:val="auto"/>
          <w:spacing w:val="-24"/>
          <w:position w:val="-1"/>
          <w:sz w:val="24"/>
          <w:szCs w:val="24"/>
        </w:rPr>
        <w:t>旷</w:t>
      </w:r>
      <w:proofErr w:type="gramEnd"/>
      <w:r>
        <w:rPr>
          <w:rFonts w:ascii="仿宋" w:eastAsia="仿宋" w:hAnsi="仿宋" w:cs="仿宋" w:hint="eastAsia"/>
          <w:color w:val="auto"/>
          <w:spacing w:val="-24"/>
          <w:position w:val="-1"/>
          <w:sz w:val="24"/>
          <w:szCs w:val="24"/>
        </w:rPr>
        <w:t xml:space="preserve">水源     </w:t>
      </w:r>
      <w:r>
        <w:rPr>
          <w:rFonts w:ascii="仿宋" w:eastAsia="仿宋" w:hAnsi="仿宋" w:cs="仿宋"/>
          <w:color w:val="auto"/>
          <w:spacing w:val="-24"/>
          <w:sz w:val="24"/>
          <w:szCs w:val="24"/>
        </w:rPr>
        <w:t>填报日期：</w:t>
      </w:r>
      <w:r>
        <w:rPr>
          <w:rFonts w:ascii="仿宋" w:eastAsia="仿宋" w:hAnsi="仿宋" w:cs="仿宋" w:hint="eastAsia"/>
          <w:color w:val="auto"/>
          <w:spacing w:val="-24"/>
          <w:sz w:val="24"/>
          <w:szCs w:val="24"/>
        </w:rPr>
        <w:t>2023年</w:t>
      </w:r>
      <w:r w:rsidR="00C56559">
        <w:rPr>
          <w:rFonts w:ascii="仿宋" w:eastAsia="仿宋" w:hAnsi="仿宋" w:cs="仿宋" w:hint="eastAsia"/>
          <w:color w:val="auto"/>
          <w:spacing w:val="-24"/>
          <w:sz w:val="24"/>
          <w:szCs w:val="24"/>
        </w:rPr>
        <w:t>8</w:t>
      </w:r>
      <w:r>
        <w:rPr>
          <w:rFonts w:ascii="仿宋" w:eastAsia="仿宋" w:hAnsi="仿宋" w:cs="仿宋" w:hint="eastAsia"/>
          <w:color w:val="auto"/>
          <w:spacing w:val="-24"/>
          <w:sz w:val="24"/>
          <w:szCs w:val="24"/>
        </w:rPr>
        <w:t xml:space="preserve">月       </w:t>
      </w:r>
      <w:r>
        <w:rPr>
          <w:rFonts w:ascii="仿宋" w:eastAsia="仿宋" w:hAnsi="仿宋" w:cs="仿宋"/>
          <w:color w:val="auto"/>
          <w:spacing w:val="-24"/>
          <w:sz w:val="24"/>
          <w:szCs w:val="24"/>
        </w:rPr>
        <w:t>联系电话：</w:t>
      </w:r>
      <w:r>
        <w:rPr>
          <w:rFonts w:ascii="仿宋" w:eastAsia="仿宋" w:hAnsi="仿宋" w:cs="仿宋" w:hint="eastAsia"/>
          <w:color w:val="auto"/>
          <w:spacing w:val="-24"/>
          <w:sz w:val="24"/>
          <w:szCs w:val="24"/>
        </w:rPr>
        <w:t xml:space="preserve">13975424090     </w:t>
      </w:r>
      <w:r>
        <w:rPr>
          <w:rFonts w:ascii="仿宋" w:eastAsia="仿宋" w:hAnsi="仿宋" w:cs="仿宋"/>
          <w:color w:val="auto"/>
          <w:spacing w:val="-24"/>
          <w:position w:val="1"/>
          <w:sz w:val="24"/>
          <w:szCs w:val="24"/>
        </w:rPr>
        <w:t>单位负责人签字：</w:t>
      </w:r>
      <w:r>
        <w:rPr>
          <w:rFonts w:ascii="仿宋" w:eastAsia="仿宋" w:hAnsi="仿宋" w:cs="仿宋" w:hint="eastAsia"/>
          <w:color w:val="auto"/>
          <w:spacing w:val="-24"/>
          <w:position w:val="1"/>
          <w:sz w:val="24"/>
          <w:szCs w:val="24"/>
        </w:rPr>
        <w:t>杨群</w:t>
      </w:r>
    </w:p>
    <w:p w:rsidR="00B454FA" w:rsidRDefault="00B454FA">
      <w:pPr>
        <w:rPr>
          <w:color w:val="auto"/>
        </w:rPr>
      </w:pPr>
    </w:p>
    <w:p w:rsidR="00B454FA" w:rsidRDefault="00DF6893">
      <w:pPr>
        <w:spacing w:before="303" w:line="219" w:lineRule="auto"/>
        <w:jc w:val="center"/>
        <w:rPr>
          <w:rFonts w:ascii="宋体" w:eastAsia="宋体" w:hAnsi="宋体" w:cs="宋体"/>
          <w:color w:val="auto"/>
          <w:sz w:val="34"/>
          <w:szCs w:val="34"/>
        </w:rPr>
      </w:pPr>
      <w:r>
        <w:rPr>
          <w:rFonts w:ascii="宋体" w:eastAsia="宋体" w:hAnsi="宋体" w:cs="宋体"/>
          <w:b/>
          <w:bCs/>
          <w:color w:val="auto"/>
          <w:spacing w:val="11"/>
          <w:sz w:val="34"/>
          <w:szCs w:val="34"/>
        </w:rPr>
        <w:lastRenderedPageBreak/>
        <w:t>2022年度预算支出绩效自评表</w:t>
      </w:r>
    </w:p>
    <w:p w:rsidR="00B454FA" w:rsidRDefault="00B454FA">
      <w:pPr>
        <w:spacing w:line="72" w:lineRule="exact"/>
        <w:rPr>
          <w:color w:val="auto"/>
        </w:rPr>
      </w:pPr>
    </w:p>
    <w:tbl>
      <w:tblPr>
        <w:tblStyle w:val="TableNormal"/>
        <w:tblW w:w="9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89"/>
        <w:gridCol w:w="1268"/>
        <w:gridCol w:w="1209"/>
        <w:gridCol w:w="1119"/>
        <w:gridCol w:w="1109"/>
        <w:gridCol w:w="819"/>
        <w:gridCol w:w="859"/>
        <w:gridCol w:w="1373"/>
      </w:tblGrid>
      <w:tr w:rsidR="00B454FA">
        <w:trPr>
          <w:trHeight w:val="522"/>
          <w:jc w:val="center"/>
        </w:trPr>
        <w:tc>
          <w:tcPr>
            <w:tcW w:w="1134" w:type="dxa"/>
            <w:vAlign w:val="center"/>
          </w:tcPr>
          <w:p w:rsidR="00B454FA" w:rsidRDefault="00DF6893">
            <w:pPr>
              <w:spacing w:before="94" w:line="301" w:lineRule="exact"/>
              <w:ind w:left="245"/>
              <w:jc w:val="center"/>
              <w:rPr>
                <w:rFonts w:ascii="宋体" w:eastAsia="宋体" w:hAnsi="宋体" w:cs="宋体"/>
                <w:color w:val="auto"/>
                <w:sz w:val="18"/>
                <w:szCs w:val="18"/>
              </w:rPr>
            </w:pPr>
            <w:r>
              <w:rPr>
                <w:rFonts w:ascii="宋体" w:eastAsia="宋体" w:hAnsi="宋体" w:cs="宋体" w:hint="eastAsia"/>
                <w:color w:val="auto"/>
                <w:spacing w:val="3"/>
                <w:position w:val="6"/>
                <w:sz w:val="18"/>
                <w:szCs w:val="18"/>
              </w:rPr>
              <w:t>项目支</w:t>
            </w:r>
          </w:p>
          <w:p w:rsidR="00B454FA" w:rsidRDefault="00DF6893">
            <w:pPr>
              <w:spacing w:line="221" w:lineRule="auto"/>
              <w:ind w:left="245"/>
              <w:jc w:val="center"/>
              <w:rPr>
                <w:rFonts w:ascii="宋体" w:eastAsia="宋体" w:hAnsi="宋体" w:cs="宋体"/>
                <w:color w:val="auto"/>
                <w:sz w:val="18"/>
                <w:szCs w:val="18"/>
              </w:rPr>
            </w:pPr>
            <w:r>
              <w:rPr>
                <w:rFonts w:ascii="宋体" w:eastAsia="宋体" w:hAnsi="宋体" w:cs="宋体" w:hint="eastAsia"/>
                <w:color w:val="auto"/>
                <w:spacing w:val="3"/>
                <w:sz w:val="18"/>
                <w:szCs w:val="18"/>
              </w:rPr>
              <w:t>出名称</w:t>
            </w:r>
          </w:p>
        </w:tc>
        <w:tc>
          <w:tcPr>
            <w:tcW w:w="8745" w:type="dxa"/>
            <w:gridSpan w:val="8"/>
            <w:vAlign w:val="center"/>
          </w:tcPr>
          <w:p w:rsidR="00B454FA" w:rsidRDefault="00B454FA">
            <w:pPr>
              <w:jc w:val="center"/>
              <w:rPr>
                <w:rFonts w:ascii="宋体" w:eastAsia="宋体" w:hAnsi="宋体" w:cs="宋体"/>
                <w:color w:val="auto"/>
                <w:sz w:val="18"/>
                <w:szCs w:val="18"/>
              </w:rPr>
            </w:pPr>
          </w:p>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招商引资</w:t>
            </w:r>
          </w:p>
        </w:tc>
      </w:tr>
      <w:tr w:rsidR="00B454FA">
        <w:trPr>
          <w:trHeight w:val="350"/>
          <w:jc w:val="center"/>
        </w:trPr>
        <w:tc>
          <w:tcPr>
            <w:tcW w:w="1134" w:type="dxa"/>
            <w:vAlign w:val="center"/>
          </w:tcPr>
          <w:p w:rsidR="00B454FA" w:rsidRDefault="00DF6893">
            <w:pPr>
              <w:spacing w:before="69" w:line="219" w:lineRule="auto"/>
              <w:ind w:left="134"/>
              <w:jc w:val="center"/>
              <w:rPr>
                <w:rFonts w:ascii="宋体" w:eastAsia="宋体" w:hAnsi="宋体" w:cs="宋体"/>
                <w:color w:val="auto"/>
                <w:sz w:val="18"/>
                <w:szCs w:val="18"/>
              </w:rPr>
            </w:pPr>
            <w:r>
              <w:rPr>
                <w:rFonts w:ascii="宋体" w:eastAsia="宋体" w:hAnsi="宋体" w:cs="宋体" w:hint="eastAsia"/>
                <w:color w:val="auto"/>
                <w:spacing w:val="5"/>
                <w:sz w:val="18"/>
                <w:szCs w:val="18"/>
              </w:rPr>
              <w:t>主管部门</w:t>
            </w:r>
          </w:p>
        </w:tc>
        <w:tc>
          <w:tcPr>
            <w:tcW w:w="4585" w:type="dxa"/>
            <w:gridSpan w:val="4"/>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衡山县商务和粮食局</w:t>
            </w:r>
          </w:p>
        </w:tc>
        <w:tc>
          <w:tcPr>
            <w:tcW w:w="1109" w:type="dxa"/>
            <w:vAlign w:val="center"/>
          </w:tcPr>
          <w:p w:rsidR="00B454FA" w:rsidRDefault="00DF6893">
            <w:pPr>
              <w:spacing w:before="70" w:line="220" w:lineRule="auto"/>
              <w:ind w:left="125"/>
              <w:jc w:val="center"/>
              <w:rPr>
                <w:rFonts w:ascii="宋体" w:eastAsia="宋体" w:hAnsi="宋体" w:cs="宋体"/>
                <w:color w:val="auto"/>
                <w:sz w:val="18"/>
                <w:szCs w:val="18"/>
              </w:rPr>
            </w:pPr>
            <w:r>
              <w:rPr>
                <w:rFonts w:ascii="宋体" w:eastAsia="宋体" w:hAnsi="宋体" w:cs="宋体" w:hint="eastAsia"/>
                <w:color w:val="auto"/>
                <w:spacing w:val="2"/>
                <w:sz w:val="18"/>
                <w:szCs w:val="18"/>
              </w:rPr>
              <w:t>实施单位</w:t>
            </w:r>
          </w:p>
        </w:tc>
        <w:tc>
          <w:tcPr>
            <w:tcW w:w="3051" w:type="dxa"/>
            <w:gridSpan w:val="3"/>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衡山县投资促进事务中心</w:t>
            </w:r>
          </w:p>
        </w:tc>
      </w:tr>
      <w:tr w:rsidR="00B454FA">
        <w:trPr>
          <w:trHeight w:val="330"/>
          <w:jc w:val="center"/>
        </w:trPr>
        <w:tc>
          <w:tcPr>
            <w:tcW w:w="1134" w:type="dxa"/>
            <w:vMerge w:val="restart"/>
            <w:tcBorders>
              <w:bottom w:val="nil"/>
            </w:tcBorders>
            <w:vAlign w:val="center"/>
          </w:tcPr>
          <w:p w:rsidR="00B454FA" w:rsidRDefault="00B454FA">
            <w:pPr>
              <w:spacing w:line="298" w:lineRule="auto"/>
              <w:jc w:val="center"/>
              <w:rPr>
                <w:rFonts w:ascii="宋体" w:eastAsia="宋体" w:hAnsi="宋体" w:cs="宋体"/>
                <w:color w:val="auto"/>
                <w:sz w:val="18"/>
                <w:szCs w:val="18"/>
              </w:rPr>
            </w:pPr>
          </w:p>
          <w:p w:rsidR="00B454FA" w:rsidRDefault="00B454FA">
            <w:pPr>
              <w:spacing w:line="299" w:lineRule="auto"/>
              <w:jc w:val="center"/>
              <w:rPr>
                <w:rFonts w:ascii="宋体" w:eastAsia="宋体" w:hAnsi="宋体" w:cs="宋体"/>
                <w:color w:val="auto"/>
                <w:sz w:val="18"/>
                <w:szCs w:val="18"/>
              </w:rPr>
            </w:pPr>
          </w:p>
          <w:p w:rsidR="00B454FA" w:rsidRDefault="00B454FA">
            <w:pPr>
              <w:spacing w:line="299" w:lineRule="auto"/>
              <w:jc w:val="center"/>
              <w:rPr>
                <w:rFonts w:ascii="宋体" w:eastAsia="宋体" w:hAnsi="宋体" w:cs="宋体"/>
                <w:color w:val="auto"/>
                <w:sz w:val="18"/>
                <w:szCs w:val="18"/>
              </w:rPr>
            </w:pPr>
          </w:p>
          <w:p w:rsidR="00B454FA" w:rsidRDefault="00DF6893">
            <w:pPr>
              <w:spacing w:before="68" w:line="220" w:lineRule="auto"/>
              <w:ind w:left="134"/>
              <w:jc w:val="center"/>
              <w:rPr>
                <w:rFonts w:ascii="宋体" w:eastAsia="宋体" w:hAnsi="宋体" w:cs="宋体"/>
                <w:color w:val="auto"/>
                <w:sz w:val="18"/>
                <w:szCs w:val="18"/>
              </w:rPr>
            </w:pPr>
            <w:r>
              <w:rPr>
                <w:rFonts w:ascii="宋体" w:eastAsia="宋体" w:hAnsi="宋体" w:cs="宋体" w:hint="eastAsia"/>
                <w:color w:val="auto"/>
                <w:spacing w:val="2"/>
                <w:sz w:val="18"/>
                <w:szCs w:val="18"/>
              </w:rPr>
              <w:t>项目资金</w:t>
            </w:r>
          </w:p>
          <w:p w:rsidR="00B454FA" w:rsidRDefault="00DF6893">
            <w:pPr>
              <w:spacing w:before="69" w:line="220" w:lineRule="auto"/>
              <w:ind w:left="245"/>
              <w:jc w:val="center"/>
              <w:rPr>
                <w:rFonts w:ascii="宋体" w:eastAsia="宋体" w:hAnsi="宋体" w:cs="宋体"/>
                <w:color w:val="auto"/>
                <w:sz w:val="18"/>
                <w:szCs w:val="18"/>
              </w:rPr>
            </w:pPr>
            <w:r>
              <w:rPr>
                <w:rFonts w:ascii="宋体" w:eastAsia="宋体" w:hAnsi="宋体" w:cs="宋体" w:hint="eastAsia"/>
                <w:color w:val="auto"/>
                <w:spacing w:val="11"/>
                <w:sz w:val="18"/>
                <w:szCs w:val="18"/>
              </w:rPr>
              <w:t>(万元)</w:t>
            </w:r>
          </w:p>
        </w:tc>
        <w:tc>
          <w:tcPr>
            <w:tcW w:w="2257" w:type="dxa"/>
            <w:gridSpan w:val="2"/>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DF6893">
            <w:pPr>
              <w:spacing w:before="9" w:line="219" w:lineRule="auto"/>
              <w:ind w:left="13"/>
              <w:jc w:val="center"/>
              <w:rPr>
                <w:rFonts w:ascii="宋体" w:eastAsia="宋体" w:hAnsi="宋体" w:cs="宋体"/>
                <w:color w:val="auto"/>
                <w:sz w:val="18"/>
                <w:szCs w:val="18"/>
              </w:rPr>
            </w:pPr>
            <w:r>
              <w:rPr>
                <w:rFonts w:ascii="宋体" w:eastAsia="宋体" w:hAnsi="宋体" w:cs="宋体" w:hint="eastAsia"/>
                <w:color w:val="auto"/>
                <w:spacing w:val="-2"/>
                <w:sz w:val="18"/>
                <w:szCs w:val="18"/>
              </w:rPr>
              <w:t>年初预算数</w:t>
            </w:r>
          </w:p>
        </w:tc>
        <w:tc>
          <w:tcPr>
            <w:tcW w:w="1119" w:type="dxa"/>
            <w:vAlign w:val="center"/>
          </w:tcPr>
          <w:p w:rsidR="00B454FA" w:rsidRDefault="00DF6893">
            <w:pPr>
              <w:spacing w:before="59" w:line="219" w:lineRule="auto"/>
              <w:ind w:left="25"/>
              <w:jc w:val="center"/>
              <w:rPr>
                <w:rFonts w:ascii="宋体" w:eastAsia="宋体" w:hAnsi="宋体" w:cs="宋体"/>
                <w:color w:val="auto"/>
                <w:sz w:val="18"/>
                <w:szCs w:val="18"/>
              </w:rPr>
            </w:pPr>
            <w:r>
              <w:rPr>
                <w:rFonts w:ascii="宋体" w:eastAsia="宋体" w:hAnsi="宋体" w:cs="宋体" w:hint="eastAsia"/>
                <w:color w:val="auto"/>
                <w:spacing w:val="-2"/>
                <w:sz w:val="18"/>
                <w:szCs w:val="18"/>
              </w:rPr>
              <w:t>全年预算数</w:t>
            </w:r>
          </w:p>
        </w:tc>
        <w:tc>
          <w:tcPr>
            <w:tcW w:w="1109" w:type="dxa"/>
            <w:vAlign w:val="center"/>
          </w:tcPr>
          <w:p w:rsidR="00B454FA" w:rsidRDefault="00DF6893">
            <w:pPr>
              <w:spacing w:before="59" w:line="219" w:lineRule="auto"/>
              <w:ind w:left="25"/>
              <w:jc w:val="center"/>
              <w:rPr>
                <w:rFonts w:ascii="宋体" w:eastAsia="宋体" w:hAnsi="宋体" w:cs="宋体"/>
                <w:color w:val="auto"/>
                <w:sz w:val="18"/>
                <w:szCs w:val="18"/>
              </w:rPr>
            </w:pPr>
            <w:r>
              <w:rPr>
                <w:rFonts w:ascii="宋体" w:eastAsia="宋体" w:hAnsi="宋体" w:cs="宋体" w:hint="eastAsia"/>
                <w:color w:val="auto"/>
                <w:spacing w:val="-2"/>
                <w:sz w:val="18"/>
                <w:szCs w:val="18"/>
              </w:rPr>
              <w:t>全年执行数</w:t>
            </w:r>
          </w:p>
        </w:tc>
        <w:tc>
          <w:tcPr>
            <w:tcW w:w="819" w:type="dxa"/>
            <w:vAlign w:val="center"/>
          </w:tcPr>
          <w:p w:rsidR="00B454FA" w:rsidRDefault="00DF6893">
            <w:pPr>
              <w:spacing w:before="9" w:line="219" w:lineRule="auto"/>
              <w:ind w:left="137"/>
              <w:jc w:val="center"/>
              <w:rPr>
                <w:rFonts w:ascii="宋体" w:eastAsia="宋体" w:hAnsi="宋体" w:cs="宋体"/>
                <w:color w:val="auto"/>
                <w:sz w:val="18"/>
                <w:szCs w:val="18"/>
              </w:rPr>
            </w:pPr>
            <w:r>
              <w:rPr>
                <w:rFonts w:ascii="宋体" w:eastAsia="宋体" w:hAnsi="宋体" w:cs="宋体" w:hint="eastAsia"/>
                <w:color w:val="auto"/>
                <w:spacing w:val="-3"/>
                <w:sz w:val="18"/>
                <w:szCs w:val="18"/>
              </w:rPr>
              <w:t>分值</w:t>
            </w:r>
          </w:p>
        </w:tc>
        <w:tc>
          <w:tcPr>
            <w:tcW w:w="859" w:type="dxa"/>
            <w:vAlign w:val="center"/>
          </w:tcPr>
          <w:p w:rsidR="00B454FA" w:rsidRDefault="00DF6893">
            <w:pPr>
              <w:spacing w:before="19" w:line="219" w:lineRule="auto"/>
              <w:ind w:left="107"/>
              <w:jc w:val="center"/>
              <w:rPr>
                <w:rFonts w:ascii="宋体" w:eastAsia="宋体" w:hAnsi="宋体" w:cs="宋体"/>
                <w:color w:val="auto"/>
                <w:sz w:val="18"/>
                <w:szCs w:val="18"/>
              </w:rPr>
            </w:pPr>
            <w:r>
              <w:rPr>
                <w:rFonts w:ascii="宋体" w:eastAsia="宋体" w:hAnsi="宋体" w:cs="宋体" w:hint="eastAsia"/>
                <w:color w:val="auto"/>
                <w:spacing w:val="-2"/>
                <w:sz w:val="18"/>
                <w:szCs w:val="18"/>
              </w:rPr>
              <w:t>执行率</w:t>
            </w:r>
          </w:p>
        </w:tc>
        <w:tc>
          <w:tcPr>
            <w:tcW w:w="1373" w:type="dxa"/>
            <w:vAlign w:val="center"/>
          </w:tcPr>
          <w:p w:rsidR="00B454FA" w:rsidRDefault="00DF6893">
            <w:pPr>
              <w:spacing w:before="9" w:line="219" w:lineRule="auto"/>
              <w:ind w:left="469"/>
              <w:jc w:val="center"/>
              <w:rPr>
                <w:rFonts w:ascii="宋体" w:eastAsia="宋体" w:hAnsi="宋体" w:cs="宋体"/>
                <w:color w:val="auto"/>
                <w:sz w:val="18"/>
                <w:szCs w:val="18"/>
              </w:rPr>
            </w:pPr>
            <w:r>
              <w:rPr>
                <w:rFonts w:ascii="宋体" w:eastAsia="宋体" w:hAnsi="宋体" w:cs="宋体" w:hint="eastAsia"/>
                <w:color w:val="auto"/>
                <w:spacing w:val="-3"/>
                <w:sz w:val="18"/>
                <w:szCs w:val="18"/>
              </w:rPr>
              <w:t>得分</w:t>
            </w:r>
          </w:p>
        </w:tc>
      </w:tr>
      <w:tr w:rsidR="00B454FA">
        <w:trPr>
          <w:trHeight w:val="360"/>
          <w:jc w:val="center"/>
        </w:trPr>
        <w:tc>
          <w:tcPr>
            <w:tcW w:w="1134"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2257" w:type="dxa"/>
            <w:gridSpan w:val="2"/>
            <w:vAlign w:val="center"/>
          </w:tcPr>
          <w:p w:rsidR="00B454FA" w:rsidRDefault="00DF6893">
            <w:pPr>
              <w:spacing w:before="79" w:line="219" w:lineRule="auto"/>
              <w:ind w:left="121"/>
              <w:jc w:val="center"/>
              <w:rPr>
                <w:rFonts w:ascii="宋体" w:eastAsia="宋体" w:hAnsi="宋体" w:cs="宋体"/>
                <w:color w:val="auto"/>
                <w:sz w:val="18"/>
                <w:szCs w:val="18"/>
              </w:rPr>
            </w:pPr>
            <w:r>
              <w:rPr>
                <w:rFonts w:ascii="宋体" w:eastAsia="宋体" w:hAnsi="宋体" w:cs="宋体" w:hint="eastAsia"/>
                <w:color w:val="auto"/>
                <w:spacing w:val="-2"/>
                <w:sz w:val="18"/>
                <w:szCs w:val="18"/>
              </w:rPr>
              <w:t>年度资金总额</w:t>
            </w:r>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400</w:t>
            </w:r>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119.34</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119.34</w:t>
            </w:r>
          </w:p>
        </w:tc>
        <w:tc>
          <w:tcPr>
            <w:tcW w:w="819" w:type="dxa"/>
            <w:vAlign w:val="center"/>
          </w:tcPr>
          <w:p w:rsidR="00B454FA" w:rsidRDefault="00DF6893">
            <w:pPr>
              <w:spacing w:before="163" w:line="173" w:lineRule="auto"/>
              <w:ind w:left="137"/>
              <w:jc w:val="center"/>
              <w:rPr>
                <w:rFonts w:ascii="宋体" w:eastAsia="宋体" w:hAnsi="宋体" w:cs="宋体"/>
                <w:color w:val="auto"/>
                <w:sz w:val="18"/>
                <w:szCs w:val="18"/>
              </w:rPr>
            </w:pPr>
            <w:r>
              <w:rPr>
                <w:rFonts w:ascii="宋体" w:eastAsia="宋体" w:hAnsi="宋体" w:cs="宋体" w:hint="eastAsia"/>
                <w:color w:val="auto"/>
                <w:spacing w:val="-6"/>
                <w:sz w:val="18"/>
                <w:szCs w:val="18"/>
              </w:rPr>
              <w:t>10</w:t>
            </w:r>
          </w:p>
        </w:tc>
        <w:tc>
          <w:tcPr>
            <w:tcW w:w="85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100%</w:t>
            </w:r>
          </w:p>
        </w:tc>
        <w:tc>
          <w:tcPr>
            <w:tcW w:w="1373"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7</w:t>
            </w:r>
          </w:p>
        </w:tc>
      </w:tr>
      <w:tr w:rsidR="00B454FA">
        <w:trPr>
          <w:trHeight w:val="350"/>
          <w:jc w:val="center"/>
        </w:trPr>
        <w:tc>
          <w:tcPr>
            <w:tcW w:w="1134"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2257" w:type="dxa"/>
            <w:gridSpan w:val="2"/>
            <w:vAlign w:val="center"/>
          </w:tcPr>
          <w:p w:rsidR="00B454FA" w:rsidRDefault="00DF6893">
            <w:pPr>
              <w:spacing w:before="69" w:line="219" w:lineRule="auto"/>
              <w:ind w:left="121"/>
              <w:jc w:val="center"/>
              <w:rPr>
                <w:rFonts w:ascii="宋体" w:eastAsia="宋体" w:hAnsi="宋体" w:cs="宋体"/>
                <w:color w:val="auto"/>
                <w:sz w:val="18"/>
                <w:szCs w:val="18"/>
              </w:rPr>
            </w:pPr>
            <w:r>
              <w:rPr>
                <w:rFonts w:ascii="宋体" w:eastAsia="宋体" w:hAnsi="宋体" w:cs="宋体" w:hint="eastAsia"/>
                <w:color w:val="auto"/>
                <w:spacing w:val="-1"/>
                <w:sz w:val="18"/>
                <w:szCs w:val="18"/>
              </w:rPr>
              <w:t>其中：当年财政拨款</w:t>
            </w:r>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400</w:t>
            </w:r>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119.34</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119.34</w:t>
            </w: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0"/>
          <w:jc w:val="center"/>
        </w:trPr>
        <w:tc>
          <w:tcPr>
            <w:tcW w:w="1134"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2257" w:type="dxa"/>
            <w:gridSpan w:val="2"/>
            <w:vAlign w:val="center"/>
          </w:tcPr>
          <w:p w:rsidR="00B454FA" w:rsidRDefault="00DF6893">
            <w:pPr>
              <w:spacing w:before="69" w:line="219" w:lineRule="auto"/>
              <w:ind w:left="730"/>
              <w:jc w:val="center"/>
              <w:rPr>
                <w:rFonts w:ascii="宋体" w:eastAsia="宋体" w:hAnsi="宋体" w:cs="宋体"/>
                <w:color w:val="auto"/>
                <w:sz w:val="18"/>
                <w:szCs w:val="18"/>
              </w:rPr>
            </w:pPr>
            <w:r>
              <w:rPr>
                <w:rFonts w:ascii="宋体" w:eastAsia="宋体" w:hAnsi="宋体" w:cs="宋体" w:hint="eastAsia"/>
                <w:color w:val="auto"/>
                <w:spacing w:val="-2"/>
                <w:sz w:val="18"/>
                <w:szCs w:val="18"/>
              </w:rPr>
              <w:t>上年结转资金</w:t>
            </w: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0"/>
          <w:jc w:val="center"/>
        </w:trPr>
        <w:tc>
          <w:tcPr>
            <w:tcW w:w="1134" w:type="dxa"/>
            <w:vMerge/>
            <w:tcBorders>
              <w:top w:val="nil"/>
            </w:tcBorders>
            <w:vAlign w:val="center"/>
          </w:tcPr>
          <w:p w:rsidR="00B454FA" w:rsidRDefault="00B454FA">
            <w:pPr>
              <w:jc w:val="center"/>
              <w:rPr>
                <w:rFonts w:ascii="宋体" w:eastAsia="宋体" w:hAnsi="宋体" w:cs="宋体"/>
                <w:color w:val="auto"/>
                <w:sz w:val="18"/>
                <w:szCs w:val="18"/>
              </w:rPr>
            </w:pPr>
          </w:p>
        </w:tc>
        <w:tc>
          <w:tcPr>
            <w:tcW w:w="2257" w:type="dxa"/>
            <w:gridSpan w:val="2"/>
            <w:vAlign w:val="center"/>
          </w:tcPr>
          <w:p w:rsidR="00B454FA" w:rsidRDefault="00DF6893">
            <w:pPr>
              <w:spacing w:before="70" w:line="220" w:lineRule="auto"/>
              <w:ind w:left="730"/>
              <w:jc w:val="center"/>
              <w:rPr>
                <w:rFonts w:ascii="宋体" w:eastAsia="宋体" w:hAnsi="宋体" w:cs="宋体"/>
                <w:color w:val="auto"/>
                <w:sz w:val="18"/>
                <w:szCs w:val="18"/>
              </w:rPr>
            </w:pPr>
            <w:r>
              <w:rPr>
                <w:rFonts w:ascii="宋体" w:eastAsia="宋体" w:hAnsi="宋体" w:cs="宋体" w:hint="eastAsia"/>
                <w:color w:val="auto"/>
                <w:spacing w:val="-2"/>
                <w:sz w:val="18"/>
                <w:szCs w:val="18"/>
              </w:rPr>
              <w:t>其他资金</w:t>
            </w: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9"/>
          <w:jc w:val="center"/>
        </w:trPr>
        <w:tc>
          <w:tcPr>
            <w:tcW w:w="1134" w:type="dxa"/>
            <w:vMerge w:val="restart"/>
            <w:tcBorders>
              <w:bottom w:val="nil"/>
            </w:tcBorders>
            <w:vAlign w:val="center"/>
          </w:tcPr>
          <w:p w:rsidR="00B454FA" w:rsidRDefault="00B454FA">
            <w:pPr>
              <w:spacing w:line="279" w:lineRule="auto"/>
              <w:jc w:val="center"/>
              <w:rPr>
                <w:rFonts w:ascii="宋体" w:eastAsia="宋体" w:hAnsi="宋体" w:cs="宋体"/>
                <w:color w:val="auto"/>
                <w:sz w:val="18"/>
                <w:szCs w:val="18"/>
              </w:rPr>
            </w:pPr>
          </w:p>
          <w:p w:rsidR="00B454FA" w:rsidRDefault="00DF6893">
            <w:pPr>
              <w:spacing w:before="68" w:line="321" w:lineRule="exact"/>
              <w:ind w:left="245"/>
              <w:jc w:val="center"/>
              <w:rPr>
                <w:rFonts w:ascii="宋体" w:eastAsia="宋体" w:hAnsi="宋体" w:cs="宋体"/>
                <w:color w:val="auto"/>
                <w:sz w:val="18"/>
                <w:szCs w:val="18"/>
              </w:rPr>
            </w:pPr>
            <w:r>
              <w:rPr>
                <w:rFonts w:ascii="宋体" w:eastAsia="宋体" w:hAnsi="宋体" w:cs="宋体" w:hint="eastAsia"/>
                <w:color w:val="auto"/>
                <w:spacing w:val="6"/>
                <w:position w:val="8"/>
                <w:sz w:val="18"/>
                <w:szCs w:val="18"/>
              </w:rPr>
              <w:t>年度总</w:t>
            </w:r>
          </w:p>
          <w:p w:rsidR="00B454FA" w:rsidRDefault="00DF6893">
            <w:pPr>
              <w:spacing w:line="220" w:lineRule="auto"/>
              <w:ind w:left="245"/>
              <w:jc w:val="center"/>
              <w:rPr>
                <w:rFonts w:ascii="宋体" w:eastAsia="宋体" w:hAnsi="宋体" w:cs="宋体"/>
                <w:color w:val="auto"/>
                <w:sz w:val="18"/>
                <w:szCs w:val="18"/>
              </w:rPr>
            </w:pPr>
            <w:proofErr w:type="gramStart"/>
            <w:r>
              <w:rPr>
                <w:rFonts w:ascii="宋体" w:eastAsia="宋体" w:hAnsi="宋体" w:cs="宋体" w:hint="eastAsia"/>
                <w:color w:val="auto"/>
                <w:spacing w:val="-2"/>
                <w:sz w:val="18"/>
                <w:szCs w:val="18"/>
              </w:rPr>
              <w:t>体目标</w:t>
            </w:r>
            <w:proofErr w:type="gramEnd"/>
          </w:p>
        </w:tc>
        <w:tc>
          <w:tcPr>
            <w:tcW w:w="4585" w:type="dxa"/>
            <w:gridSpan w:val="4"/>
            <w:vAlign w:val="center"/>
          </w:tcPr>
          <w:p w:rsidR="00B454FA" w:rsidRDefault="00DF6893">
            <w:pPr>
              <w:spacing w:before="70" w:line="220" w:lineRule="auto"/>
              <w:ind w:left="1860"/>
              <w:jc w:val="center"/>
              <w:rPr>
                <w:rFonts w:ascii="宋体" w:eastAsia="宋体" w:hAnsi="宋体" w:cs="宋体"/>
                <w:color w:val="auto"/>
                <w:sz w:val="18"/>
                <w:szCs w:val="18"/>
              </w:rPr>
            </w:pPr>
            <w:r>
              <w:rPr>
                <w:rFonts w:ascii="宋体" w:eastAsia="宋体" w:hAnsi="宋体" w:cs="宋体" w:hint="eastAsia"/>
                <w:color w:val="auto"/>
                <w:spacing w:val="-2"/>
                <w:sz w:val="18"/>
                <w:szCs w:val="18"/>
              </w:rPr>
              <w:t>预期目标</w:t>
            </w:r>
          </w:p>
        </w:tc>
        <w:tc>
          <w:tcPr>
            <w:tcW w:w="4160" w:type="dxa"/>
            <w:gridSpan w:val="4"/>
            <w:vAlign w:val="center"/>
          </w:tcPr>
          <w:p w:rsidR="00B454FA" w:rsidRDefault="00DF6893">
            <w:pPr>
              <w:spacing w:before="69" w:line="219" w:lineRule="auto"/>
              <w:ind w:left="1445"/>
              <w:jc w:val="center"/>
              <w:rPr>
                <w:rFonts w:ascii="宋体" w:eastAsia="宋体" w:hAnsi="宋体" w:cs="宋体"/>
                <w:color w:val="auto"/>
                <w:sz w:val="18"/>
                <w:szCs w:val="18"/>
              </w:rPr>
            </w:pPr>
            <w:r>
              <w:rPr>
                <w:rFonts w:ascii="宋体" w:eastAsia="宋体" w:hAnsi="宋体" w:cs="宋体" w:hint="eastAsia"/>
                <w:color w:val="auto"/>
                <w:spacing w:val="1"/>
                <w:sz w:val="18"/>
                <w:szCs w:val="18"/>
              </w:rPr>
              <w:t>实际完成情况</w:t>
            </w:r>
          </w:p>
        </w:tc>
      </w:tr>
      <w:tr w:rsidR="00B454FA">
        <w:trPr>
          <w:trHeight w:val="709"/>
          <w:jc w:val="center"/>
        </w:trPr>
        <w:tc>
          <w:tcPr>
            <w:tcW w:w="1134" w:type="dxa"/>
            <w:vMerge/>
            <w:tcBorders>
              <w:top w:val="nil"/>
            </w:tcBorders>
            <w:vAlign w:val="center"/>
          </w:tcPr>
          <w:p w:rsidR="00B454FA" w:rsidRDefault="00B454FA">
            <w:pPr>
              <w:jc w:val="center"/>
              <w:rPr>
                <w:rFonts w:ascii="宋体" w:eastAsia="宋体" w:hAnsi="宋体" w:cs="宋体"/>
                <w:color w:val="auto"/>
                <w:sz w:val="18"/>
                <w:szCs w:val="18"/>
              </w:rPr>
            </w:pPr>
          </w:p>
        </w:tc>
        <w:tc>
          <w:tcPr>
            <w:tcW w:w="4585" w:type="dxa"/>
            <w:gridSpan w:val="4"/>
            <w:vAlign w:val="center"/>
          </w:tcPr>
          <w:p w:rsidR="00B454FA" w:rsidRDefault="00DF6893">
            <w:pPr>
              <w:jc w:val="center"/>
              <w:rPr>
                <w:rFonts w:ascii="宋体" w:eastAsia="宋体" w:hAnsi="宋体" w:cs="宋体"/>
                <w:color w:val="auto"/>
                <w:sz w:val="18"/>
                <w:szCs w:val="18"/>
              </w:rPr>
            </w:pPr>
            <w:proofErr w:type="gramStart"/>
            <w:r>
              <w:rPr>
                <w:rFonts w:ascii="宋体" w:eastAsia="宋体" w:hAnsi="宋体" w:cs="宋体" w:hint="eastAsia"/>
                <w:sz w:val="18"/>
                <w:szCs w:val="18"/>
              </w:rPr>
              <w:t>引进总</w:t>
            </w:r>
            <w:proofErr w:type="gramEnd"/>
            <w:r>
              <w:rPr>
                <w:rFonts w:ascii="宋体" w:eastAsia="宋体" w:hAnsi="宋体" w:cs="宋体" w:hint="eastAsia"/>
                <w:sz w:val="18"/>
                <w:szCs w:val="18"/>
              </w:rPr>
              <w:t>投资过千万项目20个，其中总投资过</w:t>
            </w:r>
            <w:proofErr w:type="gramStart"/>
            <w:r>
              <w:rPr>
                <w:rFonts w:ascii="宋体" w:eastAsia="宋体" w:hAnsi="宋体" w:cs="宋体" w:hint="eastAsia"/>
                <w:sz w:val="18"/>
                <w:szCs w:val="18"/>
              </w:rPr>
              <w:t>亿项目</w:t>
            </w:r>
            <w:proofErr w:type="gramEnd"/>
            <w:r>
              <w:rPr>
                <w:rFonts w:ascii="宋体" w:eastAsia="宋体" w:hAnsi="宋体" w:cs="宋体" w:hint="eastAsia"/>
                <w:sz w:val="18"/>
                <w:szCs w:val="18"/>
              </w:rPr>
              <w:t>5个</w:t>
            </w:r>
          </w:p>
        </w:tc>
        <w:tc>
          <w:tcPr>
            <w:tcW w:w="4160" w:type="dxa"/>
            <w:gridSpan w:val="4"/>
            <w:vAlign w:val="center"/>
          </w:tcPr>
          <w:p w:rsidR="00B454FA" w:rsidRDefault="00DF6893">
            <w:pPr>
              <w:jc w:val="center"/>
              <w:rPr>
                <w:rFonts w:ascii="宋体" w:eastAsia="宋体" w:hAnsi="宋体" w:cs="宋体"/>
                <w:color w:val="auto"/>
                <w:sz w:val="18"/>
                <w:szCs w:val="18"/>
              </w:rPr>
            </w:pPr>
            <w:proofErr w:type="gramStart"/>
            <w:r>
              <w:rPr>
                <w:rFonts w:ascii="宋体" w:eastAsia="宋体" w:hAnsi="宋体" w:cs="宋体" w:hint="eastAsia"/>
                <w:sz w:val="18"/>
                <w:szCs w:val="18"/>
              </w:rPr>
              <w:t>引进总</w:t>
            </w:r>
            <w:proofErr w:type="gramEnd"/>
            <w:r>
              <w:rPr>
                <w:rFonts w:ascii="宋体" w:eastAsia="宋体" w:hAnsi="宋体" w:cs="宋体" w:hint="eastAsia"/>
                <w:sz w:val="18"/>
                <w:szCs w:val="18"/>
              </w:rPr>
              <w:t>投资过千万项目21个，其中总投资过</w:t>
            </w:r>
            <w:proofErr w:type="gramStart"/>
            <w:r>
              <w:rPr>
                <w:rFonts w:ascii="宋体" w:eastAsia="宋体" w:hAnsi="宋体" w:cs="宋体" w:hint="eastAsia"/>
                <w:sz w:val="18"/>
                <w:szCs w:val="18"/>
              </w:rPr>
              <w:t>亿项目</w:t>
            </w:r>
            <w:proofErr w:type="gramEnd"/>
            <w:r>
              <w:rPr>
                <w:rFonts w:ascii="宋体" w:eastAsia="宋体" w:hAnsi="宋体" w:cs="宋体" w:hint="eastAsia"/>
                <w:sz w:val="18"/>
                <w:szCs w:val="18"/>
              </w:rPr>
              <w:t>4个</w:t>
            </w:r>
          </w:p>
        </w:tc>
      </w:tr>
      <w:tr w:rsidR="00B454FA">
        <w:trPr>
          <w:trHeight w:val="1019"/>
          <w:jc w:val="center"/>
        </w:trPr>
        <w:tc>
          <w:tcPr>
            <w:tcW w:w="1134" w:type="dxa"/>
            <w:vMerge w:val="restart"/>
            <w:tcBorders>
              <w:bottom w:val="nil"/>
            </w:tcBorders>
            <w:textDirection w:val="tbRlV"/>
            <w:vAlign w:val="center"/>
          </w:tcPr>
          <w:p w:rsidR="00B454FA" w:rsidRDefault="00B454FA">
            <w:pPr>
              <w:spacing w:line="376" w:lineRule="auto"/>
              <w:jc w:val="center"/>
              <w:rPr>
                <w:rFonts w:ascii="宋体" w:eastAsia="宋体" w:hAnsi="宋体" w:cs="宋体"/>
                <w:color w:val="auto"/>
                <w:sz w:val="18"/>
                <w:szCs w:val="18"/>
              </w:rPr>
            </w:pPr>
          </w:p>
          <w:p w:rsidR="00B454FA" w:rsidRDefault="00DF6893">
            <w:pPr>
              <w:spacing w:before="71" w:line="217" w:lineRule="auto"/>
              <w:ind w:left="3762"/>
              <w:jc w:val="center"/>
              <w:rPr>
                <w:rFonts w:ascii="宋体" w:eastAsia="宋体" w:hAnsi="宋体" w:cs="宋体"/>
                <w:color w:val="auto"/>
                <w:sz w:val="18"/>
                <w:szCs w:val="18"/>
              </w:rPr>
            </w:pPr>
            <w:r>
              <w:rPr>
                <w:rFonts w:ascii="宋体" w:eastAsia="宋体" w:hAnsi="宋体" w:cs="宋体" w:hint="eastAsia"/>
                <w:color w:val="auto"/>
                <w:sz w:val="18"/>
                <w:szCs w:val="18"/>
              </w:rPr>
              <w:t>绩效指标</w:t>
            </w:r>
          </w:p>
        </w:tc>
        <w:tc>
          <w:tcPr>
            <w:tcW w:w="989" w:type="dxa"/>
            <w:vAlign w:val="center"/>
          </w:tcPr>
          <w:p w:rsidR="00B454FA" w:rsidRDefault="00B454FA">
            <w:pPr>
              <w:spacing w:line="283" w:lineRule="auto"/>
              <w:jc w:val="center"/>
              <w:rPr>
                <w:rFonts w:ascii="宋体" w:eastAsia="宋体" w:hAnsi="宋体" w:cs="宋体"/>
                <w:color w:val="auto"/>
                <w:sz w:val="18"/>
                <w:szCs w:val="18"/>
              </w:rPr>
            </w:pPr>
          </w:p>
          <w:p w:rsidR="00B454FA" w:rsidRDefault="00DF6893">
            <w:pPr>
              <w:spacing w:before="69" w:line="250" w:lineRule="auto"/>
              <w:ind w:left="380" w:right="164" w:hanging="209"/>
              <w:jc w:val="center"/>
              <w:rPr>
                <w:rFonts w:ascii="宋体" w:eastAsia="宋体" w:hAnsi="宋体" w:cs="宋体"/>
                <w:color w:val="auto"/>
                <w:sz w:val="18"/>
                <w:szCs w:val="18"/>
              </w:rPr>
            </w:pPr>
            <w:r>
              <w:rPr>
                <w:rFonts w:ascii="宋体" w:eastAsia="宋体" w:hAnsi="宋体" w:cs="宋体" w:hint="eastAsia"/>
                <w:color w:val="auto"/>
                <w:spacing w:val="4"/>
                <w:sz w:val="18"/>
                <w:szCs w:val="18"/>
              </w:rPr>
              <w:t>一级指</w:t>
            </w:r>
            <w:r>
              <w:rPr>
                <w:rFonts w:ascii="宋体" w:eastAsia="宋体" w:hAnsi="宋体" w:cs="宋体" w:hint="eastAsia"/>
                <w:color w:val="auto"/>
                <w:sz w:val="18"/>
                <w:szCs w:val="18"/>
              </w:rPr>
              <w:t>标</w:t>
            </w:r>
          </w:p>
        </w:tc>
        <w:tc>
          <w:tcPr>
            <w:tcW w:w="1268" w:type="dxa"/>
            <w:vAlign w:val="center"/>
          </w:tcPr>
          <w:p w:rsidR="00B454FA" w:rsidRDefault="00B454FA">
            <w:pPr>
              <w:spacing w:line="341" w:lineRule="auto"/>
              <w:jc w:val="center"/>
              <w:rPr>
                <w:rFonts w:ascii="宋体" w:eastAsia="宋体" w:hAnsi="宋体" w:cs="宋体"/>
                <w:color w:val="auto"/>
                <w:sz w:val="18"/>
                <w:szCs w:val="18"/>
              </w:rPr>
            </w:pPr>
          </w:p>
          <w:p w:rsidR="00B454FA" w:rsidRDefault="00DF6893">
            <w:pPr>
              <w:spacing w:before="69" w:line="220" w:lineRule="auto"/>
              <w:ind w:left="202"/>
              <w:jc w:val="center"/>
              <w:rPr>
                <w:rFonts w:ascii="宋体" w:eastAsia="宋体" w:hAnsi="宋体" w:cs="宋体"/>
                <w:color w:val="auto"/>
                <w:sz w:val="18"/>
                <w:szCs w:val="18"/>
              </w:rPr>
            </w:pPr>
            <w:r>
              <w:rPr>
                <w:rFonts w:ascii="宋体" w:eastAsia="宋体" w:hAnsi="宋体" w:cs="宋体" w:hint="eastAsia"/>
                <w:color w:val="auto"/>
                <w:spacing w:val="-3"/>
                <w:sz w:val="18"/>
                <w:szCs w:val="18"/>
              </w:rPr>
              <w:t>二级指标</w:t>
            </w:r>
          </w:p>
        </w:tc>
        <w:tc>
          <w:tcPr>
            <w:tcW w:w="1209" w:type="dxa"/>
            <w:vAlign w:val="center"/>
          </w:tcPr>
          <w:p w:rsidR="00B454FA" w:rsidRDefault="00B454FA">
            <w:pPr>
              <w:spacing w:line="341" w:lineRule="auto"/>
              <w:jc w:val="center"/>
              <w:rPr>
                <w:rFonts w:ascii="宋体" w:eastAsia="宋体" w:hAnsi="宋体" w:cs="宋体"/>
                <w:color w:val="auto"/>
                <w:sz w:val="18"/>
                <w:szCs w:val="18"/>
              </w:rPr>
            </w:pPr>
          </w:p>
          <w:p w:rsidR="00B454FA" w:rsidRDefault="00DF6893">
            <w:pPr>
              <w:spacing w:before="69" w:line="220" w:lineRule="auto"/>
              <w:ind w:left="224"/>
              <w:jc w:val="center"/>
              <w:rPr>
                <w:rFonts w:ascii="宋体" w:eastAsia="宋体" w:hAnsi="宋体" w:cs="宋体"/>
                <w:color w:val="auto"/>
                <w:sz w:val="18"/>
                <w:szCs w:val="18"/>
              </w:rPr>
            </w:pPr>
            <w:r>
              <w:rPr>
                <w:rFonts w:ascii="宋体" w:eastAsia="宋体" w:hAnsi="宋体" w:cs="宋体" w:hint="eastAsia"/>
                <w:color w:val="auto"/>
                <w:spacing w:val="-2"/>
                <w:sz w:val="18"/>
                <w:szCs w:val="18"/>
              </w:rPr>
              <w:t>三级指标</w:t>
            </w:r>
          </w:p>
        </w:tc>
        <w:tc>
          <w:tcPr>
            <w:tcW w:w="1119" w:type="dxa"/>
            <w:vAlign w:val="center"/>
          </w:tcPr>
          <w:p w:rsidR="00B454FA" w:rsidRDefault="00B454FA">
            <w:pPr>
              <w:spacing w:line="271" w:lineRule="auto"/>
              <w:jc w:val="center"/>
              <w:rPr>
                <w:rFonts w:ascii="宋体" w:eastAsia="宋体" w:hAnsi="宋体" w:cs="宋体"/>
                <w:color w:val="auto"/>
                <w:sz w:val="18"/>
                <w:szCs w:val="18"/>
              </w:rPr>
            </w:pPr>
          </w:p>
          <w:p w:rsidR="00B454FA" w:rsidRDefault="00DF6893">
            <w:pPr>
              <w:spacing w:before="68" w:line="330" w:lineRule="exact"/>
              <w:ind w:left="345"/>
              <w:jc w:val="center"/>
              <w:rPr>
                <w:rFonts w:ascii="宋体" w:eastAsia="宋体" w:hAnsi="宋体" w:cs="宋体"/>
                <w:color w:val="auto"/>
                <w:sz w:val="18"/>
                <w:szCs w:val="18"/>
              </w:rPr>
            </w:pPr>
            <w:r>
              <w:rPr>
                <w:rFonts w:ascii="宋体" w:eastAsia="宋体" w:hAnsi="宋体" w:cs="宋体" w:hint="eastAsia"/>
                <w:color w:val="auto"/>
                <w:spacing w:val="6"/>
                <w:position w:val="8"/>
                <w:sz w:val="18"/>
                <w:szCs w:val="18"/>
              </w:rPr>
              <w:t>年度</w:t>
            </w:r>
          </w:p>
          <w:p w:rsidR="00B454FA" w:rsidRDefault="00DF6893">
            <w:pPr>
              <w:spacing w:line="219" w:lineRule="auto"/>
              <w:ind w:left="234"/>
              <w:jc w:val="center"/>
              <w:rPr>
                <w:rFonts w:ascii="宋体" w:eastAsia="宋体" w:hAnsi="宋体" w:cs="宋体"/>
                <w:color w:val="auto"/>
                <w:sz w:val="18"/>
                <w:szCs w:val="18"/>
              </w:rPr>
            </w:pPr>
            <w:r>
              <w:rPr>
                <w:rFonts w:ascii="宋体" w:eastAsia="宋体" w:hAnsi="宋体" w:cs="宋体" w:hint="eastAsia"/>
                <w:color w:val="auto"/>
                <w:spacing w:val="-3"/>
                <w:sz w:val="18"/>
                <w:szCs w:val="18"/>
              </w:rPr>
              <w:t>指标值</w:t>
            </w:r>
          </w:p>
        </w:tc>
        <w:tc>
          <w:tcPr>
            <w:tcW w:w="1109" w:type="dxa"/>
            <w:vAlign w:val="center"/>
          </w:tcPr>
          <w:p w:rsidR="00B454FA" w:rsidRDefault="00B454FA">
            <w:pPr>
              <w:spacing w:line="282" w:lineRule="auto"/>
              <w:jc w:val="center"/>
              <w:rPr>
                <w:rFonts w:ascii="宋体" w:eastAsia="宋体" w:hAnsi="宋体" w:cs="宋体"/>
                <w:color w:val="auto"/>
                <w:sz w:val="18"/>
                <w:szCs w:val="18"/>
              </w:rPr>
            </w:pPr>
          </w:p>
          <w:p w:rsidR="00B454FA" w:rsidRDefault="00DF6893">
            <w:pPr>
              <w:spacing w:before="68" w:line="329" w:lineRule="exact"/>
              <w:ind w:left="335"/>
              <w:jc w:val="center"/>
              <w:rPr>
                <w:rFonts w:ascii="宋体" w:eastAsia="宋体" w:hAnsi="宋体" w:cs="宋体"/>
                <w:color w:val="auto"/>
                <w:sz w:val="18"/>
                <w:szCs w:val="18"/>
              </w:rPr>
            </w:pPr>
            <w:r>
              <w:rPr>
                <w:rFonts w:ascii="宋体" w:eastAsia="宋体" w:hAnsi="宋体" w:cs="宋体" w:hint="eastAsia"/>
                <w:color w:val="auto"/>
                <w:spacing w:val="4"/>
                <w:position w:val="8"/>
                <w:sz w:val="18"/>
                <w:szCs w:val="18"/>
              </w:rPr>
              <w:t>实际</w:t>
            </w:r>
          </w:p>
          <w:p w:rsidR="00B454FA" w:rsidRDefault="00DF6893">
            <w:pPr>
              <w:spacing w:line="219" w:lineRule="auto"/>
              <w:ind w:left="236"/>
              <w:jc w:val="center"/>
              <w:rPr>
                <w:rFonts w:ascii="宋体" w:eastAsia="宋体" w:hAnsi="宋体" w:cs="宋体"/>
                <w:color w:val="auto"/>
                <w:sz w:val="18"/>
                <w:szCs w:val="18"/>
              </w:rPr>
            </w:pPr>
            <w:r>
              <w:rPr>
                <w:rFonts w:ascii="宋体" w:eastAsia="宋体" w:hAnsi="宋体" w:cs="宋体" w:hint="eastAsia"/>
                <w:color w:val="auto"/>
                <w:spacing w:val="-3"/>
                <w:sz w:val="18"/>
                <w:szCs w:val="18"/>
              </w:rPr>
              <w:t>完成值</w:t>
            </w:r>
          </w:p>
        </w:tc>
        <w:tc>
          <w:tcPr>
            <w:tcW w:w="819" w:type="dxa"/>
            <w:vAlign w:val="center"/>
          </w:tcPr>
          <w:p w:rsidR="00B454FA" w:rsidRDefault="00B454FA">
            <w:pPr>
              <w:spacing w:line="341" w:lineRule="auto"/>
              <w:jc w:val="center"/>
              <w:rPr>
                <w:rFonts w:ascii="宋体" w:eastAsia="宋体" w:hAnsi="宋体" w:cs="宋体"/>
                <w:color w:val="auto"/>
                <w:sz w:val="18"/>
                <w:szCs w:val="18"/>
              </w:rPr>
            </w:pPr>
          </w:p>
          <w:p w:rsidR="00B454FA" w:rsidRDefault="00DF6893">
            <w:pPr>
              <w:spacing w:before="68" w:line="219" w:lineRule="auto"/>
              <w:ind w:left="137"/>
              <w:jc w:val="center"/>
              <w:rPr>
                <w:rFonts w:ascii="宋体" w:eastAsia="宋体" w:hAnsi="宋体" w:cs="宋体"/>
                <w:color w:val="auto"/>
                <w:sz w:val="18"/>
                <w:szCs w:val="18"/>
              </w:rPr>
            </w:pPr>
            <w:r>
              <w:rPr>
                <w:rFonts w:ascii="宋体" w:eastAsia="宋体" w:hAnsi="宋体" w:cs="宋体" w:hint="eastAsia"/>
                <w:color w:val="auto"/>
                <w:spacing w:val="-3"/>
                <w:sz w:val="18"/>
                <w:szCs w:val="18"/>
              </w:rPr>
              <w:t>分值</w:t>
            </w:r>
          </w:p>
        </w:tc>
        <w:tc>
          <w:tcPr>
            <w:tcW w:w="859" w:type="dxa"/>
            <w:vAlign w:val="center"/>
          </w:tcPr>
          <w:p w:rsidR="00B454FA" w:rsidRDefault="00B454FA">
            <w:pPr>
              <w:spacing w:line="341" w:lineRule="auto"/>
              <w:jc w:val="center"/>
              <w:rPr>
                <w:rFonts w:ascii="宋体" w:eastAsia="宋体" w:hAnsi="宋体" w:cs="宋体"/>
                <w:color w:val="auto"/>
                <w:sz w:val="18"/>
                <w:szCs w:val="18"/>
              </w:rPr>
            </w:pPr>
          </w:p>
          <w:p w:rsidR="00B454FA" w:rsidRDefault="00DF6893">
            <w:pPr>
              <w:spacing w:before="68" w:line="219" w:lineRule="auto"/>
              <w:ind w:left="217"/>
              <w:jc w:val="center"/>
              <w:rPr>
                <w:rFonts w:ascii="宋体" w:eastAsia="宋体" w:hAnsi="宋体" w:cs="宋体"/>
                <w:color w:val="auto"/>
                <w:sz w:val="18"/>
                <w:szCs w:val="18"/>
              </w:rPr>
            </w:pPr>
            <w:r>
              <w:rPr>
                <w:rFonts w:ascii="宋体" w:eastAsia="宋体" w:hAnsi="宋体" w:cs="宋体" w:hint="eastAsia"/>
                <w:color w:val="auto"/>
                <w:spacing w:val="-3"/>
                <w:sz w:val="18"/>
                <w:szCs w:val="18"/>
              </w:rPr>
              <w:t>得分</w:t>
            </w:r>
          </w:p>
        </w:tc>
        <w:tc>
          <w:tcPr>
            <w:tcW w:w="1373" w:type="dxa"/>
            <w:vAlign w:val="center"/>
          </w:tcPr>
          <w:p w:rsidR="00B454FA" w:rsidRDefault="00DF6893">
            <w:pPr>
              <w:spacing w:before="131" w:line="219" w:lineRule="auto"/>
              <w:ind w:left="258"/>
              <w:jc w:val="center"/>
              <w:rPr>
                <w:rFonts w:ascii="宋体" w:eastAsia="宋体" w:hAnsi="宋体" w:cs="宋体"/>
                <w:color w:val="auto"/>
                <w:sz w:val="18"/>
                <w:szCs w:val="18"/>
              </w:rPr>
            </w:pPr>
            <w:r>
              <w:rPr>
                <w:rFonts w:ascii="宋体" w:eastAsia="宋体" w:hAnsi="宋体" w:cs="宋体" w:hint="eastAsia"/>
                <w:color w:val="auto"/>
                <w:spacing w:val="5"/>
                <w:sz w:val="18"/>
                <w:szCs w:val="18"/>
              </w:rPr>
              <w:t>偏差原因</w:t>
            </w:r>
          </w:p>
          <w:p w:rsidR="00B454FA" w:rsidRDefault="00DF6893">
            <w:pPr>
              <w:spacing w:before="61" w:line="220" w:lineRule="auto"/>
              <w:ind w:left="368"/>
              <w:jc w:val="center"/>
              <w:rPr>
                <w:rFonts w:ascii="宋体" w:eastAsia="宋体" w:hAnsi="宋体" w:cs="宋体"/>
                <w:color w:val="auto"/>
                <w:sz w:val="18"/>
                <w:szCs w:val="18"/>
              </w:rPr>
            </w:pPr>
            <w:r>
              <w:rPr>
                <w:rFonts w:ascii="宋体" w:eastAsia="宋体" w:hAnsi="宋体" w:cs="宋体" w:hint="eastAsia"/>
                <w:color w:val="auto"/>
                <w:spacing w:val="3"/>
                <w:sz w:val="18"/>
                <w:szCs w:val="18"/>
              </w:rPr>
              <w:t>分析及</w:t>
            </w:r>
          </w:p>
          <w:p w:rsidR="00B454FA" w:rsidRDefault="00DF6893">
            <w:pPr>
              <w:spacing w:before="59" w:line="219" w:lineRule="auto"/>
              <w:ind w:left="258"/>
              <w:jc w:val="center"/>
              <w:rPr>
                <w:rFonts w:ascii="宋体" w:eastAsia="宋体" w:hAnsi="宋体" w:cs="宋体"/>
                <w:color w:val="auto"/>
                <w:sz w:val="18"/>
                <w:szCs w:val="18"/>
              </w:rPr>
            </w:pPr>
            <w:r>
              <w:rPr>
                <w:rFonts w:ascii="宋体" w:eastAsia="宋体" w:hAnsi="宋体" w:cs="宋体" w:hint="eastAsia"/>
                <w:color w:val="auto"/>
                <w:spacing w:val="2"/>
                <w:sz w:val="18"/>
                <w:szCs w:val="18"/>
              </w:rPr>
              <w:t>改进措施</w:t>
            </w:r>
          </w:p>
        </w:tc>
      </w:tr>
      <w:tr w:rsidR="00B454FA">
        <w:trPr>
          <w:trHeight w:val="33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val="restart"/>
            <w:tcBorders>
              <w:bottom w:val="nil"/>
            </w:tcBorders>
            <w:vAlign w:val="center"/>
          </w:tcPr>
          <w:p w:rsidR="00B454FA" w:rsidRDefault="00B454FA">
            <w:pPr>
              <w:spacing w:line="245" w:lineRule="auto"/>
              <w:jc w:val="center"/>
              <w:rPr>
                <w:rFonts w:ascii="宋体" w:eastAsia="宋体" w:hAnsi="宋体" w:cs="宋体"/>
                <w:color w:val="auto"/>
                <w:sz w:val="18"/>
                <w:szCs w:val="18"/>
              </w:rPr>
            </w:pPr>
          </w:p>
          <w:p w:rsidR="00B454FA" w:rsidRDefault="00B454FA">
            <w:pPr>
              <w:spacing w:line="245" w:lineRule="auto"/>
              <w:jc w:val="center"/>
              <w:rPr>
                <w:rFonts w:ascii="宋体" w:eastAsia="宋体" w:hAnsi="宋体" w:cs="宋体"/>
                <w:color w:val="auto"/>
                <w:sz w:val="18"/>
                <w:szCs w:val="18"/>
              </w:rPr>
            </w:pPr>
          </w:p>
          <w:p w:rsidR="00B454FA" w:rsidRDefault="00B454FA">
            <w:pPr>
              <w:spacing w:line="245" w:lineRule="auto"/>
              <w:jc w:val="center"/>
              <w:rPr>
                <w:rFonts w:ascii="宋体" w:eastAsia="宋体" w:hAnsi="宋体" w:cs="宋体"/>
                <w:color w:val="auto"/>
                <w:sz w:val="18"/>
                <w:szCs w:val="18"/>
              </w:rPr>
            </w:pPr>
          </w:p>
          <w:p w:rsidR="00B454FA" w:rsidRDefault="00B454FA">
            <w:pPr>
              <w:spacing w:line="245" w:lineRule="auto"/>
              <w:jc w:val="center"/>
              <w:rPr>
                <w:rFonts w:ascii="宋体" w:eastAsia="宋体" w:hAnsi="宋体" w:cs="宋体"/>
                <w:color w:val="auto"/>
                <w:sz w:val="18"/>
                <w:szCs w:val="18"/>
              </w:rPr>
            </w:pPr>
          </w:p>
          <w:p w:rsidR="00B454FA" w:rsidRDefault="00B454FA">
            <w:pPr>
              <w:spacing w:line="246" w:lineRule="auto"/>
              <w:jc w:val="center"/>
              <w:rPr>
                <w:rFonts w:ascii="宋体" w:eastAsia="宋体" w:hAnsi="宋体" w:cs="宋体"/>
                <w:color w:val="auto"/>
                <w:sz w:val="18"/>
                <w:szCs w:val="18"/>
              </w:rPr>
            </w:pPr>
          </w:p>
          <w:p w:rsidR="00B454FA" w:rsidRDefault="00DF6893">
            <w:pPr>
              <w:spacing w:before="69" w:line="219" w:lineRule="auto"/>
              <w:ind w:left="271"/>
              <w:jc w:val="center"/>
              <w:rPr>
                <w:rFonts w:ascii="宋体" w:eastAsia="宋体" w:hAnsi="宋体" w:cs="宋体"/>
                <w:color w:val="auto"/>
                <w:sz w:val="18"/>
                <w:szCs w:val="18"/>
              </w:rPr>
            </w:pPr>
            <w:r>
              <w:rPr>
                <w:rFonts w:ascii="宋体" w:eastAsia="宋体" w:hAnsi="宋体" w:cs="宋体" w:hint="eastAsia"/>
                <w:color w:val="auto"/>
                <w:spacing w:val="12"/>
                <w:sz w:val="18"/>
                <w:szCs w:val="18"/>
              </w:rPr>
              <w:t>产出</w:t>
            </w:r>
          </w:p>
          <w:p w:rsidR="00B454FA" w:rsidRDefault="00DF6893">
            <w:pPr>
              <w:spacing w:before="81" w:line="630" w:lineRule="exact"/>
              <w:ind w:left="271"/>
              <w:jc w:val="center"/>
              <w:rPr>
                <w:rFonts w:ascii="宋体" w:eastAsia="宋体" w:hAnsi="宋体" w:cs="宋体"/>
                <w:color w:val="auto"/>
                <w:sz w:val="18"/>
                <w:szCs w:val="18"/>
              </w:rPr>
            </w:pPr>
            <w:r>
              <w:rPr>
                <w:rFonts w:ascii="宋体" w:eastAsia="宋体" w:hAnsi="宋体" w:cs="宋体" w:hint="eastAsia"/>
                <w:color w:val="auto"/>
                <w:spacing w:val="-3"/>
                <w:position w:val="32"/>
                <w:sz w:val="18"/>
                <w:szCs w:val="18"/>
              </w:rPr>
              <w:t>指标</w:t>
            </w:r>
          </w:p>
          <w:p w:rsidR="00B454FA" w:rsidRDefault="00DF6893">
            <w:pPr>
              <w:spacing w:line="220" w:lineRule="auto"/>
              <w:ind w:left="171"/>
              <w:jc w:val="center"/>
              <w:rPr>
                <w:rFonts w:ascii="宋体" w:eastAsia="宋体" w:hAnsi="宋体" w:cs="宋体"/>
                <w:color w:val="auto"/>
                <w:sz w:val="18"/>
                <w:szCs w:val="18"/>
              </w:rPr>
            </w:pPr>
            <w:r>
              <w:rPr>
                <w:rFonts w:ascii="宋体" w:eastAsia="宋体" w:hAnsi="宋体" w:cs="宋体" w:hint="eastAsia"/>
                <w:color w:val="auto"/>
                <w:spacing w:val="9"/>
                <w:sz w:val="18"/>
                <w:szCs w:val="18"/>
              </w:rPr>
              <w:t>(50分)</w:t>
            </w:r>
          </w:p>
        </w:tc>
        <w:tc>
          <w:tcPr>
            <w:tcW w:w="1268" w:type="dxa"/>
            <w:vMerge w:val="restart"/>
            <w:tcBorders>
              <w:bottom w:val="nil"/>
            </w:tcBorders>
            <w:vAlign w:val="center"/>
          </w:tcPr>
          <w:p w:rsidR="00B454FA" w:rsidRDefault="00B454FA">
            <w:pPr>
              <w:spacing w:line="282" w:lineRule="auto"/>
              <w:jc w:val="center"/>
              <w:rPr>
                <w:rFonts w:ascii="宋体" w:eastAsia="宋体" w:hAnsi="宋体" w:cs="宋体"/>
                <w:color w:val="auto"/>
                <w:sz w:val="18"/>
                <w:szCs w:val="18"/>
              </w:rPr>
            </w:pPr>
          </w:p>
          <w:p w:rsidR="00B454FA" w:rsidRDefault="00DF6893">
            <w:pPr>
              <w:spacing w:before="68" w:line="219" w:lineRule="auto"/>
              <w:ind w:left="202"/>
              <w:jc w:val="center"/>
              <w:rPr>
                <w:rFonts w:ascii="宋体" w:eastAsia="宋体" w:hAnsi="宋体" w:cs="宋体"/>
                <w:color w:val="auto"/>
                <w:sz w:val="18"/>
                <w:szCs w:val="18"/>
              </w:rPr>
            </w:pPr>
            <w:r>
              <w:rPr>
                <w:rFonts w:ascii="宋体" w:eastAsia="宋体" w:hAnsi="宋体" w:cs="宋体" w:hint="eastAsia"/>
                <w:color w:val="auto"/>
                <w:spacing w:val="-2"/>
                <w:sz w:val="18"/>
                <w:szCs w:val="18"/>
              </w:rPr>
              <w:t>数量指标</w:t>
            </w:r>
          </w:p>
        </w:tc>
        <w:tc>
          <w:tcPr>
            <w:tcW w:w="1209" w:type="dxa"/>
            <w:vAlign w:val="center"/>
          </w:tcPr>
          <w:p w:rsidR="00B454FA" w:rsidRDefault="00DF6893">
            <w:pPr>
              <w:jc w:val="center"/>
              <w:rPr>
                <w:rFonts w:ascii="宋体" w:eastAsia="宋体" w:hAnsi="宋体" w:cs="宋体"/>
                <w:color w:val="auto"/>
                <w:sz w:val="18"/>
                <w:szCs w:val="18"/>
              </w:rPr>
            </w:pPr>
            <w:proofErr w:type="gramStart"/>
            <w:r>
              <w:rPr>
                <w:rFonts w:ascii="宋体" w:eastAsia="宋体" w:hAnsi="宋体" w:cs="宋体" w:hint="eastAsia"/>
                <w:sz w:val="18"/>
                <w:szCs w:val="18"/>
              </w:rPr>
              <w:t>引进总</w:t>
            </w:r>
            <w:proofErr w:type="gramEnd"/>
            <w:r>
              <w:rPr>
                <w:rFonts w:ascii="宋体" w:eastAsia="宋体" w:hAnsi="宋体" w:cs="宋体" w:hint="eastAsia"/>
                <w:sz w:val="18"/>
                <w:szCs w:val="18"/>
              </w:rPr>
              <w:t>投资过千万项目</w:t>
            </w:r>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20个</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21个</w:t>
            </w:r>
          </w:p>
        </w:tc>
        <w:tc>
          <w:tcPr>
            <w:tcW w:w="8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20</w:t>
            </w:r>
          </w:p>
        </w:tc>
        <w:tc>
          <w:tcPr>
            <w:tcW w:w="85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20</w:t>
            </w: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9"/>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sz w:val="18"/>
                <w:szCs w:val="18"/>
              </w:rPr>
              <w:t>其中总投资过</w:t>
            </w:r>
            <w:proofErr w:type="gramStart"/>
            <w:r>
              <w:rPr>
                <w:rFonts w:ascii="宋体" w:eastAsia="宋体" w:hAnsi="宋体" w:cs="宋体" w:hint="eastAsia"/>
                <w:sz w:val="18"/>
                <w:szCs w:val="18"/>
              </w:rPr>
              <w:t>亿项目</w:t>
            </w:r>
            <w:proofErr w:type="gramEnd"/>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5个</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4个</w:t>
            </w:r>
          </w:p>
        </w:tc>
        <w:tc>
          <w:tcPr>
            <w:tcW w:w="8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85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val="restart"/>
            <w:tcBorders>
              <w:bottom w:val="nil"/>
            </w:tcBorders>
            <w:vAlign w:val="center"/>
          </w:tcPr>
          <w:p w:rsidR="00B454FA" w:rsidRDefault="00B454FA">
            <w:pPr>
              <w:spacing w:line="294" w:lineRule="auto"/>
              <w:jc w:val="center"/>
              <w:rPr>
                <w:rFonts w:ascii="宋体" w:eastAsia="宋体" w:hAnsi="宋体" w:cs="宋体"/>
                <w:color w:val="auto"/>
                <w:sz w:val="18"/>
                <w:szCs w:val="18"/>
              </w:rPr>
            </w:pPr>
          </w:p>
          <w:p w:rsidR="00B454FA" w:rsidRDefault="00DF6893">
            <w:pPr>
              <w:spacing w:before="68" w:line="220" w:lineRule="auto"/>
              <w:ind w:left="202"/>
              <w:jc w:val="center"/>
              <w:rPr>
                <w:rFonts w:ascii="宋体" w:eastAsia="宋体" w:hAnsi="宋体" w:cs="宋体"/>
                <w:color w:val="auto"/>
                <w:sz w:val="18"/>
                <w:szCs w:val="18"/>
              </w:rPr>
            </w:pPr>
            <w:r>
              <w:rPr>
                <w:rFonts w:ascii="宋体" w:eastAsia="宋体" w:hAnsi="宋体" w:cs="宋体" w:hint="eastAsia"/>
                <w:color w:val="auto"/>
                <w:spacing w:val="-2"/>
                <w:sz w:val="18"/>
                <w:szCs w:val="18"/>
              </w:rPr>
              <w:t>质量指标</w:t>
            </w:r>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9"/>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val="restart"/>
            <w:tcBorders>
              <w:bottom w:val="nil"/>
            </w:tcBorders>
            <w:vAlign w:val="center"/>
          </w:tcPr>
          <w:p w:rsidR="00B454FA" w:rsidRDefault="00B454FA">
            <w:pPr>
              <w:spacing w:line="275" w:lineRule="auto"/>
              <w:jc w:val="center"/>
              <w:rPr>
                <w:rFonts w:ascii="宋体" w:eastAsia="宋体" w:hAnsi="宋体" w:cs="宋体"/>
                <w:color w:val="auto"/>
                <w:sz w:val="18"/>
                <w:szCs w:val="18"/>
              </w:rPr>
            </w:pPr>
          </w:p>
          <w:p w:rsidR="00B454FA" w:rsidRDefault="00DF6893">
            <w:pPr>
              <w:spacing w:before="68" w:line="220" w:lineRule="auto"/>
              <w:ind w:left="202"/>
              <w:jc w:val="center"/>
              <w:rPr>
                <w:rFonts w:ascii="宋体" w:eastAsia="宋体" w:hAnsi="宋体" w:cs="宋体"/>
                <w:color w:val="auto"/>
                <w:sz w:val="18"/>
                <w:szCs w:val="18"/>
              </w:rPr>
            </w:pPr>
            <w:r>
              <w:rPr>
                <w:rFonts w:ascii="宋体" w:eastAsia="宋体" w:hAnsi="宋体" w:cs="宋体" w:hint="eastAsia"/>
                <w:color w:val="auto"/>
                <w:spacing w:val="2"/>
                <w:sz w:val="18"/>
                <w:szCs w:val="18"/>
              </w:rPr>
              <w:t>时效指标</w:t>
            </w:r>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val="restart"/>
            <w:tcBorders>
              <w:bottom w:val="nil"/>
            </w:tcBorders>
            <w:vAlign w:val="center"/>
          </w:tcPr>
          <w:p w:rsidR="00B454FA" w:rsidRDefault="00B454FA">
            <w:pPr>
              <w:spacing w:line="293" w:lineRule="auto"/>
              <w:jc w:val="center"/>
              <w:rPr>
                <w:rFonts w:ascii="宋体" w:eastAsia="宋体" w:hAnsi="宋体" w:cs="宋体"/>
                <w:color w:val="auto"/>
                <w:sz w:val="18"/>
                <w:szCs w:val="18"/>
              </w:rPr>
            </w:pPr>
          </w:p>
          <w:p w:rsidR="00B454FA" w:rsidRDefault="00DF6893">
            <w:pPr>
              <w:spacing w:before="68" w:line="219" w:lineRule="auto"/>
              <w:ind w:left="202"/>
              <w:jc w:val="center"/>
              <w:rPr>
                <w:rFonts w:ascii="宋体" w:eastAsia="宋体" w:hAnsi="宋体" w:cs="宋体"/>
                <w:color w:val="auto"/>
                <w:sz w:val="18"/>
                <w:szCs w:val="18"/>
              </w:rPr>
            </w:pPr>
            <w:r>
              <w:rPr>
                <w:rFonts w:ascii="宋体" w:eastAsia="宋体" w:hAnsi="宋体" w:cs="宋体" w:hint="eastAsia"/>
                <w:color w:val="auto"/>
                <w:spacing w:val="-2"/>
                <w:sz w:val="18"/>
                <w:szCs w:val="18"/>
              </w:rPr>
              <w:t>成本指标</w:t>
            </w:r>
          </w:p>
        </w:tc>
        <w:tc>
          <w:tcPr>
            <w:tcW w:w="1209" w:type="dxa"/>
            <w:vAlign w:val="center"/>
          </w:tcPr>
          <w:p w:rsidR="00B454FA" w:rsidRDefault="00DF6893">
            <w:pPr>
              <w:jc w:val="center"/>
              <w:rPr>
                <w:rFonts w:ascii="宋体" w:eastAsia="宋体" w:hAnsi="宋体" w:cs="宋体"/>
                <w:color w:val="auto"/>
                <w:sz w:val="18"/>
                <w:szCs w:val="18"/>
              </w:rPr>
            </w:pPr>
            <w:proofErr w:type="gramStart"/>
            <w:r>
              <w:rPr>
                <w:rFonts w:ascii="宋体" w:eastAsia="宋体" w:hAnsi="宋体" w:cs="宋体" w:hint="eastAsia"/>
                <w:sz w:val="18"/>
                <w:szCs w:val="18"/>
              </w:rPr>
              <w:t>引进总</w:t>
            </w:r>
            <w:proofErr w:type="gramEnd"/>
            <w:r>
              <w:rPr>
                <w:rFonts w:ascii="宋体" w:eastAsia="宋体" w:hAnsi="宋体" w:cs="宋体" w:hint="eastAsia"/>
                <w:sz w:val="18"/>
                <w:szCs w:val="18"/>
              </w:rPr>
              <w:t>投资过千万项目投资总额</w:t>
            </w:r>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100000万元</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154500万元</w:t>
            </w:r>
          </w:p>
        </w:tc>
        <w:tc>
          <w:tcPr>
            <w:tcW w:w="8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85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9"/>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sz w:val="18"/>
                <w:szCs w:val="18"/>
              </w:rPr>
              <w:t>其中总投资过</w:t>
            </w:r>
            <w:proofErr w:type="gramStart"/>
            <w:r>
              <w:rPr>
                <w:rFonts w:ascii="宋体" w:eastAsia="宋体" w:hAnsi="宋体" w:cs="宋体" w:hint="eastAsia"/>
                <w:sz w:val="18"/>
                <w:szCs w:val="18"/>
              </w:rPr>
              <w:t>亿项目</w:t>
            </w:r>
            <w:proofErr w:type="gramEnd"/>
            <w:r>
              <w:rPr>
                <w:rFonts w:ascii="宋体" w:eastAsia="宋体" w:hAnsi="宋体" w:cs="宋体" w:hint="eastAsia"/>
                <w:sz w:val="18"/>
                <w:szCs w:val="18"/>
              </w:rPr>
              <w:t>投资总额</w:t>
            </w:r>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50000万元</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121000万元</w:t>
            </w:r>
          </w:p>
        </w:tc>
        <w:tc>
          <w:tcPr>
            <w:tcW w:w="8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85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3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val="restart"/>
            <w:tcBorders>
              <w:bottom w:val="nil"/>
            </w:tcBorders>
            <w:vAlign w:val="center"/>
          </w:tcPr>
          <w:p w:rsidR="00B454FA" w:rsidRDefault="00B454FA">
            <w:pPr>
              <w:spacing w:line="304" w:lineRule="auto"/>
              <w:jc w:val="center"/>
              <w:rPr>
                <w:rFonts w:ascii="宋体" w:eastAsia="宋体" w:hAnsi="宋体" w:cs="宋体"/>
                <w:color w:val="auto"/>
                <w:sz w:val="18"/>
                <w:szCs w:val="18"/>
              </w:rPr>
            </w:pPr>
          </w:p>
          <w:p w:rsidR="00B454FA" w:rsidRDefault="00B454FA">
            <w:pPr>
              <w:spacing w:line="304" w:lineRule="auto"/>
              <w:jc w:val="center"/>
              <w:rPr>
                <w:rFonts w:ascii="宋体" w:eastAsia="宋体" w:hAnsi="宋体" w:cs="宋体"/>
                <w:color w:val="auto"/>
                <w:sz w:val="18"/>
                <w:szCs w:val="18"/>
              </w:rPr>
            </w:pPr>
          </w:p>
          <w:p w:rsidR="00B454FA" w:rsidRDefault="00B454FA">
            <w:pPr>
              <w:spacing w:line="304" w:lineRule="auto"/>
              <w:jc w:val="center"/>
              <w:rPr>
                <w:rFonts w:ascii="宋体" w:eastAsia="宋体" w:hAnsi="宋体" w:cs="宋体"/>
                <w:color w:val="auto"/>
                <w:sz w:val="18"/>
                <w:szCs w:val="18"/>
              </w:rPr>
            </w:pPr>
          </w:p>
          <w:p w:rsidR="00B454FA" w:rsidRDefault="00DF6893">
            <w:pPr>
              <w:spacing w:before="68" w:line="220" w:lineRule="auto"/>
              <w:ind w:left="271"/>
              <w:jc w:val="center"/>
              <w:rPr>
                <w:rFonts w:ascii="宋体" w:eastAsia="宋体" w:hAnsi="宋体" w:cs="宋体"/>
                <w:color w:val="auto"/>
                <w:sz w:val="18"/>
                <w:szCs w:val="18"/>
              </w:rPr>
            </w:pPr>
            <w:r>
              <w:rPr>
                <w:rFonts w:ascii="宋体" w:eastAsia="宋体" w:hAnsi="宋体" w:cs="宋体" w:hint="eastAsia"/>
                <w:color w:val="auto"/>
                <w:spacing w:val="4"/>
                <w:sz w:val="18"/>
                <w:szCs w:val="18"/>
              </w:rPr>
              <w:t>效益</w:t>
            </w:r>
          </w:p>
          <w:p w:rsidR="00B454FA" w:rsidRDefault="00DF6893">
            <w:pPr>
              <w:spacing w:before="79" w:line="610" w:lineRule="exact"/>
              <w:ind w:left="271"/>
              <w:jc w:val="center"/>
              <w:rPr>
                <w:rFonts w:ascii="宋体" w:eastAsia="宋体" w:hAnsi="宋体" w:cs="宋体"/>
                <w:color w:val="auto"/>
                <w:sz w:val="18"/>
                <w:szCs w:val="18"/>
              </w:rPr>
            </w:pPr>
            <w:r>
              <w:rPr>
                <w:rFonts w:ascii="宋体" w:eastAsia="宋体" w:hAnsi="宋体" w:cs="宋体" w:hint="eastAsia"/>
                <w:color w:val="auto"/>
                <w:spacing w:val="-3"/>
                <w:position w:val="31"/>
                <w:sz w:val="18"/>
                <w:szCs w:val="18"/>
              </w:rPr>
              <w:t>指标</w:t>
            </w:r>
          </w:p>
          <w:p w:rsidR="00B454FA" w:rsidRDefault="00DF6893">
            <w:pPr>
              <w:spacing w:line="220" w:lineRule="auto"/>
              <w:ind w:left="171"/>
              <w:jc w:val="center"/>
              <w:rPr>
                <w:rFonts w:ascii="宋体" w:eastAsia="宋体" w:hAnsi="宋体" w:cs="宋体"/>
                <w:color w:val="auto"/>
                <w:sz w:val="18"/>
                <w:szCs w:val="18"/>
              </w:rPr>
            </w:pPr>
            <w:r>
              <w:rPr>
                <w:rFonts w:ascii="宋体" w:eastAsia="宋体" w:hAnsi="宋体" w:cs="宋体" w:hint="eastAsia"/>
                <w:color w:val="auto"/>
                <w:spacing w:val="9"/>
                <w:sz w:val="18"/>
                <w:szCs w:val="18"/>
              </w:rPr>
              <w:t>(30分)</w:t>
            </w:r>
          </w:p>
        </w:tc>
        <w:tc>
          <w:tcPr>
            <w:tcW w:w="1268" w:type="dxa"/>
            <w:vMerge w:val="restart"/>
            <w:tcBorders>
              <w:bottom w:val="nil"/>
            </w:tcBorders>
            <w:vAlign w:val="center"/>
          </w:tcPr>
          <w:p w:rsidR="00B454FA" w:rsidRDefault="00DF6893">
            <w:pPr>
              <w:spacing w:before="116" w:line="300" w:lineRule="exact"/>
              <w:ind w:left="311"/>
              <w:jc w:val="center"/>
              <w:rPr>
                <w:rFonts w:ascii="宋体" w:eastAsia="宋体" w:hAnsi="宋体" w:cs="宋体"/>
                <w:color w:val="auto"/>
                <w:sz w:val="18"/>
                <w:szCs w:val="18"/>
              </w:rPr>
            </w:pPr>
            <w:r>
              <w:rPr>
                <w:rFonts w:ascii="宋体" w:eastAsia="宋体" w:hAnsi="宋体" w:cs="宋体" w:hint="eastAsia"/>
                <w:color w:val="auto"/>
                <w:spacing w:val="-3"/>
                <w:position w:val="6"/>
                <w:sz w:val="18"/>
                <w:szCs w:val="18"/>
              </w:rPr>
              <w:t>经济</w:t>
            </w:r>
            <w:proofErr w:type="gramStart"/>
            <w:r>
              <w:rPr>
                <w:rFonts w:ascii="宋体" w:eastAsia="宋体" w:hAnsi="宋体" w:cs="宋体" w:hint="eastAsia"/>
                <w:color w:val="auto"/>
                <w:spacing w:val="-3"/>
                <w:position w:val="6"/>
                <w:sz w:val="18"/>
                <w:szCs w:val="18"/>
              </w:rPr>
              <w:t>效</w:t>
            </w:r>
            <w:proofErr w:type="gramEnd"/>
          </w:p>
          <w:p w:rsidR="00B454FA" w:rsidRDefault="00DF6893">
            <w:pPr>
              <w:spacing w:line="220" w:lineRule="auto"/>
              <w:ind w:left="311"/>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6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val="restart"/>
            <w:tcBorders>
              <w:bottom w:val="nil"/>
            </w:tcBorders>
            <w:vAlign w:val="center"/>
          </w:tcPr>
          <w:p w:rsidR="00B454FA" w:rsidRDefault="00DF6893">
            <w:pPr>
              <w:spacing w:before="114" w:line="322" w:lineRule="exact"/>
              <w:ind w:left="311"/>
              <w:jc w:val="center"/>
              <w:rPr>
                <w:rFonts w:ascii="宋体" w:eastAsia="宋体" w:hAnsi="宋体" w:cs="宋体"/>
                <w:color w:val="auto"/>
                <w:sz w:val="18"/>
                <w:szCs w:val="18"/>
              </w:rPr>
            </w:pPr>
            <w:r>
              <w:rPr>
                <w:rFonts w:ascii="宋体" w:eastAsia="宋体" w:hAnsi="宋体" w:cs="宋体" w:hint="eastAsia"/>
                <w:color w:val="auto"/>
                <w:spacing w:val="-3"/>
                <w:position w:val="8"/>
                <w:sz w:val="18"/>
                <w:szCs w:val="18"/>
              </w:rPr>
              <w:t>社会</w:t>
            </w:r>
            <w:proofErr w:type="gramStart"/>
            <w:r>
              <w:rPr>
                <w:rFonts w:ascii="宋体" w:eastAsia="宋体" w:hAnsi="宋体" w:cs="宋体" w:hint="eastAsia"/>
                <w:color w:val="auto"/>
                <w:spacing w:val="-3"/>
                <w:position w:val="8"/>
                <w:sz w:val="18"/>
                <w:szCs w:val="18"/>
              </w:rPr>
              <w:t>效</w:t>
            </w:r>
            <w:proofErr w:type="gramEnd"/>
          </w:p>
          <w:p w:rsidR="00B454FA" w:rsidRDefault="00DF6893">
            <w:pPr>
              <w:spacing w:line="220" w:lineRule="auto"/>
              <w:ind w:left="311"/>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9"/>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val="restart"/>
            <w:tcBorders>
              <w:bottom w:val="nil"/>
            </w:tcBorders>
            <w:vAlign w:val="center"/>
          </w:tcPr>
          <w:p w:rsidR="00B454FA" w:rsidRDefault="00DF6893">
            <w:pPr>
              <w:spacing w:before="97" w:line="330" w:lineRule="exact"/>
              <w:ind w:left="311"/>
              <w:jc w:val="center"/>
              <w:rPr>
                <w:rFonts w:ascii="宋体" w:eastAsia="宋体" w:hAnsi="宋体" w:cs="宋体"/>
                <w:color w:val="auto"/>
                <w:sz w:val="18"/>
                <w:szCs w:val="18"/>
              </w:rPr>
            </w:pPr>
            <w:r>
              <w:rPr>
                <w:rFonts w:ascii="宋体" w:eastAsia="宋体" w:hAnsi="宋体" w:cs="宋体" w:hint="eastAsia"/>
                <w:color w:val="auto"/>
                <w:spacing w:val="-3"/>
                <w:position w:val="8"/>
                <w:sz w:val="18"/>
                <w:szCs w:val="18"/>
              </w:rPr>
              <w:t>生态</w:t>
            </w:r>
            <w:proofErr w:type="gramStart"/>
            <w:r>
              <w:rPr>
                <w:rFonts w:ascii="宋体" w:eastAsia="宋体" w:hAnsi="宋体" w:cs="宋体" w:hint="eastAsia"/>
                <w:color w:val="auto"/>
                <w:spacing w:val="-3"/>
                <w:position w:val="8"/>
                <w:sz w:val="18"/>
                <w:szCs w:val="18"/>
              </w:rPr>
              <w:t>效</w:t>
            </w:r>
            <w:proofErr w:type="gramEnd"/>
          </w:p>
          <w:p w:rsidR="00B454FA" w:rsidRDefault="00DF6893">
            <w:pPr>
              <w:spacing w:line="220" w:lineRule="auto"/>
              <w:ind w:left="311"/>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环保评审合格</w:t>
            </w:r>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100%</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100%</w:t>
            </w:r>
          </w:p>
        </w:tc>
        <w:tc>
          <w:tcPr>
            <w:tcW w:w="8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30</w:t>
            </w:r>
          </w:p>
        </w:tc>
        <w:tc>
          <w:tcPr>
            <w:tcW w:w="85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25</w:t>
            </w: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9"/>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4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bottom w:val="nil"/>
            </w:tcBorders>
            <w:vAlign w:val="center"/>
          </w:tcPr>
          <w:p w:rsidR="00B454FA" w:rsidRDefault="00B454FA">
            <w:pPr>
              <w:jc w:val="center"/>
              <w:rPr>
                <w:rFonts w:ascii="宋体" w:eastAsia="宋体" w:hAnsi="宋体" w:cs="宋体"/>
                <w:color w:val="auto"/>
                <w:sz w:val="18"/>
                <w:szCs w:val="18"/>
              </w:rPr>
            </w:pPr>
          </w:p>
        </w:tc>
        <w:tc>
          <w:tcPr>
            <w:tcW w:w="1268" w:type="dxa"/>
            <w:vMerge w:val="restart"/>
            <w:tcBorders>
              <w:bottom w:val="nil"/>
            </w:tcBorders>
            <w:vAlign w:val="center"/>
          </w:tcPr>
          <w:p w:rsidR="00B454FA" w:rsidRDefault="00DF6893">
            <w:pPr>
              <w:spacing w:before="117" w:line="219" w:lineRule="auto"/>
              <w:ind w:left="202"/>
              <w:jc w:val="center"/>
              <w:rPr>
                <w:rFonts w:ascii="宋体" w:eastAsia="宋体" w:hAnsi="宋体" w:cs="宋体"/>
                <w:color w:val="auto"/>
                <w:sz w:val="18"/>
                <w:szCs w:val="18"/>
              </w:rPr>
            </w:pPr>
            <w:r>
              <w:rPr>
                <w:rFonts w:ascii="宋体" w:eastAsia="宋体" w:hAnsi="宋体" w:cs="宋体" w:hint="eastAsia"/>
                <w:color w:val="auto"/>
                <w:spacing w:val="-2"/>
                <w:sz w:val="18"/>
                <w:szCs w:val="18"/>
              </w:rPr>
              <w:t>可持续影</w:t>
            </w:r>
          </w:p>
          <w:p w:rsidR="00B454FA" w:rsidRDefault="00DF6893">
            <w:pPr>
              <w:spacing w:before="71" w:line="220" w:lineRule="auto"/>
              <w:ind w:left="311"/>
              <w:jc w:val="center"/>
              <w:rPr>
                <w:rFonts w:ascii="宋体" w:eastAsia="宋体" w:hAnsi="宋体" w:cs="宋体"/>
                <w:color w:val="auto"/>
                <w:sz w:val="18"/>
                <w:szCs w:val="18"/>
              </w:rPr>
            </w:pPr>
            <w:proofErr w:type="gramStart"/>
            <w:r>
              <w:rPr>
                <w:rFonts w:ascii="宋体" w:eastAsia="宋体" w:hAnsi="宋体" w:cs="宋体" w:hint="eastAsia"/>
                <w:color w:val="auto"/>
                <w:spacing w:val="2"/>
                <w:sz w:val="18"/>
                <w:szCs w:val="18"/>
              </w:rPr>
              <w:t>响指标</w:t>
            </w:r>
            <w:proofErr w:type="gramEnd"/>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无</w:t>
            </w: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350"/>
          <w:jc w:val="center"/>
        </w:trPr>
        <w:tc>
          <w:tcPr>
            <w:tcW w:w="1134" w:type="dxa"/>
            <w:vMerge/>
            <w:tcBorders>
              <w:top w:val="nil"/>
              <w:bottom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val="restart"/>
            <w:tcBorders>
              <w:bottom w:val="nil"/>
            </w:tcBorders>
            <w:vAlign w:val="center"/>
          </w:tcPr>
          <w:p w:rsidR="00B454FA" w:rsidRDefault="00DF6893">
            <w:pPr>
              <w:spacing w:before="37" w:line="262" w:lineRule="auto"/>
              <w:ind w:left="171" w:right="132"/>
              <w:jc w:val="center"/>
              <w:rPr>
                <w:rFonts w:ascii="宋体" w:eastAsia="宋体" w:hAnsi="宋体" w:cs="宋体"/>
                <w:color w:val="auto"/>
                <w:sz w:val="18"/>
                <w:szCs w:val="18"/>
              </w:rPr>
            </w:pPr>
            <w:r>
              <w:rPr>
                <w:rFonts w:ascii="宋体" w:eastAsia="宋体" w:hAnsi="宋体" w:cs="宋体" w:hint="eastAsia"/>
                <w:color w:val="auto"/>
                <w:spacing w:val="14"/>
                <w:sz w:val="18"/>
                <w:szCs w:val="18"/>
              </w:rPr>
              <w:t>满意度</w:t>
            </w:r>
            <w:r>
              <w:rPr>
                <w:rFonts w:ascii="宋体" w:eastAsia="宋体" w:hAnsi="宋体" w:cs="宋体" w:hint="eastAsia"/>
                <w:color w:val="auto"/>
                <w:spacing w:val="18"/>
                <w:w w:val="118"/>
                <w:sz w:val="18"/>
                <w:szCs w:val="18"/>
              </w:rPr>
              <w:t>指标</w:t>
            </w:r>
            <w:r>
              <w:rPr>
                <w:rFonts w:ascii="宋体" w:eastAsia="宋体" w:hAnsi="宋体" w:cs="宋体" w:hint="eastAsia"/>
                <w:color w:val="auto"/>
                <w:spacing w:val="15"/>
                <w:sz w:val="18"/>
                <w:szCs w:val="18"/>
              </w:rPr>
              <w:t>(10分)</w:t>
            </w:r>
          </w:p>
        </w:tc>
        <w:tc>
          <w:tcPr>
            <w:tcW w:w="1268" w:type="dxa"/>
            <w:vMerge w:val="restart"/>
            <w:tcBorders>
              <w:bottom w:val="nil"/>
            </w:tcBorders>
            <w:vAlign w:val="center"/>
          </w:tcPr>
          <w:p w:rsidR="00B454FA" w:rsidRDefault="00DF6893">
            <w:pPr>
              <w:spacing w:before="47" w:line="219" w:lineRule="auto"/>
              <w:ind w:left="202"/>
              <w:jc w:val="center"/>
              <w:rPr>
                <w:rFonts w:ascii="宋体" w:eastAsia="宋体" w:hAnsi="宋体" w:cs="宋体"/>
                <w:color w:val="auto"/>
                <w:sz w:val="18"/>
                <w:szCs w:val="18"/>
              </w:rPr>
            </w:pPr>
            <w:r>
              <w:rPr>
                <w:rFonts w:ascii="宋体" w:eastAsia="宋体" w:hAnsi="宋体" w:cs="宋体" w:hint="eastAsia"/>
                <w:color w:val="auto"/>
                <w:spacing w:val="-2"/>
                <w:sz w:val="18"/>
                <w:szCs w:val="18"/>
              </w:rPr>
              <w:t>服务对象</w:t>
            </w:r>
          </w:p>
          <w:p w:rsidR="00B454FA" w:rsidRDefault="00DF6893">
            <w:pPr>
              <w:spacing w:before="70" w:line="219" w:lineRule="auto"/>
              <w:ind w:left="202"/>
              <w:jc w:val="center"/>
              <w:rPr>
                <w:rFonts w:ascii="宋体" w:eastAsia="宋体" w:hAnsi="宋体" w:cs="宋体"/>
                <w:color w:val="auto"/>
                <w:sz w:val="18"/>
                <w:szCs w:val="18"/>
              </w:rPr>
            </w:pPr>
            <w:r>
              <w:rPr>
                <w:rFonts w:ascii="宋体" w:eastAsia="宋体" w:hAnsi="宋体" w:cs="宋体" w:hint="eastAsia"/>
                <w:color w:val="auto"/>
                <w:spacing w:val="3"/>
                <w:sz w:val="18"/>
                <w:szCs w:val="18"/>
              </w:rPr>
              <w:t>满意度指</w:t>
            </w:r>
          </w:p>
          <w:p w:rsidR="00B454FA" w:rsidRDefault="00DF6893">
            <w:pPr>
              <w:spacing w:before="21" w:line="220" w:lineRule="auto"/>
              <w:ind w:left="501"/>
              <w:jc w:val="center"/>
              <w:rPr>
                <w:rFonts w:ascii="宋体" w:eastAsia="宋体" w:hAnsi="宋体" w:cs="宋体"/>
                <w:color w:val="auto"/>
                <w:sz w:val="18"/>
                <w:szCs w:val="18"/>
              </w:rPr>
            </w:pPr>
            <w:r>
              <w:rPr>
                <w:rFonts w:ascii="宋体" w:eastAsia="宋体" w:hAnsi="宋体" w:cs="宋体" w:hint="eastAsia"/>
                <w:color w:val="auto"/>
                <w:sz w:val="18"/>
                <w:szCs w:val="18"/>
              </w:rPr>
              <w:t>标</w:t>
            </w:r>
          </w:p>
        </w:tc>
        <w:tc>
          <w:tcPr>
            <w:tcW w:w="12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客商及企业满意度</w:t>
            </w:r>
          </w:p>
        </w:tc>
        <w:tc>
          <w:tcPr>
            <w:tcW w:w="11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100%</w:t>
            </w:r>
          </w:p>
        </w:tc>
        <w:tc>
          <w:tcPr>
            <w:tcW w:w="110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100%</w:t>
            </w:r>
          </w:p>
        </w:tc>
        <w:tc>
          <w:tcPr>
            <w:tcW w:w="81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859" w:type="dxa"/>
            <w:vAlign w:val="center"/>
          </w:tcPr>
          <w:p w:rsidR="00B454FA" w:rsidRDefault="00DF6893">
            <w:pPr>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277"/>
          <w:jc w:val="center"/>
        </w:trPr>
        <w:tc>
          <w:tcPr>
            <w:tcW w:w="1134" w:type="dxa"/>
            <w:vMerge/>
            <w:tcBorders>
              <w:top w:val="nil"/>
            </w:tcBorders>
            <w:textDirection w:val="tbRlV"/>
            <w:vAlign w:val="center"/>
          </w:tcPr>
          <w:p w:rsidR="00B454FA" w:rsidRDefault="00B454FA">
            <w:pPr>
              <w:jc w:val="center"/>
              <w:rPr>
                <w:rFonts w:ascii="宋体" w:eastAsia="宋体" w:hAnsi="宋体" w:cs="宋体"/>
                <w:color w:val="auto"/>
                <w:sz w:val="18"/>
                <w:szCs w:val="18"/>
              </w:rPr>
            </w:pPr>
          </w:p>
        </w:tc>
        <w:tc>
          <w:tcPr>
            <w:tcW w:w="989" w:type="dxa"/>
            <w:vMerge/>
            <w:tcBorders>
              <w:top w:val="nil"/>
            </w:tcBorders>
            <w:vAlign w:val="center"/>
          </w:tcPr>
          <w:p w:rsidR="00B454FA" w:rsidRDefault="00B454FA">
            <w:pPr>
              <w:jc w:val="center"/>
              <w:rPr>
                <w:rFonts w:ascii="宋体" w:eastAsia="宋体" w:hAnsi="宋体" w:cs="宋体"/>
                <w:color w:val="auto"/>
                <w:sz w:val="18"/>
                <w:szCs w:val="18"/>
              </w:rPr>
            </w:pPr>
          </w:p>
        </w:tc>
        <w:tc>
          <w:tcPr>
            <w:tcW w:w="1268" w:type="dxa"/>
            <w:vMerge/>
            <w:tcBorders>
              <w:top w:val="nil"/>
            </w:tcBorders>
            <w:vAlign w:val="center"/>
          </w:tcPr>
          <w:p w:rsidR="00B454FA" w:rsidRDefault="00B454FA">
            <w:pPr>
              <w:jc w:val="center"/>
              <w:rPr>
                <w:rFonts w:ascii="宋体" w:eastAsia="宋体" w:hAnsi="宋体" w:cs="宋体"/>
                <w:color w:val="auto"/>
                <w:sz w:val="18"/>
                <w:szCs w:val="18"/>
              </w:rPr>
            </w:pPr>
          </w:p>
        </w:tc>
        <w:tc>
          <w:tcPr>
            <w:tcW w:w="1209" w:type="dxa"/>
            <w:vAlign w:val="center"/>
          </w:tcPr>
          <w:p w:rsidR="00B454FA" w:rsidRDefault="00B454FA">
            <w:pPr>
              <w:jc w:val="center"/>
              <w:rPr>
                <w:rFonts w:ascii="宋体" w:eastAsia="宋体" w:hAnsi="宋体" w:cs="宋体"/>
                <w:color w:val="auto"/>
                <w:sz w:val="18"/>
                <w:szCs w:val="18"/>
              </w:rPr>
            </w:pPr>
          </w:p>
        </w:tc>
        <w:tc>
          <w:tcPr>
            <w:tcW w:w="1119" w:type="dxa"/>
            <w:vAlign w:val="center"/>
          </w:tcPr>
          <w:p w:rsidR="00B454FA" w:rsidRDefault="00B454FA">
            <w:pPr>
              <w:jc w:val="center"/>
              <w:rPr>
                <w:rFonts w:ascii="宋体" w:eastAsia="宋体" w:hAnsi="宋体" w:cs="宋体"/>
                <w:color w:val="auto"/>
                <w:sz w:val="18"/>
                <w:szCs w:val="18"/>
              </w:rPr>
            </w:pPr>
          </w:p>
        </w:tc>
        <w:tc>
          <w:tcPr>
            <w:tcW w:w="1109" w:type="dxa"/>
            <w:vAlign w:val="center"/>
          </w:tcPr>
          <w:p w:rsidR="00B454FA" w:rsidRDefault="00B454FA">
            <w:pPr>
              <w:jc w:val="center"/>
              <w:rPr>
                <w:rFonts w:ascii="宋体" w:eastAsia="宋体" w:hAnsi="宋体" w:cs="宋体"/>
                <w:color w:val="auto"/>
                <w:sz w:val="18"/>
                <w:szCs w:val="18"/>
              </w:rPr>
            </w:pPr>
          </w:p>
        </w:tc>
        <w:tc>
          <w:tcPr>
            <w:tcW w:w="819" w:type="dxa"/>
            <w:vAlign w:val="center"/>
          </w:tcPr>
          <w:p w:rsidR="00B454FA" w:rsidRDefault="00B454FA">
            <w:pPr>
              <w:jc w:val="center"/>
              <w:rPr>
                <w:rFonts w:ascii="宋体" w:eastAsia="宋体" w:hAnsi="宋体" w:cs="宋体"/>
                <w:color w:val="auto"/>
                <w:sz w:val="18"/>
                <w:szCs w:val="18"/>
              </w:rPr>
            </w:pPr>
          </w:p>
        </w:tc>
        <w:tc>
          <w:tcPr>
            <w:tcW w:w="859" w:type="dxa"/>
            <w:vAlign w:val="center"/>
          </w:tcPr>
          <w:p w:rsidR="00B454FA" w:rsidRDefault="00B454FA">
            <w:pPr>
              <w:jc w:val="center"/>
              <w:rPr>
                <w:rFonts w:ascii="宋体" w:eastAsia="宋体" w:hAnsi="宋体" w:cs="宋体"/>
                <w:color w:val="auto"/>
                <w:sz w:val="18"/>
                <w:szCs w:val="18"/>
              </w:rPr>
            </w:pPr>
          </w:p>
        </w:tc>
        <w:tc>
          <w:tcPr>
            <w:tcW w:w="1373" w:type="dxa"/>
            <w:vAlign w:val="center"/>
          </w:tcPr>
          <w:p w:rsidR="00B454FA" w:rsidRDefault="00B454FA">
            <w:pPr>
              <w:jc w:val="center"/>
              <w:rPr>
                <w:rFonts w:ascii="宋体" w:eastAsia="宋体" w:hAnsi="宋体" w:cs="宋体"/>
                <w:color w:val="auto"/>
                <w:sz w:val="18"/>
                <w:szCs w:val="18"/>
              </w:rPr>
            </w:pPr>
          </w:p>
        </w:tc>
      </w:tr>
      <w:tr w:rsidR="00B454FA">
        <w:trPr>
          <w:trHeight w:val="475"/>
          <w:jc w:val="center"/>
        </w:trPr>
        <w:tc>
          <w:tcPr>
            <w:tcW w:w="6828" w:type="dxa"/>
            <w:gridSpan w:val="6"/>
            <w:vAlign w:val="center"/>
          </w:tcPr>
          <w:p w:rsidR="00B454FA" w:rsidRDefault="00DF6893">
            <w:pPr>
              <w:spacing w:before="139" w:line="220" w:lineRule="auto"/>
              <w:ind w:left="2464"/>
              <w:jc w:val="center"/>
              <w:rPr>
                <w:rFonts w:ascii="宋体" w:eastAsia="宋体" w:hAnsi="宋体" w:cs="宋体"/>
                <w:color w:val="auto"/>
                <w:sz w:val="18"/>
                <w:szCs w:val="18"/>
              </w:rPr>
            </w:pPr>
            <w:r>
              <w:rPr>
                <w:rFonts w:ascii="宋体" w:eastAsia="宋体" w:hAnsi="宋体" w:cs="宋体" w:hint="eastAsia"/>
                <w:color w:val="auto"/>
                <w:spacing w:val="-7"/>
                <w:sz w:val="18"/>
                <w:szCs w:val="18"/>
              </w:rPr>
              <w:t>总分</w:t>
            </w:r>
          </w:p>
        </w:tc>
        <w:tc>
          <w:tcPr>
            <w:tcW w:w="819" w:type="dxa"/>
            <w:vAlign w:val="center"/>
          </w:tcPr>
          <w:p w:rsidR="00B454FA" w:rsidRDefault="00DF6893">
            <w:pPr>
              <w:spacing w:before="191" w:line="184" w:lineRule="auto"/>
              <w:ind w:left="137"/>
              <w:jc w:val="center"/>
              <w:rPr>
                <w:rFonts w:ascii="宋体" w:eastAsia="宋体" w:hAnsi="宋体" w:cs="宋体"/>
                <w:color w:val="auto"/>
                <w:sz w:val="18"/>
                <w:szCs w:val="18"/>
              </w:rPr>
            </w:pPr>
            <w:r>
              <w:rPr>
                <w:rFonts w:ascii="宋体" w:eastAsia="宋体" w:hAnsi="宋体" w:cs="宋体" w:hint="eastAsia"/>
                <w:color w:val="auto"/>
                <w:spacing w:val="-6"/>
                <w:sz w:val="18"/>
                <w:szCs w:val="18"/>
              </w:rPr>
              <w:t>100</w:t>
            </w:r>
          </w:p>
        </w:tc>
        <w:tc>
          <w:tcPr>
            <w:tcW w:w="859" w:type="dxa"/>
            <w:vAlign w:val="center"/>
          </w:tcPr>
          <w:p w:rsidR="00B454FA" w:rsidRDefault="00B454FA">
            <w:pPr>
              <w:ind w:firstLineChars="150" w:firstLine="270"/>
              <w:jc w:val="center"/>
              <w:rPr>
                <w:rFonts w:ascii="宋体" w:eastAsia="宋体" w:hAnsi="宋体" w:cs="宋体"/>
                <w:color w:val="auto"/>
                <w:sz w:val="18"/>
                <w:szCs w:val="18"/>
              </w:rPr>
            </w:pPr>
          </w:p>
          <w:p w:rsidR="00B454FA" w:rsidRDefault="00DF6893">
            <w:pPr>
              <w:ind w:firstLineChars="150" w:firstLine="270"/>
              <w:jc w:val="center"/>
              <w:rPr>
                <w:rFonts w:ascii="宋体" w:eastAsia="宋体" w:hAnsi="宋体" w:cs="宋体"/>
                <w:color w:val="auto"/>
                <w:sz w:val="18"/>
                <w:szCs w:val="18"/>
              </w:rPr>
            </w:pPr>
            <w:r>
              <w:rPr>
                <w:rFonts w:ascii="宋体" w:eastAsia="宋体" w:hAnsi="宋体" w:cs="宋体" w:hint="eastAsia"/>
                <w:color w:val="auto"/>
                <w:sz w:val="18"/>
                <w:szCs w:val="18"/>
              </w:rPr>
              <w:t>87</w:t>
            </w:r>
          </w:p>
        </w:tc>
        <w:tc>
          <w:tcPr>
            <w:tcW w:w="1373" w:type="dxa"/>
            <w:vAlign w:val="center"/>
          </w:tcPr>
          <w:p w:rsidR="00B454FA" w:rsidRDefault="00B454FA">
            <w:pPr>
              <w:jc w:val="center"/>
              <w:rPr>
                <w:rFonts w:ascii="宋体" w:eastAsia="宋体" w:hAnsi="宋体" w:cs="宋体"/>
                <w:color w:val="auto"/>
                <w:sz w:val="18"/>
                <w:szCs w:val="18"/>
              </w:rPr>
            </w:pPr>
          </w:p>
        </w:tc>
      </w:tr>
    </w:tbl>
    <w:p w:rsidR="00B454FA" w:rsidRDefault="00DF6893">
      <w:pPr>
        <w:spacing w:before="161" w:line="225" w:lineRule="auto"/>
        <w:rPr>
          <w:rFonts w:ascii="仿宋" w:eastAsia="仿宋" w:hAnsi="仿宋" w:cs="仿宋"/>
          <w:color w:val="auto"/>
          <w:sz w:val="24"/>
          <w:szCs w:val="24"/>
        </w:rPr>
      </w:pPr>
      <w:r>
        <w:rPr>
          <w:rFonts w:ascii="仿宋" w:eastAsia="仿宋" w:hAnsi="仿宋" w:cs="仿宋"/>
          <w:color w:val="auto"/>
          <w:spacing w:val="-24"/>
          <w:position w:val="-1"/>
          <w:sz w:val="24"/>
          <w:szCs w:val="24"/>
        </w:rPr>
        <w:t>填表人：</w:t>
      </w:r>
      <w:r>
        <w:rPr>
          <w:rFonts w:ascii="仿宋" w:eastAsia="仿宋" w:hAnsi="仿宋" w:cs="仿宋" w:hint="eastAsia"/>
          <w:color w:val="auto"/>
          <w:spacing w:val="-24"/>
          <w:position w:val="-1"/>
          <w:sz w:val="24"/>
          <w:szCs w:val="24"/>
        </w:rPr>
        <w:t xml:space="preserve">彭智岳    </w:t>
      </w:r>
      <w:r>
        <w:rPr>
          <w:rFonts w:ascii="仿宋" w:eastAsia="仿宋" w:hAnsi="仿宋" w:cs="仿宋"/>
          <w:color w:val="auto"/>
          <w:spacing w:val="-24"/>
          <w:sz w:val="24"/>
          <w:szCs w:val="24"/>
        </w:rPr>
        <w:t>填报日期：</w:t>
      </w:r>
      <w:r>
        <w:rPr>
          <w:rFonts w:ascii="仿宋" w:eastAsia="仿宋" w:hAnsi="仿宋" w:cs="仿宋" w:hint="eastAsia"/>
          <w:color w:val="auto"/>
          <w:spacing w:val="-24"/>
          <w:sz w:val="24"/>
          <w:szCs w:val="24"/>
        </w:rPr>
        <w:t>2023年</w:t>
      </w:r>
      <w:r w:rsidR="00EA4749">
        <w:rPr>
          <w:rFonts w:ascii="仿宋" w:eastAsia="仿宋" w:hAnsi="仿宋" w:cs="仿宋" w:hint="eastAsia"/>
          <w:color w:val="auto"/>
          <w:spacing w:val="-24"/>
          <w:sz w:val="24"/>
          <w:szCs w:val="24"/>
        </w:rPr>
        <w:t>8</w:t>
      </w:r>
      <w:r>
        <w:rPr>
          <w:rFonts w:ascii="仿宋" w:eastAsia="仿宋" w:hAnsi="仿宋" w:cs="仿宋" w:hint="eastAsia"/>
          <w:color w:val="auto"/>
          <w:spacing w:val="-24"/>
          <w:sz w:val="24"/>
          <w:szCs w:val="24"/>
        </w:rPr>
        <w:t xml:space="preserve">月       </w:t>
      </w:r>
      <w:r>
        <w:rPr>
          <w:rFonts w:ascii="仿宋" w:eastAsia="仿宋" w:hAnsi="仿宋" w:cs="仿宋"/>
          <w:color w:val="auto"/>
          <w:spacing w:val="-24"/>
          <w:sz w:val="24"/>
          <w:szCs w:val="24"/>
        </w:rPr>
        <w:t>联系电话：</w:t>
      </w:r>
      <w:r>
        <w:rPr>
          <w:rFonts w:ascii="仿宋" w:eastAsia="仿宋" w:hAnsi="仿宋" w:cs="仿宋" w:hint="eastAsia"/>
          <w:color w:val="auto"/>
          <w:spacing w:val="-24"/>
          <w:sz w:val="24"/>
          <w:szCs w:val="24"/>
        </w:rPr>
        <w:t xml:space="preserve">13467758247      </w:t>
      </w:r>
      <w:r>
        <w:rPr>
          <w:rFonts w:ascii="仿宋" w:eastAsia="仿宋" w:hAnsi="仿宋" w:cs="仿宋"/>
          <w:color w:val="auto"/>
          <w:spacing w:val="-24"/>
          <w:position w:val="1"/>
          <w:sz w:val="24"/>
          <w:szCs w:val="24"/>
        </w:rPr>
        <w:t>单位负责人签字：</w:t>
      </w:r>
      <w:r>
        <w:rPr>
          <w:rFonts w:ascii="仿宋" w:eastAsia="仿宋" w:hAnsi="仿宋" w:cs="仿宋" w:hint="eastAsia"/>
          <w:color w:val="auto"/>
          <w:spacing w:val="-24"/>
          <w:position w:val="1"/>
          <w:sz w:val="24"/>
          <w:szCs w:val="24"/>
        </w:rPr>
        <w:t>杨群</w:t>
      </w:r>
    </w:p>
    <w:p w:rsidR="00B454FA" w:rsidRDefault="00DF6893">
      <w:pPr>
        <w:spacing w:before="303" w:line="219" w:lineRule="auto"/>
        <w:jc w:val="center"/>
        <w:rPr>
          <w:rFonts w:ascii="宋体" w:eastAsia="宋体" w:hAnsi="宋体" w:cs="宋体"/>
          <w:color w:val="auto"/>
          <w:sz w:val="34"/>
          <w:szCs w:val="34"/>
        </w:rPr>
      </w:pPr>
      <w:r>
        <w:rPr>
          <w:rFonts w:ascii="宋体" w:eastAsia="宋体" w:hAnsi="宋体" w:cs="宋体"/>
          <w:b/>
          <w:bCs/>
          <w:color w:val="auto"/>
          <w:spacing w:val="11"/>
          <w:sz w:val="34"/>
          <w:szCs w:val="34"/>
        </w:rPr>
        <w:lastRenderedPageBreak/>
        <w:t>2022年度预算支出绩效自评表</w:t>
      </w:r>
    </w:p>
    <w:p w:rsidR="00B454FA" w:rsidRDefault="00B454FA">
      <w:pPr>
        <w:spacing w:line="72" w:lineRule="exact"/>
        <w:rPr>
          <w:color w:val="auto"/>
        </w:rPr>
      </w:pPr>
    </w:p>
    <w:tbl>
      <w:tblPr>
        <w:tblStyle w:val="TableNormal"/>
        <w:tblW w:w="98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1"/>
        <w:gridCol w:w="987"/>
        <w:gridCol w:w="813"/>
        <w:gridCol w:w="1658"/>
        <w:gridCol w:w="1118"/>
        <w:gridCol w:w="1106"/>
        <w:gridCol w:w="817"/>
        <w:gridCol w:w="857"/>
        <w:gridCol w:w="1372"/>
      </w:tblGrid>
      <w:tr w:rsidR="00B454FA">
        <w:trPr>
          <w:trHeight w:val="103"/>
          <w:jc w:val="center"/>
        </w:trPr>
        <w:tc>
          <w:tcPr>
            <w:tcW w:w="1131"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6"/>
                <w:sz w:val="18"/>
                <w:szCs w:val="18"/>
              </w:rPr>
              <w:t>项目支</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出名称</w:t>
            </w:r>
          </w:p>
        </w:tc>
        <w:tc>
          <w:tcPr>
            <w:tcW w:w="8728" w:type="dxa"/>
            <w:gridSpan w:val="8"/>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县级储备粮、临储粮经费</w:t>
            </w:r>
          </w:p>
        </w:tc>
      </w:tr>
      <w:tr w:rsidR="00B454FA">
        <w:trPr>
          <w:trHeight w:val="90"/>
          <w:jc w:val="center"/>
        </w:trPr>
        <w:tc>
          <w:tcPr>
            <w:tcW w:w="1131"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5"/>
                <w:sz w:val="18"/>
                <w:szCs w:val="18"/>
              </w:rPr>
              <w:t>主管部门</w:t>
            </w:r>
          </w:p>
        </w:tc>
        <w:tc>
          <w:tcPr>
            <w:tcW w:w="4576" w:type="dxa"/>
            <w:gridSpan w:val="4"/>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衡山县商务和粮食局</w:t>
            </w:r>
          </w:p>
        </w:tc>
        <w:tc>
          <w:tcPr>
            <w:tcW w:w="1106"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实施单位</w:t>
            </w:r>
          </w:p>
        </w:tc>
        <w:tc>
          <w:tcPr>
            <w:tcW w:w="3046" w:type="dxa"/>
            <w:gridSpan w:val="3"/>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sz w:val="18"/>
                <w:szCs w:val="18"/>
              </w:rPr>
              <w:t>衡山黄花</w:t>
            </w:r>
            <w:proofErr w:type="gramStart"/>
            <w:r>
              <w:rPr>
                <w:rFonts w:ascii="宋体" w:eastAsia="宋体" w:hAnsi="宋体" w:cs="宋体" w:hint="eastAsia"/>
                <w:sz w:val="18"/>
                <w:szCs w:val="18"/>
              </w:rPr>
              <w:t>坪粮食</w:t>
            </w:r>
            <w:proofErr w:type="gramEnd"/>
            <w:r>
              <w:rPr>
                <w:rFonts w:ascii="宋体" w:eastAsia="宋体" w:hAnsi="宋体" w:cs="宋体" w:hint="eastAsia"/>
                <w:sz w:val="18"/>
                <w:szCs w:val="18"/>
              </w:rPr>
              <w:t>收储有限公司</w:t>
            </w:r>
          </w:p>
        </w:tc>
      </w:tr>
      <w:tr w:rsidR="00B454FA">
        <w:trPr>
          <w:trHeight w:val="90"/>
          <w:jc w:val="center"/>
        </w:trPr>
        <w:tc>
          <w:tcPr>
            <w:tcW w:w="1131"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项目资金</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11"/>
                <w:sz w:val="18"/>
                <w:szCs w:val="18"/>
              </w:rPr>
              <w:t>(万元)</w:t>
            </w:r>
          </w:p>
        </w:tc>
        <w:tc>
          <w:tcPr>
            <w:tcW w:w="1800" w:type="dxa"/>
            <w:gridSpan w:val="2"/>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年初预算数</w:t>
            </w:r>
          </w:p>
        </w:tc>
        <w:tc>
          <w:tcPr>
            <w:tcW w:w="111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全年预算数</w:t>
            </w:r>
          </w:p>
        </w:tc>
        <w:tc>
          <w:tcPr>
            <w:tcW w:w="1106"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全年执行数</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分值</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执行率</w:t>
            </w:r>
          </w:p>
        </w:tc>
        <w:tc>
          <w:tcPr>
            <w:tcW w:w="1372"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得分</w:t>
            </w:r>
          </w:p>
        </w:tc>
      </w:tr>
      <w:tr w:rsidR="00B454FA">
        <w:trPr>
          <w:trHeight w:val="90"/>
          <w:jc w:val="center"/>
        </w:trPr>
        <w:tc>
          <w:tcPr>
            <w:tcW w:w="1131"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800"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年度资金总额</w:t>
            </w:r>
          </w:p>
        </w:tc>
        <w:tc>
          <w:tcPr>
            <w:tcW w:w="165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2000</w:t>
            </w:r>
          </w:p>
        </w:tc>
        <w:tc>
          <w:tcPr>
            <w:tcW w:w="111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666.59</w:t>
            </w:r>
          </w:p>
        </w:tc>
        <w:tc>
          <w:tcPr>
            <w:tcW w:w="1106"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666.59</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6"/>
                <w:sz w:val="18"/>
                <w:szCs w:val="18"/>
              </w:rPr>
              <w:t>10</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100%</w:t>
            </w:r>
          </w:p>
        </w:tc>
        <w:tc>
          <w:tcPr>
            <w:tcW w:w="1372"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6</w:t>
            </w:r>
          </w:p>
        </w:tc>
      </w:tr>
      <w:tr w:rsidR="00B454FA">
        <w:trPr>
          <w:trHeight w:val="90"/>
          <w:jc w:val="center"/>
        </w:trPr>
        <w:tc>
          <w:tcPr>
            <w:tcW w:w="1131"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800"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1"/>
                <w:sz w:val="18"/>
                <w:szCs w:val="18"/>
              </w:rPr>
              <w:t>其中：当年财政拨款</w:t>
            </w:r>
          </w:p>
        </w:tc>
        <w:tc>
          <w:tcPr>
            <w:tcW w:w="165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2000</w:t>
            </w:r>
          </w:p>
        </w:tc>
        <w:tc>
          <w:tcPr>
            <w:tcW w:w="111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646.26</w:t>
            </w:r>
          </w:p>
        </w:tc>
        <w:tc>
          <w:tcPr>
            <w:tcW w:w="1106"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646.26</w:t>
            </w: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800"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上年结转资金</w:t>
            </w:r>
          </w:p>
        </w:tc>
        <w:tc>
          <w:tcPr>
            <w:tcW w:w="165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1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06"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800" w:type="dxa"/>
            <w:gridSpan w:val="2"/>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其他资金</w:t>
            </w:r>
          </w:p>
        </w:tc>
        <w:tc>
          <w:tcPr>
            <w:tcW w:w="165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1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202.33</w:t>
            </w:r>
          </w:p>
        </w:tc>
        <w:tc>
          <w:tcPr>
            <w:tcW w:w="1106"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202.33</w:t>
            </w: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6"/>
                <w:position w:val="8"/>
                <w:sz w:val="18"/>
                <w:szCs w:val="18"/>
              </w:rPr>
              <w:t>年度总</w:t>
            </w:r>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2"/>
                <w:sz w:val="18"/>
                <w:szCs w:val="18"/>
              </w:rPr>
              <w:t>体目标</w:t>
            </w:r>
            <w:proofErr w:type="gramEnd"/>
          </w:p>
        </w:tc>
        <w:tc>
          <w:tcPr>
            <w:tcW w:w="4576" w:type="dxa"/>
            <w:gridSpan w:val="4"/>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预期目标</w:t>
            </w:r>
          </w:p>
        </w:tc>
        <w:tc>
          <w:tcPr>
            <w:tcW w:w="4152" w:type="dxa"/>
            <w:gridSpan w:val="4"/>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1"/>
                <w:sz w:val="18"/>
                <w:szCs w:val="18"/>
              </w:rPr>
              <w:t>实际完成情况</w:t>
            </w:r>
          </w:p>
        </w:tc>
      </w:tr>
      <w:tr w:rsidR="00B454FA">
        <w:trPr>
          <w:trHeight w:val="110"/>
          <w:jc w:val="center"/>
        </w:trPr>
        <w:tc>
          <w:tcPr>
            <w:tcW w:w="1131"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4576" w:type="dxa"/>
            <w:gridSpan w:val="4"/>
            <w:vAlign w:val="center"/>
          </w:tcPr>
          <w:p w:rsidR="00B454FA" w:rsidRDefault="00B454FA">
            <w:pPr>
              <w:adjustRightInd/>
              <w:snapToGrid/>
              <w:spacing w:line="0" w:lineRule="atLeast"/>
              <w:jc w:val="center"/>
              <w:rPr>
                <w:rFonts w:ascii="宋体" w:eastAsia="宋体" w:hAnsi="宋体" w:cs="宋体"/>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sz w:val="18"/>
                <w:szCs w:val="18"/>
              </w:rPr>
              <w:t>确保县级储备粮油正常运转</w:t>
            </w:r>
          </w:p>
        </w:tc>
        <w:tc>
          <w:tcPr>
            <w:tcW w:w="4152" w:type="dxa"/>
            <w:gridSpan w:val="4"/>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sz w:val="18"/>
                <w:szCs w:val="18"/>
              </w:rPr>
              <w:t>落实了5000吨县级储备粮、500吨成品粮、50吨食用植物油的储备规模，库存真实、数量准确</w:t>
            </w:r>
          </w:p>
        </w:tc>
      </w:tr>
      <w:tr w:rsidR="00B454FA">
        <w:trPr>
          <w:trHeight w:val="157"/>
          <w:jc w:val="center"/>
        </w:trPr>
        <w:tc>
          <w:tcPr>
            <w:tcW w:w="1131" w:type="dxa"/>
            <w:vMerge w:val="restart"/>
            <w:tcBorders>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绩效指标</w:t>
            </w:r>
          </w:p>
        </w:tc>
        <w:tc>
          <w:tcPr>
            <w:tcW w:w="98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4"/>
                <w:sz w:val="18"/>
                <w:szCs w:val="18"/>
              </w:rPr>
              <w:t>一级指</w:t>
            </w:r>
            <w:r>
              <w:rPr>
                <w:rFonts w:ascii="宋体" w:eastAsia="宋体" w:hAnsi="宋体" w:cs="宋体" w:hint="eastAsia"/>
                <w:color w:val="auto"/>
                <w:sz w:val="18"/>
                <w:szCs w:val="18"/>
              </w:rPr>
              <w:t>标</w:t>
            </w:r>
          </w:p>
        </w:tc>
        <w:tc>
          <w:tcPr>
            <w:tcW w:w="813"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二级指标</w:t>
            </w:r>
          </w:p>
        </w:tc>
        <w:tc>
          <w:tcPr>
            <w:tcW w:w="1658"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三级指标</w:t>
            </w:r>
          </w:p>
        </w:tc>
        <w:tc>
          <w:tcPr>
            <w:tcW w:w="1118"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6"/>
                <w:position w:val="8"/>
                <w:sz w:val="18"/>
                <w:szCs w:val="18"/>
              </w:rPr>
              <w:t>年度</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指标值</w:t>
            </w:r>
          </w:p>
        </w:tc>
        <w:tc>
          <w:tcPr>
            <w:tcW w:w="1106"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4"/>
                <w:position w:val="8"/>
                <w:sz w:val="18"/>
                <w:szCs w:val="18"/>
              </w:rPr>
              <w:t>实际</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完成值</w:t>
            </w: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分值</w:t>
            </w: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得分</w:t>
            </w:r>
          </w:p>
        </w:tc>
        <w:tc>
          <w:tcPr>
            <w:tcW w:w="1372"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5"/>
                <w:sz w:val="18"/>
                <w:szCs w:val="18"/>
              </w:rPr>
              <w:t>偏差原因</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分析及</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改进措施</w:t>
            </w:r>
          </w:p>
        </w:tc>
      </w:tr>
      <w:tr w:rsidR="00B454FA">
        <w:trPr>
          <w:trHeight w:val="18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12"/>
                <w:sz w:val="18"/>
                <w:szCs w:val="18"/>
              </w:rPr>
              <w:t>产出</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32"/>
                <w:sz w:val="18"/>
                <w:szCs w:val="18"/>
              </w:rPr>
              <w:t>指标</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9"/>
                <w:sz w:val="18"/>
                <w:szCs w:val="18"/>
              </w:rPr>
              <w:t>(50分)</w:t>
            </w:r>
          </w:p>
        </w:tc>
        <w:tc>
          <w:tcPr>
            <w:tcW w:w="813"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数量指标</w:t>
            </w: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5000吨稻谷、500吨成品粮、50吨食用植物油15000吨临储粮储备到位率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8</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库存数量真实率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18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质量指标</w:t>
            </w: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5000吨稻谷、500吨成品粮、50吨食用植物油15000吨临储粮储备到位率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9</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库存数量真实率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时效指标</w:t>
            </w: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县级储备粮贷款付息及时率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县级储备粮应急保障率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109"/>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成本指标</w:t>
            </w: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国家政策性粮收购价格执行率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3</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县级储备粮库存成本核算率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3</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val="restart"/>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4"/>
                <w:sz w:val="18"/>
                <w:szCs w:val="18"/>
              </w:rPr>
              <w:t>效益</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31"/>
                <w:sz w:val="18"/>
                <w:szCs w:val="18"/>
              </w:rPr>
              <w:t>指标</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9"/>
                <w:sz w:val="18"/>
                <w:szCs w:val="18"/>
              </w:rPr>
              <w:t>(30分)</w:t>
            </w:r>
          </w:p>
        </w:tc>
        <w:tc>
          <w:tcPr>
            <w:tcW w:w="813"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6"/>
                <w:sz w:val="18"/>
                <w:szCs w:val="18"/>
              </w:rPr>
              <w:t>经济</w:t>
            </w:r>
            <w:proofErr w:type="gramStart"/>
            <w:r>
              <w:rPr>
                <w:rFonts w:ascii="宋体" w:eastAsia="宋体" w:hAnsi="宋体" w:cs="宋体" w:hint="eastAsia"/>
                <w:color w:val="auto"/>
                <w:spacing w:val="-3"/>
                <w:position w:val="6"/>
                <w:sz w:val="18"/>
                <w:szCs w:val="18"/>
              </w:rPr>
              <w:t>效</w:t>
            </w:r>
            <w:proofErr w:type="gramEnd"/>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利息费用保障率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bottom w:val="nil"/>
            </w:tcBorders>
            <w:vAlign w:val="center"/>
          </w:tcPr>
          <w:p w:rsidR="00B454FA" w:rsidRDefault="00B454FA">
            <w:pPr>
              <w:adjustRightInd/>
              <w:snapToGrid/>
              <w:spacing w:line="0" w:lineRule="atLeast"/>
              <w:jc w:val="center"/>
              <w:rPr>
                <w:rFonts w:ascii="宋体" w:eastAsia="宋体" w:hAnsi="宋体" w:cs="宋体"/>
                <w:color w:val="auto"/>
                <w:spacing w:val="-3"/>
                <w:position w:val="6"/>
                <w:sz w:val="18"/>
                <w:szCs w:val="18"/>
              </w:rPr>
            </w:pPr>
          </w:p>
        </w:tc>
        <w:tc>
          <w:tcPr>
            <w:tcW w:w="1658" w:type="dxa"/>
            <w:vAlign w:val="center"/>
          </w:tcPr>
          <w:p w:rsidR="00B454FA" w:rsidRDefault="00B454FA">
            <w:pPr>
              <w:adjustRightInd/>
              <w:snapToGrid/>
              <w:spacing w:line="0" w:lineRule="atLeast"/>
              <w:jc w:val="center"/>
              <w:rPr>
                <w:rFonts w:ascii="宋体" w:eastAsia="宋体" w:hAnsi="宋体" w:cs="宋体"/>
                <w:sz w:val="18"/>
                <w:szCs w:val="18"/>
              </w:rPr>
            </w:pPr>
          </w:p>
        </w:tc>
        <w:tc>
          <w:tcPr>
            <w:tcW w:w="111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06"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政策性挂账利息补贴保障率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2</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8"/>
                <w:sz w:val="18"/>
                <w:szCs w:val="18"/>
              </w:rPr>
              <w:t>社会</w:t>
            </w:r>
            <w:proofErr w:type="gramStart"/>
            <w:r>
              <w:rPr>
                <w:rFonts w:ascii="宋体" w:eastAsia="宋体" w:hAnsi="宋体" w:cs="宋体" w:hint="eastAsia"/>
                <w:color w:val="auto"/>
                <w:spacing w:val="-3"/>
                <w:position w:val="8"/>
                <w:sz w:val="18"/>
                <w:szCs w:val="18"/>
              </w:rPr>
              <w:t>效</w:t>
            </w:r>
            <w:proofErr w:type="gramEnd"/>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165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1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06"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1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06"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109"/>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position w:val="8"/>
                <w:sz w:val="18"/>
                <w:szCs w:val="18"/>
              </w:rPr>
              <w:t>生态</w:t>
            </w:r>
            <w:proofErr w:type="gramStart"/>
            <w:r>
              <w:rPr>
                <w:rFonts w:ascii="宋体" w:eastAsia="宋体" w:hAnsi="宋体" w:cs="宋体" w:hint="eastAsia"/>
                <w:color w:val="auto"/>
                <w:spacing w:val="-3"/>
                <w:position w:val="8"/>
                <w:sz w:val="18"/>
                <w:szCs w:val="18"/>
              </w:rPr>
              <w:t>效</w:t>
            </w:r>
            <w:proofErr w:type="gramEnd"/>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3"/>
                <w:sz w:val="18"/>
                <w:szCs w:val="18"/>
              </w:rPr>
              <w:t>益指标</w:t>
            </w:r>
            <w:proofErr w:type="gramEnd"/>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低温、低氧、低剂量科学保粮率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4</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食品安全指标达标率</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4</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109"/>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bottom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可持续影</w:t>
            </w:r>
          </w:p>
          <w:p w:rsidR="00B454FA" w:rsidRDefault="00DF6893">
            <w:pPr>
              <w:adjustRightInd/>
              <w:snapToGrid/>
              <w:spacing w:line="0" w:lineRule="atLeast"/>
              <w:jc w:val="center"/>
              <w:rPr>
                <w:rFonts w:ascii="宋体" w:eastAsia="宋体" w:hAnsi="宋体" w:cs="宋体"/>
                <w:color w:val="auto"/>
                <w:sz w:val="18"/>
                <w:szCs w:val="18"/>
              </w:rPr>
            </w:pPr>
            <w:proofErr w:type="gramStart"/>
            <w:r>
              <w:rPr>
                <w:rFonts w:ascii="宋体" w:eastAsia="宋体" w:hAnsi="宋体" w:cs="宋体" w:hint="eastAsia"/>
                <w:color w:val="auto"/>
                <w:spacing w:val="2"/>
                <w:sz w:val="18"/>
                <w:szCs w:val="18"/>
              </w:rPr>
              <w:t>响指标</w:t>
            </w:r>
            <w:proofErr w:type="gramEnd"/>
          </w:p>
        </w:tc>
        <w:tc>
          <w:tcPr>
            <w:tcW w:w="1658"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sz w:val="18"/>
                <w:szCs w:val="18"/>
              </w:rPr>
              <w:t>粮食储备设备维护及安全性</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10</w:t>
            </w:r>
          </w:p>
        </w:tc>
        <w:tc>
          <w:tcPr>
            <w:tcW w:w="85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7</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18"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106"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144"/>
          <w:jc w:val="center"/>
        </w:trPr>
        <w:tc>
          <w:tcPr>
            <w:tcW w:w="1131" w:type="dxa"/>
            <w:vMerge/>
            <w:tcBorders>
              <w:top w:val="nil"/>
              <w:bottom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14"/>
                <w:sz w:val="18"/>
                <w:szCs w:val="18"/>
              </w:rPr>
              <w:t>满意度</w:t>
            </w:r>
            <w:r>
              <w:rPr>
                <w:rFonts w:ascii="宋体" w:eastAsia="宋体" w:hAnsi="宋体" w:cs="宋体" w:hint="eastAsia"/>
                <w:color w:val="auto"/>
                <w:spacing w:val="18"/>
                <w:w w:val="118"/>
                <w:sz w:val="18"/>
                <w:szCs w:val="18"/>
              </w:rPr>
              <w:t>指标</w:t>
            </w:r>
            <w:r>
              <w:rPr>
                <w:rFonts w:ascii="宋体" w:eastAsia="宋体" w:hAnsi="宋体" w:cs="宋体" w:hint="eastAsia"/>
                <w:color w:val="auto"/>
                <w:spacing w:val="15"/>
                <w:sz w:val="18"/>
                <w:szCs w:val="18"/>
              </w:rPr>
              <w:t>(10分)</w:t>
            </w:r>
          </w:p>
        </w:tc>
        <w:tc>
          <w:tcPr>
            <w:tcW w:w="813"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2"/>
                <w:sz w:val="18"/>
                <w:szCs w:val="18"/>
              </w:rPr>
              <w:t>服务对象</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3"/>
                <w:sz w:val="18"/>
                <w:szCs w:val="18"/>
              </w:rPr>
              <w:t>满意度指</w:t>
            </w: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标</w:t>
            </w: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因粮食市场波动引起的粮食安全事件发生数</w:t>
            </w:r>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0起</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0起</w:t>
            </w: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p w:rsidR="00B454FA" w:rsidRDefault="00B454FA">
            <w:pPr>
              <w:adjustRightInd/>
              <w:snapToGrid/>
              <w:spacing w:line="0" w:lineRule="atLeast"/>
              <w:jc w:val="center"/>
              <w:rPr>
                <w:rFonts w:ascii="宋体" w:eastAsia="宋体" w:hAnsi="宋体" w:cs="宋体"/>
                <w:color w:val="auto"/>
                <w:sz w:val="18"/>
                <w:szCs w:val="18"/>
              </w:rPr>
            </w:pP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1131" w:type="dxa"/>
            <w:vMerge/>
            <w:tcBorders>
              <w:top w:val="nil"/>
            </w:tcBorders>
            <w:textDirection w:val="tbRlV"/>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987"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813" w:type="dxa"/>
            <w:vMerge/>
            <w:tcBorders>
              <w:top w:val="nil"/>
            </w:tcBorders>
            <w:vAlign w:val="center"/>
          </w:tcPr>
          <w:p w:rsidR="00B454FA" w:rsidRDefault="00B454FA">
            <w:pPr>
              <w:adjustRightInd/>
              <w:snapToGrid/>
              <w:spacing w:line="0" w:lineRule="atLeast"/>
              <w:jc w:val="center"/>
              <w:rPr>
                <w:rFonts w:ascii="宋体" w:eastAsia="宋体" w:hAnsi="宋体" w:cs="宋体"/>
                <w:color w:val="auto"/>
                <w:sz w:val="18"/>
                <w:szCs w:val="18"/>
              </w:rPr>
            </w:pPr>
          </w:p>
        </w:tc>
        <w:tc>
          <w:tcPr>
            <w:tcW w:w="165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市民满意度调</w:t>
            </w:r>
            <w:proofErr w:type="gramStart"/>
            <w:r>
              <w:rPr>
                <w:rFonts w:ascii="宋体" w:eastAsia="宋体" w:hAnsi="宋体" w:cs="宋体" w:hint="eastAsia"/>
                <w:sz w:val="18"/>
                <w:szCs w:val="18"/>
              </w:rPr>
              <w:t>査</w:t>
            </w:r>
            <w:proofErr w:type="gramEnd"/>
          </w:p>
        </w:tc>
        <w:tc>
          <w:tcPr>
            <w:tcW w:w="1118"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≥90%</w:t>
            </w:r>
          </w:p>
        </w:tc>
        <w:tc>
          <w:tcPr>
            <w:tcW w:w="1106" w:type="dxa"/>
            <w:vAlign w:val="center"/>
          </w:tcPr>
          <w:p w:rsidR="00B454FA" w:rsidRDefault="00DF6893">
            <w:pPr>
              <w:adjustRightInd/>
              <w:snapToGrid/>
              <w:spacing w:line="0" w:lineRule="atLeast"/>
              <w:jc w:val="center"/>
              <w:rPr>
                <w:rFonts w:ascii="宋体" w:eastAsia="宋体" w:hAnsi="宋体" w:cs="宋体"/>
                <w:sz w:val="18"/>
                <w:szCs w:val="18"/>
              </w:rPr>
            </w:pPr>
            <w:r>
              <w:rPr>
                <w:rFonts w:ascii="宋体" w:eastAsia="宋体" w:hAnsi="宋体" w:cs="宋体" w:hint="eastAsia"/>
                <w:sz w:val="18"/>
                <w:szCs w:val="18"/>
              </w:rPr>
              <w:t>100%</w:t>
            </w:r>
          </w:p>
        </w:tc>
        <w:tc>
          <w:tcPr>
            <w:tcW w:w="81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5</w:t>
            </w: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4</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r w:rsidR="00B454FA">
        <w:trPr>
          <w:trHeight w:val="90"/>
          <w:jc w:val="center"/>
        </w:trPr>
        <w:tc>
          <w:tcPr>
            <w:tcW w:w="6813" w:type="dxa"/>
            <w:gridSpan w:val="6"/>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7"/>
                <w:sz w:val="18"/>
                <w:szCs w:val="18"/>
              </w:rPr>
              <w:t>总分</w:t>
            </w:r>
          </w:p>
        </w:tc>
        <w:tc>
          <w:tcPr>
            <w:tcW w:w="817" w:type="dxa"/>
            <w:vAlign w:val="center"/>
          </w:tcPr>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pacing w:val="-6"/>
                <w:sz w:val="18"/>
                <w:szCs w:val="18"/>
              </w:rPr>
              <w:t>100</w:t>
            </w:r>
          </w:p>
        </w:tc>
        <w:tc>
          <w:tcPr>
            <w:tcW w:w="857" w:type="dxa"/>
            <w:vAlign w:val="center"/>
          </w:tcPr>
          <w:p w:rsidR="00B454FA" w:rsidRDefault="00B454FA">
            <w:pPr>
              <w:adjustRightInd/>
              <w:snapToGrid/>
              <w:spacing w:line="0" w:lineRule="atLeast"/>
              <w:jc w:val="center"/>
              <w:rPr>
                <w:rFonts w:ascii="宋体" w:eastAsia="宋体" w:hAnsi="宋体" w:cs="宋体"/>
                <w:color w:val="auto"/>
                <w:sz w:val="18"/>
                <w:szCs w:val="18"/>
              </w:rPr>
            </w:pPr>
          </w:p>
          <w:p w:rsidR="00B454FA" w:rsidRDefault="00DF6893">
            <w:pPr>
              <w:adjustRightInd/>
              <w:snapToGrid/>
              <w:spacing w:line="0" w:lineRule="atLeast"/>
              <w:jc w:val="center"/>
              <w:rPr>
                <w:rFonts w:ascii="宋体" w:eastAsia="宋体" w:hAnsi="宋体" w:cs="宋体"/>
                <w:color w:val="auto"/>
                <w:sz w:val="18"/>
                <w:szCs w:val="18"/>
              </w:rPr>
            </w:pPr>
            <w:r>
              <w:rPr>
                <w:rFonts w:ascii="宋体" w:eastAsia="宋体" w:hAnsi="宋体" w:cs="宋体" w:hint="eastAsia"/>
                <w:color w:val="auto"/>
                <w:sz w:val="18"/>
                <w:szCs w:val="18"/>
              </w:rPr>
              <w:t>80</w:t>
            </w:r>
          </w:p>
        </w:tc>
        <w:tc>
          <w:tcPr>
            <w:tcW w:w="1372" w:type="dxa"/>
            <w:vAlign w:val="center"/>
          </w:tcPr>
          <w:p w:rsidR="00B454FA" w:rsidRDefault="00B454FA">
            <w:pPr>
              <w:adjustRightInd/>
              <w:snapToGrid/>
              <w:spacing w:line="0" w:lineRule="atLeast"/>
              <w:jc w:val="center"/>
              <w:rPr>
                <w:rFonts w:ascii="宋体" w:eastAsia="宋体" w:hAnsi="宋体" w:cs="宋体"/>
                <w:color w:val="auto"/>
                <w:sz w:val="18"/>
                <w:szCs w:val="18"/>
              </w:rPr>
            </w:pPr>
          </w:p>
        </w:tc>
      </w:tr>
    </w:tbl>
    <w:p w:rsidR="00B454FA" w:rsidRDefault="00DF6893">
      <w:pPr>
        <w:spacing w:before="161" w:line="225" w:lineRule="auto"/>
        <w:rPr>
          <w:rFonts w:ascii="仿宋" w:eastAsia="仿宋" w:hAnsi="仿宋" w:cs="仿宋"/>
          <w:color w:val="auto"/>
          <w:sz w:val="24"/>
          <w:szCs w:val="24"/>
        </w:rPr>
      </w:pPr>
      <w:r>
        <w:rPr>
          <w:rFonts w:ascii="仿宋" w:eastAsia="仿宋" w:hAnsi="仿宋" w:cs="仿宋"/>
          <w:color w:val="auto"/>
          <w:spacing w:val="-24"/>
          <w:position w:val="-1"/>
          <w:sz w:val="24"/>
          <w:szCs w:val="24"/>
        </w:rPr>
        <w:t>填表人：</w:t>
      </w:r>
      <w:r>
        <w:rPr>
          <w:rFonts w:ascii="仿宋" w:eastAsia="仿宋" w:hAnsi="仿宋" w:cs="仿宋" w:hint="eastAsia"/>
          <w:color w:val="auto"/>
          <w:spacing w:val="-24"/>
          <w:position w:val="-1"/>
          <w:sz w:val="24"/>
          <w:szCs w:val="24"/>
        </w:rPr>
        <w:t xml:space="preserve">向齐    </w:t>
      </w:r>
      <w:r>
        <w:rPr>
          <w:rFonts w:ascii="仿宋" w:eastAsia="仿宋" w:hAnsi="仿宋" w:cs="仿宋"/>
          <w:color w:val="auto"/>
          <w:spacing w:val="-24"/>
          <w:sz w:val="24"/>
          <w:szCs w:val="24"/>
        </w:rPr>
        <w:t>填报日期：</w:t>
      </w:r>
      <w:r>
        <w:rPr>
          <w:rFonts w:ascii="仿宋" w:eastAsia="仿宋" w:hAnsi="仿宋" w:cs="仿宋" w:hint="eastAsia"/>
          <w:color w:val="auto"/>
          <w:spacing w:val="-24"/>
          <w:sz w:val="24"/>
          <w:szCs w:val="24"/>
        </w:rPr>
        <w:t>2023年</w:t>
      </w:r>
      <w:r w:rsidR="00CA4A21">
        <w:rPr>
          <w:rFonts w:ascii="仿宋" w:eastAsia="仿宋" w:hAnsi="仿宋" w:cs="仿宋" w:hint="eastAsia"/>
          <w:color w:val="auto"/>
          <w:spacing w:val="-24"/>
          <w:sz w:val="24"/>
          <w:szCs w:val="24"/>
        </w:rPr>
        <w:t>8</w:t>
      </w:r>
      <w:r>
        <w:rPr>
          <w:rFonts w:ascii="仿宋" w:eastAsia="仿宋" w:hAnsi="仿宋" w:cs="仿宋" w:hint="eastAsia"/>
          <w:color w:val="auto"/>
          <w:spacing w:val="-24"/>
          <w:sz w:val="24"/>
          <w:szCs w:val="24"/>
        </w:rPr>
        <w:t xml:space="preserve">月        </w:t>
      </w:r>
      <w:r>
        <w:rPr>
          <w:rFonts w:ascii="仿宋" w:eastAsia="仿宋" w:hAnsi="仿宋" w:cs="仿宋"/>
          <w:color w:val="auto"/>
          <w:spacing w:val="-24"/>
          <w:sz w:val="24"/>
          <w:szCs w:val="24"/>
        </w:rPr>
        <w:t>联系电话：</w:t>
      </w:r>
      <w:r>
        <w:rPr>
          <w:rFonts w:ascii="仿宋" w:eastAsia="仿宋" w:hAnsi="仿宋" w:cs="仿宋" w:hint="eastAsia"/>
          <w:color w:val="auto"/>
          <w:spacing w:val="-24"/>
          <w:sz w:val="24"/>
          <w:szCs w:val="24"/>
        </w:rPr>
        <w:t xml:space="preserve">15873406193      </w:t>
      </w:r>
      <w:r>
        <w:rPr>
          <w:rFonts w:ascii="仿宋" w:eastAsia="仿宋" w:hAnsi="仿宋" w:cs="仿宋"/>
          <w:color w:val="auto"/>
          <w:spacing w:val="-24"/>
          <w:position w:val="1"/>
          <w:sz w:val="24"/>
          <w:szCs w:val="24"/>
        </w:rPr>
        <w:t>单位负责人签字：</w:t>
      </w:r>
      <w:r>
        <w:rPr>
          <w:rFonts w:ascii="仿宋" w:eastAsia="仿宋" w:hAnsi="仿宋" w:cs="仿宋" w:hint="eastAsia"/>
          <w:color w:val="auto"/>
          <w:spacing w:val="-24"/>
          <w:position w:val="1"/>
          <w:sz w:val="24"/>
          <w:szCs w:val="24"/>
        </w:rPr>
        <w:t>杨群</w:t>
      </w:r>
    </w:p>
    <w:p w:rsidR="00B454FA" w:rsidRDefault="00B454FA">
      <w:pPr>
        <w:rPr>
          <w:color w:val="auto"/>
        </w:rPr>
      </w:pPr>
    </w:p>
    <w:p w:rsidR="00B454FA" w:rsidRDefault="00DF6893">
      <w:pPr>
        <w:spacing w:before="303" w:line="219" w:lineRule="auto"/>
        <w:jc w:val="center"/>
        <w:rPr>
          <w:rFonts w:ascii="宋体" w:eastAsia="宋体" w:hAnsi="宋体" w:cs="宋体"/>
          <w:color w:val="auto"/>
          <w:sz w:val="34"/>
          <w:szCs w:val="34"/>
        </w:rPr>
      </w:pPr>
      <w:r>
        <w:rPr>
          <w:rFonts w:ascii="宋体" w:eastAsia="宋体" w:hAnsi="宋体" w:cs="宋体"/>
          <w:b/>
          <w:bCs/>
          <w:color w:val="auto"/>
          <w:spacing w:val="11"/>
          <w:sz w:val="34"/>
          <w:szCs w:val="34"/>
        </w:rPr>
        <w:lastRenderedPageBreak/>
        <w:t>2022年度预算支出绩效自评表</w:t>
      </w:r>
    </w:p>
    <w:p w:rsidR="00B454FA" w:rsidRDefault="00B454FA">
      <w:pPr>
        <w:spacing w:line="72" w:lineRule="exact"/>
        <w:rPr>
          <w:color w:val="auto"/>
        </w:rPr>
      </w:pPr>
    </w:p>
    <w:tbl>
      <w:tblPr>
        <w:tblStyle w:val="TableNormal"/>
        <w:tblW w:w="97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5"/>
        <w:gridCol w:w="973"/>
        <w:gridCol w:w="1247"/>
        <w:gridCol w:w="1188"/>
        <w:gridCol w:w="1103"/>
        <w:gridCol w:w="1090"/>
        <w:gridCol w:w="805"/>
        <w:gridCol w:w="844"/>
        <w:gridCol w:w="1354"/>
      </w:tblGrid>
      <w:tr w:rsidR="00B454FA">
        <w:trPr>
          <w:trHeight w:val="616"/>
          <w:jc w:val="center"/>
        </w:trPr>
        <w:tc>
          <w:tcPr>
            <w:tcW w:w="1115"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position w:val="6"/>
              </w:rPr>
              <w:t>项目支</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出名称</w:t>
            </w:r>
          </w:p>
        </w:tc>
        <w:tc>
          <w:tcPr>
            <w:tcW w:w="8604" w:type="dxa"/>
            <w:gridSpan w:val="8"/>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企业关闭破产补助经费</w:t>
            </w:r>
          </w:p>
        </w:tc>
      </w:tr>
      <w:tr w:rsidR="00B454FA">
        <w:trPr>
          <w:trHeight w:val="334"/>
          <w:jc w:val="center"/>
        </w:trPr>
        <w:tc>
          <w:tcPr>
            <w:tcW w:w="1115"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5"/>
              </w:rPr>
              <w:t>主管部门</w:t>
            </w:r>
          </w:p>
        </w:tc>
        <w:tc>
          <w:tcPr>
            <w:tcW w:w="4511" w:type="dxa"/>
            <w:gridSpan w:val="4"/>
            <w:vAlign w:val="center"/>
          </w:tcPr>
          <w:p w:rsidR="00B454FA" w:rsidRDefault="00B454FA">
            <w:pPr>
              <w:adjustRightInd/>
              <w:snapToGrid/>
              <w:spacing w:line="0" w:lineRule="atLeast"/>
              <w:jc w:val="center"/>
              <w:rPr>
                <w:color w:val="auto"/>
              </w:rPr>
            </w:pPr>
          </w:p>
        </w:tc>
        <w:tc>
          <w:tcPr>
            <w:tcW w:w="1090"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实施单位</w:t>
            </w:r>
          </w:p>
        </w:tc>
        <w:tc>
          <w:tcPr>
            <w:tcW w:w="3003" w:type="dxa"/>
            <w:gridSpan w:val="3"/>
            <w:vAlign w:val="center"/>
          </w:tcPr>
          <w:p w:rsidR="00B454FA" w:rsidRDefault="00B454FA">
            <w:pPr>
              <w:adjustRightInd/>
              <w:snapToGrid/>
              <w:spacing w:line="0" w:lineRule="atLeast"/>
              <w:jc w:val="center"/>
              <w:rPr>
                <w:color w:val="auto"/>
              </w:rPr>
            </w:pPr>
          </w:p>
        </w:tc>
      </w:tr>
      <w:tr w:rsidR="00B454FA">
        <w:trPr>
          <w:trHeight w:val="316"/>
          <w:jc w:val="center"/>
        </w:trPr>
        <w:tc>
          <w:tcPr>
            <w:tcW w:w="1115"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项目资金</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11"/>
              </w:rPr>
              <w:t>(万元)</w:t>
            </w:r>
          </w:p>
        </w:tc>
        <w:tc>
          <w:tcPr>
            <w:tcW w:w="2220" w:type="dxa"/>
            <w:gridSpan w:val="2"/>
            <w:vAlign w:val="center"/>
          </w:tcPr>
          <w:p w:rsidR="00B454FA" w:rsidRDefault="00B454FA">
            <w:pPr>
              <w:adjustRightInd/>
              <w:snapToGrid/>
              <w:spacing w:line="0" w:lineRule="atLeast"/>
              <w:jc w:val="center"/>
              <w:rPr>
                <w:color w:val="auto"/>
              </w:rPr>
            </w:pPr>
          </w:p>
        </w:tc>
        <w:tc>
          <w:tcPr>
            <w:tcW w:w="1188"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年初预算数</w:t>
            </w:r>
          </w:p>
        </w:tc>
        <w:tc>
          <w:tcPr>
            <w:tcW w:w="1103"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全年预算数</w:t>
            </w:r>
          </w:p>
        </w:tc>
        <w:tc>
          <w:tcPr>
            <w:tcW w:w="1090"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全年执行数</w:t>
            </w:r>
          </w:p>
        </w:tc>
        <w:tc>
          <w:tcPr>
            <w:tcW w:w="805"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分值</w:t>
            </w:r>
          </w:p>
        </w:tc>
        <w:tc>
          <w:tcPr>
            <w:tcW w:w="844"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执行率</w:t>
            </w:r>
          </w:p>
        </w:tc>
        <w:tc>
          <w:tcPr>
            <w:tcW w:w="1354"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得分</w:t>
            </w:r>
          </w:p>
        </w:tc>
      </w:tr>
      <w:tr w:rsidR="00B454FA">
        <w:trPr>
          <w:trHeight w:val="342"/>
          <w:jc w:val="center"/>
        </w:trPr>
        <w:tc>
          <w:tcPr>
            <w:tcW w:w="1115" w:type="dxa"/>
            <w:vMerge/>
            <w:tcBorders>
              <w:top w:val="nil"/>
              <w:bottom w:val="nil"/>
            </w:tcBorders>
            <w:vAlign w:val="center"/>
          </w:tcPr>
          <w:p w:rsidR="00B454FA" w:rsidRDefault="00B454FA">
            <w:pPr>
              <w:adjustRightInd/>
              <w:snapToGrid/>
              <w:spacing w:line="0" w:lineRule="atLeast"/>
              <w:jc w:val="center"/>
              <w:rPr>
                <w:color w:val="auto"/>
              </w:rPr>
            </w:pPr>
          </w:p>
        </w:tc>
        <w:tc>
          <w:tcPr>
            <w:tcW w:w="2220" w:type="dxa"/>
            <w:gridSpan w:val="2"/>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年度资金总额</w:t>
            </w:r>
          </w:p>
        </w:tc>
        <w:tc>
          <w:tcPr>
            <w:tcW w:w="1188" w:type="dxa"/>
            <w:vAlign w:val="center"/>
          </w:tcPr>
          <w:p w:rsidR="00B454FA" w:rsidRDefault="00DF6893">
            <w:pPr>
              <w:adjustRightInd/>
              <w:snapToGrid/>
              <w:spacing w:line="0" w:lineRule="atLeast"/>
              <w:jc w:val="center"/>
              <w:rPr>
                <w:color w:val="auto"/>
              </w:rPr>
            </w:pPr>
            <w:r>
              <w:rPr>
                <w:rFonts w:hint="eastAsia"/>
                <w:color w:val="auto"/>
              </w:rPr>
              <w:t>52.75</w:t>
            </w:r>
          </w:p>
        </w:tc>
        <w:tc>
          <w:tcPr>
            <w:tcW w:w="1103" w:type="dxa"/>
            <w:vAlign w:val="center"/>
          </w:tcPr>
          <w:p w:rsidR="00B454FA" w:rsidRDefault="00DF6893">
            <w:pPr>
              <w:adjustRightInd/>
              <w:snapToGrid/>
              <w:spacing w:line="0" w:lineRule="atLeast"/>
              <w:jc w:val="center"/>
              <w:rPr>
                <w:color w:val="auto"/>
              </w:rPr>
            </w:pPr>
            <w:r>
              <w:rPr>
                <w:rFonts w:hint="eastAsia"/>
                <w:color w:val="auto"/>
              </w:rPr>
              <w:t>50.82</w:t>
            </w:r>
          </w:p>
        </w:tc>
        <w:tc>
          <w:tcPr>
            <w:tcW w:w="1090" w:type="dxa"/>
            <w:vAlign w:val="center"/>
          </w:tcPr>
          <w:p w:rsidR="00B454FA" w:rsidRDefault="00DF6893">
            <w:pPr>
              <w:adjustRightInd/>
              <w:snapToGrid/>
              <w:spacing w:line="0" w:lineRule="atLeast"/>
              <w:jc w:val="center"/>
              <w:rPr>
                <w:color w:val="auto"/>
              </w:rPr>
            </w:pPr>
            <w:r>
              <w:rPr>
                <w:rFonts w:hint="eastAsia"/>
                <w:color w:val="auto"/>
              </w:rPr>
              <w:t>50.82</w:t>
            </w:r>
          </w:p>
        </w:tc>
        <w:tc>
          <w:tcPr>
            <w:tcW w:w="805"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6"/>
              </w:rPr>
              <w:t>10</w:t>
            </w:r>
          </w:p>
        </w:tc>
        <w:tc>
          <w:tcPr>
            <w:tcW w:w="844" w:type="dxa"/>
            <w:vAlign w:val="center"/>
          </w:tcPr>
          <w:p w:rsidR="00B454FA" w:rsidRDefault="00DF6893">
            <w:pPr>
              <w:adjustRightInd/>
              <w:snapToGrid/>
              <w:spacing w:line="0" w:lineRule="atLeast"/>
              <w:jc w:val="center"/>
              <w:rPr>
                <w:color w:val="auto"/>
              </w:rPr>
            </w:pPr>
            <w:r>
              <w:rPr>
                <w:rFonts w:hint="eastAsia"/>
                <w:color w:val="auto"/>
              </w:rPr>
              <w:t>100%</w:t>
            </w:r>
          </w:p>
        </w:tc>
        <w:tc>
          <w:tcPr>
            <w:tcW w:w="1354" w:type="dxa"/>
            <w:vAlign w:val="center"/>
          </w:tcPr>
          <w:p w:rsidR="00B454FA" w:rsidRDefault="00DF6893">
            <w:pPr>
              <w:adjustRightInd/>
              <w:snapToGrid/>
              <w:spacing w:line="0" w:lineRule="atLeast"/>
              <w:jc w:val="center"/>
              <w:rPr>
                <w:color w:val="auto"/>
              </w:rPr>
            </w:pPr>
            <w:r>
              <w:rPr>
                <w:rFonts w:hint="eastAsia"/>
                <w:color w:val="auto"/>
              </w:rPr>
              <w:t>9</w:t>
            </w:r>
          </w:p>
        </w:tc>
      </w:tr>
      <w:tr w:rsidR="00B454FA">
        <w:trPr>
          <w:trHeight w:val="334"/>
          <w:jc w:val="center"/>
        </w:trPr>
        <w:tc>
          <w:tcPr>
            <w:tcW w:w="1115" w:type="dxa"/>
            <w:vMerge/>
            <w:tcBorders>
              <w:top w:val="nil"/>
              <w:bottom w:val="nil"/>
            </w:tcBorders>
            <w:vAlign w:val="center"/>
          </w:tcPr>
          <w:p w:rsidR="00B454FA" w:rsidRDefault="00B454FA">
            <w:pPr>
              <w:adjustRightInd/>
              <w:snapToGrid/>
              <w:spacing w:line="0" w:lineRule="atLeast"/>
              <w:jc w:val="center"/>
              <w:rPr>
                <w:color w:val="auto"/>
              </w:rPr>
            </w:pPr>
          </w:p>
        </w:tc>
        <w:tc>
          <w:tcPr>
            <w:tcW w:w="2220" w:type="dxa"/>
            <w:gridSpan w:val="2"/>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1"/>
              </w:rPr>
              <w:t>其中：当年财政拨款</w:t>
            </w:r>
          </w:p>
        </w:tc>
        <w:tc>
          <w:tcPr>
            <w:tcW w:w="1188" w:type="dxa"/>
            <w:vAlign w:val="center"/>
          </w:tcPr>
          <w:p w:rsidR="00B454FA" w:rsidRDefault="00DF6893">
            <w:pPr>
              <w:adjustRightInd/>
              <w:snapToGrid/>
              <w:spacing w:line="0" w:lineRule="atLeast"/>
              <w:jc w:val="center"/>
              <w:rPr>
                <w:color w:val="auto"/>
              </w:rPr>
            </w:pPr>
            <w:r>
              <w:rPr>
                <w:rFonts w:hint="eastAsia"/>
                <w:color w:val="auto"/>
              </w:rPr>
              <w:t>52.75</w:t>
            </w:r>
          </w:p>
        </w:tc>
        <w:tc>
          <w:tcPr>
            <w:tcW w:w="1103" w:type="dxa"/>
            <w:vAlign w:val="center"/>
          </w:tcPr>
          <w:p w:rsidR="00B454FA" w:rsidRDefault="00DF6893">
            <w:pPr>
              <w:adjustRightInd/>
              <w:snapToGrid/>
              <w:spacing w:line="0" w:lineRule="atLeast"/>
              <w:jc w:val="center"/>
              <w:rPr>
                <w:color w:val="auto"/>
              </w:rPr>
            </w:pPr>
            <w:r>
              <w:rPr>
                <w:rFonts w:hint="eastAsia"/>
                <w:color w:val="auto"/>
              </w:rPr>
              <w:t>50.82</w:t>
            </w:r>
          </w:p>
        </w:tc>
        <w:tc>
          <w:tcPr>
            <w:tcW w:w="1090" w:type="dxa"/>
            <w:vAlign w:val="center"/>
          </w:tcPr>
          <w:p w:rsidR="00B454FA" w:rsidRDefault="00DF6893">
            <w:pPr>
              <w:adjustRightInd/>
              <w:snapToGrid/>
              <w:spacing w:line="0" w:lineRule="atLeast"/>
              <w:jc w:val="center"/>
              <w:rPr>
                <w:color w:val="auto"/>
              </w:rPr>
            </w:pPr>
            <w:r>
              <w:rPr>
                <w:rFonts w:hint="eastAsia"/>
                <w:color w:val="auto"/>
              </w:rPr>
              <w:t>50.82</w:t>
            </w: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25"/>
          <w:jc w:val="center"/>
        </w:trPr>
        <w:tc>
          <w:tcPr>
            <w:tcW w:w="1115" w:type="dxa"/>
            <w:vMerge/>
            <w:tcBorders>
              <w:top w:val="nil"/>
              <w:bottom w:val="nil"/>
            </w:tcBorders>
            <w:vAlign w:val="center"/>
          </w:tcPr>
          <w:p w:rsidR="00B454FA" w:rsidRDefault="00B454FA">
            <w:pPr>
              <w:adjustRightInd/>
              <w:snapToGrid/>
              <w:spacing w:line="0" w:lineRule="atLeast"/>
              <w:jc w:val="center"/>
              <w:rPr>
                <w:color w:val="auto"/>
              </w:rPr>
            </w:pPr>
          </w:p>
        </w:tc>
        <w:tc>
          <w:tcPr>
            <w:tcW w:w="2220" w:type="dxa"/>
            <w:gridSpan w:val="2"/>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上年结转资金</w:t>
            </w: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25"/>
          <w:jc w:val="center"/>
        </w:trPr>
        <w:tc>
          <w:tcPr>
            <w:tcW w:w="1115" w:type="dxa"/>
            <w:vMerge/>
            <w:tcBorders>
              <w:top w:val="nil"/>
            </w:tcBorders>
            <w:vAlign w:val="center"/>
          </w:tcPr>
          <w:p w:rsidR="00B454FA" w:rsidRDefault="00B454FA">
            <w:pPr>
              <w:adjustRightInd/>
              <w:snapToGrid/>
              <w:spacing w:line="0" w:lineRule="atLeast"/>
              <w:jc w:val="center"/>
              <w:rPr>
                <w:color w:val="auto"/>
              </w:rPr>
            </w:pPr>
          </w:p>
        </w:tc>
        <w:tc>
          <w:tcPr>
            <w:tcW w:w="2220" w:type="dxa"/>
            <w:gridSpan w:val="2"/>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其他资金</w:t>
            </w: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33"/>
          <w:jc w:val="center"/>
        </w:trPr>
        <w:tc>
          <w:tcPr>
            <w:tcW w:w="1115"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6"/>
                <w:position w:val="8"/>
              </w:rPr>
              <w:t>年度总</w:t>
            </w:r>
          </w:p>
          <w:p w:rsidR="00B454FA" w:rsidRDefault="00DF6893">
            <w:pPr>
              <w:adjustRightInd/>
              <w:snapToGrid/>
              <w:spacing w:line="0" w:lineRule="atLeast"/>
              <w:jc w:val="center"/>
              <w:rPr>
                <w:rFonts w:ascii="宋体" w:eastAsia="宋体" w:hAnsi="宋体" w:cs="宋体"/>
                <w:color w:val="auto"/>
              </w:rPr>
            </w:pPr>
            <w:proofErr w:type="gramStart"/>
            <w:r>
              <w:rPr>
                <w:rFonts w:ascii="宋体" w:eastAsia="宋体" w:hAnsi="宋体" w:cs="宋体"/>
                <w:color w:val="auto"/>
                <w:spacing w:val="-2"/>
              </w:rPr>
              <w:t>体目标</w:t>
            </w:r>
            <w:proofErr w:type="gramEnd"/>
          </w:p>
        </w:tc>
        <w:tc>
          <w:tcPr>
            <w:tcW w:w="4511" w:type="dxa"/>
            <w:gridSpan w:val="4"/>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预期目标</w:t>
            </w:r>
          </w:p>
        </w:tc>
        <w:tc>
          <w:tcPr>
            <w:tcW w:w="4093" w:type="dxa"/>
            <w:gridSpan w:val="4"/>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1"/>
              </w:rPr>
              <w:t>实际完成情况</w:t>
            </w:r>
          </w:p>
        </w:tc>
      </w:tr>
      <w:tr w:rsidR="00B454FA">
        <w:trPr>
          <w:trHeight w:val="657"/>
          <w:jc w:val="center"/>
        </w:trPr>
        <w:tc>
          <w:tcPr>
            <w:tcW w:w="1115" w:type="dxa"/>
            <w:vMerge/>
            <w:tcBorders>
              <w:top w:val="nil"/>
            </w:tcBorders>
            <w:vAlign w:val="center"/>
          </w:tcPr>
          <w:p w:rsidR="00B454FA" w:rsidRDefault="00B454FA">
            <w:pPr>
              <w:adjustRightInd/>
              <w:snapToGrid/>
              <w:spacing w:line="0" w:lineRule="atLeast"/>
              <w:jc w:val="center"/>
              <w:rPr>
                <w:color w:val="auto"/>
              </w:rPr>
            </w:pPr>
          </w:p>
        </w:tc>
        <w:tc>
          <w:tcPr>
            <w:tcW w:w="4511" w:type="dxa"/>
            <w:gridSpan w:val="4"/>
            <w:vAlign w:val="center"/>
          </w:tcPr>
          <w:p w:rsidR="00B454FA" w:rsidRDefault="00DF6893">
            <w:pPr>
              <w:adjustRightInd/>
              <w:snapToGrid/>
              <w:spacing w:line="0" w:lineRule="atLeast"/>
              <w:jc w:val="center"/>
              <w:rPr>
                <w:color w:val="auto"/>
              </w:rPr>
            </w:pPr>
            <w:r>
              <w:rPr>
                <w:rFonts w:ascii="仿宋_GB2312" w:eastAsia="仿宋_GB2312" w:hAnsi="宋体" w:cs="宋体" w:hint="eastAsia"/>
              </w:rPr>
              <w:t>解决改制企业遗留问题，维护社会稳定。</w:t>
            </w:r>
          </w:p>
        </w:tc>
        <w:tc>
          <w:tcPr>
            <w:tcW w:w="4093" w:type="dxa"/>
            <w:gridSpan w:val="4"/>
            <w:vAlign w:val="center"/>
          </w:tcPr>
          <w:p w:rsidR="00B454FA" w:rsidRDefault="00DF6893">
            <w:pPr>
              <w:adjustRightInd/>
              <w:snapToGrid/>
              <w:spacing w:line="0" w:lineRule="atLeast"/>
              <w:jc w:val="center"/>
              <w:rPr>
                <w:color w:val="auto"/>
              </w:rPr>
            </w:pPr>
            <w:r>
              <w:rPr>
                <w:rFonts w:ascii="仿宋_GB2312" w:eastAsia="仿宋_GB2312" w:hAnsi="宋体" w:cs="宋体" w:hint="eastAsia"/>
              </w:rPr>
              <w:t>全面完成各项工作任务</w:t>
            </w:r>
          </w:p>
        </w:tc>
      </w:tr>
      <w:tr w:rsidR="00B454FA">
        <w:trPr>
          <w:trHeight w:val="935"/>
          <w:jc w:val="center"/>
        </w:trPr>
        <w:tc>
          <w:tcPr>
            <w:tcW w:w="1115" w:type="dxa"/>
            <w:vMerge w:val="restart"/>
            <w:tcBorders>
              <w:bottom w:val="nil"/>
            </w:tcBorders>
            <w:textDirection w:val="tbRlV"/>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rPr>
              <w:t>绩效指标</w:t>
            </w:r>
          </w:p>
        </w:tc>
        <w:tc>
          <w:tcPr>
            <w:tcW w:w="973"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4"/>
              </w:rPr>
              <w:t>一级指</w:t>
            </w:r>
            <w:r>
              <w:rPr>
                <w:rFonts w:ascii="宋体" w:eastAsia="宋体" w:hAnsi="宋体" w:cs="宋体"/>
                <w:color w:val="auto"/>
              </w:rPr>
              <w:t>标</w:t>
            </w:r>
          </w:p>
        </w:tc>
        <w:tc>
          <w:tcPr>
            <w:tcW w:w="1247"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二级指标</w:t>
            </w:r>
          </w:p>
        </w:tc>
        <w:tc>
          <w:tcPr>
            <w:tcW w:w="1188"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三级指标</w:t>
            </w:r>
          </w:p>
        </w:tc>
        <w:tc>
          <w:tcPr>
            <w:tcW w:w="1103"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6"/>
                <w:position w:val="8"/>
              </w:rPr>
              <w:t>年度</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指标值</w:t>
            </w:r>
          </w:p>
        </w:tc>
        <w:tc>
          <w:tcPr>
            <w:tcW w:w="1090"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4"/>
                <w:position w:val="8"/>
              </w:rPr>
              <w:t>实际</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完成值</w:t>
            </w:r>
          </w:p>
        </w:tc>
        <w:tc>
          <w:tcPr>
            <w:tcW w:w="805"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分值</w:t>
            </w:r>
          </w:p>
        </w:tc>
        <w:tc>
          <w:tcPr>
            <w:tcW w:w="844"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得分</w:t>
            </w:r>
          </w:p>
        </w:tc>
        <w:tc>
          <w:tcPr>
            <w:tcW w:w="1354"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5"/>
              </w:rPr>
              <w:t>偏差原因</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分析及</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改进措施</w:t>
            </w:r>
          </w:p>
        </w:tc>
      </w:tr>
      <w:tr w:rsidR="00B454FA">
        <w:trPr>
          <w:trHeight w:val="438"/>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12"/>
              </w:rPr>
              <w:t>产出</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position w:val="32"/>
              </w:rPr>
              <w:t>指标</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9"/>
              </w:rPr>
              <w:t>(50分)</w:t>
            </w:r>
          </w:p>
        </w:tc>
        <w:tc>
          <w:tcPr>
            <w:tcW w:w="1247"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数量指标</w:t>
            </w:r>
          </w:p>
        </w:tc>
        <w:tc>
          <w:tcPr>
            <w:tcW w:w="1188" w:type="dxa"/>
            <w:vAlign w:val="center"/>
          </w:tcPr>
          <w:p w:rsidR="00B454FA" w:rsidRDefault="00DF6893">
            <w:pPr>
              <w:adjustRightInd/>
              <w:snapToGrid/>
              <w:spacing w:line="0" w:lineRule="atLeast"/>
              <w:jc w:val="center"/>
              <w:rPr>
                <w:color w:val="auto"/>
              </w:rPr>
            </w:pPr>
            <w:r>
              <w:rPr>
                <w:rFonts w:ascii="仿宋_GB2312" w:eastAsia="仿宋_GB2312" w:hAnsi="宋体" w:cs="宋体" w:hint="eastAsia"/>
                <w:sz w:val="18"/>
                <w:szCs w:val="18"/>
              </w:rPr>
              <w:t>改制企业法人安置</w:t>
            </w:r>
          </w:p>
        </w:tc>
        <w:tc>
          <w:tcPr>
            <w:tcW w:w="1103" w:type="dxa"/>
            <w:vAlign w:val="center"/>
          </w:tcPr>
          <w:p w:rsidR="00B454FA" w:rsidRDefault="00DF6893">
            <w:pPr>
              <w:adjustRightInd/>
              <w:snapToGrid/>
              <w:spacing w:line="0" w:lineRule="atLeast"/>
              <w:jc w:val="center"/>
              <w:rPr>
                <w:color w:val="auto"/>
              </w:rPr>
            </w:pPr>
            <w:r>
              <w:rPr>
                <w:rFonts w:hint="eastAsia"/>
                <w:color w:val="auto"/>
              </w:rPr>
              <w:t>6</w:t>
            </w:r>
            <w:r>
              <w:rPr>
                <w:rFonts w:hint="eastAsia"/>
                <w:color w:val="auto"/>
              </w:rPr>
              <w:t>人</w:t>
            </w:r>
          </w:p>
        </w:tc>
        <w:tc>
          <w:tcPr>
            <w:tcW w:w="1090" w:type="dxa"/>
            <w:vAlign w:val="center"/>
          </w:tcPr>
          <w:p w:rsidR="00B454FA" w:rsidRDefault="00DF6893">
            <w:pPr>
              <w:adjustRightInd/>
              <w:snapToGrid/>
              <w:spacing w:line="0" w:lineRule="atLeast"/>
              <w:jc w:val="center"/>
              <w:rPr>
                <w:color w:val="auto"/>
              </w:rPr>
            </w:pPr>
            <w:r>
              <w:rPr>
                <w:rFonts w:hint="eastAsia"/>
                <w:color w:val="auto"/>
              </w:rPr>
              <w:t>6</w:t>
            </w:r>
            <w:r>
              <w:rPr>
                <w:rFonts w:hint="eastAsia"/>
                <w:color w:val="auto"/>
              </w:rPr>
              <w:t>人</w:t>
            </w:r>
          </w:p>
        </w:tc>
        <w:tc>
          <w:tcPr>
            <w:tcW w:w="805" w:type="dxa"/>
            <w:vAlign w:val="center"/>
          </w:tcPr>
          <w:p w:rsidR="00B454FA" w:rsidRDefault="00DF6893">
            <w:pPr>
              <w:adjustRightInd/>
              <w:snapToGrid/>
              <w:spacing w:line="0" w:lineRule="atLeast"/>
              <w:jc w:val="center"/>
              <w:rPr>
                <w:color w:val="auto"/>
              </w:rPr>
            </w:pPr>
            <w:r>
              <w:rPr>
                <w:rFonts w:hint="eastAsia"/>
                <w:color w:val="auto"/>
              </w:rPr>
              <w:t>30</w:t>
            </w:r>
          </w:p>
        </w:tc>
        <w:tc>
          <w:tcPr>
            <w:tcW w:w="844" w:type="dxa"/>
            <w:vAlign w:val="center"/>
          </w:tcPr>
          <w:p w:rsidR="00B454FA" w:rsidRDefault="00DF6893">
            <w:pPr>
              <w:adjustRightInd/>
              <w:snapToGrid/>
              <w:spacing w:line="0" w:lineRule="atLeast"/>
              <w:jc w:val="center"/>
              <w:rPr>
                <w:color w:val="auto"/>
              </w:rPr>
            </w:pPr>
            <w:r>
              <w:rPr>
                <w:rFonts w:hint="eastAsia"/>
                <w:color w:val="auto"/>
              </w:rPr>
              <w:t>28</w:t>
            </w:r>
          </w:p>
        </w:tc>
        <w:tc>
          <w:tcPr>
            <w:tcW w:w="1354" w:type="dxa"/>
            <w:vAlign w:val="center"/>
          </w:tcPr>
          <w:p w:rsidR="00B454FA" w:rsidRDefault="00B454FA">
            <w:pPr>
              <w:adjustRightInd/>
              <w:snapToGrid/>
              <w:spacing w:line="0" w:lineRule="atLeast"/>
              <w:jc w:val="center"/>
              <w:rPr>
                <w:color w:val="auto"/>
              </w:rPr>
            </w:pPr>
          </w:p>
        </w:tc>
      </w:tr>
      <w:tr w:rsidR="00B454FA">
        <w:trPr>
          <w:trHeight w:val="342"/>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718"/>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质量指标</w:t>
            </w:r>
          </w:p>
        </w:tc>
        <w:tc>
          <w:tcPr>
            <w:tcW w:w="1188" w:type="dxa"/>
            <w:vAlign w:val="center"/>
          </w:tcPr>
          <w:p w:rsidR="00B454FA" w:rsidRDefault="00DF6893">
            <w:pPr>
              <w:adjustRightInd/>
              <w:snapToGrid/>
              <w:spacing w:line="0" w:lineRule="atLeast"/>
              <w:jc w:val="center"/>
              <w:rPr>
                <w:color w:val="auto"/>
              </w:rPr>
            </w:pPr>
            <w:r>
              <w:rPr>
                <w:rFonts w:ascii="仿宋_GB2312" w:eastAsia="仿宋_GB2312" w:hAnsi="宋体" w:cs="宋体" w:hint="eastAsia"/>
                <w:sz w:val="18"/>
                <w:szCs w:val="18"/>
              </w:rPr>
              <w:t>改制法人工资</w:t>
            </w:r>
            <w:r>
              <w:rPr>
                <w:rFonts w:ascii="仿宋_GB2312" w:eastAsia="仿宋_GB2312" w:hAnsi="宋体" w:cs="宋体" w:hint="eastAsia"/>
              </w:rPr>
              <w:t>年度按月发放</w:t>
            </w:r>
          </w:p>
        </w:tc>
        <w:tc>
          <w:tcPr>
            <w:tcW w:w="1103"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到位率</w:t>
            </w:r>
          </w:p>
        </w:tc>
        <w:tc>
          <w:tcPr>
            <w:tcW w:w="1090"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100%</w:t>
            </w:r>
          </w:p>
        </w:tc>
        <w:tc>
          <w:tcPr>
            <w:tcW w:w="805"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20</w:t>
            </w:r>
          </w:p>
        </w:tc>
        <w:tc>
          <w:tcPr>
            <w:tcW w:w="844"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17</w:t>
            </w:r>
          </w:p>
        </w:tc>
        <w:tc>
          <w:tcPr>
            <w:tcW w:w="1354" w:type="dxa"/>
            <w:vAlign w:val="center"/>
          </w:tcPr>
          <w:p w:rsidR="00B454FA" w:rsidRDefault="00B454FA">
            <w:pPr>
              <w:adjustRightInd/>
              <w:snapToGrid/>
              <w:spacing w:line="0" w:lineRule="atLeast"/>
              <w:jc w:val="center"/>
              <w:rPr>
                <w:color w:val="auto"/>
              </w:rPr>
            </w:pPr>
          </w:p>
        </w:tc>
      </w:tr>
      <w:tr w:rsidR="00B454FA">
        <w:trPr>
          <w:trHeight w:val="342"/>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25"/>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时效指标</w:t>
            </w: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34"/>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34"/>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成本指标</w:t>
            </w: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42"/>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16"/>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val="restart"/>
            <w:tcBorders>
              <w:bottom w:val="nil"/>
            </w:tcBorders>
            <w:vAlign w:val="center"/>
          </w:tcPr>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4"/>
              </w:rPr>
              <w:t>效益</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position w:val="31"/>
              </w:rPr>
              <w:t>指标</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9"/>
              </w:rPr>
              <w:t>(30分)</w:t>
            </w:r>
          </w:p>
        </w:tc>
        <w:tc>
          <w:tcPr>
            <w:tcW w:w="1247"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position w:val="6"/>
              </w:rPr>
              <w:t>经济</w:t>
            </w:r>
            <w:proofErr w:type="gramStart"/>
            <w:r>
              <w:rPr>
                <w:rFonts w:ascii="宋体" w:eastAsia="宋体" w:hAnsi="宋体" w:cs="宋体"/>
                <w:color w:val="auto"/>
                <w:spacing w:val="-3"/>
                <w:position w:val="6"/>
              </w:rPr>
              <w:t>效</w:t>
            </w:r>
            <w:proofErr w:type="gramEnd"/>
          </w:p>
          <w:p w:rsidR="00B454FA" w:rsidRDefault="00DF6893">
            <w:pPr>
              <w:adjustRightInd/>
              <w:snapToGrid/>
              <w:spacing w:line="0" w:lineRule="atLeast"/>
              <w:jc w:val="center"/>
              <w:rPr>
                <w:rFonts w:ascii="宋体" w:eastAsia="宋体" w:hAnsi="宋体" w:cs="宋体"/>
                <w:color w:val="auto"/>
              </w:rPr>
            </w:pPr>
            <w:proofErr w:type="gramStart"/>
            <w:r>
              <w:rPr>
                <w:rFonts w:ascii="宋体" w:eastAsia="宋体" w:hAnsi="宋体" w:cs="宋体"/>
                <w:color w:val="auto"/>
                <w:spacing w:val="-3"/>
              </w:rPr>
              <w:t>益指标</w:t>
            </w:r>
            <w:proofErr w:type="gramEnd"/>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42"/>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34"/>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position w:val="8"/>
              </w:rPr>
              <w:t>社会</w:t>
            </w:r>
            <w:proofErr w:type="gramStart"/>
            <w:r>
              <w:rPr>
                <w:rFonts w:ascii="宋体" w:eastAsia="宋体" w:hAnsi="宋体" w:cs="宋体"/>
                <w:color w:val="auto"/>
                <w:spacing w:val="-3"/>
                <w:position w:val="8"/>
              </w:rPr>
              <w:t>效</w:t>
            </w:r>
            <w:proofErr w:type="gramEnd"/>
          </w:p>
          <w:p w:rsidR="00B454FA" w:rsidRDefault="00DF6893">
            <w:pPr>
              <w:adjustRightInd/>
              <w:snapToGrid/>
              <w:spacing w:line="0" w:lineRule="atLeast"/>
              <w:jc w:val="center"/>
              <w:rPr>
                <w:rFonts w:ascii="宋体" w:eastAsia="宋体" w:hAnsi="宋体" w:cs="宋体"/>
                <w:color w:val="auto"/>
              </w:rPr>
            </w:pPr>
            <w:proofErr w:type="gramStart"/>
            <w:r>
              <w:rPr>
                <w:rFonts w:ascii="宋体" w:eastAsia="宋体" w:hAnsi="宋体" w:cs="宋体"/>
                <w:color w:val="auto"/>
                <w:spacing w:val="-3"/>
              </w:rPr>
              <w:t>益指标</w:t>
            </w:r>
            <w:proofErr w:type="gramEnd"/>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33"/>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25"/>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position w:val="8"/>
              </w:rPr>
              <w:t>生态</w:t>
            </w:r>
            <w:proofErr w:type="gramStart"/>
            <w:r>
              <w:rPr>
                <w:rFonts w:ascii="宋体" w:eastAsia="宋体" w:hAnsi="宋体" w:cs="宋体"/>
                <w:color w:val="auto"/>
                <w:spacing w:val="-3"/>
                <w:position w:val="8"/>
              </w:rPr>
              <w:t>效</w:t>
            </w:r>
            <w:proofErr w:type="gramEnd"/>
          </w:p>
          <w:p w:rsidR="00B454FA" w:rsidRDefault="00DF6893">
            <w:pPr>
              <w:adjustRightInd/>
              <w:snapToGrid/>
              <w:spacing w:line="0" w:lineRule="atLeast"/>
              <w:jc w:val="center"/>
              <w:rPr>
                <w:rFonts w:ascii="宋体" w:eastAsia="宋体" w:hAnsi="宋体" w:cs="宋体"/>
                <w:color w:val="auto"/>
              </w:rPr>
            </w:pPr>
            <w:proofErr w:type="gramStart"/>
            <w:r>
              <w:rPr>
                <w:rFonts w:ascii="宋体" w:eastAsia="宋体" w:hAnsi="宋体" w:cs="宋体"/>
                <w:color w:val="auto"/>
                <w:spacing w:val="-3"/>
              </w:rPr>
              <w:t>益指标</w:t>
            </w:r>
            <w:proofErr w:type="gramEnd"/>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342"/>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508"/>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bottom w:val="nil"/>
            </w:tcBorders>
            <w:vAlign w:val="center"/>
          </w:tcPr>
          <w:p w:rsidR="00B454FA" w:rsidRDefault="00B454FA">
            <w:pPr>
              <w:adjustRightInd/>
              <w:snapToGrid/>
              <w:spacing w:line="0" w:lineRule="atLeast"/>
              <w:jc w:val="center"/>
              <w:rPr>
                <w:color w:val="auto"/>
              </w:rPr>
            </w:pPr>
          </w:p>
        </w:tc>
        <w:tc>
          <w:tcPr>
            <w:tcW w:w="1247"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可持续影</w:t>
            </w:r>
          </w:p>
          <w:p w:rsidR="00B454FA" w:rsidRDefault="00DF6893">
            <w:pPr>
              <w:adjustRightInd/>
              <w:snapToGrid/>
              <w:spacing w:line="0" w:lineRule="atLeast"/>
              <w:jc w:val="center"/>
              <w:rPr>
                <w:rFonts w:ascii="宋体" w:eastAsia="宋体" w:hAnsi="宋体" w:cs="宋体"/>
                <w:color w:val="auto"/>
              </w:rPr>
            </w:pPr>
            <w:proofErr w:type="gramStart"/>
            <w:r>
              <w:rPr>
                <w:rFonts w:ascii="宋体" w:eastAsia="宋体" w:hAnsi="宋体" w:cs="宋体"/>
                <w:color w:val="auto"/>
                <w:spacing w:val="2"/>
              </w:rPr>
              <w:t>响指标</w:t>
            </w:r>
            <w:proofErr w:type="gramEnd"/>
          </w:p>
        </w:tc>
        <w:tc>
          <w:tcPr>
            <w:tcW w:w="1188" w:type="dxa"/>
            <w:vAlign w:val="center"/>
          </w:tcPr>
          <w:p w:rsidR="00B454FA" w:rsidRDefault="00DF6893">
            <w:pPr>
              <w:adjustRightInd/>
              <w:snapToGrid/>
              <w:spacing w:line="0" w:lineRule="atLeast"/>
              <w:jc w:val="center"/>
              <w:rPr>
                <w:rFonts w:ascii="仿宋_GB2312" w:eastAsia="仿宋_GB2312" w:hAnsi="宋体" w:cs="宋体"/>
              </w:rPr>
            </w:pPr>
            <w:r>
              <w:rPr>
                <w:rFonts w:ascii="仿宋_GB2312" w:eastAsia="仿宋_GB2312" w:hAnsi="宋体" w:cs="宋体" w:hint="eastAsia"/>
              </w:rPr>
              <w:t>维护社会稳定</w:t>
            </w:r>
          </w:p>
        </w:tc>
        <w:tc>
          <w:tcPr>
            <w:tcW w:w="1103"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100%</w:t>
            </w:r>
          </w:p>
        </w:tc>
        <w:tc>
          <w:tcPr>
            <w:tcW w:w="1090"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100%</w:t>
            </w:r>
          </w:p>
        </w:tc>
        <w:tc>
          <w:tcPr>
            <w:tcW w:w="805"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30</w:t>
            </w:r>
          </w:p>
        </w:tc>
        <w:tc>
          <w:tcPr>
            <w:tcW w:w="844"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25</w:t>
            </w:r>
          </w:p>
        </w:tc>
        <w:tc>
          <w:tcPr>
            <w:tcW w:w="1354" w:type="dxa"/>
            <w:vAlign w:val="center"/>
          </w:tcPr>
          <w:p w:rsidR="00B454FA" w:rsidRDefault="00B454FA">
            <w:pPr>
              <w:adjustRightInd/>
              <w:snapToGrid/>
              <w:spacing w:line="0" w:lineRule="atLeast"/>
              <w:jc w:val="center"/>
              <w:rPr>
                <w:color w:val="auto"/>
              </w:rPr>
            </w:pPr>
          </w:p>
        </w:tc>
      </w:tr>
      <w:tr w:rsidR="00B454FA">
        <w:trPr>
          <w:trHeight w:val="334"/>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508"/>
          <w:jc w:val="center"/>
        </w:trPr>
        <w:tc>
          <w:tcPr>
            <w:tcW w:w="1115" w:type="dxa"/>
            <w:vMerge/>
            <w:tcBorders>
              <w:top w:val="nil"/>
              <w:bottom w:val="nil"/>
            </w:tcBorders>
            <w:textDirection w:val="tbRlV"/>
            <w:vAlign w:val="center"/>
          </w:tcPr>
          <w:p w:rsidR="00B454FA" w:rsidRDefault="00B454FA">
            <w:pPr>
              <w:adjustRightInd/>
              <w:snapToGrid/>
              <w:spacing w:line="0" w:lineRule="atLeast"/>
              <w:jc w:val="center"/>
              <w:rPr>
                <w:color w:val="auto"/>
              </w:rPr>
            </w:pPr>
          </w:p>
        </w:tc>
        <w:tc>
          <w:tcPr>
            <w:tcW w:w="973"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sz w:val="20"/>
                <w:szCs w:val="20"/>
              </w:rPr>
            </w:pPr>
            <w:r>
              <w:rPr>
                <w:rFonts w:ascii="宋体" w:eastAsia="宋体" w:hAnsi="宋体" w:cs="宋体"/>
                <w:color w:val="auto"/>
                <w:spacing w:val="14"/>
                <w:sz w:val="20"/>
                <w:szCs w:val="20"/>
              </w:rPr>
              <w:t>满意度</w:t>
            </w:r>
            <w:r>
              <w:rPr>
                <w:rFonts w:ascii="宋体" w:eastAsia="宋体" w:hAnsi="宋体" w:cs="宋体"/>
                <w:color w:val="auto"/>
                <w:spacing w:val="18"/>
                <w:w w:val="118"/>
                <w:sz w:val="20"/>
                <w:szCs w:val="20"/>
              </w:rPr>
              <w:t>指标</w:t>
            </w:r>
            <w:r>
              <w:rPr>
                <w:rFonts w:ascii="宋体" w:eastAsia="宋体" w:hAnsi="宋体" w:cs="宋体"/>
                <w:color w:val="auto"/>
                <w:spacing w:val="15"/>
                <w:sz w:val="20"/>
                <w:szCs w:val="20"/>
              </w:rPr>
              <w:t>(10分)</w:t>
            </w:r>
          </w:p>
        </w:tc>
        <w:tc>
          <w:tcPr>
            <w:tcW w:w="1247" w:type="dxa"/>
            <w:vMerge w:val="restart"/>
            <w:tcBorders>
              <w:bottom w:val="nil"/>
            </w:tcBorders>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2"/>
              </w:rPr>
              <w:t>服务对象</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3"/>
              </w:rPr>
              <w:t>满意度指</w:t>
            </w:r>
          </w:p>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rPr>
              <w:t>标</w:t>
            </w:r>
          </w:p>
        </w:tc>
        <w:tc>
          <w:tcPr>
            <w:tcW w:w="1188" w:type="dxa"/>
            <w:vAlign w:val="center"/>
          </w:tcPr>
          <w:p w:rsidR="00B454FA" w:rsidRDefault="00DF6893">
            <w:pPr>
              <w:adjustRightInd/>
              <w:snapToGrid/>
              <w:spacing w:line="0" w:lineRule="atLeast"/>
              <w:jc w:val="center"/>
              <w:rPr>
                <w:color w:val="auto"/>
              </w:rPr>
            </w:pPr>
            <w:r>
              <w:rPr>
                <w:rFonts w:ascii="仿宋_GB2312" w:eastAsia="仿宋_GB2312" w:hAnsi="宋体" w:cs="宋体" w:hint="eastAsia"/>
              </w:rPr>
              <w:t>遗留问题处理</w:t>
            </w:r>
          </w:p>
        </w:tc>
        <w:tc>
          <w:tcPr>
            <w:tcW w:w="1103" w:type="dxa"/>
            <w:vAlign w:val="center"/>
          </w:tcPr>
          <w:p w:rsidR="00B454FA" w:rsidRDefault="00DF6893">
            <w:pPr>
              <w:adjustRightInd/>
              <w:snapToGrid/>
              <w:spacing w:line="0" w:lineRule="atLeast"/>
              <w:jc w:val="center"/>
              <w:rPr>
                <w:color w:val="auto"/>
              </w:rPr>
            </w:pPr>
            <w:r>
              <w:rPr>
                <w:rFonts w:hint="eastAsia"/>
                <w:color w:val="auto"/>
              </w:rPr>
              <w:t>100%</w:t>
            </w:r>
          </w:p>
        </w:tc>
        <w:tc>
          <w:tcPr>
            <w:tcW w:w="1090" w:type="dxa"/>
            <w:vAlign w:val="center"/>
          </w:tcPr>
          <w:p w:rsidR="00B454FA" w:rsidRDefault="00DF6893">
            <w:pPr>
              <w:adjustRightInd/>
              <w:snapToGrid/>
              <w:spacing w:line="0" w:lineRule="atLeast"/>
              <w:jc w:val="center"/>
              <w:rPr>
                <w:color w:val="auto"/>
              </w:rPr>
            </w:pPr>
            <w:r>
              <w:rPr>
                <w:rFonts w:hint="eastAsia"/>
                <w:color w:val="auto"/>
              </w:rPr>
              <w:t>100%</w:t>
            </w:r>
          </w:p>
        </w:tc>
        <w:tc>
          <w:tcPr>
            <w:tcW w:w="805" w:type="dxa"/>
            <w:vAlign w:val="center"/>
          </w:tcPr>
          <w:p w:rsidR="00B454FA" w:rsidRDefault="00DF6893">
            <w:pPr>
              <w:adjustRightInd/>
              <w:snapToGrid/>
              <w:spacing w:line="0" w:lineRule="atLeast"/>
              <w:jc w:val="center"/>
              <w:rPr>
                <w:color w:val="auto"/>
              </w:rPr>
            </w:pPr>
            <w:r>
              <w:rPr>
                <w:rFonts w:hint="eastAsia"/>
                <w:color w:val="auto"/>
              </w:rPr>
              <w:t>10</w:t>
            </w:r>
          </w:p>
        </w:tc>
        <w:tc>
          <w:tcPr>
            <w:tcW w:w="844" w:type="dxa"/>
            <w:vAlign w:val="center"/>
          </w:tcPr>
          <w:p w:rsidR="00B454FA" w:rsidRDefault="00DF6893">
            <w:pPr>
              <w:adjustRightInd/>
              <w:snapToGrid/>
              <w:spacing w:line="0" w:lineRule="atLeast"/>
              <w:jc w:val="center"/>
              <w:rPr>
                <w:color w:val="auto"/>
              </w:rPr>
            </w:pPr>
            <w:r>
              <w:rPr>
                <w:rFonts w:hint="eastAsia"/>
                <w:color w:val="auto"/>
              </w:rPr>
              <w:t>10</w:t>
            </w:r>
          </w:p>
        </w:tc>
        <w:tc>
          <w:tcPr>
            <w:tcW w:w="1354" w:type="dxa"/>
            <w:vAlign w:val="center"/>
          </w:tcPr>
          <w:p w:rsidR="00B454FA" w:rsidRDefault="00B454FA">
            <w:pPr>
              <w:adjustRightInd/>
              <w:snapToGrid/>
              <w:spacing w:line="0" w:lineRule="atLeast"/>
              <w:jc w:val="center"/>
              <w:rPr>
                <w:color w:val="auto"/>
              </w:rPr>
            </w:pPr>
          </w:p>
        </w:tc>
      </w:tr>
      <w:tr w:rsidR="00B454FA">
        <w:trPr>
          <w:trHeight w:val="495"/>
          <w:jc w:val="center"/>
        </w:trPr>
        <w:tc>
          <w:tcPr>
            <w:tcW w:w="1115" w:type="dxa"/>
            <w:vMerge/>
            <w:tcBorders>
              <w:top w:val="nil"/>
            </w:tcBorders>
            <w:textDirection w:val="tbRlV"/>
            <w:vAlign w:val="center"/>
          </w:tcPr>
          <w:p w:rsidR="00B454FA" w:rsidRDefault="00B454FA">
            <w:pPr>
              <w:adjustRightInd/>
              <w:snapToGrid/>
              <w:spacing w:line="0" w:lineRule="atLeast"/>
              <w:jc w:val="center"/>
              <w:rPr>
                <w:color w:val="auto"/>
              </w:rPr>
            </w:pPr>
          </w:p>
        </w:tc>
        <w:tc>
          <w:tcPr>
            <w:tcW w:w="973" w:type="dxa"/>
            <w:vMerge/>
            <w:tcBorders>
              <w:top w:val="nil"/>
            </w:tcBorders>
            <w:vAlign w:val="center"/>
          </w:tcPr>
          <w:p w:rsidR="00B454FA" w:rsidRDefault="00B454FA">
            <w:pPr>
              <w:adjustRightInd/>
              <w:snapToGrid/>
              <w:spacing w:line="0" w:lineRule="atLeast"/>
              <w:jc w:val="center"/>
              <w:rPr>
                <w:color w:val="auto"/>
              </w:rPr>
            </w:pPr>
          </w:p>
        </w:tc>
        <w:tc>
          <w:tcPr>
            <w:tcW w:w="1247" w:type="dxa"/>
            <w:vMerge/>
            <w:tcBorders>
              <w:top w:val="nil"/>
            </w:tcBorders>
            <w:vAlign w:val="center"/>
          </w:tcPr>
          <w:p w:rsidR="00B454FA" w:rsidRDefault="00B454FA">
            <w:pPr>
              <w:adjustRightInd/>
              <w:snapToGrid/>
              <w:spacing w:line="0" w:lineRule="atLeast"/>
              <w:jc w:val="center"/>
              <w:rPr>
                <w:color w:val="auto"/>
              </w:rPr>
            </w:pPr>
          </w:p>
        </w:tc>
        <w:tc>
          <w:tcPr>
            <w:tcW w:w="1188" w:type="dxa"/>
            <w:vAlign w:val="center"/>
          </w:tcPr>
          <w:p w:rsidR="00B454FA" w:rsidRDefault="00B454FA">
            <w:pPr>
              <w:adjustRightInd/>
              <w:snapToGrid/>
              <w:spacing w:line="0" w:lineRule="atLeast"/>
              <w:jc w:val="center"/>
              <w:rPr>
                <w:color w:val="auto"/>
              </w:rPr>
            </w:pPr>
          </w:p>
        </w:tc>
        <w:tc>
          <w:tcPr>
            <w:tcW w:w="1103" w:type="dxa"/>
            <w:vAlign w:val="center"/>
          </w:tcPr>
          <w:p w:rsidR="00B454FA" w:rsidRDefault="00B454FA">
            <w:pPr>
              <w:adjustRightInd/>
              <w:snapToGrid/>
              <w:spacing w:line="0" w:lineRule="atLeast"/>
              <w:jc w:val="center"/>
              <w:rPr>
                <w:color w:val="auto"/>
              </w:rPr>
            </w:pPr>
          </w:p>
        </w:tc>
        <w:tc>
          <w:tcPr>
            <w:tcW w:w="1090" w:type="dxa"/>
            <w:vAlign w:val="center"/>
          </w:tcPr>
          <w:p w:rsidR="00B454FA" w:rsidRDefault="00B454FA">
            <w:pPr>
              <w:adjustRightInd/>
              <w:snapToGrid/>
              <w:spacing w:line="0" w:lineRule="atLeast"/>
              <w:jc w:val="center"/>
              <w:rPr>
                <w:color w:val="auto"/>
              </w:rPr>
            </w:pPr>
          </w:p>
        </w:tc>
        <w:tc>
          <w:tcPr>
            <w:tcW w:w="805" w:type="dxa"/>
            <w:vAlign w:val="center"/>
          </w:tcPr>
          <w:p w:rsidR="00B454FA" w:rsidRDefault="00B454FA">
            <w:pPr>
              <w:adjustRightInd/>
              <w:snapToGrid/>
              <w:spacing w:line="0" w:lineRule="atLeast"/>
              <w:jc w:val="center"/>
              <w:rPr>
                <w:color w:val="auto"/>
              </w:rPr>
            </w:pPr>
          </w:p>
        </w:tc>
        <w:tc>
          <w:tcPr>
            <w:tcW w:w="844" w:type="dxa"/>
            <w:vAlign w:val="center"/>
          </w:tcPr>
          <w:p w:rsidR="00B454FA" w:rsidRDefault="00B454FA">
            <w:pPr>
              <w:adjustRightInd/>
              <w:snapToGrid/>
              <w:spacing w:line="0" w:lineRule="atLeast"/>
              <w:jc w:val="center"/>
              <w:rPr>
                <w:color w:val="auto"/>
              </w:rPr>
            </w:pPr>
          </w:p>
        </w:tc>
        <w:tc>
          <w:tcPr>
            <w:tcW w:w="1354" w:type="dxa"/>
            <w:vAlign w:val="center"/>
          </w:tcPr>
          <w:p w:rsidR="00B454FA" w:rsidRDefault="00B454FA">
            <w:pPr>
              <w:adjustRightInd/>
              <w:snapToGrid/>
              <w:spacing w:line="0" w:lineRule="atLeast"/>
              <w:jc w:val="center"/>
              <w:rPr>
                <w:color w:val="auto"/>
              </w:rPr>
            </w:pPr>
          </w:p>
        </w:tc>
      </w:tr>
      <w:tr w:rsidR="00B454FA">
        <w:trPr>
          <w:trHeight w:val="470"/>
          <w:jc w:val="center"/>
        </w:trPr>
        <w:tc>
          <w:tcPr>
            <w:tcW w:w="6716" w:type="dxa"/>
            <w:gridSpan w:val="6"/>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7"/>
              </w:rPr>
              <w:t>总分</w:t>
            </w:r>
          </w:p>
        </w:tc>
        <w:tc>
          <w:tcPr>
            <w:tcW w:w="805" w:type="dxa"/>
            <w:vAlign w:val="center"/>
          </w:tcPr>
          <w:p w:rsidR="00B454FA" w:rsidRDefault="00DF6893">
            <w:pPr>
              <w:adjustRightInd/>
              <w:snapToGrid/>
              <w:spacing w:line="0" w:lineRule="atLeast"/>
              <w:jc w:val="center"/>
              <w:rPr>
                <w:rFonts w:ascii="宋体" w:eastAsia="宋体" w:hAnsi="宋体" w:cs="宋体"/>
                <w:color w:val="auto"/>
              </w:rPr>
            </w:pPr>
            <w:r>
              <w:rPr>
                <w:rFonts w:ascii="宋体" w:eastAsia="宋体" w:hAnsi="宋体" w:cs="宋体"/>
                <w:color w:val="auto"/>
                <w:spacing w:val="-6"/>
              </w:rPr>
              <w:t>100</w:t>
            </w:r>
          </w:p>
        </w:tc>
        <w:tc>
          <w:tcPr>
            <w:tcW w:w="844" w:type="dxa"/>
            <w:vAlign w:val="center"/>
          </w:tcPr>
          <w:p w:rsidR="00B454FA" w:rsidRDefault="00B454FA">
            <w:pPr>
              <w:adjustRightInd/>
              <w:snapToGrid/>
              <w:spacing w:line="0" w:lineRule="atLeast"/>
              <w:jc w:val="center"/>
              <w:rPr>
                <w:color w:val="auto"/>
              </w:rPr>
            </w:pPr>
          </w:p>
          <w:p w:rsidR="00B454FA" w:rsidRDefault="00DF6893">
            <w:pPr>
              <w:adjustRightInd/>
              <w:snapToGrid/>
              <w:spacing w:line="0" w:lineRule="atLeast"/>
              <w:jc w:val="center"/>
              <w:rPr>
                <w:color w:val="auto"/>
              </w:rPr>
            </w:pPr>
            <w:r>
              <w:rPr>
                <w:rFonts w:hint="eastAsia"/>
                <w:color w:val="auto"/>
              </w:rPr>
              <w:t>89</w:t>
            </w:r>
          </w:p>
        </w:tc>
        <w:tc>
          <w:tcPr>
            <w:tcW w:w="1354" w:type="dxa"/>
            <w:vAlign w:val="center"/>
          </w:tcPr>
          <w:p w:rsidR="00B454FA" w:rsidRDefault="00B454FA">
            <w:pPr>
              <w:adjustRightInd/>
              <w:snapToGrid/>
              <w:spacing w:line="0" w:lineRule="atLeast"/>
              <w:jc w:val="center"/>
              <w:rPr>
                <w:color w:val="auto"/>
              </w:rPr>
            </w:pPr>
          </w:p>
        </w:tc>
      </w:tr>
    </w:tbl>
    <w:p w:rsidR="00B454FA" w:rsidRDefault="00DF6893">
      <w:pPr>
        <w:spacing w:before="161" w:line="225" w:lineRule="auto"/>
        <w:rPr>
          <w:rFonts w:ascii="仿宋" w:eastAsia="仿宋" w:hAnsi="仿宋" w:cs="仿宋"/>
          <w:color w:val="auto"/>
          <w:sz w:val="24"/>
          <w:szCs w:val="24"/>
        </w:rPr>
      </w:pPr>
      <w:r>
        <w:rPr>
          <w:rFonts w:ascii="仿宋" w:eastAsia="仿宋" w:hAnsi="仿宋" w:cs="仿宋"/>
          <w:color w:val="auto"/>
          <w:spacing w:val="-24"/>
          <w:position w:val="-1"/>
          <w:sz w:val="24"/>
          <w:szCs w:val="24"/>
        </w:rPr>
        <w:t>填表人：</w:t>
      </w:r>
      <w:proofErr w:type="gramStart"/>
      <w:r>
        <w:rPr>
          <w:rFonts w:ascii="仿宋" w:eastAsia="仿宋" w:hAnsi="仿宋" w:cs="仿宋" w:hint="eastAsia"/>
          <w:color w:val="auto"/>
          <w:spacing w:val="-24"/>
          <w:position w:val="-1"/>
          <w:sz w:val="24"/>
          <w:szCs w:val="24"/>
        </w:rPr>
        <w:t>颜</w:t>
      </w:r>
      <w:proofErr w:type="gramEnd"/>
      <w:r>
        <w:rPr>
          <w:rFonts w:ascii="仿宋" w:eastAsia="仿宋" w:hAnsi="仿宋" w:cs="仿宋" w:hint="eastAsia"/>
          <w:color w:val="auto"/>
          <w:spacing w:val="-24"/>
          <w:position w:val="-1"/>
          <w:sz w:val="24"/>
          <w:szCs w:val="24"/>
        </w:rPr>
        <w:t xml:space="preserve">佳美      </w:t>
      </w:r>
      <w:r>
        <w:rPr>
          <w:rFonts w:ascii="仿宋" w:eastAsia="仿宋" w:hAnsi="仿宋" w:cs="仿宋"/>
          <w:color w:val="auto"/>
          <w:spacing w:val="-24"/>
          <w:sz w:val="24"/>
          <w:szCs w:val="24"/>
        </w:rPr>
        <w:t>填报日期：</w:t>
      </w:r>
      <w:r>
        <w:rPr>
          <w:rFonts w:ascii="仿宋" w:eastAsia="仿宋" w:hAnsi="仿宋" w:cs="仿宋" w:hint="eastAsia"/>
          <w:color w:val="auto"/>
          <w:spacing w:val="-24"/>
          <w:sz w:val="24"/>
          <w:szCs w:val="24"/>
        </w:rPr>
        <w:t>2023年</w:t>
      </w:r>
      <w:r w:rsidR="00682268">
        <w:rPr>
          <w:rFonts w:ascii="仿宋" w:eastAsia="仿宋" w:hAnsi="仿宋" w:cs="仿宋" w:hint="eastAsia"/>
          <w:color w:val="auto"/>
          <w:spacing w:val="-24"/>
          <w:sz w:val="24"/>
          <w:szCs w:val="24"/>
        </w:rPr>
        <w:t>8</w:t>
      </w:r>
      <w:r>
        <w:rPr>
          <w:rFonts w:ascii="仿宋" w:eastAsia="仿宋" w:hAnsi="仿宋" w:cs="仿宋" w:hint="eastAsia"/>
          <w:color w:val="auto"/>
          <w:spacing w:val="-24"/>
          <w:sz w:val="24"/>
          <w:szCs w:val="24"/>
        </w:rPr>
        <w:t xml:space="preserve">月       </w:t>
      </w:r>
      <w:r>
        <w:rPr>
          <w:rFonts w:ascii="仿宋" w:eastAsia="仿宋" w:hAnsi="仿宋" w:cs="仿宋"/>
          <w:color w:val="auto"/>
          <w:spacing w:val="-24"/>
          <w:sz w:val="24"/>
          <w:szCs w:val="24"/>
        </w:rPr>
        <w:t>联系电话：</w:t>
      </w:r>
      <w:r>
        <w:rPr>
          <w:rFonts w:ascii="仿宋" w:eastAsia="仿宋" w:hAnsi="仿宋" w:cs="仿宋" w:hint="eastAsia"/>
          <w:color w:val="auto"/>
          <w:spacing w:val="-24"/>
          <w:sz w:val="24"/>
          <w:szCs w:val="24"/>
        </w:rPr>
        <w:t xml:space="preserve">13170344519    </w:t>
      </w:r>
      <w:r>
        <w:rPr>
          <w:rFonts w:ascii="仿宋" w:eastAsia="仿宋" w:hAnsi="仿宋" w:cs="仿宋"/>
          <w:color w:val="auto"/>
          <w:spacing w:val="-24"/>
          <w:position w:val="1"/>
          <w:sz w:val="24"/>
          <w:szCs w:val="24"/>
        </w:rPr>
        <w:t>单位负责人签字：</w:t>
      </w:r>
      <w:r>
        <w:rPr>
          <w:rFonts w:ascii="仿宋" w:eastAsia="仿宋" w:hAnsi="仿宋" w:cs="仿宋" w:hint="eastAsia"/>
          <w:color w:val="auto"/>
          <w:spacing w:val="-24"/>
          <w:position w:val="1"/>
          <w:sz w:val="24"/>
          <w:szCs w:val="24"/>
        </w:rPr>
        <w:t>杨群</w:t>
      </w:r>
      <w:bookmarkStart w:id="0" w:name="_GoBack"/>
      <w:bookmarkEnd w:id="0"/>
    </w:p>
    <w:sectPr w:rsidR="00B454FA" w:rsidSect="00B454FA">
      <w:footerReference w:type="default" r:id="rId6"/>
      <w:pgSz w:w="11860" w:h="16798"/>
      <w:pgMar w:top="1440" w:right="1803" w:bottom="1440" w:left="1803" w:header="0" w:footer="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559" w:rsidRDefault="00C56559" w:rsidP="00B454FA">
      <w:r>
        <w:separator/>
      </w:r>
    </w:p>
  </w:endnote>
  <w:endnote w:type="continuationSeparator" w:id="1">
    <w:p w:rsidR="00C56559" w:rsidRDefault="00C56559" w:rsidP="00B45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663"/>
      <w:docPartObj>
        <w:docPartGallery w:val="Page Numbers (Bottom of Page)"/>
        <w:docPartUnique/>
      </w:docPartObj>
    </w:sdtPr>
    <w:sdtContent>
      <w:p w:rsidR="00354951" w:rsidRDefault="00354951">
        <w:pPr>
          <w:pStyle w:val="a3"/>
          <w:jc w:val="center"/>
        </w:pPr>
        <w:fldSimple w:instr=" PAGE   \* MERGEFORMAT ">
          <w:r w:rsidR="00A05B68" w:rsidRPr="00A05B68">
            <w:rPr>
              <w:noProof/>
              <w:lang w:val="zh-CN"/>
            </w:rPr>
            <w:t>1</w:t>
          </w:r>
        </w:fldSimple>
      </w:p>
    </w:sdtContent>
  </w:sdt>
  <w:p w:rsidR="00C56559" w:rsidRDefault="00C56559">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559" w:rsidRDefault="00C56559" w:rsidP="00B454FA">
      <w:r>
        <w:separator/>
      </w:r>
    </w:p>
  </w:footnote>
  <w:footnote w:type="continuationSeparator" w:id="1">
    <w:p w:rsidR="00C56559" w:rsidRDefault="00C56559" w:rsidP="00B454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proofState w:spelling="clean" w:grammar="clean"/>
  <w:defaultTabStop w:val="420"/>
  <w:drawingGridHorizontalSpacing w:val="210"/>
  <w:drawingGridVerticalSpacing w:val="-7946"/>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dlOGRmMTA4OGRhYjNiYWYxMWU1MDVlN2Y3Y2UyYTEifQ=="/>
  </w:docVars>
  <w:rsids>
    <w:rsidRoot w:val="0070009F"/>
    <w:rsid w:val="00012A2F"/>
    <w:rsid w:val="000A24CF"/>
    <w:rsid w:val="00134A75"/>
    <w:rsid w:val="0014050B"/>
    <w:rsid w:val="001861C6"/>
    <w:rsid w:val="00206E91"/>
    <w:rsid w:val="00236FD3"/>
    <w:rsid w:val="002865F6"/>
    <w:rsid w:val="002A7F61"/>
    <w:rsid w:val="002D7DEB"/>
    <w:rsid w:val="003150B6"/>
    <w:rsid w:val="00344443"/>
    <w:rsid w:val="00354951"/>
    <w:rsid w:val="003F5884"/>
    <w:rsid w:val="004054A7"/>
    <w:rsid w:val="004753E1"/>
    <w:rsid w:val="004C6AA0"/>
    <w:rsid w:val="004D45BB"/>
    <w:rsid w:val="00504619"/>
    <w:rsid w:val="0050535C"/>
    <w:rsid w:val="00535B33"/>
    <w:rsid w:val="005E27E6"/>
    <w:rsid w:val="006571C3"/>
    <w:rsid w:val="00682268"/>
    <w:rsid w:val="006A395D"/>
    <w:rsid w:val="0070009F"/>
    <w:rsid w:val="007019A5"/>
    <w:rsid w:val="00777FA9"/>
    <w:rsid w:val="007C4739"/>
    <w:rsid w:val="007D6183"/>
    <w:rsid w:val="007D68D5"/>
    <w:rsid w:val="007F1FA3"/>
    <w:rsid w:val="00881222"/>
    <w:rsid w:val="00887169"/>
    <w:rsid w:val="008D22EA"/>
    <w:rsid w:val="00912D63"/>
    <w:rsid w:val="009230CC"/>
    <w:rsid w:val="00964671"/>
    <w:rsid w:val="00997B27"/>
    <w:rsid w:val="009E0BC2"/>
    <w:rsid w:val="009E1446"/>
    <w:rsid w:val="00A0156D"/>
    <w:rsid w:val="00A05B68"/>
    <w:rsid w:val="00AB4352"/>
    <w:rsid w:val="00B06097"/>
    <w:rsid w:val="00B454FA"/>
    <w:rsid w:val="00BA57D2"/>
    <w:rsid w:val="00C5080F"/>
    <w:rsid w:val="00C56559"/>
    <w:rsid w:val="00C56EC6"/>
    <w:rsid w:val="00C91701"/>
    <w:rsid w:val="00CA0B77"/>
    <w:rsid w:val="00CA4169"/>
    <w:rsid w:val="00CA4A21"/>
    <w:rsid w:val="00D04956"/>
    <w:rsid w:val="00D25B3C"/>
    <w:rsid w:val="00D47E72"/>
    <w:rsid w:val="00D526A5"/>
    <w:rsid w:val="00D86927"/>
    <w:rsid w:val="00D94305"/>
    <w:rsid w:val="00DA0C87"/>
    <w:rsid w:val="00DA1211"/>
    <w:rsid w:val="00DB0FBA"/>
    <w:rsid w:val="00DC2777"/>
    <w:rsid w:val="00DC3900"/>
    <w:rsid w:val="00DF6893"/>
    <w:rsid w:val="00E24EA5"/>
    <w:rsid w:val="00E467EA"/>
    <w:rsid w:val="00EA4749"/>
    <w:rsid w:val="00EA772D"/>
    <w:rsid w:val="00EF2D16"/>
    <w:rsid w:val="00EF4DF7"/>
    <w:rsid w:val="00F21288"/>
    <w:rsid w:val="00F53906"/>
    <w:rsid w:val="00FA0B53"/>
    <w:rsid w:val="00FB0E3B"/>
    <w:rsid w:val="0A5A06CB"/>
    <w:rsid w:val="1D9E3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4FA"/>
    <w:pPr>
      <w:kinsoku w:val="0"/>
      <w:autoSpaceDE w:val="0"/>
      <w:autoSpaceDN w:val="0"/>
      <w:adjustRightInd w:val="0"/>
      <w:snapToGrid w:val="0"/>
      <w:textAlignment w:val="baseline"/>
    </w:pPr>
    <w:rPr>
      <w:rFonts w:ascii="Arial" w:eastAsiaTheme="minorEastAsia"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454FA"/>
    <w:pPr>
      <w:tabs>
        <w:tab w:val="center" w:pos="4153"/>
        <w:tab w:val="right" w:pos="8306"/>
      </w:tabs>
    </w:pPr>
    <w:rPr>
      <w:sz w:val="18"/>
      <w:szCs w:val="18"/>
    </w:rPr>
  </w:style>
  <w:style w:type="paragraph" w:styleId="a4">
    <w:name w:val="header"/>
    <w:basedOn w:val="a"/>
    <w:link w:val="Char0"/>
    <w:qFormat/>
    <w:rsid w:val="00B454F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qFormat/>
    <w:rsid w:val="00B454FA"/>
    <w:rPr>
      <w:rFonts w:ascii="Arial" w:eastAsiaTheme="minorEastAsia" w:hAnsi="Arial" w:cs="Arial"/>
      <w:snapToGrid w:val="0"/>
      <w:color w:val="000000"/>
      <w:sz w:val="18"/>
      <w:szCs w:val="18"/>
    </w:rPr>
  </w:style>
  <w:style w:type="character" w:customStyle="1" w:styleId="Char">
    <w:name w:val="页脚 Char"/>
    <w:basedOn w:val="a0"/>
    <w:link w:val="a3"/>
    <w:uiPriority w:val="99"/>
    <w:qFormat/>
    <w:rsid w:val="00B454FA"/>
    <w:rPr>
      <w:rFonts w:ascii="Arial" w:eastAsiaTheme="minorEastAsia" w:hAnsi="Arial" w:cs="Arial"/>
      <w:snapToGrid w:val="0"/>
      <w:color w:val="000000"/>
      <w:sz w:val="18"/>
      <w:szCs w:val="18"/>
    </w:rPr>
  </w:style>
  <w:style w:type="table" w:customStyle="1" w:styleId="TableNormal">
    <w:name w:val="Table Normal"/>
    <w:semiHidden/>
    <w:unhideWhenUsed/>
    <w:qFormat/>
    <w:rsid w:val="00B454FA"/>
    <w:rPr>
      <w:rFonts w:ascii="Arial" w:eastAsiaTheme="minorEastAsia" w:hAnsi="Arial" w:cs="Arial"/>
      <w:snapToGrid w:val="0"/>
      <w:color w:val="000000"/>
      <w:sz w:val="21"/>
      <w:szCs w:val="21"/>
    </w:rPr>
    <w:tblPr>
      <w:tblCellMar>
        <w:top w:w="0" w:type="dxa"/>
        <w:left w:w="0" w:type="dxa"/>
        <w:bottom w:w="0" w:type="dxa"/>
        <w:right w:w="0" w:type="dxa"/>
      </w:tblCellMar>
    </w:tblPr>
  </w:style>
  <w:style w:type="character" w:customStyle="1" w:styleId="NormalCharacter">
    <w:name w:val="NormalCharacter"/>
    <w:semiHidden/>
    <w:qFormat/>
    <w:rsid w:val="00B454FA"/>
    <w:rPr>
      <w:rFonts w:eastAsia="宋体"/>
      <w:kern w:val="2"/>
      <w:sz w:val="21"/>
      <w:szCs w:val="24"/>
      <w:lang w:val="en-US" w:eastAsia="zh-CN" w:bidi="ar-SA"/>
    </w:rPr>
  </w:style>
  <w:style w:type="paragraph" w:styleId="a5">
    <w:name w:val="List Paragraph"/>
    <w:basedOn w:val="a"/>
    <w:uiPriority w:val="99"/>
    <w:qFormat/>
    <w:rsid w:val="009230CC"/>
    <w:pPr>
      <w:widowControl w:val="0"/>
      <w:kinsoku/>
      <w:autoSpaceDE/>
      <w:autoSpaceDN/>
      <w:adjustRightInd/>
      <w:snapToGrid/>
      <w:ind w:firstLineChars="200" w:firstLine="420"/>
      <w:jc w:val="both"/>
      <w:textAlignment w:val="auto"/>
    </w:pPr>
    <w:rPr>
      <w:rFonts w:ascii="Times New Roman" w:eastAsia="宋体" w:hAnsi="Times New Roman" w:cs="Times New Roman"/>
      <w:snapToGrid/>
      <w:color w:val="auto"/>
      <w:kern w:val="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27</Pages>
  <Words>13359</Words>
  <Characters>2302</Characters>
  <Application>Microsoft Office Word</Application>
  <DocSecurity>0</DocSecurity>
  <Lines>19</Lines>
  <Paragraphs>31</Paragraphs>
  <ScaleCrop>false</ScaleCrop>
  <Company>Sky123.Org</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13</cp:revision>
  <cp:lastPrinted>2023-08-10T00:54:00Z</cp:lastPrinted>
  <dcterms:created xsi:type="dcterms:W3CDTF">2023-07-25T02:16:00Z</dcterms:created>
  <dcterms:modified xsi:type="dcterms:W3CDTF">2023-08-10T00:56:00Z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5034B9876E444CB58E68B8722A339177</vt:lpwstr>
  </property>
</Properties>
</file>