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8" w:lineRule="auto"/>
        <w:rPr>
          <w:rFonts w:ascii="Arial"/>
          <w:sz w:val="21"/>
        </w:rPr>
      </w:pPr>
    </w:p>
    <w:p>
      <w:pPr>
        <w:spacing w:before="67" w:line="224" w:lineRule="auto"/>
        <w:ind w:left="95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1"/>
          <w:sz w:val="33"/>
          <w:szCs w:val="33"/>
        </w:rPr>
        <w:t>附件1: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40" w:line="221" w:lineRule="auto"/>
        <w:ind w:left="67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8"/>
          <w:sz w:val="43"/>
          <w:szCs w:val="43"/>
        </w:rPr>
        <w:t>2022年度部门整体支出绩效自评报告</w:t>
      </w:r>
    </w:p>
    <w:p>
      <w:pPr>
        <w:spacing w:before="85" w:line="221" w:lineRule="auto"/>
        <w:ind w:left="319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5"/>
          <w:sz w:val="43"/>
          <w:szCs w:val="43"/>
        </w:rPr>
        <w:t>(</w:t>
      </w:r>
      <w:r>
        <w:rPr>
          <w:rFonts w:hint="eastAsia" w:ascii="黑体" w:hAnsi="黑体" w:eastAsia="黑体" w:cs="黑体"/>
          <w:b/>
          <w:bCs/>
          <w:spacing w:val="5"/>
          <w:sz w:val="43"/>
          <w:szCs w:val="43"/>
          <w:lang w:eastAsia="zh-CN"/>
        </w:rPr>
        <w:t>乡村振兴局</w:t>
      </w:r>
      <w:r>
        <w:rPr>
          <w:rFonts w:ascii="黑体" w:hAnsi="黑体" w:eastAsia="黑体" w:cs="黑体"/>
          <w:b/>
          <w:bCs/>
          <w:spacing w:val="5"/>
          <w:sz w:val="43"/>
          <w:szCs w:val="43"/>
        </w:rPr>
        <w:t>)</w:t>
      </w:r>
    </w:p>
    <w:p>
      <w:pPr>
        <w:spacing w:line="416" w:lineRule="auto"/>
        <w:rPr>
          <w:rFonts w:ascii="Arial"/>
          <w:sz w:val="21"/>
        </w:rPr>
      </w:pPr>
    </w:p>
    <w:p>
      <w:pPr>
        <w:spacing w:before="107" w:line="222" w:lineRule="auto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0"/>
          <w:sz w:val="33"/>
          <w:szCs w:val="33"/>
        </w:rPr>
        <w:t>一、单位基本情况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3" w:line="580" w:lineRule="exact"/>
        <w:ind w:left="581"/>
        <w:textAlignment w:val="baseline"/>
        <w:rPr>
          <w:rFonts w:ascii="仿宋" w:hAnsi="仿宋" w:eastAsia="仿宋" w:cs="仿宋"/>
          <w:spacing w:val="11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(一)部门主要职责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ind w:left="1278" w:leftChars="304" w:hanging="640" w:hangingChars="200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1、贯彻落实党和国家有关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工作的方针、政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策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组织实施全县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计划。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ind w:left="1280" w:hanging="1280" w:hangingChars="400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2、根据县委、县政府提出的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目标、任务，拟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ind w:left="1280" w:hanging="1280" w:hangingChars="400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订全县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的规划。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ind w:left="640" w:leftChars="0" w:firstLine="0" w:firstLineChars="0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负责提出财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政</w:t>
      </w:r>
      <w:r>
        <w:rPr>
          <w:rFonts w:hint="eastAsia" w:ascii="仿宋" w:hAnsi="仿宋" w:eastAsia="仿宋" w:cs="仿宋"/>
          <w:bCs/>
          <w:sz w:val="32"/>
          <w:szCs w:val="32"/>
        </w:rPr>
        <w:t>机构设置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资金，上级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资金使用方案的编制，交由县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委实施乡村振兴战略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领导小组讨论决定后组织实施。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ind w:left="640" w:leftChars="0" w:firstLine="0" w:firstLineChars="0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协调、组织社会各界支持，参与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，检查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督促落实县乡挂钩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责任制；负责市县间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协作工作。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ind w:left="640" w:leftChars="0" w:firstLine="0" w:firstLineChars="0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负责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项目的产前、产中、产后的服务工作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、负责县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工作的对外交流，接受资助等事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项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的管理。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、承担县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领导的日常工作。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8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、承办县委、县人民政府交办的其他事项。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4" w:line="580" w:lineRule="exact"/>
        <w:ind w:firstLine="340" w:firstLineChars="100"/>
        <w:textAlignment w:val="baseline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人员编制情况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ind w:firstLine="340" w:firstLineChars="100"/>
        <w:jc w:val="both"/>
        <w:textAlignment w:val="baseline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在编在岗人数为1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人，其中财政供养在职1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人，离退休1人。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20" w:line="580" w:lineRule="exact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8"/>
          <w:sz w:val="33"/>
          <w:szCs w:val="33"/>
        </w:rPr>
        <w:t>二、</w:t>
      </w:r>
      <w:r>
        <w:rPr>
          <w:rFonts w:ascii="黑体" w:hAnsi="黑体" w:eastAsia="黑体" w:cs="黑体"/>
          <w:spacing w:val="-96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3"/>
          <w:szCs w:val="33"/>
        </w:rPr>
        <w:t>预算支出及绩效情况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28" w:line="580" w:lineRule="exact"/>
        <w:ind w:left="581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(一)部门预决算情况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18" w:line="580" w:lineRule="exact"/>
        <w:ind w:left="715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1"/>
          <w:sz w:val="33"/>
          <w:szCs w:val="33"/>
        </w:rPr>
        <w:t>1.部门预算情况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9" w:line="580" w:lineRule="exact"/>
        <w:ind w:left="96" w:right="45" w:firstLine="612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2022年年初预算安排收入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137.38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万元，其中一般公共财政拨 款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137.38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万元；2022年年初预算安排支出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137.38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万元，其中：基本支出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125.38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万元，项目支出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万元。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32" w:line="580" w:lineRule="exact"/>
        <w:ind w:left="715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2"/>
          <w:sz w:val="33"/>
          <w:szCs w:val="33"/>
        </w:rPr>
        <w:t>2.部门决算情况(含年中预算追加情况)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580" w:lineRule="exact"/>
        <w:ind w:left="91" w:right="23" w:firstLine="618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2022年决算总收入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1260.9908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万元，较预算增加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1123.6108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万元，总支出</w:t>
      </w:r>
      <w:r>
        <w:rPr>
          <w:rFonts w:hint="eastAsia"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/>
        </w:rPr>
        <w:t>1260.9908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171.4956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万元，占总支出的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13.6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%;项目支</w:t>
      </w:r>
      <w:r>
        <w:rPr>
          <w:rFonts w:hint="eastAsia" w:ascii="仿宋" w:hAnsi="仿宋" w:eastAsia="仿宋" w:cs="仿宋"/>
          <w:spacing w:val="40"/>
          <w:sz w:val="32"/>
          <w:szCs w:val="32"/>
        </w:rPr>
        <w:t>出</w:t>
      </w:r>
      <w:r>
        <w:rPr>
          <w:rFonts w:hint="eastAsia" w:ascii="仿宋" w:hAnsi="仿宋" w:eastAsia="仿宋" w:cs="仿宋"/>
          <w:b w:val="0"/>
          <w:bCs w:val="0"/>
          <w:spacing w:val="40"/>
          <w:sz w:val="32"/>
          <w:szCs w:val="32"/>
          <w:lang w:val="en-US" w:eastAsia="zh-CN"/>
        </w:rPr>
        <w:t>1089.4951</w:t>
      </w:r>
      <w:r>
        <w:rPr>
          <w:rFonts w:hint="eastAsia" w:ascii="仿宋" w:hAnsi="仿宋" w:eastAsia="仿宋" w:cs="仿宋"/>
          <w:spacing w:val="40"/>
          <w:sz w:val="32"/>
          <w:szCs w:val="32"/>
        </w:rPr>
        <w:t>万元，占总支出的</w:t>
      </w:r>
      <w:r>
        <w:rPr>
          <w:rFonts w:hint="eastAsia" w:ascii="仿宋" w:hAnsi="仿宋" w:eastAsia="仿宋" w:cs="仿宋"/>
          <w:spacing w:val="40"/>
          <w:sz w:val="32"/>
          <w:szCs w:val="32"/>
          <w:lang w:val="en-US" w:eastAsia="zh-CN"/>
        </w:rPr>
        <w:t>86.4</w:t>
      </w:r>
      <w:r>
        <w:rPr>
          <w:rFonts w:hint="eastAsia" w:ascii="仿宋" w:hAnsi="仿宋" w:eastAsia="仿宋" w:cs="仿宋"/>
          <w:spacing w:val="40"/>
          <w:sz w:val="32"/>
          <w:szCs w:val="32"/>
        </w:rPr>
        <w:t>%。差异产生的主要原</w:t>
      </w:r>
      <w:bookmarkStart w:id="0" w:name="_GoBack"/>
      <w:bookmarkEnd w:id="0"/>
      <w:r>
        <w:rPr>
          <w:rFonts w:hint="eastAsia" w:ascii="仿宋" w:hAnsi="仿宋" w:eastAsia="仿宋" w:cs="仿宋"/>
          <w:spacing w:val="40"/>
          <w:sz w:val="32"/>
          <w:szCs w:val="32"/>
        </w:rPr>
        <w:t>因是</w:t>
      </w:r>
      <w:r>
        <w:rPr>
          <w:rFonts w:hint="eastAsia" w:ascii="仿宋" w:hAnsi="仿宋" w:eastAsia="仿宋" w:cs="仿宋"/>
          <w:spacing w:val="40"/>
          <w:sz w:val="32"/>
          <w:szCs w:val="32"/>
          <w:lang w:eastAsia="zh-CN"/>
        </w:rPr>
        <w:t>乡村振兴衔接资金转移到单位进行支付</w:t>
      </w:r>
      <w:r>
        <w:rPr>
          <w:rFonts w:hint="eastAsia" w:ascii="仿宋" w:hAnsi="仿宋" w:eastAsia="仿宋" w:cs="仿宋"/>
          <w:spacing w:val="4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20" w:line="580" w:lineRule="exact"/>
        <w:ind w:left="715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2"/>
          <w:sz w:val="33"/>
          <w:szCs w:val="33"/>
        </w:rPr>
        <w:t>3."三公"经费执行情况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32" w:line="580" w:lineRule="exact"/>
        <w:ind w:left="90" w:firstLine="620"/>
        <w:jc w:val="both"/>
        <w:rPr>
          <w:rFonts w:hint="default" w:eastAsia="仿宋"/>
          <w:lang w:val="en-US" w:eastAsia="zh-CN"/>
        </w:rPr>
        <w:sectPr>
          <w:footerReference r:id="rId5" w:type="default"/>
          <w:pgSz w:w="11860" w:h="16800"/>
          <w:pgMar w:top="1355" w:right="1728" w:bottom="400" w:left="1779" w:header="0" w:footer="0" w:gutter="0"/>
          <w:cols w:space="720" w:num="1"/>
        </w:sectPr>
      </w:pPr>
      <w:r>
        <w:rPr>
          <w:rFonts w:ascii="仿宋" w:hAnsi="仿宋" w:eastAsia="仿宋" w:cs="仿宋"/>
          <w:spacing w:val="-10"/>
          <w:sz w:val="33"/>
          <w:szCs w:val="33"/>
        </w:rPr>
        <w:t>2022年"三公"经费预算数</w:t>
      </w:r>
      <w:r>
        <w:rPr>
          <w:rFonts w:hint="eastAsia" w:ascii="仿宋" w:hAnsi="仿宋" w:eastAsia="仿宋" w:cs="仿宋"/>
          <w:spacing w:val="-10"/>
          <w:sz w:val="33"/>
          <w:szCs w:val="33"/>
          <w:lang w:val="en-US" w:eastAsia="zh-CN"/>
        </w:rPr>
        <w:t>0.5</w:t>
      </w:r>
      <w:r>
        <w:rPr>
          <w:rFonts w:ascii="仿宋" w:hAnsi="仿宋" w:eastAsia="仿宋" w:cs="仿宋"/>
          <w:spacing w:val="-10"/>
          <w:sz w:val="33"/>
          <w:szCs w:val="33"/>
        </w:rPr>
        <w:t>万元，其中：因公出国(境)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费</w:t>
      </w:r>
      <w:r>
        <w:rPr>
          <w:rFonts w:hint="eastAsia" w:ascii="仿宋" w:hAnsi="仿宋" w:eastAsia="仿宋" w:cs="仿宋"/>
          <w:spacing w:val="-8"/>
          <w:sz w:val="33"/>
          <w:szCs w:val="33"/>
          <w:lang w:val="en-US" w:eastAsia="zh-CN"/>
        </w:rPr>
        <w:t>0</w:t>
      </w:r>
      <w:r>
        <w:rPr>
          <w:rFonts w:ascii="仿宋" w:hAnsi="仿宋" w:eastAsia="仿宋" w:cs="仿宋"/>
          <w:spacing w:val="-8"/>
          <w:sz w:val="33"/>
          <w:szCs w:val="33"/>
        </w:rPr>
        <w:t>万元，公务用车购置及运行维护费</w:t>
      </w:r>
      <w:r>
        <w:rPr>
          <w:rFonts w:hint="eastAsia" w:ascii="仿宋" w:hAnsi="仿宋" w:eastAsia="仿宋" w:cs="仿宋"/>
          <w:spacing w:val="-8"/>
          <w:sz w:val="33"/>
          <w:szCs w:val="33"/>
          <w:lang w:val="en-US" w:eastAsia="zh-CN"/>
        </w:rPr>
        <w:t>0</w:t>
      </w:r>
      <w:r>
        <w:rPr>
          <w:rFonts w:ascii="仿宋" w:hAnsi="仿宋" w:eastAsia="仿宋" w:cs="仿宋"/>
          <w:spacing w:val="-8"/>
          <w:sz w:val="33"/>
          <w:szCs w:val="33"/>
        </w:rPr>
        <w:t>万元，公务接待费</w:t>
      </w:r>
      <w:r>
        <w:rPr>
          <w:rFonts w:hint="eastAsia" w:ascii="仿宋" w:hAnsi="仿宋" w:eastAsia="仿宋" w:cs="仿宋"/>
          <w:spacing w:val="-8"/>
          <w:sz w:val="33"/>
          <w:szCs w:val="33"/>
          <w:lang w:val="en-US" w:eastAsia="zh-CN"/>
        </w:rPr>
        <w:t>0.5</w:t>
      </w:r>
      <w:r>
        <w:rPr>
          <w:rFonts w:ascii="仿宋" w:hAnsi="仿宋" w:eastAsia="仿宋" w:cs="仿宋"/>
          <w:spacing w:val="1"/>
          <w:sz w:val="33"/>
          <w:szCs w:val="33"/>
        </w:rPr>
        <w:t>万元。</w:t>
      </w:r>
      <w:r>
        <w:rPr>
          <w:rFonts w:ascii="仿宋" w:hAnsi="仿宋" w:eastAsia="仿宋" w:cs="仿宋"/>
          <w:spacing w:val="8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"三公"经费决算数</w:t>
      </w:r>
      <w:r>
        <w:rPr>
          <w:rFonts w:hint="eastAsia" w:ascii="仿宋" w:hAnsi="仿宋" w:eastAsia="仿宋" w:cs="仿宋"/>
          <w:spacing w:val="1"/>
          <w:sz w:val="33"/>
          <w:szCs w:val="33"/>
          <w:lang w:val="en-US" w:eastAsia="zh-CN"/>
        </w:rPr>
        <w:t>0.1015</w:t>
      </w:r>
      <w:r>
        <w:rPr>
          <w:rFonts w:ascii="仿宋" w:hAnsi="仿宋" w:eastAsia="仿宋" w:cs="仿宋"/>
          <w:spacing w:val="1"/>
          <w:sz w:val="33"/>
          <w:szCs w:val="33"/>
        </w:rPr>
        <w:t>元，其中：因公出国(境)费</w:t>
      </w:r>
      <w:r>
        <w:rPr>
          <w:rFonts w:hint="eastAsia" w:ascii="仿宋" w:hAnsi="仿宋" w:eastAsia="仿宋" w:cs="仿宋"/>
          <w:spacing w:val="1"/>
          <w:sz w:val="33"/>
          <w:szCs w:val="33"/>
          <w:lang w:val="en-US" w:eastAsia="zh-CN"/>
        </w:rPr>
        <w:t>0万元，公务用车运行维护费0万元，公务接待费0.1015万元。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49" w:line="580" w:lineRule="exact"/>
        <w:ind w:left="745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8"/>
          <w:sz w:val="32"/>
          <w:szCs w:val="32"/>
        </w:rPr>
        <w:t>4.政府采购执行情况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33" w:line="580" w:lineRule="exact"/>
        <w:ind w:left="741"/>
        <w:rPr>
          <w:rFonts w:hint="eastAsia" w:ascii="仿宋" w:hAnsi="仿宋" w:eastAsia="仿宋" w:cs="仿宋"/>
          <w:spacing w:val="6"/>
          <w:position w:val="24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6"/>
          <w:position w:val="24"/>
          <w:sz w:val="31"/>
          <w:szCs w:val="31"/>
        </w:rPr>
        <w:t>2022年度政府采购支出</w:t>
      </w:r>
      <w:r>
        <w:rPr>
          <w:rFonts w:hint="eastAsia" w:ascii="仿宋" w:hAnsi="仿宋" w:eastAsia="仿宋" w:cs="仿宋"/>
          <w:spacing w:val="6"/>
          <w:position w:val="24"/>
          <w:sz w:val="31"/>
          <w:szCs w:val="31"/>
          <w:lang w:val="en-US" w:eastAsia="zh-CN"/>
        </w:rPr>
        <w:t>202</w:t>
      </w:r>
      <w:r>
        <w:rPr>
          <w:rFonts w:ascii="仿宋" w:hAnsi="仿宋" w:eastAsia="仿宋" w:cs="仿宋"/>
          <w:spacing w:val="6"/>
          <w:position w:val="24"/>
          <w:sz w:val="31"/>
          <w:szCs w:val="31"/>
        </w:rPr>
        <w:t>万元，其中：货物</w:t>
      </w:r>
      <w:r>
        <w:rPr>
          <w:rFonts w:hint="eastAsia" w:ascii="仿宋" w:hAnsi="仿宋" w:eastAsia="仿宋" w:cs="仿宋"/>
          <w:spacing w:val="6"/>
          <w:position w:val="24"/>
          <w:sz w:val="31"/>
          <w:szCs w:val="31"/>
          <w:lang w:val="en-US" w:eastAsia="zh-CN"/>
        </w:rPr>
        <w:t>202万元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33" w:line="580" w:lineRule="exact"/>
        <w:ind w:left="7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5.资产管理情况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30" w:line="580" w:lineRule="exact"/>
        <w:ind w:left="115" w:firstLine="62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2022年年末资产总额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12.1273</w:t>
      </w:r>
      <w:r>
        <w:rPr>
          <w:rFonts w:ascii="仿宋" w:hAnsi="仿宋" w:eastAsia="仿宋" w:cs="仿宋"/>
          <w:spacing w:val="6"/>
          <w:sz w:val="31"/>
          <w:szCs w:val="31"/>
        </w:rPr>
        <w:t>万元，负债总额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1.5909</w:t>
      </w:r>
      <w:r>
        <w:rPr>
          <w:rFonts w:ascii="仿宋" w:hAnsi="仿宋" w:eastAsia="仿宋" w:cs="仿宋"/>
          <w:spacing w:val="6"/>
          <w:sz w:val="31"/>
          <w:szCs w:val="31"/>
        </w:rPr>
        <w:t>万元，净资产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10.5363</w:t>
      </w:r>
      <w:r>
        <w:rPr>
          <w:rFonts w:ascii="仿宋" w:hAnsi="仿宋" w:eastAsia="仿宋" w:cs="仿宋"/>
          <w:spacing w:val="18"/>
          <w:sz w:val="31"/>
          <w:szCs w:val="31"/>
        </w:rPr>
        <w:t>万元。截至2022年12月31日，固定资产账面原值</w:t>
      </w:r>
      <w:r>
        <w:rPr>
          <w:rFonts w:hint="eastAsia" w:ascii="仿宋" w:hAnsi="仿宋" w:eastAsia="仿宋" w:cs="仿宋"/>
          <w:spacing w:val="18"/>
          <w:sz w:val="31"/>
          <w:szCs w:val="31"/>
          <w:lang w:val="en-US" w:eastAsia="zh-CN"/>
        </w:rPr>
        <w:t>13.13</w:t>
      </w:r>
      <w:r>
        <w:rPr>
          <w:rFonts w:ascii="仿宋" w:hAnsi="仿宋" w:eastAsia="仿宋" w:cs="仿宋"/>
          <w:spacing w:val="18"/>
          <w:sz w:val="31"/>
          <w:szCs w:val="31"/>
        </w:rPr>
        <w:t>万</w:t>
      </w:r>
      <w:r>
        <w:rPr>
          <w:rFonts w:ascii="仿宋" w:hAnsi="仿宋" w:eastAsia="仿宋" w:cs="仿宋"/>
          <w:spacing w:val="5"/>
          <w:sz w:val="31"/>
          <w:szCs w:val="31"/>
        </w:rPr>
        <w:t>元，在用资产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13.13</w:t>
      </w:r>
      <w:r>
        <w:rPr>
          <w:rFonts w:ascii="仿宋" w:hAnsi="仿宋" w:eastAsia="仿宋" w:cs="仿宋"/>
          <w:spacing w:val="5"/>
          <w:sz w:val="31"/>
          <w:szCs w:val="31"/>
        </w:rPr>
        <w:t>万元，资产使用率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100</w:t>
      </w:r>
      <w:r>
        <w:rPr>
          <w:rFonts w:ascii="仿宋" w:hAnsi="仿宋" w:eastAsia="仿宋" w:cs="仿宋"/>
          <w:spacing w:val="5"/>
          <w:sz w:val="31"/>
          <w:szCs w:val="31"/>
        </w:rPr>
        <w:t>%。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82" w:line="580" w:lineRule="exact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7"/>
          <w:position w:val="21"/>
          <w:sz w:val="31"/>
          <w:szCs w:val="31"/>
        </w:rPr>
        <w:t>(二)资金使用及绩效情况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ind w:left="745"/>
        <w:rPr>
          <w:rFonts w:ascii="仿宋" w:hAnsi="仿宋" w:eastAsia="仿宋" w:cs="仿宋"/>
          <w:b/>
          <w:bCs/>
          <w:spacing w:val="6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1.整体绩效目标完成情况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98" w:leftChars="142" w:firstLine="662" w:firstLineChars="207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部门整体支出绩效自评综述:根据年初设定的绩效目标,自评得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分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97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分。主要的产出和效果:完成县政府和省、市部门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工作成效考核、财政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资金项目第三方核查和资金绩效评价、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防返贫监测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信息动态管理和统计监测分析、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培训与宣传等既定工作。促进了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乡村振兴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资金的安全、高效使用等。从绩效自评情况看,还存在绩效指标设定不够全面、合理,指标设计不够细化,绩效目标与实际工作任务衔接不够,等问题。下一步改进措施:提高预算编制精准度,健全绩效目标管理与预算安排有机结合;提高预算执行率,进一步细化、量化绩效指标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47" w:line="580" w:lineRule="exact"/>
        <w:ind w:firstLine="71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2"/>
          <w:position w:val="22"/>
          <w:sz w:val="31"/>
          <w:szCs w:val="31"/>
        </w:rPr>
        <w:t>2.项目绩效目标完成情况(仅对50万元以上的</w:t>
      </w:r>
      <w:r>
        <w:rPr>
          <w:rFonts w:ascii="仿宋" w:hAnsi="仿宋" w:eastAsia="仿宋" w:cs="仿宋"/>
          <w:b/>
          <w:bCs/>
          <w:spacing w:val="21"/>
          <w:position w:val="22"/>
          <w:sz w:val="31"/>
          <w:szCs w:val="31"/>
        </w:rPr>
        <w:t>项目资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" w:line="580" w:lineRule="exact"/>
        <w:ind w:left="115"/>
        <w:rPr>
          <w:rFonts w:ascii="仿宋" w:hAnsi="仿宋" w:eastAsia="仿宋" w:cs="仿宋"/>
          <w:b/>
          <w:bCs/>
          <w:spacing w:val="11"/>
          <w:sz w:val="31"/>
          <w:szCs w:val="31"/>
        </w:rPr>
      </w:pPr>
      <w:r>
        <w:rPr>
          <w:rFonts w:ascii="仿宋" w:hAnsi="仿宋" w:eastAsia="仿宋" w:cs="仿宋"/>
          <w:b/>
          <w:bCs/>
          <w:spacing w:val="11"/>
          <w:sz w:val="31"/>
          <w:szCs w:val="31"/>
        </w:rPr>
        <w:t>金进行分项说明)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2" w:line="580" w:lineRule="exact"/>
        <w:ind w:left="115" w:firstLine="752" w:firstLineChars="20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33"/>
          <w:sz w:val="31"/>
          <w:szCs w:val="31"/>
          <w:lang w:val="en-US" w:eastAsia="zh-CN"/>
        </w:rPr>
        <w:t>2022年我单位无50万元以上的项目资金。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rPr>
          <w:rFonts w:hint="eastAsia" w:ascii="黑体" w:hAnsi="黑体" w:eastAsia="黑体" w:cs="黑体"/>
          <w:b/>
          <w:bCs/>
          <w:spacing w:val="-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rPr>
          <w:rFonts w:hint="eastAsia" w:ascii="黑体" w:hAnsi="黑体" w:eastAsia="黑体" w:cs="黑体"/>
          <w:b/>
          <w:bCs/>
          <w:spacing w:val="-1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1"/>
          <w:sz w:val="32"/>
          <w:szCs w:val="32"/>
          <w:lang w:eastAsia="zh-CN"/>
        </w:rPr>
        <w:t>三、</w:t>
      </w:r>
      <w:r>
        <w:rPr>
          <w:rFonts w:ascii="黑体" w:hAnsi="黑体" w:eastAsia="黑体" w:cs="黑体"/>
          <w:b/>
          <w:bCs/>
          <w:spacing w:val="-1"/>
          <w:sz w:val="32"/>
          <w:szCs w:val="32"/>
        </w:rPr>
        <w:t>存在的问题及改进措施</w:t>
      </w:r>
      <w:r>
        <w:rPr>
          <w:rFonts w:hint="eastAsia" w:ascii="黑体" w:hAnsi="黑体" w:eastAsia="黑体" w:cs="黑体"/>
          <w:b/>
          <w:bCs/>
          <w:spacing w:val="-1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pacing w:val="-1"/>
          <w:sz w:val="31"/>
          <w:szCs w:val="31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（1）、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细化预算编制工作，认真做好预算的编制。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320" w:firstLineChars="100"/>
        <w:jc w:val="both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加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强单位内部机构各股室的预算管理意识，严格按照预算编制的相关制度和要求进行预算编制。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2）、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加强财务管理，严格按照财务审核制度，加强单位财务管理，健全单位财务管理制度体系，规范单位财务报销流程。在费用报账支付时，按照预算规定的费用项目和用途进行资金使用审核、列报支付、杜绝打白条，超支支付等现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3）、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完善资产管理，抓好三公经费控制。杜绝挪用和挤占预算资金行为，进一步细化三公经费的管理，压缩三公费经费的支出。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ascii="黑体" w:hAnsi="黑体" w:eastAsia="黑体" w:cs="黑体"/>
          <w:b/>
          <w:bCs/>
          <w:spacing w:val="-4"/>
          <w:sz w:val="31"/>
          <w:szCs w:val="31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4）、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shd w:val="clear" w:color="auto" w:fill="FFFFFF"/>
        </w:rPr>
        <w:t>加强提高部门相关人员对预算收支管理水平。</w:t>
      </w:r>
      <w:r>
        <w:rPr>
          <w:rFonts w:hint="eastAsia" w:ascii="黑体" w:hAnsi="黑体" w:eastAsia="黑体" w:cs="黑体"/>
          <w:b/>
          <w:bCs/>
          <w:snapToGrid w:val="0"/>
          <w:color w:val="000000"/>
          <w:kern w:val="0"/>
          <w:sz w:val="32"/>
          <w:szCs w:val="32"/>
          <w:shd w:val="clear" w:color="auto" w:fill="FFFFFF"/>
          <w:lang w:eastAsia="zh-CN"/>
        </w:rPr>
        <w:t>四、</w:t>
      </w: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其他需要说明的情况</w:t>
      </w:r>
    </w:p>
    <w:p>
      <w:pPr>
        <w:numPr>
          <w:numId w:val="0"/>
        </w:numPr>
        <w:spacing w:before="267" w:line="221" w:lineRule="auto"/>
        <w:outlineLvl w:val="0"/>
        <w:rPr>
          <w:rFonts w:hint="default" w:ascii="黑体" w:hAnsi="黑体" w:eastAsia="黑体" w:cs="黑体"/>
          <w:b/>
          <w:bCs/>
          <w:spacing w:val="-4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4"/>
          <w:sz w:val="31"/>
          <w:szCs w:val="3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-4"/>
          <w:sz w:val="31"/>
          <w:szCs w:val="31"/>
          <w:lang w:val="en-US" w:eastAsia="zh-CN"/>
        </w:rPr>
        <w:t xml:space="preserve">  无</w:t>
      </w:r>
    </w:p>
    <w:p>
      <w:pPr>
        <w:numPr>
          <w:numId w:val="0"/>
        </w:numPr>
        <w:spacing w:before="267" w:line="221" w:lineRule="auto"/>
        <w:outlineLvl w:val="0"/>
        <w:rPr>
          <w:rFonts w:hint="default" w:ascii="黑体" w:hAnsi="黑体" w:eastAsia="黑体" w:cs="黑体"/>
          <w:b/>
          <w:bCs/>
          <w:spacing w:val="-4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4"/>
          <w:sz w:val="31"/>
          <w:szCs w:val="31"/>
          <w:lang w:val="en-US" w:eastAsia="zh-CN"/>
        </w:rPr>
        <w:t xml:space="preserve">   </w:t>
      </w:r>
    </w:p>
    <w:p>
      <w:pPr>
        <w:rPr>
          <w:rFonts w:hint="default" w:eastAsia="宋体"/>
          <w:lang w:val="en-US" w:eastAsia="zh-CN"/>
        </w:rPr>
        <w:sectPr>
          <w:pgSz w:w="11860" w:h="16800"/>
          <w:pgMar w:top="1301" w:right="1727" w:bottom="400" w:left="1779" w:header="0" w:footer="0" w:gutter="0"/>
          <w:cols w:space="720" w:num="1"/>
        </w:sect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69" w:line="224" w:lineRule="auto"/>
        <w:ind w:left="63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1"/>
          <w:sz w:val="34"/>
          <w:szCs w:val="34"/>
        </w:rPr>
        <w:t>附件2:</w:t>
      </w:r>
    </w:p>
    <w:p>
      <w:pPr>
        <w:spacing w:before="303" w:line="219" w:lineRule="auto"/>
        <w:ind w:left="265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1"/>
          <w:sz w:val="34"/>
          <w:szCs w:val="34"/>
        </w:rPr>
        <w:t>2022年度预算支出绩效自评表</w:t>
      </w:r>
    </w:p>
    <w:p>
      <w:pPr>
        <w:spacing w:line="72" w:lineRule="exact"/>
      </w:pPr>
    </w:p>
    <w:tbl>
      <w:tblPr>
        <w:tblStyle w:val="5"/>
        <w:tblW w:w="9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89"/>
        <w:gridCol w:w="1268"/>
        <w:gridCol w:w="1209"/>
        <w:gridCol w:w="1119"/>
        <w:gridCol w:w="1109"/>
        <w:gridCol w:w="819"/>
        <w:gridCol w:w="859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vAlign w:val="top"/>
          </w:tcPr>
          <w:p>
            <w:pPr>
              <w:spacing w:before="94" w:line="30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1"/>
                <w:szCs w:val="21"/>
              </w:rPr>
              <w:t>项目支</w:t>
            </w:r>
          </w:p>
          <w:p>
            <w:pPr>
              <w:spacing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出名称</w:t>
            </w:r>
          </w:p>
        </w:tc>
        <w:tc>
          <w:tcPr>
            <w:tcW w:w="8745" w:type="dxa"/>
            <w:gridSpan w:val="8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监测预警经费40万、宣传费40万、迎检工作经费30万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Align w:val="top"/>
          </w:tcPr>
          <w:p>
            <w:pPr>
              <w:spacing w:before="69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4585" w:type="dxa"/>
            <w:gridSpan w:val="4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县乡村振兴局</w:t>
            </w:r>
          </w:p>
        </w:tc>
        <w:tc>
          <w:tcPr>
            <w:tcW w:w="1109" w:type="dxa"/>
            <w:vAlign w:val="center"/>
          </w:tcPr>
          <w:p>
            <w:pPr>
              <w:spacing w:before="70" w:line="220" w:lineRule="auto"/>
              <w:ind w:left="1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实施单位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县乡村振兴局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项目资金</w:t>
            </w:r>
          </w:p>
          <w:p>
            <w:pPr>
              <w:spacing w:before="69"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spacing w:before="9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年初预算数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全年预算数</w:t>
            </w:r>
          </w:p>
        </w:tc>
        <w:tc>
          <w:tcPr>
            <w:tcW w:w="1109" w:type="dxa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全年执行数</w:t>
            </w:r>
          </w:p>
        </w:tc>
        <w:tc>
          <w:tcPr>
            <w:tcW w:w="819" w:type="dxa"/>
            <w:vAlign w:val="top"/>
          </w:tcPr>
          <w:p>
            <w:pPr>
              <w:spacing w:before="9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vAlign w:val="top"/>
          </w:tcPr>
          <w:p>
            <w:pPr>
              <w:spacing w:before="19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373" w:type="dxa"/>
            <w:vAlign w:val="top"/>
          </w:tcPr>
          <w:p>
            <w:pPr>
              <w:spacing w:before="9" w:line="219" w:lineRule="auto"/>
              <w:ind w:left="4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7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110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106.7</w:t>
            </w:r>
          </w:p>
        </w:tc>
        <w:tc>
          <w:tcPr>
            <w:tcW w:w="819" w:type="dxa"/>
            <w:vAlign w:val="center"/>
          </w:tcPr>
          <w:p>
            <w:pPr>
              <w:spacing w:before="163" w:line="173" w:lineRule="auto"/>
              <w:ind w:left="137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97%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6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其中：当年财政拨款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110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106.7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97%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69" w:line="219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上年结转资金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70" w:line="220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32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年度总</w:t>
            </w:r>
          </w:p>
          <w:p>
            <w:pPr>
              <w:spacing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体目标</w:t>
            </w:r>
          </w:p>
        </w:tc>
        <w:tc>
          <w:tcPr>
            <w:tcW w:w="4585" w:type="dxa"/>
            <w:gridSpan w:val="4"/>
            <w:vAlign w:val="top"/>
          </w:tcPr>
          <w:p>
            <w:pPr>
              <w:spacing w:before="70" w:line="220" w:lineRule="auto"/>
              <w:ind w:left="18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160" w:type="dxa"/>
            <w:gridSpan w:val="4"/>
            <w:vAlign w:val="top"/>
          </w:tcPr>
          <w:p>
            <w:pPr>
              <w:spacing w:before="69" w:line="219" w:lineRule="auto"/>
              <w:ind w:left="1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5" w:type="dxa"/>
            <w:gridSpan w:val="4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按全年预算目标执行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按期完成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3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98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50" w:lineRule="auto"/>
              <w:ind w:left="380" w:right="16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一级指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标</w:t>
            </w:r>
          </w:p>
        </w:tc>
        <w:tc>
          <w:tcPr>
            <w:tcW w:w="126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120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111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330" w:lineRule="exact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</w:t>
            </w:r>
          </w:p>
          <w:p>
            <w:pPr>
              <w:spacing w:line="219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329" w:lineRule="exact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1"/>
                <w:szCs w:val="21"/>
              </w:rPr>
              <w:t>实际</w:t>
            </w:r>
          </w:p>
          <w:p>
            <w:pPr>
              <w:spacing w:line="219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81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373" w:type="dxa"/>
            <w:vAlign w:val="top"/>
          </w:tcPr>
          <w:p>
            <w:pPr>
              <w:spacing w:before="131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偏差原因</w:t>
            </w:r>
          </w:p>
          <w:p>
            <w:pPr>
              <w:spacing w:before="61" w:line="220" w:lineRule="auto"/>
              <w:ind w:left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分析及</w:t>
            </w:r>
          </w:p>
          <w:p>
            <w:pPr>
              <w:spacing w:before="5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产出</w:t>
            </w:r>
          </w:p>
          <w:p>
            <w:pPr>
              <w:spacing w:before="81" w:line="63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2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支出安排额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万元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支出安排额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万元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提高预算管理水平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时效指标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完成时效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按时完成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提高预算管理水平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支出安排额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万元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控制成本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效益</w:t>
            </w:r>
          </w:p>
          <w:p>
            <w:pPr>
              <w:spacing w:before="79" w:line="61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1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(30分)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116" w:line="300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经济效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经济效益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影响情况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114" w:line="322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社会效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社会效益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影响情况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97" w:line="330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生态效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环境效益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环境改善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117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可持续影</w:t>
            </w:r>
          </w:p>
          <w:p>
            <w:pPr>
              <w:spacing w:before="71"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响指标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可持续性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持续影响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37" w:line="262" w:lineRule="auto"/>
              <w:ind w:left="171" w:righ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满意度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18"/>
                <w:sz w:val="20"/>
                <w:szCs w:val="20"/>
              </w:rPr>
              <w:t>指标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(10分)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47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服务对象</w:t>
            </w:r>
          </w:p>
          <w:p>
            <w:pPr>
              <w:spacing w:before="70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满意度指</w:t>
            </w:r>
          </w:p>
          <w:p>
            <w:pPr>
              <w:spacing w:before="21" w:line="220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满意度情况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满意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828" w:type="dxa"/>
            <w:gridSpan w:val="6"/>
            <w:vAlign w:val="top"/>
          </w:tcPr>
          <w:p>
            <w:pPr>
              <w:spacing w:before="139" w:line="220" w:lineRule="auto"/>
              <w:ind w:left="2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</w:p>
        </w:tc>
        <w:tc>
          <w:tcPr>
            <w:tcW w:w="819" w:type="dxa"/>
            <w:vAlign w:val="center"/>
          </w:tcPr>
          <w:p>
            <w:pPr>
              <w:spacing w:before="191" w:line="184" w:lineRule="auto"/>
              <w:ind w:left="13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97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1" w:line="225" w:lineRule="auto"/>
        <w:ind w:left="63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4"/>
          <w:position w:val="-1"/>
          <w:sz w:val="24"/>
          <w:szCs w:val="24"/>
        </w:rPr>
        <w:t>填表人：</w:t>
      </w:r>
      <w:r>
        <w:rPr>
          <w:rFonts w:hint="eastAsia" w:ascii="仿宋" w:hAnsi="仿宋" w:eastAsia="仿宋" w:cs="仿宋"/>
          <w:spacing w:val="-24"/>
          <w:position w:val="-1"/>
          <w:sz w:val="24"/>
          <w:szCs w:val="24"/>
          <w:lang w:eastAsia="zh-CN"/>
        </w:rPr>
        <w:t>刘文燕</w:t>
      </w:r>
      <w:r>
        <w:rPr>
          <w:rFonts w:ascii="仿宋" w:hAnsi="仿宋" w:eastAsia="仿宋" w:cs="仿宋"/>
          <w:spacing w:val="4"/>
          <w:position w:val="-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4"/>
          <w:sz w:val="24"/>
          <w:szCs w:val="24"/>
        </w:rPr>
        <w:t>填报日期：</w:t>
      </w:r>
      <w:r>
        <w:rPr>
          <w:rFonts w:hint="eastAsia" w:ascii="仿宋" w:hAnsi="仿宋" w:eastAsia="仿宋" w:cs="仿宋"/>
          <w:spacing w:val="-24"/>
          <w:sz w:val="24"/>
          <w:szCs w:val="24"/>
          <w:lang w:val="en-US" w:eastAsia="zh-CN"/>
        </w:rPr>
        <w:t>2023年8月10日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4"/>
          <w:sz w:val="24"/>
          <w:szCs w:val="24"/>
        </w:rPr>
        <w:t>联系电话：</w:t>
      </w:r>
      <w:r>
        <w:rPr>
          <w:rFonts w:hint="eastAsia" w:ascii="仿宋" w:hAnsi="仿宋" w:eastAsia="仿宋" w:cs="仿宋"/>
          <w:spacing w:val="-24"/>
          <w:sz w:val="24"/>
          <w:szCs w:val="24"/>
          <w:lang w:val="en-US" w:eastAsia="zh-CN"/>
        </w:rPr>
        <w:t>18073448336</w:t>
      </w:r>
      <w:r>
        <w:rPr>
          <w:rFonts w:ascii="仿宋" w:hAnsi="仿宋" w:eastAsia="仿宋" w:cs="仿宋"/>
          <w:spacing w:val="18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4"/>
          <w:position w:val="1"/>
          <w:sz w:val="24"/>
          <w:szCs w:val="24"/>
        </w:rPr>
        <w:t>单位负责人签字：</w:t>
      </w:r>
    </w:p>
    <w:sectPr>
      <w:pgSz w:w="11860" w:h="16800"/>
      <w:pgMar w:top="1233" w:right="935" w:bottom="400" w:left="10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4DA14"/>
    <w:multiLevelType w:val="singleLevel"/>
    <w:tmpl w:val="4974DA14"/>
    <w:lvl w:ilvl="0" w:tentative="0">
      <w:start w:val="3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E3YTgxYjQzY2QwN2IzMGUzMzkwNTFmZDYxZWZkZTQifQ=="/>
  </w:docVars>
  <w:rsids>
    <w:rsidRoot w:val="00000000"/>
    <w:rsid w:val="034766CD"/>
    <w:rsid w:val="036C2302"/>
    <w:rsid w:val="0FA56D1B"/>
    <w:rsid w:val="16D44AE5"/>
    <w:rsid w:val="22885A35"/>
    <w:rsid w:val="23A6054D"/>
    <w:rsid w:val="2A6311E4"/>
    <w:rsid w:val="2CEE4C77"/>
    <w:rsid w:val="2D55022E"/>
    <w:rsid w:val="438D5372"/>
    <w:rsid w:val="43C84F50"/>
    <w:rsid w:val="482A5499"/>
    <w:rsid w:val="482E1A5D"/>
    <w:rsid w:val="4C0C5169"/>
    <w:rsid w:val="523072C3"/>
    <w:rsid w:val="55D2362D"/>
    <w:rsid w:val="56665E6A"/>
    <w:rsid w:val="62233AD9"/>
    <w:rsid w:val="66DF440C"/>
    <w:rsid w:val="67B76864"/>
    <w:rsid w:val="6E142003"/>
    <w:rsid w:val="742A4FB4"/>
    <w:rsid w:val="75870269"/>
    <w:rsid w:val="76944931"/>
    <w:rsid w:val="7D7E4292"/>
    <w:rsid w:val="7D941130"/>
    <w:rsid w:val="7FF22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1786</Words>
  <Characters>2030</Characters>
  <TotalTime>1</TotalTime>
  <ScaleCrop>false</ScaleCrop>
  <LinksUpToDate>false</LinksUpToDate>
  <CharactersWithSpaces>14570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2023-07-20T15:23:00Z</dcterms:created>
  <dc:creator>Kingsoft-PDF</dc:creator>
  <cp:lastModifiedBy>Administrator</cp:lastModifiedBy>
  <cp:lastPrinted>2023-08-14T07:59:41Z</cp:lastPrinted>
  <dcterms:modified xsi:type="dcterms:W3CDTF">2023-08-14T08:20:27Z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2023-07-20T15:23:42Z</vt:filetime>
  </property>
  <property fmtid="{D5CDD505-2E9C-101B-9397-08002B2CF9AE}" pid="4" name="UsrData">
    <vt:lpwstr>64b8e0f831e116001f1dc528wl</vt:lpwstr>
  </property>
  <property fmtid="{D5CDD505-2E9C-101B-9397-08002B2CF9AE}" pid="5" name="KSOProductBuildVer">
    <vt:lpwstr>2052-11.1.0.14309</vt:lpwstr>
  </property>
  <property fmtid="{D5CDD505-2E9C-101B-9397-08002B2CF9AE}" pid="6" name="ICV">
    <vt:lpwstr>5854157A73384964838B67020455D8ED_13</vt:lpwstr>
  </property>
</Properties>
</file>