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sz w:val="48"/>
          <w:szCs w:val="48"/>
        </w:rPr>
      </w:pPr>
      <w:r>
        <w:rPr>
          <w:rFonts w:ascii="方正小标宋_GBK" w:eastAsia="方正小标宋_GBK"/>
          <w:sz w:val="48"/>
          <w:szCs w:val="48"/>
        </w:rPr>
        <w:t>20</w:t>
      </w:r>
      <w:r>
        <w:rPr>
          <w:rFonts w:hint="eastAsia" w:ascii="方正小标宋_GBK" w:eastAsia="方正小标宋_GBK"/>
          <w:sz w:val="48"/>
          <w:szCs w:val="48"/>
          <w:lang w:val="en-US" w:eastAsia="zh-CN"/>
        </w:rPr>
        <w:t>22</w:t>
      </w:r>
      <w:r>
        <w:rPr>
          <w:rFonts w:hint="eastAsia" w:ascii="方正小标宋_GBK" w:eastAsia="方正小标宋_GBK"/>
          <w:sz w:val="48"/>
          <w:szCs w:val="48"/>
        </w:rPr>
        <w:t>年度部门整体支出绩效自评报告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  <w:lang w:val="en-US" w:eastAsia="zh-CN"/>
        </w:rPr>
        <w:t>湖南衡山萱洲国家湿地公园管理处</w:t>
      </w:r>
      <w:r>
        <w:rPr>
          <w:rFonts w:hint="eastAsia" w:ascii="黑体" w:eastAsia="黑体"/>
          <w:sz w:val="44"/>
          <w:szCs w:val="44"/>
        </w:rPr>
        <w:t>（盖章）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（此页为封面）</w:t>
      </w:r>
    </w:p>
    <w:p>
      <w:pPr>
        <w:pStyle w:val="8"/>
        <w:widowControl/>
        <w:spacing w:line="600" w:lineRule="exact"/>
        <w:ind w:firstLine="620"/>
        <w:rPr>
          <w:rFonts w:ascii="黑体" w:hAnsi="黑体" w:eastAsia="黑体"/>
          <w:sz w:val="32"/>
          <w:szCs w:val="32"/>
        </w:rPr>
      </w:pPr>
    </w:p>
    <w:p>
      <w:pPr>
        <w:pStyle w:val="8"/>
        <w:widowControl/>
        <w:spacing w:line="600" w:lineRule="exact"/>
        <w:ind w:firstLine="620"/>
        <w:rPr>
          <w:rFonts w:ascii="黑体" w:hAnsi="黑体" w:eastAsia="黑体"/>
          <w:sz w:val="32"/>
          <w:szCs w:val="32"/>
        </w:rPr>
      </w:pPr>
    </w:p>
    <w:p>
      <w:pPr>
        <w:pStyle w:val="8"/>
        <w:widowControl/>
        <w:spacing w:line="600" w:lineRule="exact"/>
        <w:ind w:firstLine="620"/>
        <w:rPr>
          <w:rFonts w:ascii="黑体" w:hAnsi="黑体" w:eastAsia="黑体"/>
          <w:sz w:val="32"/>
          <w:szCs w:val="32"/>
        </w:rPr>
      </w:pPr>
    </w:p>
    <w:p>
      <w:pPr>
        <w:pStyle w:val="8"/>
        <w:widowControl/>
        <w:spacing w:line="600" w:lineRule="exact"/>
        <w:ind w:firstLine="620"/>
        <w:rPr>
          <w:rFonts w:hint="eastAsia" w:ascii="黑体" w:hAnsi="黑体" w:eastAsia="黑体"/>
          <w:sz w:val="32"/>
          <w:szCs w:val="32"/>
        </w:rPr>
      </w:pPr>
    </w:p>
    <w:p>
      <w:pPr>
        <w:pStyle w:val="8"/>
        <w:widowControl/>
        <w:spacing w:line="600" w:lineRule="exact"/>
        <w:ind w:firstLine="620"/>
        <w:rPr>
          <w:rFonts w:hint="eastAsia" w:ascii="黑体" w:hAnsi="黑体" w:eastAsia="黑体"/>
          <w:sz w:val="32"/>
          <w:szCs w:val="32"/>
        </w:rPr>
      </w:pPr>
    </w:p>
    <w:p>
      <w:pPr>
        <w:pStyle w:val="8"/>
        <w:widowControl/>
        <w:spacing w:line="600" w:lineRule="exact"/>
        <w:ind w:firstLine="620"/>
        <w:rPr>
          <w:rFonts w:hint="eastAsia" w:ascii="黑体" w:hAnsi="黑体" w:eastAsia="黑体"/>
          <w:sz w:val="32"/>
          <w:szCs w:val="32"/>
        </w:rPr>
      </w:pPr>
    </w:p>
    <w:p>
      <w:pPr>
        <w:pStyle w:val="8"/>
        <w:widowControl/>
        <w:numPr>
          <w:ilvl w:val="0"/>
          <w:numId w:val="0"/>
        </w:num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pStyle w:val="8"/>
        <w:widowControl/>
        <w:numPr>
          <w:ilvl w:val="0"/>
          <w:numId w:val="1"/>
        </w:numPr>
        <w:spacing w:line="600" w:lineRule="exact"/>
        <w:ind w:firstLine="62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部门、单位基本情况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（一）部门职责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1、</w:t>
      </w:r>
      <w:r>
        <w:rPr>
          <w:rFonts w:hint="eastAsia" w:eastAsia="仿宋_GB2312"/>
          <w:sz w:val="32"/>
          <w:szCs w:val="32"/>
        </w:rPr>
        <w:t>贯彻执行国家、省、市有关湿地保护的法律、法规、规章和方针政策。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2、负责实施湿地公园总体规划；负责制定湿地公园的各项规章制度和管理计划；负责对湿地公园规划控制区内的建设、规划、开发、经营活动进行监管；协调湿地公园与周边乡镇、村（社区）的关系。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3、负责湿地公园内的自然资源和生态环境的保护与管理；负责湿地公园内湿地保护与利用，生态旅游等事务；负责园内野生动植物的救护和疫源疾病的防控工作。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4、负责湿地公园资源调查和监测工作；管理湿地科研成果、数据和资料，并按照规定向有关部门报送调查和监测结果。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5、负责湿地科学知识的科普教育、参与国际国内湿地保护与利用的交流与合作。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6、协助争取、筹措湿地保护、修复、建设和管理资金；对授权的相关资产进行经营、管理、合理开发和综合利用；组织实施湿地公园生态保护修复工程、基础设施配套、生态旅游开发及其它项目，并予以管理。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7、配合有关部门做好园区内的林业林政、渔业渔政、环境保护、园林绿化等工作。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8、完成</w:t>
      </w:r>
      <w:r>
        <w:rPr>
          <w:rFonts w:hint="eastAsia" w:eastAsia="仿宋_GB2312"/>
          <w:sz w:val="32"/>
          <w:szCs w:val="32"/>
          <w:lang w:val="en-US" w:eastAsia="zh-CN"/>
        </w:rPr>
        <w:t>县委、县</w:t>
      </w:r>
      <w:r>
        <w:rPr>
          <w:rFonts w:hint="eastAsia" w:eastAsia="仿宋_GB2312"/>
          <w:sz w:val="32"/>
          <w:szCs w:val="32"/>
        </w:rPr>
        <w:t>政府交办的</w:t>
      </w:r>
      <w:r>
        <w:rPr>
          <w:rFonts w:hint="eastAsia" w:eastAsia="仿宋_GB2312"/>
          <w:sz w:val="32"/>
          <w:szCs w:val="32"/>
          <w:lang w:val="en-US" w:eastAsia="zh-CN"/>
        </w:rPr>
        <w:t>其他任务</w:t>
      </w:r>
      <w:r>
        <w:rPr>
          <w:rFonts w:hint="eastAsia" w:eastAsia="仿宋_GB2312"/>
          <w:sz w:val="32"/>
          <w:szCs w:val="32"/>
        </w:rPr>
        <w:t>。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（二）机构设置情况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湖南衡山萱洲国家湿地公园管理处内设机构包括：办公室、计划财务股、资源保护股、科研监测股、政策法规、科普宣教股6个机构，下设永和与萱洲2个湿地保护管理站。</w:t>
      </w:r>
    </w:p>
    <w:p>
      <w:pPr>
        <w:widowControl/>
        <w:spacing w:line="600" w:lineRule="exact"/>
        <w:ind w:firstLine="645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eastAsia="zh-CN"/>
        </w:rPr>
        <w:t>（</w:t>
      </w:r>
      <w:r>
        <w:rPr>
          <w:rFonts w:hint="eastAsia" w:eastAsia="仿宋_GB2312"/>
          <w:sz w:val="32"/>
          <w:szCs w:val="32"/>
          <w:lang w:val="en-US" w:eastAsia="zh-CN"/>
        </w:rPr>
        <w:t>三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hint="eastAsia" w:eastAsia="仿宋_GB2312"/>
          <w:sz w:val="32"/>
          <w:szCs w:val="32"/>
        </w:rPr>
        <w:t>人员编制情况</w:t>
      </w:r>
    </w:p>
    <w:p>
      <w:pPr>
        <w:widowControl/>
        <w:spacing w:line="600" w:lineRule="exact"/>
        <w:ind w:firstLine="645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hint="eastAsia" w:eastAsia="仿宋_GB2312"/>
          <w:sz w:val="32"/>
          <w:szCs w:val="32"/>
        </w:rPr>
        <w:t>年末，湖南衡山萱洲国家湿地公园管理处共有全额拨款事业编制25名。年末实有在职人数1</w:t>
      </w:r>
      <w:r>
        <w:rPr>
          <w:rFonts w:hint="eastAsia" w:eastAsia="仿宋_GB2312"/>
          <w:sz w:val="32"/>
          <w:szCs w:val="32"/>
          <w:lang w:val="en-US" w:eastAsia="zh-CN"/>
        </w:rPr>
        <w:t>8</w:t>
      </w:r>
      <w:r>
        <w:rPr>
          <w:rFonts w:hint="eastAsia" w:eastAsia="仿宋_GB2312"/>
          <w:sz w:val="32"/>
          <w:szCs w:val="32"/>
        </w:rPr>
        <w:t>人，其中在编</w:t>
      </w:r>
      <w:r>
        <w:rPr>
          <w:rFonts w:hint="eastAsia" w:eastAsia="仿宋_GB2312"/>
          <w:sz w:val="32"/>
          <w:szCs w:val="32"/>
          <w:lang w:val="en-US" w:eastAsia="zh-CN"/>
        </w:rPr>
        <w:t>13</w:t>
      </w:r>
      <w:r>
        <w:rPr>
          <w:rFonts w:hint="eastAsia" w:eastAsia="仿宋_GB2312"/>
          <w:sz w:val="32"/>
          <w:szCs w:val="32"/>
        </w:rPr>
        <w:t>人，</w:t>
      </w:r>
      <w:r>
        <w:rPr>
          <w:rFonts w:hint="eastAsia" w:eastAsia="仿宋_GB2312"/>
          <w:sz w:val="32"/>
          <w:szCs w:val="32"/>
          <w:lang w:val="en-US" w:eastAsia="zh-CN"/>
        </w:rPr>
        <w:t>劳务派遣人员5</w:t>
      </w:r>
      <w:r>
        <w:rPr>
          <w:rFonts w:hint="eastAsia" w:eastAsia="仿宋_GB2312"/>
          <w:sz w:val="32"/>
          <w:szCs w:val="32"/>
        </w:rPr>
        <w:t>人。</w:t>
      </w:r>
    </w:p>
    <w:p>
      <w:pPr>
        <w:pStyle w:val="8"/>
        <w:widowControl/>
        <w:numPr>
          <w:ilvl w:val="0"/>
          <w:numId w:val="0"/>
        </w:numPr>
        <w:spacing w:line="600" w:lineRule="exact"/>
        <w:ind w:firstLine="311" w:firstLineChars="100"/>
        <w:rPr>
          <w:rFonts w:hint="eastAsia" w:ascii="黑体" w:hAnsi="黑体" w:eastAsia="黑体"/>
          <w:sz w:val="32"/>
          <w:szCs w:val="32"/>
          <w:lang w:val="en-US" w:eastAsia="zh-CN"/>
        </w:rPr>
      </w:pPr>
    </w:p>
    <w:p>
      <w:pPr>
        <w:pStyle w:val="8"/>
        <w:widowControl/>
        <w:numPr>
          <w:ilvl w:val="0"/>
          <w:numId w:val="0"/>
        </w:numPr>
        <w:spacing w:line="600" w:lineRule="exact"/>
        <w:ind w:firstLine="311" w:firstLineChars="1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二、预算支出及绩效情况</w:t>
      </w:r>
    </w:p>
    <w:p>
      <w:pPr>
        <w:pStyle w:val="8"/>
        <w:widowControl/>
        <w:numPr>
          <w:ilvl w:val="0"/>
          <w:numId w:val="0"/>
        </w:numPr>
        <w:spacing w:line="600" w:lineRule="exact"/>
        <w:ind w:firstLine="311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（一）部门预决算情况</w:t>
      </w:r>
    </w:p>
    <w:p>
      <w:pPr>
        <w:pStyle w:val="8"/>
        <w:widowControl/>
        <w:numPr>
          <w:ilvl w:val="0"/>
          <w:numId w:val="0"/>
        </w:numPr>
        <w:spacing w:line="600" w:lineRule="exact"/>
        <w:ind w:firstLine="622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1.部门预算情况</w:t>
      </w:r>
    </w:p>
    <w:p>
      <w:pPr>
        <w:widowControl/>
        <w:spacing w:line="600" w:lineRule="exact"/>
        <w:ind w:firstLine="622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2022年年初预算安排收入</w:t>
      </w:r>
      <w:r>
        <w:rPr>
          <w:rFonts w:hint="eastAsia" w:eastAsia="仿宋_GB2312"/>
          <w:sz w:val="32"/>
          <w:szCs w:val="32"/>
          <w:lang w:val="en-US" w:eastAsia="zh-CN"/>
        </w:rPr>
        <w:t>132.16</w:t>
      </w:r>
      <w:r>
        <w:rPr>
          <w:rFonts w:hint="eastAsia" w:eastAsia="仿宋_GB2312"/>
          <w:sz w:val="32"/>
          <w:szCs w:val="32"/>
        </w:rPr>
        <w:t>万元，其中一般公共财政拨款</w:t>
      </w:r>
      <w:r>
        <w:rPr>
          <w:rFonts w:hint="eastAsia" w:eastAsia="仿宋_GB2312"/>
          <w:sz w:val="32"/>
          <w:szCs w:val="32"/>
          <w:lang w:val="en-US" w:eastAsia="zh-CN"/>
        </w:rPr>
        <w:t>132.16</w:t>
      </w:r>
      <w:r>
        <w:rPr>
          <w:rFonts w:hint="eastAsia" w:eastAsia="仿宋_GB2312"/>
          <w:sz w:val="32"/>
          <w:szCs w:val="32"/>
        </w:rPr>
        <w:t>万元；2022年年初预算安排支出</w:t>
      </w:r>
      <w:r>
        <w:rPr>
          <w:rFonts w:hint="eastAsia" w:eastAsia="仿宋_GB2312"/>
          <w:sz w:val="32"/>
          <w:szCs w:val="32"/>
          <w:lang w:val="en-US" w:eastAsia="zh-CN"/>
        </w:rPr>
        <w:t>132.16</w:t>
      </w:r>
      <w:r>
        <w:rPr>
          <w:rFonts w:hint="eastAsia" w:eastAsia="仿宋_GB2312"/>
          <w:sz w:val="32"/>
          <w:szCs w:val="32"/>
        </w:rPr>
        <w:t>万元，其中：基本支出</w:t>
      </w:r>
      <w:r>
        <w:rPr>
          <w:rFonts w:hint="eastAsia" w:eastAsia="仿宋_GB2312"/>
          <w:sz w:val="32"/>
          <w:szCs w:val="32"/>
          <w:lang w:val="en-US" w:eastAsia="zh-CN"/>
        </w:rPr>
        <w:t>120.16</w:t>
      </w:r>
      <w:r>
        <w:rPr>
          <w:rFonts w:hint="eastAsia" w:eastAsia="仿宋_GB2312"/>
          <w:sz w:val="32"/>
          <w:szCs w:val="32"/>
        </w:rPr>
        <w:t>万元，项目支出</w:t>
      </w:r>
      <w:r>
        <w:rPr>
          <w:rFonts w:hint="eastAsia" w:eastAsia="仿宋_GB2312"/>
          <w:sz w:val="32"/>
          <w:szCs w:val="32"/>
          <w:lang w:val="en-US" w:eastAsia="zh-CN"/>
        </w:rPr>
        <w:t>12</w:t>
      </w:r>
      <w:r>
        <w:rPr>
          <w:rFonts w:hint="eastAsia" w:eastAsia="仿宋_GB2312"/>
          <w:sz w:val="32"/>
          <w:szCs w:val="32"/>
        </w:rPr>
        <w:t>万元。</w:t>
      </w:r>
    </w:p>
    <w:p>
      <w:pPr>
        <w:pStyle w:val="8"/>
        <w:widowControl/>
        <w:numPr>
          <w:ilvl w:val="0"/>
          <w:numId w:val="0"/>
        </w:numPr>
        <w:spacing w:line="600" w:lineRule="exact"/>
        <w:ind w:firstLine="62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2.部门决算情况(含年中预算追加情况)</w:t>
      </w:r>
    </w:p>
    <w:p>
      <w:pPr>
        <w:widowControl/>
        <w:spacing w:line="600" w:lineRule="exact"/>
        <w:ind w:firstLine="622" w:firstLineChars="200"/>
        <w:jc w:val="left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2022年决算总收入</w:t>
      </w:r>
      <w:r>
        <w:rPr>
          <w:rFonts w:hint="eastAsia" w:eastAsia="仿宋_GB2312"/>
          <w:sz w:val="32"/>
          <w:szCs w:val="32"/>
          <w:lang w:val="en-US" w:eastAsia="zh-CN"/>
        </w:rPr>
        <w:t>462.99</w:t>
      </w:r>
      <w:r>
        <w:rPr>
          <w:rFonts w:hint="eastAsia" w:eastAsia="仿宋_GB2312"/>
          <w:sz w:val="32"/>
          <w:szCs w:val="32"/>
        </w:rPr>
        <w:t>万元，较预算增加</w:t>
      </w:r>
      <w:r>
        <w:rPr>
          <w:rFonts w:hint="eastAsia" w:eastAsia="仿宋_GB2312"/>
          <w:sz w:val="32"/>
          <w:szCs w:val="32"/>
          <w:lang w:val="en-US" w:eastAsia="zh-CN"/>
        </w:rPr>
        <w:t>330.83</w:t>
      </w:r>
      <w:r>
        <w:rPr>
          <w:rFonts w:hint="eastAsia" w:eastAsia="仿宋_GB2312"/>
          <w:sz w:val="32"/>
          <w:szCs w:val="32"/>
        </w:rPr>
        <w:t>万元，总支出</w:t>
      </w:r>
      <w:r>
        <w:rPr>
          <w:rFonts w:hint="eastAsia" w:eastAsia="仿宋_GB2312"/>
          <w:sz w:val="32"/>
          <w:szCs w:val="32"/>
          <w:lang w:val="en-US" w:eastAsia="zh-CN"/>
        </w:rPr>
        <w:t>463.04</w:t>
      </w:r>
      <w:r>
        <w:rPr>
          <w:rFonts w:hint="eastAsia" w:eastAsia="仿宋_GB2312"/>
          <w:sz w:val="32"/>
          <w:szCs w:val="32"/>
        </w:rPr>
        <w:t>万元，其中：基本支出</w:t>
      </w:r>
      <w:r>
        <w:rPr>
          <w:rFonts w:hint="eastAsia" w:eastAsia="仿宋_GB2312"/>
          <w:sz w:val="32"/>
          <w:szCs w:val="32"/>
          <w:lang w:val="en-US" w:eastAsia="zh-CN"/>
        </w:rPr>
        <w:t>126.70</w:t>
      </w:r>
      <w:r>
        <w:rPr>
          <w:rFonts w:hint="eastAsia" w:eastAsia="仿宋_GB2312"/>
          <w:sz w:val="32"/>
          <w:szCs w:val="32"/>
        </w:rPr>
        <w:t>万元，占总支出的</w:t>
      </w:r>
      <w:r>
        <w:rPr>
          <w:rFonts w:hint="eastAsia" w:eastAsia="仿宋_GB2312"/>
          <w:sz w:val="32"/>
          <w:szCs w:val="32"/>
          <w:lang w:val="en-US" w:eastAsia="zh-CN"/>
        </w:rPr>
        <w:t>27.36</w:t>
      </w:r>
      <w:r>
        <w:rPr>
          <w:rFonts w:hint="eastAsia" w:eastAsia="仿宋_GB2312"/>
          <w:sz w:val="32"/>
          <w:szCs w:val="32"/>
        </w:rPr>
        <w:t>%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eastAsia="仿宋_GB2312"/>
          <w:sz w:val="32"/>
          <w:szCs w:val="32"/>
        </w:rPr>
        <w:t>项目支出</w:t>
      </w:r>
      <w:r>
        <w:rPr>
          <w:rFonts w:hint="eastAsia" w:eastAsia="仿宋_GB2312"/>
          <w:sz w:val="32"/>
          <w:szCs w:val="32"/>
          <w:lang w:val="en-US" w:eastAsia="zh-CN"/>
        </w:rPr>
        <w:t>336.34</w:t>
      </w:r>
      <w:r>
        <w:rPr>
          <w:rFonts w:hint="eastAsia" w:eastAsia="仿宋_GB2312"/>
          <w:sz w:val="32"/>
          <w:szCs w:val="32"/>
        </w:rPr>
        <w:t>万元，占总支出的</w:t>
      </w:r>
      <w:r>
        <w:rPr>
          <w:rFonts w:hint="eastAsia" w:eastAsia="仿宋_GB2312"/>
          <w:sz w:val="32"/>
          <w:szCs w:val="32"/>
          <w:lang w:val="en-US" w:eastAsia="zh-CN"/>
        </w:rPr>
        <w:t>72.64</w:t>
      </w:r>
      <w:r>
        <w:rPr>
          <w:rFonts w:hint="eastAsia" w:eastAsia="仿宋_GB2312"/>
          <w:sz w:val="32"/>
          <w:szCs w:val="32"/>
        </w:rPr>
        <w:t>%。差异产生的主要原因是</w:t>
      </w:r>
      <w:r>
        <w:rPr>
          <w:rFonts w:hint="eastAsia" w:eastAsia="仿宋_GB2312"/>
          <w:sz w:val="32"/>
          <w:szCs w:val="32"/>
          <w:lang w:val="en-US" w:eastAsia="zh-CN"/>
        </w:rPr>
        <w:t>人员增加，以及项目经费开支增加</w:t>
      </w:r>
      <w:r>
        <w:rPr>
          <w:rFonts w:hint="eastAsia" w:eastAsia="仿宋_GB2312"/>
          <w:sz w:val="32"/>
          <w:szCs w:val="32"/>
        </w:rPr>
        <w:t>。</w:t>
      </w:r>
    </w:p>
    <w:p>
      <w:pPr>
        <w:pStyle w:val="8"/>
        <w:widowControl/>
        <w:numPr>
          <w:ilvl w:val="0"/>
          <w:numId w:val="0"/>
        </w:numPr>
        <w:spacing w:line="600" w:lineRule="exact"/>
        <w:ind w:firstLine="62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3.“三公”经费执行情况</w:t>
      </w:r>
    </w:p>
    <w:p>
      <w:pPr>
        <w:pStyle w:val="8"/>
        <w:widowControl/>
        <w:numPr>
          <w:ilvl w:val="0"/>
          <w:numId w:val="0"/>
        </w:numPr>
        <w:spacing w:line="600" w:lineRule="exact"/>
        <w:ind w:firstLine="622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2022年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“三公”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经费预算数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3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万元，其中：因公出国(境) 费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万元，公务用车购置及运行维护费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万元，公务接待费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万元。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“三公”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经费决算数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2.24万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元，其中：因公出国(境)费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万元，公务用车运行维护费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万元，公务接待费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1.24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8"/>
        <w:widowControl/>
        <w:numPr>
          <w:ilvl w:val="0"/>
          <w:numId w:val="0"/>
        </w:numPr>
        <w:spacing w:line="600" w:lineRule="exact"/>
        <w:ind w:firstLine="62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4.政府采购执行情况</w:t>
      </w:r>
    </w:p>
    <w:p>
      <w:pPr>
        <w:pStyle w:val="8"/>
        <w:widowControl/>
        <w:numPr>
          <w:ilvl w:val="0"/>
          <w:numId w:val="0"/>
        </w:numPr>
        <w:spacing w:line="600" w:lineRule="exact"/>
        <w:ind w:firstLine="622" w:firstLineChars="200"/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2022年度政府采购支出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151.47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万元，其中：货物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37.52万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元，工程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57.17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万元，服务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56.78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。</w:t>
      </w:r>
    </w:p>
    <w:p>
      <w:pPr>
        <w:pStyle w:val="8"/>
        <w:widowControl/>
        <w:numPr>
          <w:ilvl w:val="0"/>
          <w:numId w:val="0"/>
        </w:numPr>
        <w:spacing w:line="600" w:lineRule="exact"/>
        <w:ind w:firstLine="62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5.资产管理情况</w:t>
      </w:r>
    </w:p>
    <w:p>
      <w:pPr>
        <w:pStyle w:val="8"/>
        <w:widowControl/>
        <w:numPr>
          <w:ilvl w:val="0"/>
          <w:numId w:val="0"/>
        </w:numPr>
        <w:spacing w:line="600" w:lineRule="exact"/>
        <w:ind w:firstLine="622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2022年年末资产总额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962.26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万元，负债总额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万元，净资产 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962.26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万元。截至2022年12月31日，固定资产账面原值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270.61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万元，在用资产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270.61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万元，资产使用率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100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%。</w:t>
      </w:r>
    </w:p>
    <w:p>
      <w:pPr>
        <w:pStyle w:val="8"/>
        <w:widowControl/>
        <w:numPr>
          <w:ilvl w:val="0"/>
          <w:numId w:val="0"/>
        </w:numPr>
        <w:spacing w:line="600" w:lineRule="exact"/>
        <w:ind w:firstLine="311" w:firstLineChars="1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（二）资金使用及绩效情况</w:t>
      </w:r>
    </w:p>
    <w:p>
      <w:pPr>
        <w:pStyle w:val="8"/>
        <w:widowControl/>
        <w:numPr>
          <w:ilvl w:val="0"/>
          <w:numId w:val="0"/>
        </w:numPr>
        <w:spacing w:line="600" w:lineRule="exact"/>
        <w:ind w:firstLine="622" w:firstLineChars="200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1.整体绩效目标完成情况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22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2022年，湖南衡山萱洲国家湿地公园管理处在衡山县委、县政府的坚强领导下，在省、市林业主管部门的指导下，认真学习贯彻习近平生态文明思想，经管理处全体干部职工齐心协力，扎实工作，圆满地完成了各项工作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22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1.公园生态监测工作正常开展。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22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2.湿地公园生态系统得到保持和提升。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22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3.湿地修复正常开展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22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4.积极开展湿地科普宣教活动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22" w:firstLineChars="200"/>
        <w:jc w:val="both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5.合理利用湿地公园，开展社区共建工作</w:t>
      </w:r>
    </w:p>
    <w:p>
      <w:pPr>
        <w:pStyle w:val="8"/>
        <w:widowControl/>
        <w:numPr>
          <w:ilvl w:val="0"/>
          <w:numId w:val="0"/>
        </w:numPr>
        <w:spacing w:line="600" w:lineRule="exact"/>
        <w:ind w:firstLine="622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2.项目绩效目标完成情况(仅对50万元以上的项目资金进行分项说明)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22" w:firstLineChars="2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（1）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湿地保护专项经费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22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我单位按照国家湿地公园管理办法，常态化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开展湿地管护巡查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通过人、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车、船、无人机以及视频监控设施等，构建“水、陆、空”于一体的立体式巡护监测体系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对公园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的湿地生态环境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进行全面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保护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定期开展生态监测，还联合农业农村、水利、环保、气象部门做好土壤、气象等方面的监测，为湿地保护恢复提供科学决策依据；通过延长土地流转期限、进行补植补造和抚育管理、开展生态监测等措施，巩固衡山县退耕还林还湿项目成果；对湿地生态广场、滨水植被项目和水禽栖息地项目进行补植和抚育管护，发挥其应有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22" w:firstLineChars="200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 </w:t>
      </w:r>
    </w:p>
    <w:p>
      <w:pPr>
        <w:pStyle w:val="8"/>
        <w:widowControl/>
        <w:numPr>
          <w:ilvl w:val="0"/>
          <w:numId w:val="0"/>
        </w:numPr>
        <w:spacing w:line="600" w:lineRule="exact"/>
        <w:ind w:firstLine="311" w:firstLineChars="10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三、存在的问题及改进措施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年我处预算整体支出虽然保证了各单位的正常运行和职能履行，但在预算执行中还存在一些困难和问题：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（一）单位专项建设经费未在本单位年初预算中体现，由县财政直接进行预算。我单位只是预算单位经费部分。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二）公用经费定额管理尚需完善。目前单位预算由基本支出和项目支出预算两部分组成，财政对基本支出中公用经费预算实行定额标准管理。公用经费按定额进行分档预算，标准的确定与实际执行差距较大，追加预算困难，导致产生公用支出挤占项目经费的情况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且单位劳务派遣人员的工资开支均未纳入经费预算。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（三）预算精细化管理推行难。预算管理的科学化和精细化是对财政资金使用的有效监督，是大势所趋。但是，单位预算资金有限，比如住房公积金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社保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等，实际支出大大超预算，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导致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一些突发事项没有资金来源，预算执行难以完全精细和科学。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改进措施：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为了保证预算管理的严肃性，增强预算的约束力，单位要更进一步明确和各项职能，力争在县财政按单位实际情况进行预算安排，让预算编制管理上更精细化、科学化，确保各项开支更规范、合理。</w:t>
      </w:r>
    </w:p>
    <w:p>
      <w:pPr>
        <w:pStyle w:val="8"/>
        <w:widowControl/>
        <w:numPr>
          <w:ilvl w:val="0"/>
          <w:numId w:val="0"/>
        </w:numPr>
        <w:spacing w:line="600" w:lineRule="exact"/>
        <w:ind w:firstLine="311" w:firstLineChars="10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四、无其他需要说明的情况</w:t>
      </w:r>
    </w:p>
    <w:p>
      <w:r>
        <w:br w:type="page"/>
      </w:r>
    </w:p>
    <w:p>
      <w:pPr>
        <w:spacing w:before="69" w:line="224" w:lineRule="auto"/>
        <w:jc w:val="center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b/>
          <w:bCs/>
          <w:spacing w:val="11"/>
          <w:sz w:val="34"/>
          <w:szCs w:val="34"/>
        </w:rPr>
        <w:t>2022年度预算支出绩效自评表</w:t>
      </w:r>
    </w:p>
    <w:tbl>
      <w:tblPr>
        <w:tblStyle w:val="9"/>
        <w:tblpPr w:leftFromText="180" w:rightFromText="180" w:vertAnchor="text" w:horzAnchor="page" w:tblpX="1187" w:tblpY="7"/>
        <w:tblOverlap w:val="never"/>
        <w:tblW w:w="987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989"/>
        <w:gridCol w:w="1268"/>
        <w:gridCol w:w="1209"/>
        <w:gridCol w:w="1119"/>
        <w:gridCol w:w="1109"/>
        <w:gridCol w:w="819"/>
        <w:gridCol w:w="859"/>
        <w:gridCol w:w="13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2" w:hRule="atLeast"/>
        </w:trPr>
        <w:tc>
          <w:tcPr>
            <w:tcW w:w="1134" w:type="dxa"/>
            <w:vAlign w:val="top"/>
          </w:tcPr>
          <w:p>
            <w:pPr>
              <w:spacing w:before="94" w:line="301" w:lineRule="exact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position w:val="6"/>
                <w:sz w:val="21"/>
                <w:szCs w:val="21"/>
              </w:rPr>
              <w:t>项目支</w:t>
            </w:r>
          </w:p>
          <w:p>
            <w:pPr>
              <w:spacing w:line="221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出名称</w:t>
            </w:r>
          </w:p>
        </w:tc>
        <w:tc>
          <w:tcPr>
            <w:tcW w:w="8745" w:type="dxa"/>
            <w:gridSpan w:val="8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湿地保护专项经费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1134" w:type="dxa"/>
            <w:vAlign w:val="top"/>
          </w:tcPr>
          <w:p>
            <w:pPr>
              <w:spacing w:before="69" w:line="219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主管部门</w:t>
            </w:r>
          </w:p>
        </w:tc>
        <w:tc>
          <w:tcPr>
            <w:tcW w:w="4585" w:type="dxa"/>
            <w:gridSpan w:val="4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衡山县人民政府</w:t>
            </w:r>
          </w:p>
        </w:tc>
        <w:tc>
          <w:tcPr>
            <w:tcW w:w="1109" w:type="dxa"/>
            <w:vAlign w:val="top"/>
          </w:tcPr>
          <w:p>
            <w:pPr>
              <w:spacing w:before="70" w:line="220" w:lineRule="auto"/>
              <w:ind w:left="1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实施单位</w:t>
            </w:r>
          </w:p>
        </w:tc>
        <w:tc>
          <w:tcPr>
            <w:tcW w:w="3051" w:type="dxa"/>
            <w:gridSpan w:val="3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湖南衡山萱洲国家湿地公园管理处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134" w:type="dxa"/>
            <w:vMerge w:val="restart"/>
            <w:tcBorders>
              <w:bottom w:val="nil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项目资金</w:t>
            </w:r>
          </w:p>
          <w:p>
            <w:pPr>
              <w:spacing w:before="69" w:line="220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(万元)</w:t>
            </w:r>
          </w:p>
        </w:tc>
        <w:tc>
          <w:tcPr>
            <w:tcW w:w="2257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spacing w:before="9" w:line="219" w:lineRule="auto"/>
              <w:ind w:left="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年初预算数</w:t>
            </w:r>
          </w:p>
        </w:tc>
        <w:tc>
          <w:tcPr>
            <w:tcW w:w="1119" w:type="dxa"/>
            <w:vAlign w:val="top"/>
          </w:tcPr>
          <w:p>
            <w:pPr>
              <w:spacing w:before="59" w:line="21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全年预算数</w:t>
            </w:r>
          </w:p>
        </w:tc>
        <w:tc>
          <w:tcPr>
            <w:tcW w:w="1109" w:type="dxa"/>
            <w:vAlign w:val="top"/>
          </w:tcPr>
          <w:p>
            <w:pPr>
              <w:spacing w:before="59" w:line="219" w:lineRule="auto"/>
              <w:ind w:left="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全年执行数</w:t>
            </w:r>
          </w:p>
        </w:tc>
        <w:tc>
          <w:tcPr>
            <w:tcW w:w="819" w:type="dxa"/>
            <w:vAlign w:val="top"/>
          </w:tcPr>
          <w:p>
            <w:pPr>
              <w:spacing w:before="9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859" w:type="dxa"/>
            <w:vAlign w:val="top"/>
          </w:tcPr>
          <w:p>
            <w:pPr>
              <w:spacing w:before="19" w:line="219" w:lineRule="auto"/>
              <w:ind w:left="10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执行率</w:t>
            </w:r>
          </w:p>
        </w:tc>
        <w:tc>
          <w:tcPr>
            <w:tcW w:w="1373" w:type="dxa"/>
            <w:vAlign w:val="top"/>
          </w:tcPr>
          <w:p>
            <w:pPr>
              <w:spacing w:before="9" w:line="219" w:lineRule="auto"/>
              <w:ind w:left="4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vAlign w:val="top"/>
          </w:tcPr>
          <w:p>
            <w:pPr>
              <w:spacing w:before="7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年度资金总额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200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200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324.34</w:t>
            </w:r>
          </w:p>
        </w:tc>
        <w:tc>
          <w:tcPr>
            <w:tcW w:w="819" w:type="dxa"/>
            <w:vAlign w:val="top"/>
          </w:tcPr>
          <w:p>
            <w:pPr>
              <w:spacing w:before="163" w:line="173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vAlign w:val="top"/>
          </w:tcPr>
          <w:p>
            <w:pPr>
              <w:spacing w:before="69" w:line="219" w:lineRule="auto"/>
              <w:ind w:left="1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其中：当年财政拨款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200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200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186.34</w:t>
            </w: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93.17%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vAlign w:val="top"/>
          </w:tcPr>
          <w:p>
            <w:pPr>
              <w:spacing w:before="69" w:line="219" w:lineRule="auto"/>
              <w:ind w:left="7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上年结转资金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138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138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138</w:t>
            </w: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100%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57" w:type="dxa"/>
            <w:gridSpan w:val="2"/>
            <w:vAlign w:val="top"/>
          </w:tcPr>
          <w:p>
            <w:pPr>
              <w:spacing w:before="70" w:line="220" w:lineRule="auto"/>
              <w:ind w:left="7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其他资金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1134" w:type="dxa"/>
            <w:vMerge w:val="restart"/>
            <w:tcBorders>
              <w:bottom w:val="nil"/>
            </w:tcBorders>
            <w:vAlign w:val="top"/>
          </w:tcPr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68" w:line="321" w:lineRule="exact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年度总</w:t>
            </w:r>
          </w:p>
          <w:p>
            <w:pPr>
              <w:spacing w:line="220" w:lineRule="auto"/>
              <w:ind w:left="2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体目标</w:t>
            </w:r>
          </w:p>
        </w:tc>
        <w:tc>
          <w:tcPr>
            <w:tcW w:w="4585" w:type="dxa"/>
            <w:gridSpan w:val="4"/>
            <w:vAlign w:val="top"/>
          </w:tcPr>
          <w:p>
            <w:pPr>
              <w:spacing w:before="70" w:line="220" w:lineRule="auto"/>
              <w:ind w:left="186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预期目标</w:t>
            </w:r>
          </w:p>
        </w:tc>
        <w:tc>
          <w:tcPr>
            <w:tcW w:w="4160" w:type="dxa"/>
            <w:gridSpan w:val="4"/>
            <w:vAlign w:val="top"/>
          </w:tcPr>
          <w:p>
            <w:pPr>
              <w:spacing w:before="69" w:line="219" w:lineRule="auto"/>
              <w:ind w:left="14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实际完成情况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113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585" w:type="dxa"/>
            <w:gridSpan w:val="4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按全年预算目标执行</w:t>
            </w:r>
          </w:p>
        </w:tc>
        <w:tc>
          <w:tcPr>
            <w:tcW w:w="4160" w:type="dxa"/>
            <w:gridSpan w:val="4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按期完成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</w:trPr>
        <w:tc>
          <w:tcPr>
            <w:tcW w:w="1134" w:type="dxa"/>
            <w:vMerge w:val="restart"/>
            <w:tcBorders>
              <w:bottom w:val="nil"/>
            </w:tcBorders>
            <w:textDirection w:val="tbRlV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</w:p>
          <w:p>
            <w:pPr>
              <w:spacing w:before="71" w:line="217" w:lineRule="auto"/>
              <w:ind w:left="376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绩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效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指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989" w:type="dxa"/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69" w:line="250" w:lineRule="auto"/>
              <w:ind w:left="380" w:right="164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一级指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标</w:t>
            </w:r>
          </w:p>
        </w:tc>
        <w:tc>
          <w:tcPr>
            <w:tcW w:w="1268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二级指标</w:t>
            </w:r>
          </w:p>
        </w:tc>
        <w:tc>
          <w:tcPr>
            <w:tcW w:w="120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9" w:line="220" w:lineRule="auto"/>
              <w:ind w:left="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三级指标</w:t>
            </w:r>
          </w:p>
        </w:tc>
        <w:tc>
          <w:tcPr>
            <w:tcW w:w="1119" w:type="dxa"/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68" w:line="330" w:lineRule="exact"/>
              <w:ind w:left="34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年度</w:t>
            </w:r>
          </w:p>
          <w:p>
            <w:pPr>
              <w:spacing w:line="219" w:lineRule="auto"/>
              <w:ind w:left="2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指标值</w:t>
            </w:r>
          </w:p>
        </w:tc>
        <w:tc>
          <w:tcPr>
            <w:tcW w:w="110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329" w:lineRule="exact"/>
              <w:ind w:left="33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8"/>
                <w:sz w:val="21"/>
                <w:szCs w:val="21"/>
              </w:rPr>
              <w:t>实际</w:t>
            </w:r>
          </w:p>
          <w:p>
            <w:pPr>
              <w:spacing w:line="219" w:lineRule="auto"/>
              <w:ind w:left="23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完成值</w:t>
            </w:r>
          </w:p>
        </w:tc>
        <w:tc>
          <w:tcPr>
            <w:tcW w:w="81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分值</w:t>
            </w:r>
          </w:p>
        </w:tc>
        <w:tc>
          <w:tcPr>
            <w:tcW w:w="859" w:type="dxa"/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得分</w:t>
            </w:r>
          </w:p>
        </w:tc>
        <w:tc>
          <w:tcPr>
            <w:tcW w:w="1373" w:type="dxa"/>
            <w:vAlign w:val="top"/>
          </w:tcPr>
          <w:p>
            <w:pPr>
              <w:spacing w:before="131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偏差原因</w:t>
            </w:r>
          </w:p>
          <w:p>
            <w:pPr>
              <w:spacing w:before="61" w:line="220" w:lineRule="auto"/>
              <w:ind w:left="36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分析及</w:t>
            </w:r>
          </w:p>
          <w:p>
            <w:pPr>
              <w:spacing w:before="59" w:line="219" w:lineRule="auto"/>
              <w:ind w:left="25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改进措施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产出</w:t>
            </w:r>
          </w:p>
          <w:p>
            <w:pPr>
              <w:spacing w:before="81" w:line="630" w:lineRule="exact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32"/>
                <w:sz w:val="21"/>
                <w:szCs w:val="21"/>
              </w:rPr>
              <w:t>指标</w:t>
            </w:r>
          </w:p>
          <w:p>
            <w:pPr>
              <w:spacing w:line="220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(50分)</w:t>
            </w:r>
          </w:p>
        </w:tc>
        <w:tc>
          <w:tcPr>
            <w:tcW w:w="1268" w:type="dxa"/>
            <w:tcBorders>
              <w:bottom w:val="nil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数量指标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支出安排金额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万元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95%</w:t>
            </w:r>
          </w:p>
        </w:tc>
        <w:tc>
          <w:tcPr>
            <w:tcW w:w="81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提高预算管理水平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bottom w:val="nil"/>
            </w:tcBorders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质量指标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支出安排金额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万元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100%</w:t>
            </w:r>
          </w:p>
        </w:tc>
        <w:tc>
          <w:tcPr>
            <w:tcW w:w="81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15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bottom w:val="nil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时效指标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hint="default" w:ascii="Arial"/>
                <w:sz w:val="21"/>
                <w:lang w:val="en-US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完成时效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按时完成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100%</w:t>
            </w:r>
          </w:p>
        </w:tc>
        <w:tc>
          <w:tcPr>
            <w:tcW w:w="81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15</w:t>
            </w:r>
          </w:p>
        </w:tc>
        <w:tc>
          <w:tcPr>
            <w:tcW w:w="85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14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提高预算管理水平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tcBorders>
              <w:bottom w:val="nil"/>
            </w:tcBorders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成本指标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支出安排金额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万元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95%</w:t>
            </w:r>
          </w:p>
        </w:tc>
        <w:tc>
          <w:tcPr>
            <w:tcW w:w="81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控制成本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3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line="304" w:lineRule="auto"/>
              <w:rPr>
                <w:rFonts w:ascii="Arial"/>
                <w:sz w:val="21"/>
              </w:rPr>
            </w:pPr>
          </w:p>
          <w:p>
            <w:pPr>
              <w:spacing w:before="68" w:line="220" w:lineRule="auto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效益</w:t>
            </w:r>
          </w:p>
          <w:p>
            <w:pPr>
              <w:spacing w:before="79" w:line="610" w:lineRule="exact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31"/>
                <w:sz w:val="21"/>
                <w:szCs w:val="21"/>
              </w:rPr>
              <w:t>指标</w:t>
            </w:r>
          </w:p>
          <w:p>
            <w:pPr>
              <w:spacing w:line="220" w:lineRule="auto"/>
              <w:ind w:left="1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(30分)</w:t>
            </w: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spacing w:before="116" w:line="300" w:lineRule="exact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6"/>
                <w:sz w:val="21"/>
                <w:szCs w:val="21"/>
              </w:rPr>
              <w:t>经济效</w:t>
            </w:r>
          </w:p>
          <w:p>
            <w:pPr>
              <w:spacing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经济效益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影响情况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90%</w:t>
            </w:r>
          </w:p>
        </w:tc>
        <w:tc>
          <w:tcPr>
            <w:tcW w:w="81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7</w:t>
            </w:r>
          </w:p>
        </w:tc>
        <w:tc>
          <w:tcPr>
            <w:tcW w:w="85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6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提高经济效益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spacing w:before="114" w:line="322" w:lineRule="exact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社会效</w:t>
            </w:r>
          </w:p>
          <w:p>
            <w:pPr>
              <w:spacing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社会效益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影响情况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95%</w:t>
            </w:r>
          </w:p>
        </w:tc>
        <w:tc>
          <w:tcPr>
            <w:tcW w:w="81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7</w:t>
            </w:r>
          </w:p>
        </w:tc>
        <w:tc>
          <w:tcPr>
            <w:tcW w:w="85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6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提高社会效益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spacing w:before="97" w:line="330" w:lineRule="exact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position w:val="8"/>
                <w:sz w:val="21"/>
                <w:szCs w:val="21"/>
              </w:rPr>
              <w:t>生态效</w:t>
            </w:r>
          </w:p>
          <w:p>
            <w:pPr>
              <w:spacing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益指标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环境效益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环境改善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95%</w:t>
            </w:r>
          </w:p>
        </w:tc>
        <w:tc>
          <w:tcPr>
            <w:tcW w:w="81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8</w:t>
            </w:r>
          </w:p>
        </w:tc>
        <w:tc>
          <w:tcPr>
            <w:tcW w:w="85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8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9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spacing w:before="117" w:line="219" w:lineRule="auto"/>
              <w:ind w:left="2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可持续影</w:t>
            </w:r>
          </w:p>
          <w:p>
            <w:pPr>
              <w:spacing w:before="71" w:line="220" w:lineRule="auto"/>
              <w:ind w:left="3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响指标</w:t>
            </w:r>
          </w:p>
        </w:tc>
        <w:tc>
          <w:tcPr>
            <w:tcW w:w="120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可持续性</w:t>
            </w:r>
          </w:p>
        </w:tc>
        <w:tc>
          <w:tcPr>
            <w:tcW w:w="111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持续影响</w:t>
            </w: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100%</w:t>
            </w:r>
          </w:p>
        </w:tc>
        <w:tc>
          <w:tcPr>
            <w:tcW w:w="81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8</w:t>
            </w:r>
          </w:p>
        </w:tc>
        <w:tc>
          <w:tcPr>
            <w:tcW w:w="859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8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</w:trPr>
        <w:tc>
          <w:tcPr>
            <w:tcW w:w="1134" w:type="dxa"/>
            <w:vMerge w:val="continue"/>
            <w:tcBorders>
              <w:top w:val="nil"/>
              <w:bottom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37" w:line="280" w:lineRule="exact"/>
              <w:ind w:left="171" w:right="132"/>
              <w:textAlignment w:val="auto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>满意度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0"/>
                <w:szCs w:val="20"/>
              </w:rPr>
              <w:t xml:space="preserve">指标 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(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sz w:val="20"/>
                <w:szCs w:val="20"/>
              </w:rPr>
              <w:t>分)</w:t>
            </w:r>
          </w:p>
        </w:tc>
        <w:tc>
          <w:tcPr>
            <w:tcW w:w="1268" w:type="dxa"/>
            <w:vMerge w:val="restart"/>
            <w:tcBorders>
              <w:bottom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7" w:line="280" w:lineRule="exact"/>
              <w:ind w:left="202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服务对象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0" w:line="280" w:lineRule="exact"/>
              <w:ind w:left="202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满意度指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1" w:line="280" w:lineRule="exact"/>
              <w:ind w:left="501"/>
              <w:textAlignment w:val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标</w:t>
            </w:r>
          </w:p>
        </w:tc>
        <w:tc>
          <w:tcPr>
            <w:tcW w:w="1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1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8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1134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89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68" w:type="dxa"/>
            <w:vMerge w:val="continue"/>
            <w:tcBorders>
              <w:top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Arial"/>
                <w:sz w:val="21"/>
              </w:rPr>
            </w:pPr>
          </w:p>
        </w:tc>
        <w:tc>
          <w:tcPr>
            <w:tcW w:w="12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满意度情况</w:t>
            </w:r>
          </w:p>
        </w:tc>
        <w:tc>
          <w:tcPr>
            <w:tcW w:w="11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满意</w:t>
            </w:r>
          </w:p>
        </w:tc>
        <w:tc>
          <w:tcPr>
            <w:tcW w:w="110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100%</w:t>
            </w:r>
          </w:p>
        </w:tc>
        <w:tc>
          <w:tcPr>
            <w:tcW w:w="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</w:t>
            </w:r>
          </w:p>
        </w:tc>
        <w:tc>
          <w:tcPr>
            <w:tcW w:w="8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10</w:t>
            </w:r>
          </w:p>
        </w:tc>
        <w:tc>
          <w:tcPr>
            <w:tcW w:w="137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828" w:type="dxa"/>
            <w:gridSpan w:val="6"/>
            <w:vAlign w:val="top"/>
          </w:tcPr>
          <w:p>
            <w:pPr>
              <w:spacing w:before="139" w:line="220" w:lineRule="auto"/>
              <w:ind w:left="24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总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分</w:t>
            </w:r>
          </w:p>
        </w:tc>
        <w:tc>
          <w:tcPr>
            <w:tcW w:w="819" w:type="dxa"/>
            <w:vAlign w:val="top"/>
          </w:tcPr>
          <w:p>
            <w:pPr>
              <w:spacing w:before="191" w:line="184" w:lineRule="auto"/>
              <w:ind w:left="1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100</w:t>
            </w:r>
          </w:p>
        </w:tc>
        <w:tc>
          <w:tcPr>
            <w:tcW w:w="859" w:type="dxa"/>
            <w:vAlign w:val="top"/>
          </w:tcPr>
          <w:p>
            <w:pPr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94</w:t>
            </w:r>
          </w:p>
        </w:tc>
        <w:tc>
          <w:tcPr>
            <w:tcW w:w="1373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line="72" w:lineRule="exact"/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p>
      <w:pPr>
        <w:spacing w:before="161" w:line="225" w:lineRule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ascii="仿宋" w:hAnsi="仿宋" w:eastAsia="仿宋" w:cs="仿宋"/>
          <w:spacing w:val="-24"/>
          <w:position w:val="-1"/>
          <w:sz w:val="24"/>
          <w:szCs w:val="24"/>
        </w:rPr>
        <w:t>填表人：</w:t>
      </w:r>
      <w:r>
        <w:rPr>
          <w:rFonts w:hint="eastAsia" w:ascii="仿宋" w:hAnsi="仿宋" w:eastAsia="仿宋" w:cs="仿宋"/>
          <w:spacing w:val="-24"/>
          <w:position w:val="-1"/>
          <w:sz w:val="24"/>
          <w:szCs w:val="24"/>
          <w:lang w:val="en-US" w:eastAsia="zh-CN"/>
        </w:rPr>
        <w:t>卿懿纯</w:t>
      </w:r>
      <w:r>
        <w:rPr>
          <w:rFonts w:ascii="仿宋" w:hAnsi="仿宋" w:eastAsia="仿宋" w:cs="仿宋"/>
          <w:spacing w:val="4"/>
          <w:position w:val="-1"/>
          <w:sz w:val="24"/>
          <w:szCs w:val="24"/>
        </w:rPr>
        <w:t xml:space="preserve">  </w:t>
      </w:r>
      <w:bookmarkStart w:id="0" w:name="_GoBack"/>
      <w:bookmarkEnd w:id="0"/>
      <w:r>
        <w:rPr>
          <w:rFonts w:ascii="仿宋" w:hAnsi="仿宋" w:eastAsia="仿宋" w:cs="仿宋"/>
          <w:spacing w:val="-24"/>
          <w:sz w:val="24"/>
          <w:szCs w:val="24"/>
        </w:rPr>
        <w:t>填报日期：</w:t>
      </w:r>
      <w:r>
        <w:rPr>
          <w:rFonts w:hint="eastAsia" w:ascii="仿宋" w:hAnsi="仿宋" w:eastAsia="仿宋" w:cs="仿宋"/>
          <w:spacing w:val="-24"/>
          <w:sz w:val="24"/>
          <w:szCs w:val="24"/>
          <w:lang w:val="en-US" w:eastAsia="zh-CN"/>
        </w:rPr>
        <w:t>2023年8月10日</w:t>
      </w:r>
      <w:r>
        <w:rPr>
          <w:rFonts w:ascii="仿宋" w:hAnsi="仿宋" w:eastAsia="仿宋" w:cs="仿宋"/>
          <w:spacing w:val="3"/>
          <w:sz w:val="24"/>
          <w:szCs w:val="24"/>
        </w:rPr>
        <w:t xml:space="preserve">   </w:t>
      </w:r>
      <w:r>
        <w:rPr>
          <w:rFonts w:ascii="仿宋" w:hAnsi="仿宋" w:eastAsia="仿宋" w:cs="仿宋"/>
          <w:spacing w:val="-24"/>
          <w:sz w:val="24"/>
          <w:szCs w:val="24"/>
        </w:rPr>
        <w:t>联系电话：</w:t>
      </w:r>
      <w:r>
        <w:rPr>
          <w:rFonts w:hint="eastAsia" w:ascii="仿宋" w:hAnsi="仿宋" w:eastAsia="仿宋" w:cs="仿宋"/>
          <w:spacing w:val="-24"/>
          <w:sz w:val="24"/>
          <w:szCs w:val="24"/>
          <w:lang w:val="en-US" w:eastAsia="zh-CN"/>
        </w:rPr>
        <w:t>18774714397</w:t>
      </w:r>
      <w:r>
        <w:rPr>
          <w:rFonts w:ascii="仿宋" w:hAnsi="仿宋" w:eastAsia="仿宋" w:cs="仿宋"/>
          <w:spacing w:val="18"/>
          <w:sz w:val="24"/>
          <w:szCs w:val="24"/>
        </w:rPr>
        <w:t xml:space="preserve">  </w:t>
      </w:r>
      <w:r>
        <w:rPr>
          <w:rFonts w:ascii="仿宋" w:hAnsi="仿宋" w:eastAsia="仿宋" w:cs="仿宋"/>
          <w:spacing w:val="-24"/>
          <w:position w:val="1"/>
          <w:sz w:val="24"/>
          <w:szCs w:val="24"/>
        </w:rPr>
        <w:t>单位负责人签字：</w:t>
      </w:r>
      <w:r>
        <w:rPr>
          <w:rFonts w:hint="eastAsia" w:ascii="仿宋" w:hAnsi="仿宋" w:eastAsia="仿宋" w:cs="仿宋"/>
          <w:spacing w:val="-24"/>
          <w:position w:val="1"/>
          <w:sz w:val="24"/>
          <w:szCs w:val="24"/>
          <w:lang w:val="en-US" w:eastAsia="zh-CN"/>
        </w:rPr>
        <w:t>刘柏林</w:t>
      </w:r>
    </w:p>
    <w:sectPr>
      <w:footerReference r:id="rId3" w:type="default"/>
      <w:footerReference r:id="rId4" w:type="even"/>
      <w:pgSz w:w="11906" w:h="16838"/>
      <w:pgMar w:top="850" w:right="1701" w:bottom="0" w:left="1701" w:header="851" w:footer="1021" w:gutter="0"/>
      <w:cols w:space="720" w:num="1"/>
      <w:docGrid w:type="linesAndChars" w:linePitch="312" w:charSpace="-20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10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73AD36"/>
    <w:multiLevelType w:val="singleLevel"/>
    <w:tmpl w:val="B573AD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YzMzMzNmNGViNzNlNTQ3OThjODAzZWJjZGM4ZGEifQ=="/>
  </w:docVars>
  <w:rsids>
    <w:rsidRoot w:val="00000000"/>
    <w:rsid w:val="000F5645"/>
    <w:rsid w:val="00CB5A10"/>
    <w:rsid w:val="01317F69"/>
    <w:rsid w:val="01610122"/>
    <w:rsid w:val="02467A44"/>
    <w:rsid w:val="02867E41"/>
    <w:rsid w:val="038E5B27"/>
    <w:rsid w:val="048C54B6"/>
    <w:rsid w:val="04E946B7"/>
    <w:rsid w:val="05924D4E"/>
    <w:rsid w:val="065B15E4"/>
    <w:rsid w:val="07B86ED1"/>
    <w:rsid w:val="07F1400C"/>
    <w:rsid w:val="092C55DA"/>
    <w:rsid w:val="09BF646E"/>
    <w:rsid w:val="0A23455D"/>
    <w:rsid w:val="0A3B3C06"/>
    <w:rsid w:val="0A4A3E4A"/>
    <w:rsid w:val="0B3715FF"/>
    <w:rsid w:val="0D1F336B"/>
    <w:rsid w:val="0D696CDD"/>
    <w:rsid w:val="0D6C40D7"/>
    <w:rsid w:val="0EB21FBD"/>
    <w:rsid w:val="0F0767AD"/>
    <w:rsid w:val="0F7F4595"/>
    <w:rsid w:val="0FAF1553"/>
    <w:rsid w:val="104D01F0"/>
    <w:rsid w:val="10961B97"/>
    <w:rsid w:val="117619C8"/>
    <w:rsid w:val="11912ABC"/>
    <w:rsid w:val="11E20E0C"/>
    <w:rsid w:val="11F8062F"/>
    <w:rsid w:val="12E0534B"/>
    <w:rsid w:val="130F7455"/>
    <w:rsid w:val="13A81E6B"/>
    <w:rsid w:val="14A16D5C"/>
    <w:rsid w:val="174340FA"/>
    <w:rsid w:val="1D350989"/>
    <w:rsid w:val="1E544E3F"/>
    <w:rsid w:val="1E62123C"/>
    <w:rsid w:val="20BC0B18"/>
    <w:rsid w:val="20E56222"/>
    <w:rsid w:val="21A34113"/>
    <w:rsid w:val="221F1984"/>
    <w:rsid w:val="22920C62"/>
    <w:rsid w:val="240D7F6A"/>
    <w:rsid w:val="267047E0"/>
    <w:rsid w:val="280E42B1"/>
    <w:rsid w:val="2A3B0AA7"/>
    <w:rsid w:val="2A89626B"/>
    <w:rsid w:val="2B5841C1"/>
    <w:rsid w:val="2C0E2AD1"/>
    <w:rsid w:val="2CF94F11"/>
    <w:rsid w:val="2DAD00C8"/>
    <w:rsid w:val="2E4811E5"/>
    <w:rsid w:val="2E7D6008"/>
    <w:rsid w:val="2E913546"/>
    <w:rsid w:val="2FA379D4"/>
    <w:rsid w:val="2FB83480"/>
    <w:rsid w:val="2FE34635"/>
    <w:rsid w:val="309D61D2"/>
    <w:rsid w:val="318A0E4C"/>
    <w:rsid w:val="3202396E"/>
    <w:rsid w:val="334470A0"/>
    <w:rsid w:val="35845BB2"/>
    <w:rsid w:val="35F04FF6"/>
    <w:rsid w:val="38505CE3"/>
    <w:rsid w:val="3A9C1E4A"/>
    <w:rsid w:val="3E277795"/>
    <w:rsid w:val="3E35213F"/>
    <w:rsid w:val="402266F3"/>
    <w:rsid w:val="41716A87"/>
    <w:rsid w:val="42DE5D5F"/>
    <w:rsid w:val="43FE6766"/>
    <w:rsid w:val="440A1978"/>
    <w:rsid w:val="44FF0DB1"/>
    <w:rsid w:val="47257164"/>
    <w:rsid w:val="47B42327"/>
    <w:rsid w:val="4AB07D81"/>
    <w:rsid w:val="4B2F511E"/>
    <w:rsid w:val="4B4E543F"/>
    <w:rsid w:val="4E4F2DA9"/>
    <w:rsid w:val="4F473A81"/>
    <w:rsid w:val="50405662"/>
    <w:rsid w:val="51D535C6"/>
    <w:rsid w:val="525F10E1"/>
    <w:rsid w:val="550268D3"/>
    <w:rsid w:val="552F56E3"/>
    <w:rsid w:val="582E3A30"/>
    <w:rsid w:val="59213594"/>
    <w:rsid w:val="595B0854"/>
    <w:rsid w:val="59E051FD"/>
    <w:rsid w:val="5CDF354A"/>
    <w:rsid w:val="5E174F66"/>
    <w:rsid w:val="5EA211FA"/>
    <w:rsid w:val="5FC24A5B"/>
    <w:rsid w:val="5FE5356E"/>
    <w:rsid w:val="62D873E7"/>
    <w:rsid w:val="62E33669"/>
    <w:rsid w:val="64EE026A"/>
    <w:rsid w:val="652F0DE7"/>
    <w:rsid w:val="6535464F"/>
    <w:rsid w:val="66065283"/>
    <w:rsid w:val="683632D4"/>
    <w:rsid w:val="684E77D6"/>
    <w:rsid w:val="68792AA5"/>
    <w:rsid w:val="69771088"/>
    <w:rsid w:val="6B2667E8"/>
    <w:rsid w:val="6B755E21"/>
    <w:rsid w:val="6B95409A"/>
    <w:rsid w:val="6C092392"/>
    <w:rsid w:val="6DE67F81"/>
    <w:rsid w:val="6E8757F0"/>
    <w:rsid w:val="6FC860C0"/>
    <w:rsid w:val="70781894"/>
    <w:rsid w:val="713A2FED"/>
    <w:rsid w:val="73045661"/>
    <w:rsid w:val="73D725A1"/>
    <w:rsid w:val="74A91D40"/>
    <w:rsid w:val="74B84955"/>
    <w:rsid w:val="74EB6AD9"/>
    <w:rsid w:val="75994786"/>
    <w:rsid w:val="76E557A9"/>
    <w:rsid w:val="7727566A"/>
    <w:rsid w:val="7754328A"/>
    <w:rsid w:val="77560455"/>
    <w:rsid w:val="781A1483"/>
    <w:rsid w:val="7ADD7539"/>
    <w:rsid w:val="7B3665D4"/>
    <w:rsid w:val="7B9003DA"/>
    <w:rsid w:val="7BD4551B"/>
    <w:rsid w:val="7BDC53CD"/>
    <w:rsid w:val="7C6A49D9"/>
    <w:rsid w:val="7D851A94"/>
    <w:rsid w:val="7E4F756B"/>
    <w:rsid w:val="7E521976"/>
    <w:rsid w:val="7E6D4A02"/>
    <w:rsid w:val="7EB26568"/>
    <w:rsid w:val="7F144493"/>
    <w:rsid w:val="7FC6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sz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2436</Words>
  <Characters>2678</Characters>
  <Lines>0</Lines>
  <Paragraphs>0</Paragraphs>
  <TotalTime>1027</TotalTime>
  <ScaleCrop>false</ScaleCrop>
  <LinksUpToDate>false</LinksUpToDate>
  <CharactersWithSpaces>2708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噻</cp:lastModifiedBy>
  <cp:lastPrinted>2023-08-10T01:52:00Z</cp:lastPrinted>
  <dcterms:modified xsi:type="dcterms:W3CDTF">2023-08-23T01:54:31Z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A9C8711EC07543039256E33A49B5A210</vt:lpwstr>
  </property>
</Properties>
</file>