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p>
    <w:p>
      <w:pPr>
        <w:jc w:val="center"/>
        <w:rPr>
          <w:rFonts w:ascii="宋体" w:cs="宋体"/>
          <w:sz w:val="48"/>
          <w:szCs w:val="48"/>
        </w:rPr>
      </w:pPr>
      <w:r>
        <w:rPr>
          <w:rFonts w:ascii="宋体" w:hAnsi="宋体" w:cs="宋体"/>
          <w:sz w:val="48"/>
          <w:szCs w:val="48"/>
        </w:rPr>
        <w:t>2022</w:t>
      </w:r>
      <w:r>
        <w:rPr>
          <w:rFonts w:hint="eastAsia" w:ascii="宋体" w:hAnsi="宋体" w:cs="宋体"/>
          <w:sz w:val="48"/>
          <w:szCs w:val="48"/>
        </w:rPr>
        <w:t>年度部门整体支出绩效自评报告</w:t>
      </w:r>
    </w:p>
    <w:p>
      <w:pPr>
        <w:jc w:val="center"/>
        <w:rPr>
          <w:rFonts w:ascii="宋体" w:cs="宋体"/>
          <w:sz w:val="44"/>
          <w:szCs w:val="44"/>
        </w:rPr>
      </w:pPr>
    </w:p>
    <w:p>
      <w:pPr>
        <w:jc w:val="center"/>
        <w:rPr>
          <w:rFonts w:ascii="宋体" w:cs="宋体"/>
          <w:sz w:val="44"/>
          <w:szCs w:val="44"/>
        </w:rPr>
      </w:pPr>
    </w:p>
    <w:p>
      <w:pPr>
        <w:jc w:val="center"/>
        <w:rPr>
          <w:rFonts w:ascii="宋体" w:cs="宋体"/>
          <w:sz w:val="44"/>
          <w:szCs w:val="44"/>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r>
        <w:rPr>
          <w:rFonts w:cs="宋体"/>
          <w:b/>
          <w:bCs/>
          <w:sz w:val="44"/>
          <w:szCs w:val="44"/>
        </w:rPr>
        <w:t>单位名称 ：衡山县人民政府办公室</w:t>
      </w:r>
    </w:p>
    <w:p>
      <w:pPr>
        <w:jc w:val="center"/>
        <w:rPr>
          <w:rFonts w:ascii="宋体" w:cs="宋体"/>
          <w:sz w:val="32"/>
          <w:szCs w:val="32"/>
        </w:rPr>
      </w:pPr>
    </w:p>
    <w:p>
      <w:pPr>
        <w:rPr>
          <w:rFonts w:ascii="宋体" w:cs="宋体"/>
          <w:sz w:val="44"/>
          <w:szCs w:val="44"/>
        </w:rPr>
      </w:pPr>
    </w:p>
    <w:p>
      <w:pPr>
        <w:jc w:val="center"/>
        <w:rPr>
          <w:rFonts w:ascii="宋体" w:cs="宋体"/>
          <w:sz w:val="44"/>
          <w:szCs w:val="44"/>
        </w:rPr>
      </w:pPr>
    </w:p>
    <w:p>
      <w:pPr>
        <w:jc w:val="center"/>
        <w:rPr>
          <w:rFonts w:ascii="宋体" w:cs="宋体"/>
          <w:sz w:val="32"/>
          <w:szCs w:val="32"/>
        </w:rPr>
      </w:pPr>
    </w:p>
    <w:p>
      <w:pPr>
        <w:jc w:val="center"/>
        <w:rPr>
          <w:rFonts w:ascii="宋体" w:cs="宋体"/>
          <w:sz w:val="32"/>
          <w:szCs w:val="32"/>
        </w:rPr>
      </w:pPr>
    </w:p>
    <w:p>
      <w:pPr>
        <w:rPr>
          <w:rFonts w:ascii="宋体" w:cs="宋体"/>
          <w:sz w:val="32"/>
          <w:szCs w:val="32"/>
        </w:rPr>
      </w:pPr>
    </w:p>
    <w:p>
      <w:pPr>
        <w:widowControl/>
        <w:spacing w:line="600" w:lineRule="exact"/>
        <w:rPr>
          <w:rFonts w:ascii="宋体" w:cs="宋体"/>
          <w:sz w:val="32"/>
          <w:szCs w:val="32"/>
        </w:rPr>
      </w:pPr>
    </w:p>
    <w:p>
      <w:pPr>
        <w:widowControl/>
        <w:spacing w:line="360" w:lineRule="auto"/>
        <w:ind w:firstLine="933" w:firstLineChars="300"/>
        <w:rPr>
          <w:rFonts w:ascii="仿宋" w:hAnsi="仿宋" w:eastAsia="仿宋" w:cs="仿宋"/>
          <w:b/>
          <w:bCs/>
          <w:sz w:val="32"/>
          <w:szCs w:val="32"/>
        </w:rPr>
      </w:pPr>
      <w:r>
        <w:rPr>
          <w:rFonts w:hint="eastAsia" w:ascii="仿宋" w:hAnsi="仿宋" w:eastAsia="仿宋" w:cs="仿宋"/>
          <w:b/>
          <w:bCs/>
          <w:sz w:val="32"/>
          <w:szCs w:val="32"/>
        </w:rPr>
        <w:t>一、单位基本情况</w:t>
      </w:r>
    </w:p>
    <w:p>
      <w:pPr>
        <w:numPr>
          <w:ilvl w:val="0"/>
          <w:numId w:val="1"/>
        </w:numPr>
        <w:spacing w:line="360" w:lineRule="auto"/>
        <w:ind w:firstLine="622" w:firstLineChars="200"/>
        <w:rPr>
          <w:rFonts w:ascii="仿宋" w:hAnsi="仿宋" w:eastAsia="仿宋" w:cs="仿宋"/>
          <w:sz w:val="32"/>
          <w:szCs w:val="32"/>
        </w:rPr>
      </w:pPr>
      <w:r>
        <w:rPr>
          <w:rFonts w:hint="eastAsia" w:ascii="仿宋" w:hAnsi="仿宋" w:eastAsia="仿宋" w:cs="仿宋"/>
          <w:sz w:val="32"/>
          <w:szCs w:val="32"/>
        </w:rPr>
        <w:t>部门职责</w:t>
      </w:r>
    </w:p>
    <w:p>
      <w:pPr>
        <w:pStyle w:val="6"/>
        <w:widowControl/>
        <w:spacing w:line="360" w:lineRule="auto"/>
        <w:ind w:firstLine="480"/>
        <w:rPr>
          <w:rFonts w:hint="eastAsia" w:ascii="宋体" w:hAnsi="宋体" w:cs="宋体"/>
        </w:rPr>
      </w:pPr>
      <w:r>
        <w:rPr>
          <w:rFonts w:hint="eastAsia" w:ascii="宋体" w:hAnsi="宋体" w:cs="宋体"/>
        </w:rPr>
        <w:t>1、协助县政府领导同志审核或组织起草以县政府、县政府办公室名义发布的公文。</w:t>
      </w:r>
    </w:p>
    <w:p>
      <w:pPr>
        <w:pStyle w:val="6"/>
        <w:widowControl/>
        <w:spacing w:line="360" w:lineRule="auto"/>
        <w:ind w:firstLine="480"/>
        <w:rPr>
          <w:rFonts w:hint="eastAsia" w:ascii="宋体" w:hAnsi="宋体" w:cs="宋体"/>
        </w:rPr>
      </w:pPr>
      <w:r>
        <w:rPr>
          <w:rFonts w:hint="eastAsia" w:ascii="宋体" w:hAnsi="宋体" w:cs="宋体"/>
        </w:rPr>
        <w:t>2、研究县政府各部门和各乡镇人民政府请示县政府的事项，提出审核意见，报县政府领导同志审批。</w:t>
      </w:r>
    </w:p>
    <w:p>
      <w:pPr>
        <w:pStyle w:val="6"/>
        <w:widowControl/>
        <w:spacing w:line="360" w:lineRule="auto"/>
        <w:ind w:firstLine="480"/>
        <w:rPr>
          <w:rFonts w:hint="eastAsia" w:ascii="宋体" w:hAnsi="宋体" w:cs="宋体"/>
        </w:rPr>
      </w:pPr>
      <w:r>
        <w:rPr>
          <w:rFonts w:hint="eastAsia" w:ascii="宋体" w:hAnsi="宋体" w:cs="宋体"/>
        </w:rPr>
        <w:t>3、负责县政府会议的组织和服务工作，协助实施会议决定事项。</w:t>
      </w:r>
    </w:p>
    <w:p>
      <w:pPr>
        <w:pStyle w:val="6"/>
        <w:widowControl/>
        <w:spacing w:line="360" w:lineRule="auto"/>
        <w:ind w:firstLine="480"/>
        <w:rPr>
          <w:rFonts w:hint="eastAsia" w:ascii="宋体" w:hAnsi="宋体" w:cs="宋体"/>
        </w:rPr>
      </w:pPr>
      <w:r>
        <w:rPr>
          <w:rFonts w:hint="eastAsia" w:ascii="宋体" w:hAnsi="宋体" w:cs="宋体"/>
        </w:rPr>
        <w:t>4、根据县政府领导同志的指示或工作需要，对有关问题进行协调，提出处理意见，报县政府领导同志决定。</w:t>
      </w:r>
    </w:p>
    <w:p>
      <w:pPr>
        <w:pStyle w:val="6"/>
        <w:widowControl/>
        <w:spacing w:line="360" w:lineRule="auto"/>
        <w:ind w:firstLine="480"/>
        <w:rPr>
          <w:rFonts w:hint="eastAsia" w:ascii="宋体" w:hAnsi="宋体" w:cs="宋体"/>
        </w:rPr>
      </w:pPr>
      <w:r>
        <w:rPr>
          <w:rFonts w:hint="eastAsia" w:ascii="宋体" w:hAnsi="宋体" w:cs="宋体"/>
        </w:rPr>
        <w:t>5、办理中央、省、市和县政府领导同志的批示，并督促落实。督促检查县政府各部门和各乡镇人民政府对县政府决定事项的执行落实情况，及时向县政府报告。</w:t>
      </w:r>
    </w:p>
    <w:p>
      <w:pPr>
        <w:pStyle w:val="6"/>
        <w:widowControl/>
        <w:spacing w:line="360" w:lineRule="auto"/>
        <w:ind w:firstLine="480"/>
        <w:rPr>
          <w:rFonts w:hint="eastAsia" w:ascii="宋体" w:hAnsi="宋体" w:cs="宋体"/>
        </w:rPr>
      </w:pPr>
      <w:r>
        <w:rPr>
          <w:rFonts w:hint="eastAsia" w:ascii="宋体" w:hAnsi="宋体" w:cs="宋体"/>
        </w:rPr>
        <w:t>6、组织开展人大代表建议、政协委员提案办理工作。</w:t>
      </w:r>
    </w:p>
    <w:p>
      <w:pPr>
        <w:pStyle w:val="6"/>
        <w:widowControl/>
        <w:spacing w:line="360" w:lineRule="auto"/>
        <w:ind w:firstLine="480"/>
        <w:rPr>
          <w:rFonts w:hint="eastAsia" w:ascii="宋体" w:hAnsi="宋体" w:cs="宋体"/>
        </w:rPr>
      </w:pPr>
      <w:r>
        <w:rPr>
          <w:rFonts w:hint="eastAsia" w:ascii="宋体" w:hAnsi="宋体" w:cs="宋体"/>
        </w:rPr>
        <w:t>7、协助县政府领导同志做好需由县政府组织处理的突发事件应急处置工作；负责向国务院、省政府、市政府和县政府领导同志报告重要信息和情况；负责县政府值班工作。</w:t>
      </w:r>
    </w:p>
    <w:p>
      <w:pPr>
        <w:pStyle w:val="6"/>
        <w:widowControl/>
        <w:spacing w:line="360" w:lineRule="auto"/>
        <w:ind w:firstLine="480"/>
        <w:rPr>
          <w:rFonts w:hint="eastAsia" w:ascii="宋体" w:hAnsi="宋体" w:cs="宋体"/>
        </w:rPr>
      </w:pPr>
      <w:r>
        <w:rPr>
          <w:rFonts w:hint="eastAsia" w:ascii="宋体" w:hAnsi="宋体" w:cs="宋体"/>
        </w:rPr>
        <w:t>8、负责县政府机关大院的行政事务、综合治理和安全保卫工作；会同有关部门协调解决机关后勤工作中的有关问题。</w:t>
      </w:r>
    </w:p>
    <w:p>
      <w:pPr>
        <w:pStyle w:val="6"/>
        <w:widowControl/>
        <w:spacing w:line="360" w:lineRule="auto"/>
        <w:ind w:firstLine="480"/>
        <w:rPr>
          <w:rFonts w:hint="eastAsia" w:ascii="宋体" w:hAnsi="宋体" w:cs="宋体"/>
        </w:rPr>
      </w:pPr>
      <w:r>
        <w:rPr>
          <w:rFonts w:hint="eastAsia" w:ascii="宋体" w:hAnsi="宋体" w:cs="宋体"/>
        </w:rPr>
        <w:t>9、负责全县金融方面的工作。组织对全县金融机构进行目标管理考核；负责对辖区内融资性担保机构、小额贷款公司、典当行、融资租赁公司、商业保理公司的监督管理；会同有关部门查处和打击非法金融机构和非法金融业务活动，整顿和规范全县金融市场秩序，防范、化解、处置各类金融风险，维护金融稳定。</w:t>
      </w:r>
    </w:p>
    <w:p>
      <w:pPr>
        <w:pStyle w:val="6"/>
        <w:widowControl/>
        <w:spacing w:line="360" w:lineRule="auto"/>
        <w:ind w:firstLine="480"/>
        <w:rPr>
          <w:rFonts w:hint="eastAsia" w:ascii="宋体" w:hAnsi="宋体" w:cs="宋体"/>
        </w:rPr>
      </w:pPr>
      <w:r>
        <w:rPr>
          <w:rFonts w:hint="eastAsia" w:ascii="宋体" w:hAnsi="宋体" w:cs="宋体"/>
        </w:rPr>
        <w:t>10、负责贯彻落实国家有关禁毒法律、法规和政策，组织、督导、协调全县禁毒工作。对全县禁毒工作的检查、督促和考评；组织、协调有关部门和乡镇人民政府依法打击各类涉毒违法犯罪行为，加强对麻醉药品、精神药品和易制毒化学品的管理工作；指导、协调、监督有关部门及乡镇人民政府加强对吸毒人员的管控帮教。</w:t>
      </w:r>
    </w:p>
    <w:p>
      <w:pPr>
        <w:pStyle w:val="6"/>
        <w:widowControl/>
        <w:spacing w:line="360" w:lineRule="auto"/>
        <w:ind w:firstLine="480"/>
        <w:rPr>
          <w:rFonts w:hint="eastAsia" w:ascii="宋体" w:hAnsi="宋体" w:cs="宋体"/>
        </w:rPr>
      </w:pPr>
      <w:r>
        <w:rPr>
          <w:rFonts w:hint="eastAsia" w:ascii="宋体" w:hAnsi="宋体" w:cs="宋体"/>
        </w:rPr>
        <w:t>11、完成县委、县政府和县委、县政府领导同志交办的其他任务。</w:t>
      </w:r>
    </w:p>
    <w:p>
      <w:pPr>
        <w:pStyle w:val="6"/>
        <w:widowControl/>
        <w:spacing w:line="360" w:lineRule="auto"/>
        <w:rPr>
          <w:rFonts w:hint="eastAsia" w:ascii="宋体" w:hAnsi="宋体" w:cs="宋体"/>
          <w:b/>
          <w:bCs/>
        </w:rPr>
      </w:pPr>
      <w:r>
        <w:rPr>
          <w:rFonts w:hint="eastAsia" w:ascii="宋体" w:hAnsi="宋体" w:cs="宋体"/>
          <w:b/>
          <w:bCs/>
        </w:rPr>
        <w:t>一、部门基本情况</w:t>
      </w:r>
    </w:p>
    <w:p>
      <w:pPr>
        <w:pStyle w:val="6"/>
        <w:widowControl/>
        <w:spacing w:line="360" w:lineRule="auto"/>
        <w:ind w:firstLine="480"/>
        <w:rPr>
          <w:rFonts w:hint="eastAsia" w:ascii="宋体" w:hAnsi="宋体" w:cs="宋体"/>
        </w:rPr>
      </w:pPr>
      <w:r>
        <w:rPr>
          <w:rFonts w:hint="eastAsia" w:ascii="宋体" w:hAnsi="宋体" w:cs="宋体"/>
        </w:rPr>
        <w:t>衡山县人民政府办公室是正科级全额拨款单位，2022年11月，共有编制75名,实有人数69人，其中财政供养在职62人，退休37人，有车辆4台。</w:t>
      </w:r>
    </w:p>
    <w:p>
      <w:pPr>
        <w:pStyle w:val="6"/>
        <w:widowControl/>
        <w:spacing w:line="360" w:lineRule="auto"/>
        <w:rPr>
          <w:rFonts w:hint="eastAsia" w:ascii="宋体" w:hAnsi="宋体" w:cs="宋体"/>
          <w:b/>
          <w:bCs/>
        </w:rPr>
      </w:pPr>
      <w:r>
        <w:rPr>
          <w:rFonts w:hint="eastAsia" w:ascii="宋体" w:hAnsi="宋体" w:cs="宋体"/>
          <w:b/>
          <w:bCs/>
          <w:lang w:eastAsia="zh-CN"/>
        </w:rPr>
        <w:t>（</w:t>
      </w:r>
      <w:r>
        <w:rPr>
          <w:rFonts w:hint="eastAsia" w:ascii="宋体" w:hAnsi="宋体" w:cs="宋体"/>
          <w:b/>
          <w:bCs/>
        </w:rPr>
        <w:t>二）部门预算单位构成</w:t>
      </w:r>
    </w:p>
    <w:p>
      <w:pPr>
        <w:pStyle w:val="6"/>
        <w:widowControl/>
        <w:spacing w:line="360" w:lineRule="auto"/>
        <w:ind w:firstLine="480"/>
        <w:rPr>
          <w:rFonts w:hint="eastAsia" w:ascii="宋体" w:hAnsi="宋体" w:cs="宋体"/>
          <w:sz w:val="24"/>
          <w:szCs w:val="24"/>
        </w:rPr>
      </w:pPr>
      <w:r>
        <w:rPr>
          <w:rFonts w:hint="eastAsia" w:ascii="宋体" w:hAnsi="宋体" w:cs="宋体"/>
          <w:sz w:val="24"/>
          <w:szCs w:val="24"/>
        </w:rPr>
        <w:t>纳入我办2022年部门编制范围的归口单位包括：</w:t>
      </w:r>
    </w:p>
    <w:p>
      <w:pPr>
        <w:pStyle w:val="6"/>
        <w:widowControl/>
        <w:spacing w:line="360" w:lineRule="auto"/>
        <w:ind w:firstLine="480"/>
        <w:rPr>
          <w:rFonts w:hint="eastAsia" w:ascii="宋体" w:hAnsi="宋体" w:cs="宋体"/>
          <w:sz w:val="24"/>
          <w:szCs w:val="24"/>
        </w:rPr>
      </w:pPr>
      <w:r>
        <w:rPr>
          <w:rFonts w:hint="eastAsia" w:ascii="宋体" w:hAnsi="宋体" w:cs="宋体"/>
          <w:sz w:val="24"/>
          <w:szCs w:val="24"/>
        </w:rPr>
        <w:t>县国有土地房屋拆迁征收办</w:t>
      </w:r>
    </w:p>
    <w:p>
      <w:pPr>
        <w:pStyle w:val="6"/>
        <w:widowControl/>
        <w:spacing w:line="360" w:lineRule="auto"/>
        <w:ind w:firstLine="480"/>
        <w:rPr>
          <w:rFonts w:hint="eastAsia" w:ascii="宋体" w:hAnsi="宋体" w:cs="宋体"/>
          <w:sz w:val="24"/>
          <w:szCs w:val="24"/>
        </w:rPr>
      </w:pPr>
      <w:r>
        <w:rPr>
          <w:rFonts w:hint="eastAsia" w:ascii="宋体" w:hAnsi="宋体" w:cs="宋体"/>
          <w:sz w:val="24"/>
          <w:szCs w:val="24"/>
        </w:rPr>
        <w:t>县金融服务中心</w:t>
      </w:r>
    </w:p>
    <w:p>
      <w:pPr>
        <w:pStyle w:val="6"/>
        <w:widowControl/>
        <w:spacing w:line="360" w:lineRule="auto"/>
        <w:ind w:firstLine="480"/>
        <w:rPr>
          <w:rFonts w:hint="eastAsia" w:ascii="宋体" w:hAnsi="宋体" w:cs="宋体"/>
          <w:sz w:val="24"/>
          <w:szCs w:val="24"/>
        </w:rPr>
      </w:pPr>
      <w:r>
        <w:rPr>
          <w:rFonts w:hint="eastAsia" w:ascii="宋体" w:hAnsi="宋体" w:cs="宋体"/>
          <w:sz w:val="24"/>
          <w:szCs w:val="24"/>
        </w:rPr>
        <w:t>县社会化禁毒服务中心</w:t>
      </w:r>
    </w:p>
    <w:p>
      <w:pPr>
        <w:pStyle w:val="6"/>
        <w:widowControl/>
        <w:spacing w:line="360" w:lineRule="auto"/>
        <w:ind w:firstLine="480"/>
        <w:rPr>
          <w:rFonts w:hint="eastAsia" w:ascii="宋体" w:hAnsi="宋体" w:cs="宋体"/>
          <w:sz w:val="24"/>
          <w:szCs w:val="24"/>
        </w:rPr>
      </w:pPr>
      <w:r>
        <w:rPr>
          <w:rFonts w:hint="eastAsia" w:ascii="宋体" w:hAnsi="宋体" w:cs="宋体"/>
          <w:sz w:val="24"/>
          <w:szCs w:val="24"/>
        </w:rPr>
        <w:t>县政策研究中心</w:t>
      </w:r>
    </w:p>
    <w:p>
      <w:pPr>
        <w:pStyle w:val="6"/>
        <w:widowControl/>
        <w:spacing w:line="360" w:lineRule="auto"/>
        <w:ind w:firstLine="480"/>
        <w:rPr>
          <w:rFonts w:hint="eastAsia" w:ascii="仿宋" w:hAnsi="仿宋" w:eastAsia="仿宋" w:cs="仿宋"/>
          <w:sz w:val="24"/>
          <w:szCs w:val="24"/>
        </w:rPr>
      </w:pPr>
      <w:r>
        <w:rPr>
          <w:rFonts w:hint="eastAsia" w:ascii="宋体" w:hAnsi="宋体" w:cs="宋体"/>
          <w:sz w:val="24"/>
          <w:szCs w:val="24"/>
        </w:rPr>
        <w:t>衡山县优化经济发展环境工作领导小组办公室</w:t>
      </w:r>
    </w:p>
    <w:p>
      <w:pPr>
        <w:pStyle w:val="12"/>
        <w:widowControl/>
        <w:numPr>
          <w:ilvl w:val="0"/>
          <w:numId w:val="2"/>
        </w:numPr>
        <w:spacing w:line="360" w:lineRule="auto"/>
        <w:ind w:firstLine="623"/>
        <w:rPr>
          <w:rFonts w:ascii="黑体" w:hAnsi="黑体" w:eastAsia="黑体" w:cs="黑体"/>
          <w:b/>
          <w:bCs/>
          <w:spacing w:val="-18"/>
          <w:sz w:val="33"/>
          <w:szCs w:val="33"/>
        </w:rPr>
      </w:pPr>
      <w:r>
        <w:rPr>
          <w:rFonts w:ascii="黑体" w:hAnsi="黑体" w:eastAsia="黑体" w:cs="黑体"/>
          <w:b/>
          <w:bCs/>
          <w:spacing w:val="-18"/>
          <w:sz w:val="33"/>
          <w:szCs w:val="33"/>
        </w:rPr>
        <w:t>预算支出及绩效情况</w:t>
      </w:r>
    </w:p>
    <w:p>
      <w:pPr>
        <w:numPr>
          <w:ilvl w:val="0"/>
          <w:numId w:val="3"/>
        </w:numPr>
        <w:spacing w:before="228" w:line="222" w:lineRule="auto"/>
        <w:ind w:left="581"/>
        <w:rPr>
          <w:rFonts w:ascii="仿宋" w:hAnsi="仿宋" w:eastAsia="仿宋" w:cs="仿宋"/>
          <w:spacing w:val="8"/>
          <w:sz w:val="33"/>
          <w:szCs w:val="33"/>
        </w:rPr>
      </w:pPr>
      <w:r>
        <w:rPr>
          <w:rFonts w:ascii="仿宋" w:hAnsi="仿宋" w:eastAsia="仿宋" w:cs="仿宋"/>
          <w:spacing w:val="8"/>
          <w:sz w:val="33"/>
          <w:szCs w:val="33"/>
        </w:rPr>
        <w:t>部门预决算情况</w:t>
      </w:r>
    </w:p>
    <w:p>
      <w:pPr>
        <w:numPr>
          <w:ilvl w:val="0"/>
          <w:numId w:val="4"/>
        </w:numPr>
        <w:spacing w:before="228" w:line="222" w:lineRule="auto"/>
        <w:ind w:firstLine="598" w:firstLineChars="200"/>
        <w:rPr>
          <w:rFonts w:ascii="仿宋" w:hAnsi="仿宋" w:eastAsia="仿宋" w:cs="仿宋"/>
          <w:b/>
          <w:bCs/>
          <w:spacing w:val="-11"/>
          <w:sz w:val="33"/>
          <w:szCs w:val="33"/>
        </w:rPr>
      </w:pPr>
      <w:r>
        <w:rPr>
          <w:rFonts w:ascii="仿宋" w:hAnsi="仿宋" w:eastAsia="仿宋" w:cs="仿宋"/>
          <w:b/>
          <w:bCs/>
          <w:spacing w:val="-11"/>
          <w:sz w:val="33"/>
          <w:szCs w:val="33"/>
        </w:rPr>
        <w:t>部门预算情况</w:t>
      </w:r>
    </w:p>
    <w:p>
      <w:pPr>
        <w:spacing w:before="239" w:line="342" w:lineRule="auto"/>
        <w:ind w:left="95" w:right="47" w:firstLine="615"/>
        <w:jc w:val="both"/>
        <w:rPr>
          <w:rFonts w:ascii="仿宋" w:hAnsi="仿宋" w:eastAsia="仿宋" w:cs="仿宋"/>
          <w:spacing w:val="-14"/>
          <w:sz w:val="24"/>
          <w:szCs w:val="24"/>
        </w:rPr>
      </w:pPr>
      <w:r>
        <w:rPr>
          <w:rFonts w:ascii="仿宋" w:hAnsi="仿宋" w:eastAsia="仿宋" w:cs="仿宋"/>
          <w:spacing w:val="-13"/>
          <w:sz w:val="24"/>
          <w:szCs w:val="24"/>
        </w:rPr>
        <w:t>2022年年初预算安排收入</w:t>
      </w:r>
      <w:r>
        <w:rPr>
          <w:rFonts w:hint="eastAsia" w:ascii="仿宋" w:hAnsi="仿宋" w:eastAsia="仿宋" w:cs="仿宋"/>
          <w:spacing w:val="-13"/>
          <w:sz w:val="24"/>
          <w:szCs w:val="24"/>
          <w:lang w:val="en-US" w:eastAsia="zh-CN"/>
        </w:rPr>
        <w:t>886.17</w:t>
      </w:r>
      <w:r>
        <w:rPr>
          <w:rFonts w:ascii="仿宋" w:hAnsi="仿宋" w:eastAsia="仿宋" w:cs="仿宋"/>
          <w:spacing w:val="-13"/>
          <w:sz w:val="24"/>
          <w:szCs w:val="24"/>
        </w:rPr>
        <w:t>万元，其中一</w:t>
      </w:r>
      <w:r>
        <w:rPr>
          <w:rFonts w:ascii="仿宋" w:hAnsi="仿宋" w:eastAsia="仿宋" w:cs="仿宋"/>
          <w:spacing w:val="-14"/>
          <w:sz w:val="24"/>
          <w:szCs w:val="24"/>
        </w:rPr>
        <w:t>般公共财政拨</w:t>
      </w:r>
      <w:r>
        <w:rPr>
          <w:rFonts w:ascii="仿宋" w:hAnsi="仿宋" w:eastAsia="仿宋" w:cs="仿宋"/>
          <w:b w:val="0"/>
          <w:bCs w:val="0"/>
          <w:spacing w:val="-13"/>
          <w:sz w:val="24"/>
          <w:szCs w:val="24"/>
        </w:rPr>
        <w:t>款</w:t>
      </w:r>
      <w:r>
        <w:rPr>
          <w:rFonts w:hint="eastAsia" w:ascii="仿宋" w:hAnsi="仿宋" w:eastAsia="仿宋" w:cs="仿宋"/>
          <w:b w:val="0"/>
          <w:bCs w:val="0"/>
          <w:spacing w:val="-13"/>
          <w:sz w:val="24"/>
          <w:szCs w:val="24"/>
          <w:lang w:val="en-US" w:eastAsia="zh-CN"/>
        </w:rPr>
        <w:t>886.17</w:t>
      </w:r>
      <w:r>
        <w:rPr>
          <w:rFonts w:ascii="仿宋" w:hAnsi="仿宋" w:eastAsia="仿宋" w:cs="仿宋"/>
          <w:spacing w:val="-13"/>
          <w:sz w:val="24"/>
          <w:szCs w:val="24"/>
        </w:rPr>
        <w:t>万元；2022年年初预算安排支出</w:t>
      </w:r>
      <w:r>
        <w:rPr>
          <w:rFonts w:hint="eastAsia" w:ascii="仿宋" w:hAnsi="仿宋" w:eastAsia="仿宋" w:cs="仿宋"/>
          <w:spacing w:val="-13"/>
          <w:sz w:val="24"/>
          <w:szCs w:val="24"/>
          <w:lang w:val="en-US" w:eastAsia="zh-CN"/>
        </w:rPr>
        <w:t>886.17</w:t>
      </w:r>
      <w:r>
        <w:rPr>
          <w:rFonts w:ascii="仿宋" w:hAnsi="仿宋" w:eastAsia="仿宋" w:cs="仿宋"/>
          <w:spacing w:val="-13"/>
          <w:sz w:val="24"/>
          <w:szCs w:val="24"/>
        </w:rPr>
        <w:t>万元，其中：基本支</w:t>
      </w:r>
      <w:r>
        <w:rPr>
          <w:rFonts w:ascii="仿宋" w:hAnsi="仿宋" w:eastAsia="仿宋" w:cs="仿宋"/>
          <w:spacing w:val="-14"/>
          <w:sz w:val="24"/>
          <w:szCs w:val="24"/>
        </w:rPr>
        <w:t>出</w:t>
      </w:r>
      <w:r>
        <w:rPr>
          <w:rFonts w:hint="eastAsia" w:ascii="仿宋" w:hAnsi="仿宋" w:eastAsia="仿宋" w:cs="仿宋"/>
          <w:b w:val="0"/>
          <w:bCs w:val="0"/>
          <w:spacing w:val="-14"/>
          <w:sz w:val="24"/>
          <w:szCs w:val="24"/>
          <w:lang w:val="en-US" w:eastAsia="zh-CN"/>
        </w:rPr>
        <w:t>823.17</w:t>
      </w:r>
      <w:r>
        <w:rPr>
          <w:rFonts w:ascii="仿宋" w:hAnsi="仿宋" w:eastAsia="仿宋" w:cs="仿宋"/>
          <w:b w:val="0"/>
          <w:bCs w:val="0"/>
          <w:spacing w:val="-14"/>
          <w:sz w:val="24"/>
          <w:szCs w:val="24"/>
        </w:rPr>
        <w:t>万</w:t>
      </w:r>
      <w:r>
        <w:rPr>
          <w:rFonts w:ascii="仿宋" w:hAnsi="仿宋" w:eastAsia="仿宋" w:cs="仿宋"/>
          <w:spacing w:val="-14"/>
          <w:sz w:val="24"/>
          <w:szCs w:val="24"/>
        </w:rPr>
        <w:t>元，项目支出</w:t>
      </w:r>
      <w:r>
        <w:rPr>
          <w:rFonts w:hint="eastAsia" w:ascii="仿宋" w:hAnsi="仿宋" w:eastAsia="仿宋" w:cs="仿宋"/>
          <w:spacing w:val="-14"/>
          <w:sz w:val="24"/>
          <w:szCs w:val="24"/>
          <w:lang w:val="en-US" w:eastAsia="zh-CN"/>
        </w:rPr>
        <w:t>63</w:t>
      </w:r>
      <w:r>
        <w:rPr>
          <w:rFonts w:ascii="仿宋" w:hAnsi="仿宋" w:eastAsia="仿宋" w:cs="仿宋"/>
          <w:spacing w:val="-14"/>
          <w:sz w:val="24"/>
          <w:szCs w:val="24"/>
        </w:rPr>
        <w:t>万元。</w:t>
      </w:r>
    </w:p>
    <w:p>
      <w:pPr>
        <w:numPr>
          <w:ilvl w:val="0"/>
          <w:numId w:val="4"/>
        </w:numPr>
        <w:spacing w:before="228" w:line="222" w:lineRule="auto"/>
        <w:ind w:left="0" w:leftChars="0" w:firstLine="634" w:firstLineChars="200"/>
        <w:rPr>
          <w:rFonts w:ascii="仿宋" w:hAnsi="仿宋" w:eastAsia="仿宋" w:cs="仿宋"/>
          <w:b/>
          <w:bCs/>
          <w:spacing w:val="-2"/>
          <w:sz w:val="33"/>
          <w:szCs w:val="33"/>
        </w:rPr>
      </w:pPr>
      <w:r>
        <w:rPr>
          <w:rFonts w:ascii="仿宋" w:hAnsi="仿宋" w:eastAsia="仿宋" w:cs="仿宋"/>
          <w:b/>
          <w:bCs/>
          <w:spacing w:val="-2"/>
          <w:sz w:val="33"/>
          <w:szCs w:val="33"/>
        </w:rPr>
        <w:t>部门决算情况(含年中预算追加情况)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27" w:firstLineChars="300"/>
        <w:textAlignment w:val="auto"/>
        <w:rPr>
          <w:rFonts w:hint="eastAsia" w:ascii="仿宋" w:hAnsi="仿宋" w:eastAsia="仿宋" w:cs="仿宋"/>
          <w:spacing w:val="-2"/>
          <w:sz w:val="33"/>
          <w:szCs w:val="33"/>
          <w:lang w:val="en-US" w:eastAsia="zh-CN"/>
        </w:rPr>
      </w:pPr>
      <w:r>
        <w:rPr>
          <w:rFonts w:ascii="仿宋" w:hAnsi="仿宋" w:eastAsia="仿宋" w:cs="仿宋"/>
          <w:spacing w:val="-11"/>
          <w:sz w:val="24"/>
          <w:szCs w:val="24"/>
        </w:rPr>
        <w:t>2022年决算总收入</w:t>
      </w:r>
      <w:r>
        <w:rPr>
          <w:rFonts w:hint="eastAsia" w:ascii="仿宋" w:hAnsi="仿宋" w:eastAsia="仿宋" w:cs="仿宋"/>
          <w:spacing w:val="-11"/>
          <w:sz w:val="24"/>
          <w:szCs w:val="24"/>
          <w:lang w:val="en-US" w:eastAsia="zh-CN"/>
        </w:rPr>
        <w:t>1374.08</w:t>
      </w:r>
      <w:r>
        <w:rPr>
          <w:rFonts w:ascii="仿宋" w:hAnsi="仿宋" w:eastAsia="仿宋" w:cs="仿宋"/>
          <w:spacing w:val="-11"/>
          <w:sz w:val="24"/>
          <w:szCs w:val="24"/>
        </w:rPr>
        <w:t>万元，较预算增加</w:t>
      </w:r>
      <w:r>
        <w:rPr>
          <w:rFonts w:hint="eastAsia" w:ascii="仿宋" w:hAnsi="仿宋" w:eastAsia="仿宋" w:cs="仿宋"/>
          <w:spacing w:val="-11"/>
          <w:sz w:val="24"/>
          <w:szCs w:val="24"/>
          <w:lang w:val="en-US" w:eastAsia="zh-CN"/>
        </w:rPr>
        <w:t>487.91</w:t>
      </w:r>
      <w:r>
        <w:rPr>
          <w:rFonts w:ascii="仿宋" w:hAnsi="仿宋" w:eastAsia="仿宋" w:cs="仿宋"/>
          <w:spacing w:val="-11"/>
          <w:sz w:val="24"/>
          <w:szCs w:val="24"/>
        </w:rPr>
        <w:t>万元，总支出</w:t>
      </w:r>
      <w:r>
        <w:rPr>
          <w:rFonts w:ascii="仿宋" w:hAnsi="仿宋" w:eastAsia="仿宋" w:cs="仿宋"/>
          <w:spacing w:val="3"/>
          <w:sz w:val="24"/>
          <w:szCs w:val="24"/>
        </w:rPr>
        <w:t xml:space="preserve"> </w:t>
      </w:r>
      <w:r>
        <w:rPr>
          <w:rFonts w:hint="eastAsia" w:ascii="仿宋" w:hAnsi="仿宋" w:eastAsia="仿宋" w:cs="仿宋"/>
          <w:spacing w:val="-1"/>
          <w:sz w:val="24"/>
          <w:szCs w:val="24"/>
          <w:lang w:val="en-US" w:eastAsia="zh-CN"/>
        </w:rPr>
        <w:t>1372.27</w:t>
      </w:r>
      <w:r>
        <w:rPr>
          <w:rFonts w:ascii="仿宋" w:hAnsi="仿宋" w:eastAsia="仿宋" w:cs="仿宋"/>
          <w:spacing w:val="-1"/>
          <w:sz w:val="24"/>
          <w:szCs w:val="24"/>
        </w:rPr>
        <w:t>万元，其中：基本支出</w:t>
      </w:r>
      <w:r>
        <w:rPr>
          <w:rFonts w:hint="eastAsia" w:ascii="仿宋" w:hAnsi="仿宋" w:eastAsia="仿宋" w:cs="仿宋"/>
          <w:spacing w:val="-1"/>
          <w:sz w:val="24"/>
          <w:szCs w:val="24"/>
          <w:lang w:val="en-US" w:eastAsia="zh-CN"/>
        </w:rPr>
        <w:t>893.95</w:t>
      </w:r>
      <w:r>
        <w:rPr>
          <w:rFonts w:ascii="仿宋" w:hAnsi="仿宋" w:eastAsia="仿宋" w:cs="仿宋"/>
          <w:spacing w:val="-1"/>
          <w:sz w:val="24"/>
          <w:szCs w:val="24"/>
        </w:rPr>
        <w:t>万元，占总支出的</w:t>
      </w:r>
      <w:r>
        <w:rPr>
          <w:rFonts w:hint="eastAsia" w:ascii="仿宋" w:hAnsi="仿宋" w:eastAsia="仿宋" w:cs="仿宋"/>
          <w:spacing w:val="-1"/>
          <w:sz w:val="24"/>
          <w:szCs w:val="24"/>
          <w:lang w:val="en-US" w:eastAsia="zh-CN"/>
        </w:rPr>
        <w:t>65.14</w:t>
      </w:r>
      <w:r>
        <w:rPr>
          <w:rFonts w:ascii="仿宋" w:hAnsi="仿宋" w:eastAsia="仿宋" w:cs="仿宋"/>
          <w:spacing w:val="-2"/>
          <w:sz w:val="24"/>
          <w:szCs w:val="24"/>
        </w:rPr>
        <w:t>%;项目支</w:t>
      </w:r>
      <w:r>
        <w:rPr>
          <w:rFonts w:hint="eastAsia" w:ascii="仿宋" w:hAnsi="仿宋" w:eastAsia="仿宋" w:cs="仿宋"/>
          <w:spacing w:val="-2"/>
          <w:sz w:val="24"/>
          <w:szCs w:val="24"/>
          <w:lang w:eastAsia="zh-CN"/>
        </w:rPr>
        <w:t>出</w:t>
      </w:r>
      <w:r>
        <w:rPr>
          <w:rFonts w:hint="eastAsia" w:ascii="仿宋" w:hAnsi="仿宋" w:eastAsia="仿宋" w:cs="仿宋"/>
          <w:spacing w:val="-1"/>
          <w:sz w:val="24"/>
          <w:szCs w:val="24"/>
          <w:lang w:val="en-US" w:eastAsia="zh-CN"/>
        </w:rPr>
        <w:t>478.32</w:t>
      </w:r>
      <w:r>
        <w:rPr>
          <w:rFonts w:ascii="仿宋" w:hAnsi="仿宋" w:eastAsia="仿宋" w:cs="仿宋"/>
          <w:spacing w:val="-1"/>
          <w:sz w:val="24"/>
          <w:szCs w:val="24"/>
        </w:rPr>
        <w:t>万元，占总支出的</w:t>
      </w:r>
      <w:r>
        <w:rPr>
          <w:rFonts w:hint="eastAsia" w:ascii="仿宋" w:hAnsi="仿宋" w:eastAsia="仿宋" w:cs="仿宋"/>
          <w:spacing w:val="-1"/>
          <w:sz w:val="24"/>
          <w:szCs w:val="24"/>
          <w:lang w:val="en-US" w:eastAsia="zh-CN"/>
        </w:rPr>
        <w:t>34.86</w:t>
      </w:r>
      <w:r>
        <w:rPr>
          <w:rFonts w:ascii="仿宋" w:hAnsi="仿宋" w:eastAsia="仿宋" w:cs="仿宋"/>
          <w:spacing w:val="-2"/>
          <w:sz w:val="24"/>
          <w:szCs w:val="24"/>
        </w:rPr>
        <w:t>%</w:t>
      </w:r>
      <w:r>
        <w:rPr>
          <w:rFonts w:hint="eastAsia" w:ascii="仿宋" w:hAnsi="仿宋" w:eastAsia="仿宋" w:cs="仿宋"/>
          <w:spacing w:val="-2"/>
          <w:sz w:val="24"/>
          <w:szCs w:val="24"/>
          <w:lang w:eastAsia="zh-CN"/>
        </w:rPr>
        <w:t>，差异产生的主要原因是：</w:t>
      </w:r>
      <w:r>
        <w:rPr>
          <w:rFonts w:hint="eastAsia" w:ascii="仿宋" w:hAnsi="仿宋" w:eastAsia="仿宋" w:cs="仿宋"/>
          <w:color w:val="2B2B2B"/>
          <w:sz w:val="24"/>
          <w:szCs w:val="24"/>
          <w:shd w:val="clear" w:color="auto" w:fill="FFFFFF"/>
          <w:lang w:val="en-US" w:eastAsia="zh-CN"/>
        </w:rPr>
        <w:t>职能加强</w:t>
      </w:r>
      <w:r>
        <w:rPr>
          <w:rFonts w:hint="eastAsia" w:ascii="仿宋" w:hAnsi="仿宋" w:eastAsia="仿宋" w:cs="仿宋"/>
          <w:color w:val="2B2B2B"/>
          <w:sz w:val="24"/>
          <w:szCs w:val="24"/>
          <w:shd w:val="clear" w:color="auto" w:fill="FFFFFF"/>
        </w:rPr>
        <w:t>经费有所增加</w:t>
      </w:r>
      <w:r>
        <w:rPr>
          <w:rFonts w:hint="eastAsia" w:ascii="仿宋" w:hAnsi="仿宋" w:eastAsia="仿宋" w:cs="仿宋"/>
          <w:color w:val="2B2B2B"/>
          <w:sz w:val="24"/>
          <w:szCs w:val="24"/>
          <w:shd w:val="clear" w:color="auto" w:fill="FFFFFF"/>
          <w:lang w:eastAsia="zh-CN"/>
        </w:rPr>
        <w:t>，数据细化</w:t>
      </w:r>
      <w:r>
        <w:rPr>
          <w:rFonts w:hint="eastAsia" w:ascii="仿宋" w:hAnsi="仿宋" w:eastAsia="仿宋" w:cs="仿宋"/>
          <w:color w:val="2B2B2B"/>
          <w:sz w:val="33"/>
          <w:szCs w:val="33"/>
          <w:shd w:val="clear" w:color="auto" w:fill="FFFFFF"/>
          <w:lang w:eastAsia="zh-CN"/>
        </w:rPr>
        <w:t>。</w:t>
      </w:r>
    </w:p>
    <w:p>
      <w:pPr>
        <w:numPr>
          <w:ilvl w:val="0"/>
          <w:numId w:val="4"/>
        </w:numPr>
        <w:spacing w:line="240" w:lineRule="auto"/>
        <w:ind w:left="0" w:leftChars="0" w:firstLine="650" w:firstLineChars="200"/>
        <w:rPr>
          <w:rFonts w:ascii="仿宋" w:hAnsi="仿宋" w:eastAsia="仿宋" w:cs="仿宋"/>
          <w:b/>
          <w:bCs/>
          <w:spacing w:val="2"/>
          <w:sz w:val="33"/>
          <w:szCs w:val="33"/>
        </w:rPr>
      </w:pPr>
      <w:r>
        <w:rPr>
          <w:rFonts w:ascii="仿宋" w:hAnsi="仿宋" w:eastAsia="仿宋" w:cs="仿宋"/>
          <w:b/>
          <w:bCs/>
          <w:spacing w:val="2"/>
          <w:sz w:val="33"/>
          <w:szCs w:val="33"/>
        </w:rPr>
        <w:t>"三公"经费执行情况</w:t>
      </w:r>
    </w:p>
    <w:p>
      <w:pPr>
        <w:spacing w:before="232" w:line="352" w:lineRule="auto"/>
        <w:ind w:left="90" w:firstLine="620"/>
        <w:jc w:val="both"/>
        <w:rPr>
          <w:rFonts w:ascii="仿宋" w:hAnsi="仿宋" w:eastAsia="仿宋" w:cs="仿宋"/>
          <w:spacing w:val="5"/>
          <w:sz w:val="24"/>
          <w:szCs w:val="24"/>
        </w:rPr>
      </w:pPr>
      <w:r>
        <w:rPr>
          <w:rFonts w:ascii="仿宋" w:hAnsi="仿宋" w:eastAsia="仿宋" w:cs="仿宋"/>
          <w:spacing w:val="-10"/>
          <w:sz w:val="24"/>
          <w:szCs w:val="24"/>
        </w:rPr>
        <w:t>2022年"三公"经费预算数</w:t>
      </w:r>
      <w:r>
        <w:rPr>
          <w:rFonts w:hint="eastAsia" w:ascii="仿宋" w:hAnsi="仿宋" w:eastAsia="仿宋" w:cs="仿宋"/>
          <w:spacing w:val="-10"/>
          <w:sz w:val="24"/>
          <w:szCs w:val="24"/>
          <w:lang w:val="en-US" w:eastAsia="zh-CN"/>
        </w:rPr>
        <w:t>11</w:t>
      </w:r>
      <w:r>
        <w:rPr>
          <w:rFonts w:ascii="仿宋" w:hAnsi="仿宋" w:eastAsia="仿宋" w:cs="仿宋"/>
          <w:spacing w:val="-10"/>
          <w:sz w:val="24"/>
          <w:szCs w:val="24"/>
        </w:rPr>
        <w:t>万元，其中：因公出国(境)</w:t>
      </w:r>
      <w:r>
        <w:rPr>
          <w:rFonts w:ascii="仿宋" w:hAnsi="仿宋" w:eastAsia="仿宋" w:cs="仿宋"/>
          <w:spacing w:val="10"/>
          <w:sz w:val="24"/>
          <w:szCs w:val="24"/>
        </w:rPr>
        <w:t xml:space="preserve"> </w:t>
      </w:r>
      <w:r>
        <w:rPr>
          <w:rFonts w:ascii="仿宋" w:hAnsi="仿宋" w:eastAsia="仿宋" w:cs="仿宋"/>
          <w:spacing w:val="-8"/>
          <w:sz w:val="24"/>
          <w:szCs w:val="24"/>
        </w:rPr>
        <w:t>费</w:t>
      </w:r>
      <w:r>
        <w:rPr>
          <w:rFonts w:hint="eastAsia" w:ascii="仿宋" w:hAnsi="仿宋" w:eastAsia="仿宋" w:cs="仿宋"/>
          <w:spacing w:val="-8"/>
          <w:sz w:val="24"/>
          <w:szCs w:val="24"/>
          <w:lang w:val="en-US" w:eastAsia="zh-CN"/>
        </w:rPr>
        <w:t>0</w:t>
      </w:r>
      <w:r>
        <w:rPr>
          <w:rFonts w:ascii="仿宋" w:hAnsi="仿宋" w:eastAsia="仿宋" w:cs="仿宋"/>
          <w:spacing w:val="-8"/>
          <w:sz w:val="24"/>
          <w:szCs w:val="24"/>
        </w:rPr>
        <w:t>万元，公务用车购置及运行维护费</w:t>
      </w:r>
      <w:r>
        <w:rPr>
          <w:rFonts w:hint="eastAsia" w:ascii="仿宋" w:hAnsi="仿宋" w:eastAsia="仿宋" w:cs="仿宋"/>
          <w:spacing w:val="-8"/>
          <w:sz w:val="24"/>
          <w:szCs w:val="24"/>
          <w:lang w:val="en-US" w:eastAsia="zh-CN"/>
        </w:rPr>
        <w:t>4</w:t>
      </w:r>
      <w:r>
        <w:rPr>
          <w:rFonts w:ascii="仿宋" w:hAnsi="仿宋" w:eastAsia="仿宋" w:cs="仿宋"/>
          <w:spacing w:val="-8"/>
          <w:sz w:val="24"/>
          <w:szCs w:val="24"/>
        </w:rPr>
        <w:t>万元，公务接待费</w:t>
      </w:r>
      <w:r>
        <w:rPr>
          <w:rFonts w:hint="eastAsia" w:ascii="仿宋" w:hAnsi="仿宋" w:eastAsia="仿宋" w:cs="仿宋"/>
          <w:spacing w:val="-8"/>
          <w:sz w:val="24"/>
          <w:szCs w:val="24"/>
          <w:lang w:val="en-US" w:eastAsia="zh-CN"/>
        </w:rPr>
        <w:t>7</w:t>
      </w:r>
      <w:r>
        <w:rPr>
          <w:rFonts w:ascii="仿宋" w:hAnsi="仿宋" w:eastAsia="仿宋" w:cs="仿宋"/>
          <w:spacing w:val="1"/>
          <w:sz w:val="24"/>
          <w:szCs w:val="24"/>
        </w:rPr>
        <w:t>万元。</w:t>
      </w:r>
      <w:r>
        <w:rPr>
          <w:rFonts w:ascii="仿宋" w:hAnsi="仿宋" w:eastAsia="仿宋" w:cs="仿宋"/>
          <w:spacing w:val="81"/>
          <w:sz w:val="24"/>
          <w:szCs w:val="24"/>
        </w:rPr>
        <w:t xml:space="preserve"> </w:t>
      </w:r>
      <w:r>
        <w:rPr>
          <w:rFonts w:ascii="仿宋" w:hAnsi="仿宋" w:eastAsia="仿宋" w:cs="仿宋"/>
          <w:spacing w:val="1"/>
          <w:sz w:val="24"/>
          <w:szCs w:val="24"/>
        </w:rPr>
        <w:t>"三公"经费决算数</w:t>
      </w:r>
      <w:r>
        <w:rPr>
          <w:rFonts w:hint="eastAsia" w:ascii="仿宋" w:hAnsi="仿宋" w:eastAsia="仿宋" w:cs="仿宋"/>
          <w:spacing w:val="1"/>
          <w:sz w:val="24"/>
          <w:szCs w:val="24"/>
          <w:lang w:val="en-US" w:eastAsia="zh-CN"/>
        </w:rPr>
        <w:t>10.29</w:t>
      </w:r>
      <w:r>
        <w:rPr>
          <w:rFonts w:ascii="仿宋" w:hAnsi="仿宋" w:eastAsia="仿宋" w:cs="仿宋"/>
          <w:spacing w:val="1"/>
          <w:sz w:val="24"/>
          <w:szCs w:val="24"/>
        </w:rPr>
        <w:t>元，其中：因公出国(境)费</w:t>
      </w:r>
      <w:r>
        <w:rPr>
          <w:rFonts w:hint="eastAsia" w:ascii="仿宋" w:hAnsi="仿宋" w:eastAsia="仿宋" w:cs="仿宋"/>
          <w:spacing w:val="1"/>
          <w:sz w:val="24"/>
          <w:szCs w:val="24"/>
          <w:lang w:val="en-US" w:eastAsia="zh-CN"/>
        </w:rPr>
        <w:t>0</w:t>
      </w:r>
      <w:r>
        <w:rPr>
          <w:rFonts w:ascii="仿宋" w:hAnsi="仿宋" w:eastAsia="仿宋" w:cs="仿宋"/>
          <w:spacing w:val="5"/>
          <w:sz w:val="24"/>
          <w:szCs w:val="24"/>
        </w:rPr>
        <w:t>万元，公务用车运行维护费</w:t>
      </w:r>
      <w:r>
        <w:rPr>
          <w:rFonts w:hint="eastAsia" w:ascii="仿宋" w:hAnsi="仿宋" w:eastAsia="仿宋" w:cs="仿宋"/>
          <w:spacing w:val="5"/>
          <w:sz w:val="24"/>
          <w:szCs w:val="24"/>
          <w:lang w:val="en-US" w:eastAsia="zh-CN"/>
        </w:rPr>
        <w:t>4</w:t>
      </w:r>
      <w:r>
        <w:rPr>
          <w:rFonts w:ascii="仿宋" w:hAnsi="仿宋" w:eastAsia="仿宋" w:cs="仿宋"/>
          <w:spacing w:val="5"/>
          <w:sz w:val="24"/>
          <w:szCs w:val="24"/>
        </w:rPr>
        <w:t>万元，公务接待费</w:t>
      </w:r>
      <w:r>
        <w:rPr>
          <w:rFonts w:hint="eastAsia" w:ascii="仿宋" w:hAnsi="仿宋" w:eastAsia="仿宋" w:cs="仿宋"/>
          <w:spacing w:val="5"/>
          <w:sz w:val="24"/>
          <w:szCs w:val="24"/>
          <w:lang w:val="en-US" w:eastAsia="zh-CN"/>
        </w:rPr>
        <w:t>6.29</w:t>
      </w:r>
      <w:r>
        <w:rPr>
          <w:rFonts w:ascii="仿宋" w:hAnsi="仿宋" w:eastAsia="仿宋" w:cs="仿宋"/>
          <w:spacing w:val="5"/>
          <w:sz w:val="24"/>
          <w:szCs w:val="24"/>
        </w:rPr>
        <w:t>万元。</w:t>
      </w:r>
    </w:p>
    <w:p>
      <w:pPr>
        <w:spacing w:before="249" w:line="221" w:lineRule="auto"/>
        <w:ind w:left="745"/>
        <w:outlineLvl w:val="0"/>
        <w:rPr>
          <w:rFonts w:ascii="仿宋" w:hAnsi="仿宋" w:eastAsia="仿宋" w:cs="仿宋"/>
          <w:sz w:val="31"/>
          <w:szCs w:val="31"/>
        </w:rPr>
      </w:pPr>
      <w:r>
        <w:rPr>
          <w:rFonts w:ascii="仿宋" w:hAnsi="仿宋" w:eastAsia="仿宋" w:cs="仿宋"/>
          <w:b/>
          <w:bCs/>
          <w:spacing w:val="8"/>
          <w:sz w:val="31"/>
          <w:szCs w:val="31"/>
        </w:rPr>
        <w:t>4.政府采购执行情况</w:t>
      </w:r>
    </w:p>
    <w:p>
      <w:pPr>
        <w:spacing w:before="233" w:line="643" w:lineRule="exact"/>
        <w:ind w:left="741"/>
        <w:rPr>
          <w:rFonts w:ascii="仿宋" w:hAnsi="仿宋" w:eastAsia="仿宋" w:cs="仿宋"/>
          <w:sz w:val="24"/>
          <w:szCs w:val="24"/>
        </w:rPr>
      </w:pPr>
      <w:r>
        <w:rPr>
          <w:rFonts w:ascii="仿宋" w:hAnsi="仿宋" w:eastAsia="仿宋" w:cs="仿宋"/>
          <w:spacing w:val="6"/>
          <w:position w:val="24"/>
          <w:sz w:val="24"/>
          <w:szCs w:val="24"/>
        </w:rPr>
        <w:t>2022年度政府采购支出</w:t>
      </w:r>
      <w:r>
        <w:rPr>
          <w:rFonts w:hint="eastAsia" w:ascii="仿宋" w:hAnsi="仿宋" w:eastAsia="仿宋" w:cs="仿宋"/>
          <w:spacing w:val="6"/>
          <w:position w:val="24"/>
          <w:sz w:val="24"/>
          <w:szCs w:val="24"/>
          <w:lang w:val="en-US" w:eastAsia="zh-CN"/>
        </w:rPr>
        <w:t>15.42</w:t>
      </w:r>
      <w:r>
        <w:rPr>
          <w:rFonts w:ascii="仿宋" w:hAnsi="仿宋" w:eastAsia="仿宋" w:cs="仿宋"/>
          <w:spacing w:val="6"/>
          <w:position w:val="24"/>
          <w:sz w:val="24"/>
          <w:szCs w:val="24"/>
        </w:rPr>
        <w:t>万元，其中：货物</w:t>
      </w:r>
      <w:r>
        <w:rPr>
          <w:rFonts w:hint="eastAsia" w:ascii="仿宋" w:hAnsi="仿宋" w:eastAsia="仿宋" w:cs="仿宋"/>
          <w:spacing w:val="6"/>
          <w:position w:val="24"/>
          <w:sz w:val="24"/>
          <w:szCs w:val="24"/>
          <w:lang w:val="en-US" w:eastAsia="zh-CN"/>
        </w:rPr>
        <w:t>15.42</w:t>
      </w:r>
      <w:r>
        <w:rPr>
          <w:rFonts w:ascii="仿宋" w:hAnsi="仿宋" w:eastAsia="仿宋" w:cs="仿宋"/>
          <w:spacing w:val="5"/>
          <w:position w:val="24"/>
          <w:sz w:val="24"/>
          <w:szCs w:val="24"/>
        </w:rPr>
        <w:t>元，工程</w:t>
      </w:r>
      <w:r>
        <w:rPr>
          <w:rFonts w:hint="eastAsia" w:ascii="仿宋" w:hAnsi="仿宋" w:eastAsia="仿宋" w:cs="仿宋"/>
          <w:spacing w:val="5"/>
          <w:position w:val="24"/>
          <w:sz w:val="24"/>
          <w:szCs w:val="24"/>
          <w:lang w:val="en-US" w:eastAsia="zh-CN"/>
        </w:rPr>
        <w:t>0万元，服务0万元。</w:t>
      </w:r>
    </w:p>
    <w:p>
      <w:pPr>
        <w:spacing w:before="252" w:line="222" w:lineRule="auto"/>
        <w:ind w:left="745"/>
        <w:outlineLvl w:val="0"/>
        <w:rPr>
          <w:rFonts w:ascii="仿宋" w:hAnsi="仿宋" w:eastAsia="仿宋" w:cs="仿宋"/>
          <w:sz w:val="31"/>
          <w:szCs w:val="31"/>
        </w:rPr>
      </w:pPr>
      <w:r>
        <w:rPr>
          <w:rFonts w:ascii="仿宋" w:hAnsi="仿宋" w:eastAsia="仿宋" w:cs="仿宋"/>
          <w:b/>
          <w:bCs/>
          <w:spacing w:val="8"/>
          <w:sz w:val="31"/>
          <w:szCs w:val="31"/>
        </w:rPr>
        <w:t>5.资产管理情况</w:t>
      </w:r>
    </w:p>
    <w:p>
      <w:pPr>
        <w:spacing w:before="230" w:line="368" w:lineRule="auto"/>
        <w:ind w:left="115" w:firstLine="625"/>
        <w:jc w:val="both"/>
        <w:rPr>
          <w:rFonts w:ascii="仿宋" w:hAnsi="仿宋" w:eastAsia="仿宋" w:cs="仿宋"/>
          <w:sz w:val="24"/>
          <w:szCs w:val="24"/>
        </w:rPr>
      </w:pPr>
      <w:r>
        <w:rPr>
          <w:rFonts w:ascii="仿宋" w:hAnsi="仿宋" w:eastAsia="仿宋" w:cs="仿宋"/>
          <w:spacing w:val="6"/>
          <w:sz w:val="24"/>
          <w:szCs w:val="24"/>
        </w:rPr>
        <w:t>2022年年末资产总额</w:t>
      </w:r>
      <w:r>
        <w:rPr>
          <w:rFonts w:hint="eastAsia" w:ascii="仿宋" w:hAnsi="仿宋" w:eastAsia="仿宋" w:cs="仿宋"/>
          <w:spacing w:val="6"/>
          <w:sz w:val="24"/>
          <w:szCs w:val="24"/>
          <w:lang w:val="en-US" w:eastAsia="zh-CN"/>
        </w:rPr>
        <w:t>340.97</w:t>
      </w:r>
      <w:r>
        <w:rPr>
          <w:rFonts w:ascii="仿宋" w:hAnsi="仿宋" w:eastAsia="仿宋" w:cs="仿宋"/>
          <w:spacing w:val="6"/>
          <w:sz w:val="24"/>
          <w:szCs w:val="24"/>
        </w:rPr>
        <w:t>万元，负债总额</w:t>
      </w:r>
      <w:r>
        <w:rPr>
          <w:rFonts w:hint="eastAsia" w:ascii="仿宋" w:hAnsi="仿宋" w:eastAsia="仿宋" w:cs="仿宋"/>
          <w:spacing w:val="6"/>
          <w:sz w:val="24"/>
          <w:szCs w:val="24"/>
          <w:lang w:val="en-US" w:eastAsia="zh-CN"/>
        </w:rPr>
        <w:t>17.12</w:t>
      </w:r>
      <w:r>
        <w:rPr>
          <w:rFonts w:ascii="仿宋" w:hAnsi="仿宋" w:eastAsia="仿宋" w:cs="仿宋"/>
          <w:spacing w:val="6"/>
          <w:sz w:val="24"/>
          <w:szCs w:val="24"/>
        </w:rPr>
        <w:t>万元，净资产</w:t>
      </w:r>
      <w:r>
        <w:rPr>
          <w:rFonts w:ascii="仿宋" w:hAnsi="仿宋" w:eastAsia="仿宋" w:cs="仿宋"/>
          <w:spacing w:val="3"/>
          <w:sz w:val="24"/>
          <w:szCs w:val="24"/>
        </w:rPr>
        <w:t xml:space="preserve"> </w:t>
      </w:r>
      <w:r>
        <w:rPr>
          <w:rFonts w:hint="eastAsia" w:ascii="仿宋" w:hAnsi="仿宋" w:eastAsia="仿宋" w:cs="仿宋"/>
          <w:b w:val="0"/>
          <w:bCs w:val="0"/>
          <w:spacing w:val="18"/>
          <w:sz w:val="24"/>
          <w:szCs w:val="24"/>
          <w:lang w:val="en-US" w:eastAsia="zh-CN"/>
        </w:rPr>
        <w:t>323.86</w:t>
      </w:r>
      <w:r>
        <w:rPr>
          <w:rFonts w:ascii="仿宋" w:hAnsi="仿宋" w:eastAsia="仿宋" w:cs="仿宋"/>
          <w:spacing w:val="18"/>
          <w:sz w:val="24"/>
          <w:szCs w:val="24"/>
        </w:rPr>
        <w:t>万元。截至2022年12月31日，</w:t>
      </w:r>
      <w:r>
        <w:rPr>
          <w:rFonts w:ascii="仿宋" w:hAnsi="仿宋" w:eastAsia="仿宋" w:cs="仿宋"/>
          <w:spacing w:val="84"/>
          <w:sz w:val="24"/>
          <w:szCs w:val="24"/>
        </w:rPr>
        <w:t xml:space="preserve"> </w:t>
      </w:r>
      <w:r>
        <w:rPr>
          <w:rFonts w:ascii="仿宋" w:hAnsi="仿宋" w:eastAsia="仿宋" w:cs="仿宋"/>
          <w:spacing w:val="18"/>
          <w:sz w:val="24"/>
          <w:szCs w:val="24"/>
        </w:rPr>
        <w:t>固定资产账面原值</w:t>
      </w:r>
      <w:r>
        <w:rPr>
          <w:rFonts w:hint="eastAsia" w:ascii="仿宋" w:hAnsi="仿宋" w:eastAsia="仿宋" w:cs="仿宋"/>
          <w:spacing w:val="18"/>
          <w:sz w:val="24"/>
          <w:szCs w:val="24"/>
          <w:lang w:val="en-US" w:eastAsia="zh-CN"/>
        </w:rPr>
        <w:t>563.65</w:t>
      </w:r>
      <w:r>
        <w:rPr>
          <w:rFonts w:ascii="仿宋" w:hAnsi="仿宋" w:eastAsia="仿宋" w:cs="仿宋"/>
          <w:spacing w:val="18"/>
          <w:sz w:val="24"/>
          <w:szCs w:val="24"/>
        </w:rPr>
        <w:t>万</w:t>
      </w:r>
      <w:r>
        <w:rPr>
          <w:rFonts w:hint="eastAsia" w:ascii="仿宋" w:hAnsi="仿宋" w:eastAsia="仿宋" w:cs="仿宋"/>
          <w:spacing w:val="18"/>
          <w:sz w:val="24"/>
          <w:szCs w:val="24"/>
          <w:lang w:eastAsia="zh-CN"/>
        </w:rPr>
        <w:t>元，在用资产</w:t>
      </w:r>
      <w:r>
        <w:rPr>
          <w:rFonts w:hint="eastAsia" w:ascii="仿宋" w:hAnsi="仿宋" w:eastAsia="仿宋" w:cs="仿宋"/>
          <w:spacing w:val="18"/>
          <w:sz w:val="24"/>
          <w:szCs w:val="24"/>
          <w:lang w:val="en-US" w:eastAsia="zh-CN"/>
        </w:rPr>
        <w:t>563.65万元，资产使用率100%。</w:t>
      </w:r>
    </w:p>
    <w:p>
      <w:pPr>
        <w:spacing w:before="282" w:line="601" w:lineRule="exact"/>
        <w:ind w:left="605"/>
        <w:rPr>
          <w:rFonts w:ascii="仿宋" w:hAnsi="仿宋" w:eastAsia="仿宋" w:cs="仿宋"/>
          <w:sz w:val="31"/>
          <w:szCs w:val="31"/>
        </w:rPr>
      </w:pPr>
      <w:r>
        <w:rPr>
          <w:rFonts w:hint="eastAsia" w:ascii="仿宋" w:hAnsi="仿宋" w:eastAsia="仿宋" w:cs="仿宋"/>
          <w:b/>
          <w:bCs/>
          <w:spacing w:val="17"/>
          <w:position w:val="21"/>
          <w:sz w:val="31"/>
          <w:szCs w:val="31"/>
          <w:lang w:eastAsia="zh-CN"/>
        </w:rPr>
        <w:t>（</w:t>
      </w:r>
      <w:r>
        <w:rPr>
          <w:rFonts w:ascii="仿宋" w:hAnsi="仿宋" w:eastAsia="仿宋" w:cs="仿宋"/>
          <w:b/>
          <w:bCs/>
          <w:spacing w:val="17"/>
          <w:position w:val="21"/>
          <w:sz w:val="31"/>
          <w:szCs w:val="31"/>
        </w:rPr>
        <w:t>二)资金使用及绩效情况</w:t>
      </w:r>
    </w:p>
    <w:p>
      <w:pPr>
        <w:spacing w:line="222" w:lineRule="auto"/>
        <w:ind w:left="745"/>
        <w:rPr>
          <w:rFonts w:ascii="仿宋" w:hAnsi="仿宋" w:eastAsia="仿宋" w:cs="仿宋"/>
          <w:b/>
          <w:bCs/>
          <w:spacing w:val="6"/>
          <w:sz w:val="31"/>
          <w:szCs w:val="31"/>
        </w:rPr>
      </w:pPr>
      <w:r>
        <w:rPr>
          <w:rFonts w:ascii="仿宋" w:hAnsi="仿宋" w:eastAsia="仿宋" w:cs="仿宋"/>
          <w:b/>
          <w:bCs/>
          <w:spacing w:val="6"/>
          <w:sz w:val="31"/>
          <w:szCs w:val="31"/>
        </w:rPr>
        <w:t>整体绩效目标完成情况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before="102" w:line="360" w:lineRule="auto"/>
        <w:ind w:leftChars="200" w:firstLine="462" w:firstLineChars="200"/>
        <w:textAlignment w:val="auto"/>
        <w:outlineLvl w:val="0"/>
        <w:rPr>
          <w:rFonts w:hint="eastAsia" w:ascii="仿宋_GB2312" w:hAnsi="仿宋_GB2312" w:eastAsia="仿宋_GB2312" w:cs="仿宋_GB2312"/>
          <w:b w:val="0"/>
          <w:bCs w:val="0"/>
          <w:i w:val="0"/>
          <w:caps w:val="0"/>
          <w:color w:val="auto"/>
          <w:spacing w:val="0"/>
          <w:sz w:val="24"/>
          <w:szCs w:val="24"/>
          <w:shd w:val="clear" w:color="auto" w:fill="FFFFFF"/>
          <w:lang w:eastAsia="zh-CN"/>
        </w:rPr>
      </w:pPr>
      <w:r>
        <w:rPr>
          <w:rFonts w:hint="eastAsia" w:ascii="仿宋_GB2312" w:hAnsi="仿宋_GB2312" w:eastAsia="仿宋_GB2312" w:cs="仿宋_GB2312"/>
          <w:b w:val="0"/>
          <w:bCs w:val="0"/>
          <w:i w:val="0"/>
          <w:caps w:val="0"/>
          <w:color w:val="auto"/>
          <w:spacing w:val="0"/>
          <w:sz w:val="24"/>
          <w:szCs w:val="24"/>
          <w:shd w:val="clear" w:color="auto" w:fill="FFFFFF"/>
        </w:rPr>
        <w:t>202</w:t>
      </w:r>
      <w:r>
        <w:rPr>
          <w:rFonts w:hint="eastAsia" w:ascii="仿宋_GB2312" w:hAnsi="仿宋_GB2312" w:eastAsia="仿宋_GB2312" w:cs="仿宋_GB2312"/>
          <w:b w:val="0"/>
          <w:bCs w:val="0"/>
          <w:i w:val="0"/>
          <w:caps w:val="0"/>
          <w:color w:val="auto"/>
          <w:spacing w:val="0"/>
          <w:sz w:val="24"/>
          <w:szCs w:val="24"/>
          <w:shd w:val="clear" w:color="auto" w:fill="FFFFFF"/>
          <w:lang w:val="en-US" w:eastAsia="zh-CN"/>
        </w:rPr>
        <w:t>2</w:t>
      </w:r>
      <w:r>
        <w:rPr>
          <w:rFonts w:hint="eastAsia" w:ascii="仿宋_GB2312" w:hAnsi="仿宋_GB2312" w:eastAsia="仿宋_GB2312" w:cs="仿宋_GB2312"/>
          <w:b w:val="0"/>
          <w:bCs w:val="0"/>
          <w:i w:val="0"/>
          <w:caps w:val="0"/>
          <w:color w:val="auto"/>
          <w:spacing w:val="0"/>
          <w:sz w:val="24"/>
          <w:szCs w:val="24"/>
          <w:shd w:val="clear" w:color="auto" w:fill="FFFFFF"/>
        </w:rPr>
        <w:t>年，县</w:t>
      </w:r>
      <w:r>
        <w:rPr>
          <w:rFonts w:hint="eastAsia" w:ascii="仿宋_GB2312" w:hAnsi="仿宋_GB2312" w:eastAsia="仿宋_GB2312" w:cs="仿宋_GB2312"/>
          <w:b w:val="0"/>
          <w:bCs w:val="0"/>
          <w:i w:val="0"/>
          <w:caps w:val="0"/>
          <w:color w:val="auto"/>
          <w:spacing w:val="0"/>
          <w:sz w:val="24"/>
          <w:szCs w:val="24"/>
          <w:shd w:val="clear" w:color="auto" w:fill="FFFFFF"/>
          <w:lang w:eastAsia="zh-CN"/>
        </w:rPr>
        <w:t>政</w:t>
      </w:r>
      <w:r>
        <w:rPr>
          <w:rFonts w:hint="eastAsia" w:ascii="仿宋_GB2312" w:hAnsi="仿宋_GB2312" w:eastAsia="仿宋_GB2312" w:cs="仿宋_GB2312"/>
          <w:b w:val="0"/>
          <w:bCs w:val="0"/>
          <w:i w:val="0"/>
          <w:caps w:val="0"/>
          <w:color w:val="auto"/>
          <w:spacing w:val="0"/>
          <w:sz w:val="24"/>
          <w:szCs w:val="24"/>
          <w:shd w:val="clear" w:color="auto" w:fill="FFFFFF"/>
        </w:rPr>
        <w:t>府办在县委、县政府的正确领导下，紧紧围绕县委、县政府中心工作，</w:t>
      </w:r>
      <w:r>
        <w:rPr>
          <w:rFonts w:hint="eastAsia" w:ascii="仿宋_GB2312" w:hAnsi="仿宋_GB2312" w:eastAsia="仿宋_GB2312" w:cs="仿宋_GB2312"/>
          <w:b w:val="0"/>
          <w:bCs w:val="0"/>
          <w:color w:val="auto"/>
          <w:sz w:val="24"/>
          <w:szCs w:val="24"/>
          <w:lang w:val="en-US" w:eastAsia="zh-CN"/>
        </w:rPr>
        <w:t>以“严标准、强执行、优服务”为目标，</w:t>
      </w:r>
      <w:r>
        <w:rPr>
          <w:rFonts w:hint="eastAsia" w:ascii="仿宋_GB2312" w:hAnsi="仿宋_GB2312" w:eastAsia="仿宋_GB2312" w:cs="仿宋_GB2312"/>
          <w:b w:val="0"/>
          <w:bCs w:val="0"/>
          <w:i w:val="0"/>
          <w:caps w:val="0"/>
          <w:color w:val="auto"/>
          <w:spacing w:val="0"/>
          <w:sz w:val="24"/>
          <w:szCs w:val="24"/>
          <w:shd w:val="clear" w:color="auto" w:fill="FFFFFF"/>
          <w:lang w:eastAsia="zh-CN"/>
        </w:rPr>
        <w:t>大力弘扬“忠诚、敬业、严谨、高效”办公室精神，</w:t>
      </w:r>
      <w:r>
        <w:rPr>
          <w:rFonts w:hint="eastAsia" w:ascii="仿宋_GB2312" w:hAnsi="仿宋_GB2312" w:eastAsia="仿宋_GB2312" w:cs="仿宋_GB2312"/>
          <w:b w:val="0"/>
          <w:bCs w:val="0"/>
          <w:i w:val="0"/>
          <w:caps w:val="0"/>
          <w:color w:val="auto"/>
          <w:spacing w:val="0"/>
          <w:sz w:val="24"/>
          <w:szCs w:val="24"/>
          <w:shd w:val="clear" w:color="auto" w:fill="FFFFFF"/>
        </w:rPr>
        <w:t>攻坚克难，</w:t>
      </w:r>
      <w:r>
        <w:rPr>
          <w:rFonts w:hint="eastAsia" w:ascii="仿宋_GB2312" w:hAnsi="仿宋_GB2312" w:eastAsia="仿宋_GB2312" w:cs="仿宋_GB2312"/>
          <w:b w:val="0"/>
          <w:bCs w:val="0"/>
          <w:i w:val="0"/>
          <w:caps w:val="0"/>
          <w:color w:val="auto"/>
          <w:spacing w:val="0"/>
          <w:sz w:val="24"/>
          <w:szCs w:val="24"/>
          <w:shd w:val="clear" w:color="auto" w:fill="FFFFFF"/>
          <w:lang w:eastAsia="zh-CN"/>
        </w:rPr>
        <w:t>不断</w:t>
      </w:r>
      <w:r>
        <w:rPr>
          <w:rFonts w:hint="eastAsia" w:ascii="仿宋_GB2312" w:hAnsi="仿宋_GB2312" w:eastAsia="仿宋_GB2312" w:cs="仿宋_GB2312"/>
          <w:b w:val="0"/>
          <w:bCs w:val="0"/>
          <w:i w:val="0"/>
          <w:caps w:val="0"/>
          <w:color w:val="auto"/>
          <w:spacing w:val="0"/>
          <w:sz w:val="24"/>
          <w:szCs w:val="24"/>
          <w:shd w:val="clear" w:color="auto" w:fill="FFFFFF"/>
        </w:rPr>
        <w:t>创新工作方法，切实保障</w:t>
      </w:r>
      <w:r>
        <w:rPr>
          <w:rFonts w:hint="eastAsia" w:ascii="仿宋_GB2312" w:hAnsi="仿宋_GB2312" w:eastAsia="仿宋_GB2312" w:cs="仿宋_GB2312"/>
          <w:b w:val="0"/>
          <w:bCs w:val="0"/>
          <w:i w:val="0"/>
          <w:caps w:val="0"/>
          <w:color w:val="auto"/>
          <w:spacing w:val="0"/>
          <w:sz w:val="24"/>
          <w:szCs w:val="24"/>
          <w:shd w:val="clear" w:color="auto" w:fill="FFFFFF"/>
          <w:lang w:eastAsia="zh-CN"/>
        </w:rPr>
        <w:t>县</w:t>
      </w:r>
      <w:r>
        <w:rPr>
          <w:rFonts w:hint="eastAsia" w:ascii="仿宋_GB2312" w:hAnsi="仿宋_GB2312" w:eastAsia="仿宋_GB2312" w:cs="仿宋_GB2312"/>
          <w:b w:val="0"/>
          <w:bCs w:val="0"/>
          <w:i w:val="0"/>
          <w:caps w:val="0"/>
          <w:color w:val="auto"/>
          <w:spacing w:val="0"/>
          <w:sz w:val="24"/>
          <w:szCs w:val="24"/>
          <w:shd w:val="clear" w:color="auto" w:fill="FFFFFF"/>
        </w:rPr>
        <w:t>政府各项工作高效运转和决策部署贯彻落实，较好地完成了全年各项工作任务</w:t>
      </w:r>
      <w:r>
        <w:rPr>
          <w:rFonts w:hint="eastAsia" w:ascii="仿宋_GB2312" w:hAnsi="仿宋_GB2312" w:eastAsia="仿宋_GB2312" w:cs="仿宋_GB2312"/>
          <w:b w:val="0"/>
          <w:bCs w:val="0"/>
          <w:i w:val="0"/>
          <w:caps w:val="0"/>
          <w:color w:val="auto"/>
          <w:spacing w:val="0"/>
          <w:sz w:val="24"/>
          <w:szCs w:val="24"/>
          <w:shd w:val="clear" w:color="auto" w:fill="FFFFFF"/>
          <w:lang w:eastAsia="zh-CN"/>
        </w:rPr>
        <w:t>，</w:t>
      </w:r>
      <w:r>
        <w:rPr>
          <w:rFonts w:hint="eastAsia" w:ascii="仿宋_GB2312" w:hAnsi="仿宋_GB2312" w:eastAsia="仿宋_GB2312" w:cs="仿宋_GB2312"/>
          <w:sz w:val="24"/>
          <w:szCs w:val="24"/>
        </w:rPr>
        <w:t>完成既定绩效目标。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462" w:firstLineChars="200"/>
        <w:jc w:val="both"/>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（一）强化履职担当，确保政府工作运转顺畅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462" w:firstLineChars="200"/>
        <w:jc w:val="both"/>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狠抓督查督办</w:t>
      </w:r>
      <w:r>
        <w:rPr>
          <w:rFonts w:hint="eastAsia" w:ascii="仿宋_GB2312" w:hAnsi="仿宋_GB2312" w:eastAsia="仿宋_GB2312" w:cs="仿宋_GB2312"/>
          <w:b w:val="0"/>
          <w:bCs w:val="0"/>
          <w:color w:val="auto"/>
          <w:sz w:val="24"/>
          <w:szCs w:val="24"/>
          <w:lang w:val="en" w:eastAsia="zh-CN"/>
        </w:rPr>
        <w:t>效能，</w:t>
      </w:r>
      <w:r>
        <w:rPr>
          <w:rFonts w:hint="eastAsia" w:ascii="仿宋_GB2312" w:hAnsi="仿宋_GB2312" w:eastAsia="仿宋_GB2312" w:cs="仿宋_GB2312"/>
          <w:b w:val="0"/>
          <w:bCs w:val="0"/>
          <w:color w:val="auto"/>
          <w:sz w:val="24"/>
          <w:szCs w:val="24"/>
          <w:lang w:val="en-US" w:eastAsia="zh-CN"/>
        </w:rPr>
        <w:t>落实值班值守制度，提高后勤保障质量，夯实人事政工管理，优化营商环境攻坚，加强法治政府建设。</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462" w:firstLineChars="200"/>
        <w:jc w:val="both"/>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lang w:val="en" w:eastAsia="zh-CN"/>
        </w:rPr>
        <w:t>二</w:t>
      </w:r>
      <w:r>
        <w:rPr>
          <w:rFonts w:hint="eastAsia" w:ascii="仿宋_GB2312" w:hAnsi="仿宋_GB2312" w:eastAsia="仿宋_GB2312" w:cs="仿宋_GB2312"/>
          <w:b w:val="0"/>
          <w:bCs w:val="0"/>
          <w:color w:val="auto"/>
          <w:sz w:val="24"/>
          <w:szCs w:val="24"/>
          <w:lang w:val="en-US" w:eastAsia="zh-CN"/>
        </w:rPr>
        <w:t>）服务中心大局，扎实开展政府专项工作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462" w:firstLineChars="200"/>
        <w:jc w:val="both"/>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平稳推进征拆工作，深入开展禁毒工作，优化金融服务工作。</w:t>
      </w:r>
    </w:p>
    <w:p>
      <w:pPr>
        <w:numPr>
          <w:ilvl w:val="0"/>
          <w:numId w:val="2"/>
        </w:numPr>
        <w:spacing w:before="102" w:line="222" w:lineRule="auto"/>
        <w:ind w:left="0" w:leftChars="0" w:firstLine="598" w:firstLineChars="200"/>
        <w:outlineLvl w:val="0"/>
        <w:rPr>
          <w:rFonts w:ascii="黑体" w:hAnsi="黑体" w:eastAsia="黑体" w:cs="黑体"/>
          <w:b/>
          <w:bCs/>
          <w:spacing w:val="-1"/>
          <w:sz w:val="31"/>
          <w:szCs w:val="31"/>
        </w:rPr>
      </w:pPr>
      <w:r>
        <w:rPr>
          <w:rFonts w:ascii="黑体" w:hAnsi="黑体" w:eastAsia="黑体" w:cs="黑体"/>
          <w:b/>
          <w:bCs/>
          <w:spacing w:val="-1"/>
          <w:sz w:val="31"/>
          <w:szCs w:val="31"/>
        </w:rPr>
        <w:t>存在的问题及改进措施</w:t>
      </w:r>
    </w:p>
    <w:p>
      <w:pPr>
        <w:pStyle w:val="6"/>
        <w:widowControl/>
        <w:spacing w:line="360" w:lineRule="auto"/>
        <w:ind w:firstLine="462" w:firstLineChars="200"/>
        <w:rPr>
          <w:rFonts w:hint="eastAsia" w:ascii="宋体" w:hAnsi="宋体" w:cs="宋体"/>
          <w:sz w:val="24"/>
          <w:szCs w:val="24"/>
        </w:rPr>
      </w:pPr>
      <w:r>
        <w:rPr>
          <w:rFonts w:hint="eastAsia" w:ascii="宋体" w:hAnsi="宋体" w:cs="宋体"/>
          <w:sz w:val="24"/>
          <w:szCs w:val="24"/>
        </w:rPr>
        <w:t>我办2022年因一些突发事项、临时性重大事项常年有临时人员和单位临时抽调人员，人员办公经费不足，公用经费超支。 </w:t>
      </w:r>
    </w:p>
    <w:p>
      <w:pPr>
        <w:pStyle w:val="6"/>
        <w:widowControl/>
        <w:spacing w:line="360" w:lineRule="auto"/>
        <w:ind w:firstLine="462" w:firstLineChars="200"/>
        <w:rPr>
          <w:rFonts w:hint="eastAsia" w:ascii="宋体" w:hAnsi="宋体" w:cs="宋体"/>
          <w:sz w:val="24"/>
          <w:szCs w:val="24"/>
        </w:rPr>
      </w:pPr>
      <w:r>
        <w:rPr>
          <w:rFonts w:hint="eastAsia" w:ascii="宋体" w:hAnsi="宋体" w:cs="宋体"/>
          <w:sz w:val="24"/>
          <w:szCs w:val="24"/>
        </w:rPr>
        <w:t>鉴于我办为县委、县政府重要服务窗口，工作涉及面非常广，下一步我办拟申请在年初预算时增加一些临时项目资金和日常公用经费。 </w:t>
      </w:r>
    </w:p>
    <w:p>
      <w:pPr>
        <w:widowControl/>
        <w:spacing w:line="360" w:lineRule="auto"/>
        <w:ind w:firstLine="645"/>
        <w:jc w:val="left"/>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、绩效自评结果拟应用和公开情况</w:t>
      </w:r>
    </w:p>
    <w:p>
      <w:pPr>
        <w:spacing w:line="600" w:lineRule="exact"/>
        <w:ind w:firstLine="462" w:firstLineChars="200"/>
        <w:rPr>
          <w:rFonts w:hint="eastAsia" w:ascii="仿宋" w:hAnsi="仿宋" w:eastAsia="仿宋" w:cs="仿宋"/>
          <w:sz w:val="32"/>
          <w:szCs w:val="32"/>
        </w:rPr>
      </w:pPr>
      <w:r>
        <w:rPr>
          <w:rFonts w:hint="eastAsia" w:ascii="仿宋" w:hAnsi="仿宋" w:eastAsia="仿宋" w:cs="仿宋"/>
          <w:sz w:val="24"/>
          <w:szCs w:val="24"/>
        </w:rPr>
        <w:t>本单位将部门支出绩效自评结果在</w:t>
      </w:r>
      <w:r>
        <w:rPr>
          <w:rFonts w:hint="eastAsia" w:ascii="仿宋" w:hAnsi="仿宋" w:eastAsia="仿宋" w:cs="仿宋"/>
          <w:sz w:val="24"/>
          <w:szCs w:val="24"/>
          <w:lang w:eastAsia="zh-CN"/>
        </w:rPr>
        <w:t>政府</w:t>
      </w:r>
      <w:r>
        <w:rPr>
          <w:rFonts w:hint="eastAsia" w:ascii="仿宋" w:hAnsi="仿宋" w:eastAsia="仿宋" w:cs="仿宋"/>
          <w:sz w:val="24"/>
          <w:szCs w:val="24"/>
        </w:rPr>
        <w:t>门户网站公开，接</w:t>
      </w:r>
      <w:r>
        <w:rPr>
          <w:rFonts w:hint="eastAsia" w:ascii="仿宋" w:hAnsi="仿宋" w:eastAsia="仿宋" w:cs="仿宋"/>
          <w:sz w:val="24"/>
          <w:szCs w:val="24"/>
          <w:lang w:eastAsia="zh-CN"/>
        </w:rPr>
        <w:t>受</w:t>
      </w:r>
      <w:r>
        <w:rPr>
          <w:rFonts w:hint="eastAsia" w:ascii="仿宋" w:hAnsi="仿宋" w:eastAsia="仿宋" w:cs="仿宋"/>
          <w:sz w:val="24"/>
          <w:szCs w:val="24"/>
        </w:rPr>
        <w:t>社会监督。</w:t>
      </w:r>
    </w:p>
    <w:p>
      <w:pPr>
        <w:widowControl/>
        <w:spacing w:line="360" w:lineRule="auto"/>
        <w:ind w:firstLine="645"/>
        <w:jc w:val="left"/>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、其他需要说明的情况</w:t>
      </w:r>
    </w:p>
    <w:p>
      <w:pPr>
        <w:widowControl/>
        <w:spacing w:line="360" w:lineRule="auto"/>
        <w:ind w:firstLine="645"/>
        <w:jc w:val="left"/>
        <w:rPr>
          <w:rFonts w:hint="eastAsia" w:ascii="宋体" w:hAnsi="宋体" w:eastAsia="宋体" w:cs="宋体"/>
          <w:sz w:val="24"/>
          <w:szCs w:val="24"/>
        </w:rPr>
      </w:pPr>
      <w:r>
        <w:rPr>
          <w:rFonts w:hint="eastAsia" w:ascii="宋体" w:hAnsi="宋体" w:eastAsia="宋体" w:cs="宋体"/>
          <w:sz w:val="24"/>
          <w:szCs w:val="24"/>
        </w:rPr>
        <w:t>无</w:t>
      </w:r>
    </w:p>
    <w:p>
      <w:pPr>
        <w:widowControl/>
        <w:spacing w:line="360" w:lineRule="auto"/>
        <w:jc w:val="left"/>
        <w:rPr>
          <w:rFonts w:ascii="仿宋" w:hAnsi="仿宋" w:eastAsia="仿宋" w:cs="仿宋"/>
          <w:color w:val="2B2B2B"/>
          <w:kern w:val="0"/>
          <w:sz w:val="32"/>
          <w:szCs w:val="32"/>
          <w:shd w:val="clear" w:color="auto" w:fill="FFFFFF"/>
        </w:rPr>
      </w:pPr>
      <w:r>
        <w:rPr>
          <w:rFonts w:hint="eastAsia" w:ascii="仿宋" w:hAnsi="仿宋" w:eastAsia="仿宋" w:cs="仿宋"/>
          <w:color w:val="2B2B2B"/>
          <w:kern w:val="0"/>
          <w:sz w:val="32"/>
          <w:szCs w:val="32"/>
          <w:shd w:val="clear" w:color="auto" w:fill="FFFFFF"/>
          <w:lang w:eastAsia="zh-CN"/>
        </w:rPr>
        <w:t>　　</w:t>
      </w:r>
      <w:r>
        <w:rPr>
          <w:rFonts w:hint="eastAsia" w:ascii="仿宋" w:hAnsi="仿宋" w:eastAsia="仿宋" w:cs="仿宋"/>
          <w:color w:val="2B2B2B"/>
          <w:kern w:val="0"/>
          <w:sz w:val="32"/>
          <w:szCs w:val="32"/>
          <w:shd w:val="clear" w:color="auto" w:fill="FFFFFF"/>
        </w:rPr>
        <w:t>附件：</w:t>
      </w:r>
      <w:r>
        <w:rPr>
          <w:rFonts w:ascii="仿宋" w:hAnsi="仿宋" w:eastAsia="仿宋" w:cs="仿宋"/>
          <w:color w:val="2B2B2B"/>
          <w:kern w:val="0"/>
          <w:sz w:val="32"/>
          <w:szCs w:val="32"/>
          <w:shd w:val="clear" w:color="auto" w:fill="FFFFFF"/>
        </w:rPr>
        <w:t>1.</w:t>
      </w:r>
      <w:r>
        <w:rPr>
          <w:rFonts w:hint="eastAsia" w:ascii="仿宋" w:hAnsi="仿宋" w:eastAsia="仿宋" w:cs="仿宋"/>
          <w:color w:val="2B2B2B"/>
          <w:kern w:val="0"/>
          <w:sz w:val="32"/>
          <w:szCs w:val="32"/>
          <w:shd w:val="clear" w:color="auto" w:fill="FFFFFF"/>
        </w:rPr>
        <w:t>部门整体支出绩效评价指标评分表</w:t>
      </w:r>
    </w:p>
    <w:p>
      <w:pPr>
        <w:widowControl/>
        <w:spacing w:line="360" w:lineRule="auto"/>
        <w:ind w:firstLine="1580" w:firstLineChars="508"/>
        <w:jc w:val="left"/>
        <w:rPr>
          <w:rFonts w:ascii="仿宋" w:hAnsi="仿宋" w:eastAsia="仿宋" w:cs="仿宋"/>
          <w:color w:val="2B2B2B"/>
          <w:kern w:val="0"/>
          <w:sz w:val="32"/>
          <w:szCs w:val="32"/>
          <w:shd w:val="clear" w:color="auto" w:fill="FFFFFF"/>
        </w:rPr>
      </w:pPr>
      <w:r>
        <w:rPr>
          <w:rFonts w:ascii="仿宋" w:hAnsi="仿宋" w:eastAsia="仿宋" w:cs="仿宋"/>
          <w:color w:val="2B2B2B"/>
          <w:kern w:val="0"/>
          <w:sz w:val="32"/>
          <w:szCs w:val="32"/>
          <w:shd w:val="clear" w:color="auto" w:fill="FFFFFF"/>
        </w:rPr>
        <w:t>2.</w:t>
      </w:r>
      <w:r>
        <w:rPr>
          <w:rFonts w:hint="eastAsia" w:ascii="仿宋" w:hAnsi="仿宋" w:eastAsia="仿宋" w:cs="仿宋"/>
          <w:color w:val="2B2B2B"/>
          <w:kern w:val="0"/>
          <w:sz w:val="32"/>
          <w:szCs w:val="32"/>
          <w:shd w:val="clear" w:color="auto" w:fill="FFFFFF"/>
        </w:rPr>
        <w:t>部门整体支出绩效评价基础数据表</w:t>
      </w:r>
    </w:p>
    <w:p>
      <w:pPr>
        <w:spacing w:before="69" w:line="224" w:lineRule="auto"/>
        <w:ind w:left="639"/>
        <w:rPr>
          <w:rFonts w:ascii="黑体" w:hAnsi="黑体" w:eastAsia="黑体" w:cs="黑体"/>
          <w:b/>
          <w:bCs/>
          <w:spacing w:val="-11"/>
          <w:sz w:val="34"/>
          <w:szCs w:val="34"/>
        </w:rPr>
      </w:pPr>
      <w:r>
        <w:rPr>
          <w:rFonts w:hint="eastAsia" w:ascii="仿宋" w:hAnsi="仿宋" w:eastAsia="仿宋" w:cs="仿宋"/>
          <w:color w:val="2B2B2B"/>
          <w:kern w:val="0"/>
          <w:sz w:val="32"/>
          <w:szCs w:val="32"/>
          <w:shd w:val="clear" w:color="auto" w:fill="FFFFFF"/>
          <w:lang w:eastAsia="zh-CN"/>
        </w:rPr>
        <w:t>　　　</w:t>
      </w:r>
      <w:r>
        <w:rPr>
          <w:rFonts w:ascii="仿宋" w:hAnsi="仿宋" w:eastAsia="仿宋" w:cs="仿宋"/>
          <w:color w:val="2B2B2B"/>
          <w:kern w:val="0"/>
          <w:sz w:val="32"/>
          <w:szCs w:val="32"/>
          <w:shd w:val="clear" w:color="auto" w:fill="FFFFFF"/>
        </w:rPr>
        <w:t>3.2022</w:t>
      </w:r>
      <w:r>
        <w:rPr>
          <w:rFonts w:hint="eastAsia" w:ascii="仿宋" w:hAnsi="仿宋" w:eastAsia="仿宋" w:cs="仿宋"/>
          <w:color w:val="2B2B2B"/>
          <w:kern w:val="0"/>
          <w:sz w:val="32"/>
          <w:szCs w:val="32"/>
          <w:shd w:val="clear" w:color="auto" w:fill="FFFFFF"/>
        </w:rPr>
        <w:t>年度县级专项资金绩效目标自评表</w:t>
      </w:r>
    </w:p>
    <w:p>
      <w:pPr>
        <w:spacing w:before="161" w:line="225" w:lineRule="auto"/>
        <w:rPr>
          <w:rFonts w:ascii="仿宋" w:hAnsi="仿宋" w:eastAsia="仿宋" w:cs="仿宋"/>
          <w:sz w:val="24"/>
          <w:szCs w:val="24"/>
        </w:rPr>
      </w:pPr>
    </w:p>
    <w:p>
      <w:pPr>
        <w:rPr>
          <w:rFonts w:ascii="仿宋" w:hAnsi="仿宋" w:eastAsia="仿宋" w:cs="仿宋"/>
          <w:sz w:val="30"/>
          <w:szCs w:val="30"/>
        </w:rPr>
      </w:pPr>
    </w:p>
    <w:p>
      <w:pPr>
        <w:pStyle w:val="2"/>
        <w:rPr>
          <w:rFonts w:ascii="仿宋" w:hAnsi="仿宋" w:eastAsia="仿宋" w:cs="仿宋"/>
          <w:sz w:val="30"/>
          <w:szCs w:val="30"/>
        </w:rPr>
      </w:pPr>
    </w:p>
    <w:p>
      <w:pPr>
        <w:pStyle w:val="2"/>
        <w:rPr>
          <w:rFonts w:ascii="仿宋" w:hAnsi="仿宋" w:eastAsia="仿宋" w:cs="仿宋"/>
          <w:sz w:val="30"/>
          <w:szCs w:val="30"/>
        </w:rPr>
      </w:pPr>
    </w:p>
    <w:p>
      <w:pPr>
        <w:pStyle w:val="2"/>
        <w:rPr>
          <w:rFonts w:ascii="仿宋" w:hAnsi="仿宋" w:eastAsia="仿宋" w:cs="仿宋"/>
          <w:sz w:val="30"/>
          <w:szCs w:val="30"/>
        </w:rPr>
      </w:pPr>
    </w:p>
    <w:p>
      <w:pPr>
        <w:pStyle w:val="2"/>
        <w:rPr>
          <w:rFonts w:ascii="仿宋" w:hAnsi="仿宋" w:eastAsia="仿宋" w:cs="仿宋"/>
          <w:sz w:val="30"/>
          <w:szCs w:val="30"/>
        </w:rPr>
      </w:pPr>
    </w:p>
    <w:p>
      <w:pPr>
        <w:pStyle w:val="2"/>
        <w:rPr>
          <w:rFonts w:ascii="仿宋" w:hAnsi="仿宋" w:eastAsia="仿宋" w:cs="仿宋"/>
          <w:sz w:val="30"/>
          <w:szCs w:val="30"/>
        </w:rPr>
      </w:pPr>
    </w:p>
    <w:p>
      <w:pPr>
        <w:pStyle w:val="2"/>
        <w:rPr>
          <w:rFonts w:ascii="仿宋" w:hAnsi="仿宋" w:eastAsia="仿宋" w:cs="仿宋"/>
          <w:sz w:val="30"/>
          <w:szCs w:val="30"/>
        </w:rPr>
      </w:pPr>
    </w:p>
    <w:p>
      <w:pPr>
        <w:pStyle w:val="2"/>
        <w:rPr>
          <w:rFonts w:ascii="仿宋" w:hAnsi="仿宋" w:eastAsia="仿宋" w:cs="仿宋"/>
          <w:sz w:val="30"/>
          <w:szCs w:val="30"/>
        </w:rPr>
      </w:pPr>
    </w:p>
    <w:p>
      <w:pPr>
        <w:pStyle w:val="2"/>
        <w:rPr>
          <w:rFonts w:ascii="仿宋" w:hAnsi="仿宋" w:eastAsia="仿宋" w:cs="仿宋"/>
          <w:sz w:val="30"/>
          <w:szCs w:val="30"/>
        </w:rPr>
      </w:pPr>
      <w:bookmarkStart w:id="0" w:name="_GoBack"/>
      <w:bookmarkEnd w:id="0"/>
    </w:p>
    <w:p>
      <w:pPr>
        <w:spacing w:after="312" w:afterLines="100"/>
        <w:jc w:val="center"/>
        <w:rPr>
          <w:rFonts w:hint="eastAsia" w:ascii="宋体" w:hAnsi="宋体" w:cs="宋体"/>
          <w:kern w:val="0"/>
          <w:sz w:val="24"/>
        </w:rPr>
      </w:pPr>
      <w:r>
        <w:rPr>
          <w:rFonts w:hint="eastAsia" w:ascii="宋体" w:hAnsi="宋体" w:cs="宋体"/>
          <w:kern w:val="0"/>
          <w:sz w:val="36"/>
          <w:szCs w:val="36"/>
        </w:rPr>
        <w:t>部门整体支出绩效评价指标评分表</w:t>
      </w:r>
    </w:p>
    <w:tbl>
      <w:tblPr>
        <w:tblStyle w:val="7"/>
        <w:tblW w:w="8930" w:type="dxa"/>
        <w:jc w:val="center"/>
        <w:tblLayout w:type="fixed"/>
        <w:tblCellMar>
          <w:top w:w="0" w:type="dxa"/>
          <w:left w:w="108" w:type="dxa"/>
          <w:bottom w:w="0" w:type="dxa"/>
          <w:right w:w="108" w:type="dxa"/>
        </w:tblCellMar>
      </w:tblPr>
      <w:tblGrid>
        <w:gridCol w:w="709"/>
        <w:gridCol w:w="677"/>
        <w:gridCol w:w="1014"/>
        <w:gridCol w:w="483"/>
        <w:gridCol w:w="3080"/>
        <w:gridCol w:w="2250"/>
        <w:gridCol w:w="71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一级指标</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二级指标</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三级</w:t>
            </w:r>
          </w:p>
          <w:p>
            <w:pPr>
              <w:widowControl/>
              <w:jc w:val="center"/>
              <w:rPr>
                <w:rFonts w:hint="eastAsia" w:ascii="宋体" w:hAnsi="宋体" w:cs="宋体"/>
                <w:kern w:val="0"/>
                <w:sz w:val="20"/>
                <w:szCs w:val="20"/>
              </w:rPr>
            </w:pPr>
            <w:r>
              <w:rPr>
                <w:rFonts w:hint="eastAsia" w:ascii="宋体" w:hAnsi="宋体" w:cs="宋体"/>
                <w:kern w:val="0"/>
                <w:sz w:val="20"/>
                <w:szCs w:val="20"/>
              </w:rPr>
              <w:t>指标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分值</w:t>
            </w:r>
          </w:p>
        </w:tc>
        <w:tc>
          <w:tcPr>
            <w:tcW w:w="30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评价标准</w:t>
            </w:r>
          </w:p>
        </w:tc>
        <w:tc>
          <w:tcPr>
            <w:tcW w:w="22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指标说明</w:t>
            </w:r>
          </w:p>
        </w:tc>
        <w:tc>
          <w:tcPr>
            <w:tcW w:w="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投入</w:t>
            </w:r>
          </w:p>
          <w:p>
            <w:pPr>
              <w:widowControl/>
              <w:rPr>
                <w:rFonts w:hint="eastAsia" w:ascii="宋体" w:hAnsi="宋体" w:cs="宋体"/>
                <w:kern w:val="0"/>
                <w:sz w:val="20"/>
                <w:szCs w:val="20"/>
              </w:rPr>
            </w:pPr>
          </w:p>
          <w:p>
            <w:pPr>
              <w:widowControl/>
              <w:rPr>
                <w:rFonts w:hint="eastAsia" w:ascii="宋体" w:hAnsi="宋体" w:cs="宋体"/>
                <w:kern w:val="0"/>
                <w:sz w:val="20"/>
                <w:szCs w:val="20"/>
              </w:rPr>
            </w:pPr>
            <w:r>
              <w:rPr>
                <w:rFonts w:hint="eastAsia" w:ascii="宋体" w:hAnsi="宋体" w:cs="宋体"/>
                <w:kern w:val="0"/>
                <w:sz w:val="20"/>
                <w:szCs w:val="20"/>
              </w:rPr>
              <w:t>10分</w:t>
            </w:r>
          </w:p>
        </w:tc>
        <w:tc>
          <w:tcPr>
            <w:tcW w:w="677" w:type="dxa"/>
            <w:vMerge w:val="restart"/>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预算配置</w:t>
            </w:r>
          </w:p>
          <w:p>
            <w:pPr>
              <w:widowControl/>
              <w:rPr>
                <w:rFonts w:hint="eastAsia" w:ascii="宋体" w:hAnsi="宋体" w:cs="宋体"/>
                <w:kern w:val="0"/>
                <w:sz w:val="20"/>
                <w:szCs w:val="20"/>
              </w:rPr>
            </w:pPr>
          </w:p>
          <w:p>
            <w:pPr>
              <w:widowControl/>
              <w:rPr>
                <w:rFonts w:hint="eastAsia" w:ascii="宋体" w:hAnsi="宋体" w:cs="宋体"/>
                <w:kern w:val="0"/>
                <w:sz w:val="20"/>
                <w:szCs w:val="20"/>
              </w:rPr>
            </w:pPr>
            <w:r>
              <w:rPr>
                <w:rFonts w:hint="eastAsia" w:ascii="宋体" w:hAnsi="宋体" w:cs="宋体"/>
                <w:kern w:val="0"/>
                <w:sz w:val="20"/>
                <w:szCs w:val="20"/>
              </w:rPr>
              <w:t>10分</w:t>
            </w:r>
          </w:p>
        </w:tc>
        <w:tc>
          <w:tcPr>
            <w:tcW w:w="101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在职人员控制率</w:t>
            </w:r>
          </w:p>
        </w:tc>
        <w:tc>
          <w:tcPr>
            <w:tcW w:w="48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5</w:t>
            </w:r>
          </w:p>
        </w:tc>
        <w:tc>
          <w:tcPr>
            <w:tcW w:w="3080" w:type="dxa"/>
            <w:tcBorders>
              <w:top w:val="nil"/>
              <w:left w:val="nil"/>
              <w:bottom w:val="nil"/>
              <w:right w:val="nil"/>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以100%为标准。在职人员控制率≦100%，计5分；每超过一个百分点扣0.5分，扣完为止。</w:t>
            </w:r>
          </w:p>
        </w:tc>
        <w:tc>
          <w:tcPr>
            <w:tcW w:w="225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在职人员控制率=（在职人员数/编制数）×100%，在职人员数：部门（单位）实际在职人数，以财政局确定的部门决算编制口径为准。</w:t>
            </w:r>
            <w:r>
              <w:rPr>
                <w:rFonts w:hint="eastAsia" w:ascii="宋体" w:hAnsi="宋体" w:cs="宋体"/>
                <w:kern w:val="0"/>
                <w:sz w:val="20"/>
                <w:szCs w:val="20"/>
              </w:rPr>
              <w:br w:type="textWrapping"/>
            </w:r>
            <w:r>
              <w:rPr>
                <w:rFonts w:hint="eastAsia" w:ascii="宋体" w:hAnsi="宋体" w:cs="宋体"/>
                <w:kern w:val="0"/>
                <w:sz w:val="20"/>
                <w:szCs w:val="20"/>
              </w:rPr>
              <w:t>编制数：机构编制部门核定批复的部门（单位）的人员编制数。</w:t>
            </w:r>
          </w:p>
        </w:tc>
        <w:tc>
          <w:tcPr>
            <w:tcW w:w="717" w:type="dxa"/>
            <w:tcBorders>
              <w:top w:val="nil"/>
              <w:left w:val="nil"/>
              <w:bottom w:val="single" w:color="auto" w:sz="4" w:space="0"/>
              <w:right w:val="single" w:color="auto" w:sz="4" w:space="0"/>
            </w:tcBorders>
            <w:noWrap w:val="0"/>
            <w:vAlign w:val="center"/>
          </w:tcPr>
          <w:p>
            <w:pPr>
              <w:widowControl/>
              <w:ind w:firstLine="231" w:firstLineChars="100"/>
              <w:jc w:val="center"/>
              <w:rPr>
                <w:rFonts w:hint="eastAsia" w:ascii="宋体" w:hAnsi="宋体" w:cs="宋体"/>
                <w:kern w:val="0"/>
                <w:sz w:val="24"/>
              </w:rPr>
            </w:pPr>
            <w:r>
              <w:rPr>
                <w:rFonts w:hint="eastAsia" w:ascii="宋体" w:hAnsi="宋体" w:cs="宋体"/>
                <w:kern w:val="0"/>
                <w:sz w:val="24"/>
              </w:rPr>
              <w:t>5</w:t>
            </w:r>
          </w:p>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“三公经费”变动率</w:t>
            </w:r>
          </w:p>
        </w:tc>
        <w:tc>
          <w:tcPr>
            <w:tcW w:w="48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5</w:t>
            </w:r>
          </w:p>
        </w:tc>
        <w:tc>
          <w:tcPr>
            <w:tcW w:w="308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“三公经费”变动率≦0,计8分；“三公经费”＞0，每超过一个百分点扣0.8分，扣完为止。</w:t>
            </w:r>
          </w:p>
        </w:tc>
        <w:tc>
          <w:tcPr>
            <w:tcW w:w="225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“三公经费”变动率=[（本年度“三公经费”预算数-上年度“三公经费”预算数）/上年度“三公经费”预算数]×100%</w:t>
            </w:r>
          </w:p>
        </w:tc>
        <w:tc>
          <w:tcPr>
            <w:tcW w:w="717" w:type="dxa"/>
            <w:tcBorders>
              <w:top w:val="nil"/>
              <w:left w:val="nil"/>
              <w:bottom w:val="single" w:color="auto" w:sz="4" w:space="0"/>
              <w:right w:val="single" w:color="auto" w:sz="4" w:space="0"/>
            </w:tcBorders>
            <w:noWrap w:val="0"/>
            <w:vAlign w:val="center"/>
          </w:tcPr>
          <w:p>
            <w:pPr>
              <w:widowControl/>
              <w:ind w:firstLine="116" w:firstLineChars="50"/>
              <w:jc w:val="center"/>
              <w:rPr>
                <w:rFonts w:hint="eastAsia"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noWrap w:val="0"/>
            <w:vAlign w:val="center"/>
          </w:tcPr>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r>
              <w:rPr>
                <w:rFonts w:hint="eastAsia" w:ascii="宋体" w:hAnsi="宋体" w:cs="宋体"/>
                <w:kern w:val="0"/>
                <w:sz w:val="20"/>
                <w:szCs w:val="20"/>
              </w:rPr>
              <w:t>过                                                                                                                          程</w:t>
            </w:r>
          </w:p>
          <w:p>
            <w:pPr>
              <w:widowControl/>
              <w:rPr>
                <w:rFonts w:hint="eastAsia" w:ascii="宋体" w:hAnsi="宋体" w:cs="宋体"/>
                <w:kern w:val="0"/>
                <w:sz w:val="20"/>
                <w:szCs w:val="20"/>
              </w:rPr>
            </w:pPr>
            <w:r>
              <w:rPr>
                <w:rFonts w:hint="eastAsia" w:ascii="宋体" w:hAnsi="宋体" w:cs="宋体"/>
                <w:kern w:val="0"/>
                <w:sz w:val="20"/>
                <w:szCs w:val="20"/>
              </w:rPr>
              <w:t>60分</w:t>
            </w: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预算执行</w:t>
            </w:r>
          </w:p>
          <w:p>
            <w:pPr>
              <w:widowControl/>
              <w:rPr>
                <w:rFonts w:hint="eastAsia" w:ascii="宋体" w:hAnsi="宋体" w:cs="宋体"/>
                <w:kern w:val="0"/>
                <w:sz w:val="20"/>
                <w:szCs w:val="20"/>
              </w:rPr>
            </w:pPr>
          </w:p>
          <w:p>
            <w:pPr>
              <w:widowControl/>
              <w:rPr>
                <w:rFonts w:hint="eastAsia" w:ascii="宋体" w:hAnsi="宋体" w:cs="宋体"/>
                <w:kern w:val="0"/>
                <w:sz w:val="20"/>
                <w:szCs w:val="20"/>
              </w:rPr>
            </w:pPr>
            <w:r>
              <w:rPr>
                <w:rFonts w:hint="eastAsia" w:ascii="宋体" w:hAnsi="宋体" w:cs="宋体"/>
                <w:kern w:val="0"/>
                <w:sz w:val="20"/>
                <w:szCs w:val="20"/>
              </w:rPr>
              <w:t>20分</w:t>
            </w:r>
          </w:p>
        </w:tc>
        <w:tc>
          <w:tcPr>
            <w:tcW w:w="101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预算完成率</w:t>
            </w:r>
          </w:p>
        </w:tc>
        <w:tc>
          <w:tcPr>
            <w:tcW w:w="48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5</w:t>
            </w:r>
          </w:p>
        </w:tc>
        <w:tc>
          <w:tcPr>
            <w:tcW w:w="308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100%计满分，每低于5%扣2分，扣完为止。</w:t>
            </w:r>
          </w:p>
        </w:tc>
        <w:tc>
          <w:tcPr>
            <w:tcW w:w="225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预算完成率=（上年结转+年初预算+本年追加预算-年末结余）/（上年结转+年初预算+本年追加预算）×100%。</w:t>
            </w:r>
          </w:p>
        </w:tc>
        <w:tc>
          <w:tcPr>
            <w:tcW w:w="717" w:type="dxa"/>
            <w:tcBorders>
              <w:top w:val="nil"/>
              <w:left w:val="nil"/>
              <w:bottom w:val="single" w:color="auto" w:sz="4" w:space="0"/>
              <w:right w:val="single" w:color="auto" w:sz="4" w:space="0"/>
            </w:tcBorders>
            <w:noWrap w:val="0"/>
            <w:vAlign w:val="center"/>
          </w:tcPr>
          <w:p>
            <w:pPr>
              <w:widowControl/>
              <w:ind w:firstLine="116" w:firstLineChars="50"/>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noWrap w:val="0"/>
            <w:vAlign w:val="center"/>
          </w:tcPr>
          <w:p>
            <w:pPr>
              <w:rPr>
                <w:rFonts w:hint="eastAsia"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预算控制率</w:t>
            </w:r>
          </w:p>
        </w:tc>
        <w:tc>
          <w:tcPr>
            <w:tcW w:w="48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5</w:t>
            </w:r>
          </w:p>
        </w:tc>
        <w:tc>
          <w:tcPr>
            <w:tcW w:w="308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预算控制率=0，计5分；0-10%（含），计4分；10-20%（含），计3分；20-30%（含），计2分；大于30%不得分。</w:t>
            </w:r>
          </w:p>
        </w:tc>
        <w:tc>
          <w:tcPr>
            <w:tcW w:w="225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预算控制率=（本年追加预算/年初预算）×100%。</w:t>
            </w:r>
          </w:p>
        </w:tc>
        <w:tc>
          <w:tcPr>
            <w:tcW w:w="717" w:type="dxa"/>
            <w:tcBorders>
              <w:top w:val="nil"/>
              <w:left w:val="nil"/>
              <w:bottom w:val="single" w:color="auto" w:sz="4" w:space="0"/>
              <w:right w:val="single" w:color="auto" w:sz="4" w:space="0"/>
            </w:tcBorders>
            <w:noWrap w:val="0"/>
            <w:vAlign w:val="center"/>
          </w:tcPr>
          <w:p>
            <w:pPr>
              <w:widowControl/>
              <w:ind w:firstLine="231" w:firstLineChars="100"/>
              <w:jc w:val="center"/>
              <w:rPr>
                <w:rFonts w:hint="eastAsia"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noWrap w:val="0"/>
            <w:vAlign w:val="center"/>
          </w:tcPr>
          <w:p>
            <w:pPr>
              <w:rPr>
                <w:rFonts w:hint="eastAsia"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新建楼堂馆所面积控制率</w:t>
            </w:r>
          </w:p>
        </w:tc>
        <w:tc>
          <w:tcPr>
            <w:tcW w:w="48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5</w:t>
            </w:r>
          </w:p>
        </w:tc>
        <w:tc>
          <w:tcPr>
            <w:tcW w:w="308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100%以下（含）计满分，每超出5%扣2分，扣完为止。没有楼堂馆所项目的部门按满分计算。</w:t>
            </w:r>
          </w:p>
        </w:tc>
        <w:tc>
          <w:tcPr>
            <w:tcW w:w="225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楼堂馆所面积控制率=实际建设面积/批准建设面积×100% 。</w:t>
            </w:r>
            <w:r>
              <w:rPr>
                <w:rFonts w:hint="eastAsia" w:ascii="宋体" w:hAnsi="宋体" w:cs="宋体"/>
                <w:kern w:val="0"/>
                <w:sz w:val="20"/>
                <w:szCs w:val="20"/>
              </w:rPr>
              <w:br w:type="textWrapping"/>
            </w:r>
            <w:r>
              <w:rPr>
                <w:rFonts w:hint="eastAsia" w:ascii="宋体" w:hAnsi="宋体" w:cs="宋体"/>
                <w:kern w:val="0"/>
                <w:sz w:val="20"/>
                <w:szCs w:val="20"/>
              </w:rPr>
              <w:t>该指标以2017年完工的新建楼堂馆所为评价内容。</w:t>
            </w:r>
          </w:p>
        </w:tc>
        <w:tc>
          <w:tcPr>
            <w:tcW w:w="717" w:type="dxa"/>
            <w:tcBorders>
              <w:top w:val="nil"/>
              <w:left w:val="nil"/>
              <w:bottom w:val="single" w:color="auto" w:sz="4" w:space="0"/>
              <w:right w:val="single" w:color="auto" w:sz="4" w:space="0"/>
            </w:tcBorders>
            <w:noWrap w:val="0"/>
            <w:vAlign w:val="center"/>
          </w:tcPr>
          <w:p>
            <w:pPr>
              <w:widowControl/>
              <w:ind w:firstLine="116" w:firstLineChars="50"/>
              <w:jc w:val="center"/>
              <w:rPr>
                <w:rFonts w:hint="eastAsia"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noWrap w:val="0"/>
            <w:vAlign w:val="center"/>
          </w:tcPr>
          <w:p>
            <w:pPr>
              <w:rPr>
                <w:rFonts w:hint="eastAsia"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新建楼堂馆所投资概算控制率</w:t>
            </w:r>
          </w:p>
        </w:tc>
        <w:tc>
          <w:tcPr>
            <w:tcW w:w="48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5</w:t>
            </w:r>
          </w:p>
        </w:tc>
        <w:tc>
          <w:tcPr>
            <w:tcW w:w="308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100%以下（含）计满分，每超出5%扣2分，扣完为止。</w:t>
            </w:r>
          </w:p>
        </w:tc>
        <w:tc>
          <w:tcPr>
            <w:tcW w:w="225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楼堂馆所投资预算控制率=实际投资金额/批准投资金额×100% 。</w:t>
            </w:r>
            <w:r>
              <w:rPr>
                <w:rFonts w:hint="eastAsia" w:ascii="宋体" w:hAnsi="宋体" w:cs="宋体"/>
                <w:kern w:val="0"/>
                <w:sz w:val="20"/>
                <w:szCs w:val="20"/>
              </w:rPr>
              <w:br w:type="textWrapping"/>
            </w:r>
            <w:r>
              <w:rPr>
                <w:rFonts w:hint="eastAsia" w:ascii="宋体" w:hAnsi="宋体" w:cs="宋体"/>
                <w:kern w:val="0"/>
                <w:sz w:val="20"/>
                <w:szCs w:val="20"/>
              </w:rPr>
              <w:t>该指标以2017年完工的新建楼堂馆所为评价内容。</w:t>
            </w:r>
          </w:p>
        </w:tc>
        <w:tc>
          <w:tcPr>
            <w:tcW w:w="717" w:type="dxa"/>
            <w:tcBorders>
              <w:top w:val="nil"/>
              <w:left w:val="nil"/>
              <w:bottom w:val="single" w:color="auto" w:sz="4" w:space="0"/>
              <w:right w:val="single" w:color="auto" w:sz="4" w:space="0"/>
            </w:tcBorders>
            <w:noWrap w:val="0"/>
            <w:vAlign w:val="center"/>
          </w:tcPr>
          <w:p>
            <w:pPr>
              <w:widowControl/>
              <w:ind w:firstLine="116" w:firstLineChars="50"/>
              <w:jc w:val="center"/>
              <w:rPr>
                <w:rFonts w:hint="eastAsia" w:ascii="宋体" w:hAnsi="宋体" w:cs="宋体"/>
                <w:kern w:val="0"/>
                <w:sz w:val="24"/>
              </w:rPr>
            </w:pPr>
            <w:r>
              <w:rPr>
                <w:rFonts w:hint="eastAsia" w:ascii="宋体" w:hAnsi="宋体" w:cs="宋体"/>
                <w:kern w:val="0"/>
                <w:sz w:val="24"/>
              </w:rPr>
              <w:t>5</w:t>
            </w:r>
          </w:p>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noWrap w:val="0"/>
            <w:vAlign w:val="center"/>
          </w:tcPr>
          <w:p>
            <w:pPr>
              <w:rPr>
                <w:rFonts w:hint="eastAsia" w:ascii="宋体" w:hAnsi="宋体" w:cs="宋体"/>
                <w:kern w:val="0"/>
                <w:sz w:val="20"/>
                <w:szCs w:val="20"/>
              </w:rPr>
            </w:pPr>
          </w:p>
        </w:tc>
        <w:tc>
          <w:tcPr>
            <w:tcW w:w="677" w:type="dxa"/>
            <w:vMerge w:val="restart"/>
            <w:tcBorders>
              <w:top w:val="nil"/>
              <w:left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预算管理</w:t>
            </w:r>
          </w:p>
          <w:p>
            <w:pPr>
              <w:widowControl/>
              <w:rPr>
                <w:rFonts w:hint="eastAsia" w:ascii="宋体" w:hAnsi="宋体" w:cs="宋体"/>
                <w:kern w:val="0"/>
                <w:sz w:val="20"/>
                <w:szCs w:val="20"/>
              </w:rPr>
            </w:pPr>
            <w:r>
              <w:rPr>
                <w:rFonts w:hint="eastAsia" w:ascii="宋体" w:hAnsi="宋体" w:cs="宋体"/>
                <w:kern w:val="0"/>
                <w:sz w:val="20"/>
                <w:szCs w:val="20"/>
              </w:rPr>
              <w:t>40分</w:t>
            </w:r>
          </w:p>
          <w:p>
            <w:pPr>
              <w:widowControl/>
              <w:rPr>
                <w:rFonts w:hint="eastAsia" w:ascii="宋体" w:hAnsi="宋体" w:cs="宋体"/>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公用经费控制率</w:t>
            </w:r>
          </w:p>
        </w:tc>
        <w:tc>
          <w:tcPr>
            <w:tcW w:w="48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8</w:t>
            </w:r>
          </w:p>
        </w:tc>
        <w:tc>
          <w:tcPr>
            <w:tcW w:w="308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100%以下（含）计满分，每超出1%扣1分，扣完为止。</w:t>
            </w:r>
          </w:p>
        </w:tc>
        <w:tc>
          <w:tcPr>
            <w:tcW w:w="225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公用经费控制率=（实际支出公用经费总额/预算安排公用经费总额）×100%。</w:t>
            </w:r>
            <w:r>
              <w:rPr>
                <w:rFonts w:hint="eastAsia" w:ascii="宋体" w:hAnsi="宋体" w:cs="宋体"/>
                <w:kern w:val="0"/>
                <w:sz w:val="20"/>
                <w:szCs w:val="20"/>
              </w:rPr>
              <w:br w:type="textWrapping"/>
            </w:r>
            <w:r>
              <w:rPr>
                <w:rFonts w:hint="eastAsia" w:ascii="宋体" w:hAnsi="宋体" w:cs="宋体"/>
                <w:kern w:val="0"/>
                <w:sz w:val="20"/>
                <w:szCs w:val="20"/>
              </w:rPr>
              <w:t>公用经费支出是指部门基本支出中的一般商品和服务支出。</w:t>
            </w:r>
          </w:p>
        </w:tc>
        <w:tc>
          <w:tcPr>
            <w:tcW w:w="717" w:type="dxa"/>
            <w:tcBorders>
              <w:top w:val="nil"/>
              <w:left w:val="nil"/>
              <w:bottom w:val="single" w:color="auto" w:sz="4" w:space="0"/>
              <w:right w:val="single" w:color="auto" w:sz="4" w:space="0"/>
            </w:tcBorders>
            <w:noWrap w:val="0"/>
            <w:vAlign w:val="center"/>
          </w:tcPr>
          <w:p>
            <w:pPr>
              <w:widowControl/>
              <w:ind w:firstLine="116" w:firstLineChars="50"/>
              <w:jc w:val="center"/>
              <w:rPr>
                <w:rFonts w:hint="eastAsia"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noWrap w:val="0"/>
            <w:vAlign w:val="center"/>
          </w:tcPr>
          <w:p>
            <w:pPr>
              <w:rPr>
                <w:rFonts w:hint="eastAsia" w:ascii="宋体" w:hAnsi="宋体" w:cs="宋体"/>
                <w:kern w:val="0"/>
                <w:sz w:val="20"/>
                <w:szCs w:val="20"/>
              </w:rPr>
            </w:pPr>
          </w:p>
        </w:tc>
        <w:tc>
          <w:tcPr>
            <w:tcW w:w="677" w:type="dxa"/>
            <w:vMerge w:val="continue"/>
            <w:tcBorders>
              <w:left w:val="single" w:color="auto" w:sz="4" w:space="0"/>
              <w:right w:val="single" w:color="auto" w:sz="4" w:space="0"/>
            </w:tcBorders>
            <w:noWrap w:val="0"/>
            <w:vAlign w:val="center"/>
          </w:tcPr>
          <w:p>
            <w:pPr>
              <w:rPr>
                <w:rFonts w:hint="eastAsia" w:ascii="宋体" w:hAnsi="宋体" w:cs="宋体"/>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“三公经费”控制率</w:t>
            </w:r>
          </w:p>
        </w:tc>
        <w:tc>
          <w:tcPr>
            <w:tcW w:w="48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7</w:t>
            </w:r>
          </w:p>
        </w:tc>
        <w:tc>
          <w:tcPr>
            <w:tcW w:w="308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100%以下（含）计满分，每超出1%扣1分，扣完为止。</w:t>
            </w:r>
          </w:p>
        </w:tc>
        <w:tc>
          <w:tcPr>
            <w:tcW w:w="225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“三公经费”控制率-（“三公经费”实际支出数/“三公经费”预算安排数）×100%。</w:t>
            </w:r>
          </w:p>
        </w:tc>
        <w:tc>
          <w:tcPr>
            <w:tcW w:w="717" w:type="dxa"/>
            <w:tcBorders>
              <w:top w:val="nil"/>
              <w:left w:val="nil"/>
              <w:bottom w:val="single" w:color="auto" w:sz="4" w:space="0"/>
              <w:right w:val="single" w:color="auto" w:sz="4" w:space="0"/>
            </w:tcBorders>
            <w:noWrap w:val="0"/>
            <w:vAlign w:val="center"/>
          </w:tcPr>
          <w:p>
            <w:pPr>
              <w:widowControl/>
              <w:ind w:firstLine="116" w:firstLineChars="50"/>
              <w:jc w:val="center"/>
              <w:rPr>
                <w:rFonts w:hint="eastAsia"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noWrap w:val="0"/>
            <w:vAlign w:val="center"/>
          </w:tcPr>
          <w:p>
            <w:pPr>
              <w:rPr>
                <w:rFonts w:hint="eastAsia" w:ascii="宋体" w:hAnsi="宋体" w:cs="宋体"/>
                <w:kern w:val="0"/>
                <w:sz w:val="20"/>
                <w:szCs w:val="20"/>
              </w:rPr>
            </w:pPr>
          </w:p>
        </w:tc>
        <w:tc>
          <w:tcPr>
            <w:tcW w:w="677" w:type="dxa"/>
            <w:vMerge w:val="continue"/>
            <w:tcBorders>
              <w:left w:val="single" w:color="auto" w:sz="4" w:space="0"/>
              <w:right w:val="single" w:color="auto" w:sz="4" w:space="0"/>
            </w:tcBorders>
            <w:noWrap w:val="0"/>
            <w:vAlign w:val="center"/>
          </w:tcPr>
          <w:p>
            <w:pPr>
              <w:rPr>
                <w:rFonts w:hint="eastAsia" w:ascii="宋体" w:hAnsi="宋体" w:cs="宋体"/>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政府采购执行率</w:t>
            </w:r>
          </w:p>
        </w:tc>
        <w:tc>
          <w:tcPr>
            <w:tcW w:w="48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6</w:t>
            </w:r>
          </w:p>
        </w:tc>
        <w:tc>
          <w:tcPr>
            <w:tcW w:w="308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100%计满分，每超过（降低）5%扣2分。扣完为止。</w:t>
            </w:r>
          </w:p>
        </w:tc>
        <w:tc>
          <w:tcPr>
            <w:tcW w:w="225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政府采购执行率=（实际政府采购金额/政府采购预算数）×100%</w:t>
            </w:r>
          </w:p>
        </w:tc>
        <w:tc>
          <w:tcPr>
            <w:tcW w:w="717" w:type="dxa"/>
            <w:tcBorders>
              <w:top w:val="nil"/>
              <w:left w:val="nil"/>
              <w:bottom w:val="single" w:color="auto" w:sz="4" w:space="0"/>
              <w:right w:val="single" w:color="auto" w:sz="4" w:space="0"/>
            </w:tcBorders>
            <w:noWrap w:val="0"/>
            <w:vAlign w:val="center"/>
          </w:tcPr>
          <w:p>
            <w:pPr>
              <w:widowControl/>
              <w:ind w:firstLine="116" w:firstLineChars="50"/>
              <w:jc w:val="center"/>
              <w:rPr>
                <w:rFonts w:hint="eastAsia"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rPr>
                <w:rFonts w:hint="eastAsia" w:ascii="宋体" w:hAnsi="宋体" w:cs="宋体"/>
                <w:kern w:val="0"/>
                <w:sz w:val="20"/>
                <w:szCs w:val="20"/>
              </w:rPr>
            </w:pPr>
          </w:p>
        </w:tc>
        <w:tc>
          <w:tcPr>
            <w:tcW w:w="677"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8</w:t>
            </w:r>
          </w:p>
        </w:tc>
        <w:tc>
          <w:tcPr>
            <w:tcW w:w="308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①有内部财务管理制度、会计核算制度等管理制度，2分；</w:t>
            </w:r>
            <w:r>
              <w:rPr>
                <w:rFonts w:hint="eastAsia" w:ascii="宋体" w:hAnsi="宋体" w:cs="宋体"/>
                <w:kern w:val="0"/>
                <w:sz w:val="20"/>
                <w:szCs w:val="20"/>
              </w:rPr>
              <w:br w:type="textWrapping"/>
            </w:r>
            <w:r>
              <w:rPr>
                <w:rFonts w:hint="eastAsia" w:ascii="宋体" w:hAnsi="宋体" w:cs="宋体"/>
                <w:kern w:val="0"/>
                <w:sz w:val="20"/>
                <w:szCs w:val="20"/>
              </w:rPr>
              <w:t>②有本部门厉行节约制度,2分；</w:t>
            </w:r>
            <w:r>
              <w:rPr>
                <w:rFonts w:hint="eastAsia" w:ascii="宋体" w:hAnsi="宋体" w:cs="宋体"/>
                <w:kern w:val="0"/>
                <w:sz w:val="20"/>
                <w:szCs w:val="20"/>
              </w:rPr>
              <w:br w:type="textWrapping"/>
            </w:r>
            <w:r>
              <w:rPr>
                <w:rFonts w:hint="eastAsia" w:ascii="宋体" w:hAnsi="宋体" w:cs="宋体"/>
                <w:kern w:val="0"/>
                <w:sz w:val="20"/>
                <w:szCs w:val="20"/>
              </w:rPr>
              <w:t>③相关管理制度合法、合规、完整，2分；④相关管理制度得到有效执行，2分。</w:t>
            </w:r>
          </w:p>
        </w:tc>
        <w:tc>
          <w:tcPr>
            <w:tcW w:w="225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717" w:type="dxa"/>
            <w:tcBorders>
              <w:top w:val="nil"/>
              <w:left w:val="nil"/>
              <w:bottom w:val="single" w:color="auto" w:sz="4" w:space="0"/>
              <w:right w:val="single" w:color="auto" w:sz="4" w:space="0"/>
            </w:tcBorders>
            <w:noWrap w:val="0"/>
            <w:vAlign w:val="center"/>
          </w:tcPr>
          <w:p>
            <w:pPr>
              <w:widowControl/>
              <w:ind w:firstLine="116" w:firstLineChars="50"/>
              <w:jc w:val="center"/>
              <w:rPr>
                <w:rFonts w:hint="eastAsia"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noWrap w:val="0"/>
            <w:vAlign w:val="center"/>
          </w:tcPr>
          <w:p>
            <w:pPr>
              <w:rPr>
                <w:rFonts w:hint="eastAsia" w:ascii="宋体" w:hAnsi="宋体" w:cs="宋体"/>
                <w:kern w:val="0"/>
                <w:sz w:val="20"/>
                <w:szCs w:val="20"/>
              </w:rPr>
            </w:pPr>
            <w:r>
              <w:rPr>
                <w:rFonts w:hint="eastAsia" w:ascii="宋体" w:hAnsi="宋体" w:cs="宋体"/>
                <w:kern w:val="0"/>
                <w:sz w:val="20"/>
                <w:szCs w:val="20"/>
              </w:rPr>
              <w:t>过                                                                                                                                       程</w:t>
            </w:r>
          </w:p>
          <w:p>
            <w:pPr>
              <w:rPr>
                <w:rFonts w:hint="eastAsia" w:ascii="宋体" w:hAnsi="宋体" w:cs="宋体"/>
                <w:kern w:val="0"/>
                <w:sz w:val="20"/>
                <w:szCs w:val="20"/>
              </w:rPr>
            </w:pPr>
          </w:p>
          <w:p>
            <w:pPr>
              <w:widowControl/>
              <w:rPr>
                <w:rFonts w:hint="eastAsia" w:ascii="宋体" w:hAnsi="宋体" w:cs="宋体"/>
                <w:kern w:val="0"/>
                <w:sz w:val="20"/>
                <w:szCs w:val="20"/>
              </w:rPr>
            </w:pPr>
            <w:r>
              <w:rPr>
                <w:rFonts w:hint="eastAsia" w:ascii="宋体" w:hAnsi="宋体" w:cs="宋体"/>
                <w:kern w:val="0"/>
                <w:sz w:val="20"/>
                <w:szCs w:val="20"/>
              </w:rPr>
              <w:t>60分</w:t>
            </w:r>
          </w:p>
        </w:tc>
        <w:tc>
          <w:tcPr>
            <w:tcW w:w="677" w:type="dxa"/>
            <w:vMerge w:val="restart"/>
            <w:tcBorders>
              <w:top w:val="nil"/>
              <w:left w:val="nil"/>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预算管理</w:t>
            </w:r>
          </w:p>
          <w:p>
            <w:pPr>
              <w:widowControl/>
              <w:rPr>
                <w:rFonts w:hint="eastAsia" w:ascii="宋体" w:hAnsi="宋体" w:cs="宋体"/>
                <w:kern w:val="0"/>
                <w:sz w:val="20"/>
                <w:szCs w:val="20"/>
              </w:rPr>
            </w:pPr>
          </w:p>
          <w:p>
            <w:pPr>
              <w:widowControl/>
              <w:rPr>
                <w:rFonts w:hint="eastAsia" w:ascii="宋体" w:hAnsi="宋体" w:cs="宋体"/>
                <w:kern w:val="0"/>
                <w:sz w:val="20"/>
                <w:szCs w:val="20"/>
              </w:rPr>
            </w:pPr>
            <w:r>
              <w:rPr>
                <w:rFonts w:hint="eastAsia" w:ascii="宋体" w:hAnsi="宋体" w:cs="宋体"/>
                <w:kern w:val="0"/>
                <w:sz w:val="20"/>
                <w:szCs w:val="20"/>
              </w:rPr>
              <w:t>40分</w:t>
            </w:r>
          </w:p>
        </w:tc>
        <w:tc>
          <w:tcPr>
            <w:tcW w:w="101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资金使用合规性</w:t>
            </w:r>
          </w:p>
        </w:tc>
        <w:tc>
          <w:tcPr>
            <w:tcW w:w="48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6</w:t>
            </w:r>
          </w:p>
        </w:tc>
        <w:tc>
          <w:tcPr>
            <w:tcW w:w="308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宋体" w:hAnsi="宋体" w:cs="宋体"/>
                <w:kern w:val="0"/>
                <w:sz w:val="20"/>
                <w:szCs w:val="20"/>
              </w:rPr>
              <w:br w:type="textWrapping"/>
            </w:r>
            <w:r>
              <w:rPr>
                <w:rFonts w:hint="eastAsia" w:ascii="宋体" w:hAnsi="宋体" w:cs="宋体"/>
                <w:kern w:val="0"/>
                <w:sz w:val="20"/>
                <w:szCs w:val="20"/>
              </w:rPr>
              <w:t>以上情况每出现一例不符合要求的扣1分，扣完为止。</w:t>
            </w:r>
          </w:p>
        </w:tc>
        <w:tc>
          <w:tcPr>
            <w:tcW w:w="225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717" w:type="dxa"/>
            <w:tcBorders>
              <w:top w:val="nil"/>
              <w:left w:val="nil"/>
              <w:bottom w:val="single" w:color="auto" w:sz="4" w:space="0"/>
              <w:right w:val="single" w:color="auto" w:sz="4" w:space="0"/>
            </w:tcBorders>
            <w:noWrap w:val="0"/>
            <w:vAlign w:val="center"/>
          </w:tcPr>
          <w:p>
            <w:pPr>
              <w:widowControl/>
              <w:ind w:firstLine="116" w:firstLineChars="50"/>
              <w:jc w:val="center"/>
              <w:rPr>
                <w:rFonts w:hint="eastAsia"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widowControl/>
              <w:rPr>
                <w:rFonts w:hint="eastAsia" w:ascii="宋体" w:hAnsi="宋体" w:cs="宋体"/>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预决算信息公开性</w:t>
            </w:r>
          </w:p>
        </w:tc>
        <w:tc>
          <w:tcPr>
            <w:tcW w:w="48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5</w:t>
            </w:r>
          </w:p>
        </w:tc>
        <w:tc>
          <w:tcPr>
            <w:tcW w:w="308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①按规定内容公开预决算信息，1分；②按规定时限公开预决算信息，1分；③基础数据信息和会计信息资料真实，1分；④基础数据信息和会计信息资料完整，1分；⑤基础数据信息和汇集信息资料准确，1分。</w:t>
            </w:r>
          </w:p>
        </w:tc>
        <w:tc>
          <w:tcPr>
            <w:tcW w:w="225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预决算信息是指与部门预算、执行、决算、监督、绩效等管理相关的信息。</w:t>
            </w:r>
          </w:p>
        </w:tc>
        <w:tc>
          <w:tcPr>
            <w:tcW w:w="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产出及效率</w:t>
            </w:r>
          </w:p>
          <w:p>
            <w:pPr>
              <w:widowControl/>
              <w:rPr>
                <w:rFonts w:hint="eastAsia" w:ascii="宋体" w:hAnsi="宋体" w:cs="宋体"/>
                <w:kern w:val="0"/>
                <w:sz w:val="20"/>
                <w:szCs w:val="20"/>
              </w:rPr>
            </w:pPr>
          </w:p>
          <w:p>
            <w:pPr>
              <w:widowControl/>
              <w:rPr>
                <w:rFonts w:hint="eastAsia" w:ascii="宋体" w:hAnsi="宋体" w:cs="宋体"/>
                <w:kern w:val="0"/>
                <w:sz w:val="20"/>
                <w:szCs w:val="20"/>
              </w:rPr>
            </w:pPr>
            <w:r>
              <w:rPr>
                <w:rFonts w:hint="eastAsia" w:ascii="宋体" w:hAnsi="宋体" w:cs="宋体"/>
                <w:kern w:val="0"/>
                <w:sz w:val="20"/>
                <w:szCs w:val="20"/>
              </w:rPr>
              <w:t>30分</w:t>
            </w:r>
          </w:p>
        </w:tc>
        <w:tc>
          <w:tcPr>
            <w:tcW w:w="67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职责履行</w:t>
            </w:r>
          </w:p>
          <w:p>
            <w:pPr>
              <w:widowControl/>
              <w:rPr>
                <w:rFonts w:hint="eastAsia" w:ascii="宋体" w:hAnsi="宋体" w:cs="宋体"/>
                <w:kern w:val="0"/>
                <w:sz w:val="20"/>
                <w:szCs w:val="20"/>
              </w:rPr>
            </w:pPr>
          </w:p>
          <w:p>
            <w:pPr>
              <w:widowControl/>
              <w:rPr>
                <w:rFonts w:hint="eastAsia" w:ascii="宋体" w:hAnsi="宋体" w:cs="宋体"/>
                <w:kern w:val="0"/>
                <w:sz w:val="20"/>
                <w:szCs w:val="20"/>
              </w:rPr>
            </w:pPr>
            <w:r>
              <w:rPr>
                <w:rFonts w:hint="eastAsia" w:ascii="宋体" w:hAnsi="宋体" w:cs="宋体"/>
                <w:kern w:val="0"/>
                <w:sz w:val="20"/>
                <w:szCs w:val="20"/>
              </w:rPr>
              <w:t>8分</w:t>
            </w:r>
          </w:p>
        </w:tc>
        <w:tc>
          <w:tcPr>
            <w:tcW w:w="1014" w:type="dxa"/>
            <w:tcBorders>
              <w:top w:val="nil"/>
              <w:left w:val="nil"/>
              <w:bottom w:val="nil"/>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重点工作实际完成率</w:t>
            </w:r>
          </w:p>
        </w:tc>
        <w:tc>
          <w:tcPr>
            <w:tcW w:w="48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8</w:t>
            </w:r>
          </w:p>
        </w:tc>
        <w:tc>
          <w:tcPr>
            <w:tcW w:w="308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根据市绩效办2019年对各部门为民办实事和部门重点工程与重点工作考核分数折算。</w:t>
            </w:r>
            <w:r>
              <w:rPr>
                <w:rFonts w:hint="eastAsia" w:ascii="宋体" w:hAnsi="宋体" w:cs="宋体"/>
                <w:kern w:val="0"/>
                <w:sz w:val="20"/>
                <w:szCs w:val="20"/>
              </w:rPr>
              <w:br w:type="textWrapping"/>
            </w:r>
            <w:r>
              <w:rPr>
                <w:rFonts w:hint="eastAsia" w:ascii="宋体" w:hAnsi="宋体" w:cs="宋体"/>
                <w:kern w:val="0"/>
                <w:sz w:val="20"/>
                <w:szCs w:val="20"/>
              </w:rPr>
              <w:t>该项得分=（绩效办对应部分考核得分/该部分总分）×8。</w:t>
            </w:r>
          </w:p>
        </w:tc>
        <w:tc>
          <w:tcPr>
            <w:tcW w:w="225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8</w:t>
            </w:r>
          </w:p>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履职 效益</w:t>
            </w:r>
          </w:p>
          <w:p>
            <w:pPr>
              <w:widowControl/>
              <w:rPr>
                <w:rFonts w:hint="eastAsia" w:ascii="宋体" w:hAnsi="宋体" w:cs="宋体"/>
                <w:kern w:val="0"/>
                <w:sz w:val="20"/>
                <w:szCs w:val="20"/>
              </w:rPr>
            </w:pPr>
          </w:p>
          <w:p>
            <w:pPr>
              <w:widowControl/>
              <w:rPr>
                <w:rFonts w:hint="eastAsia" w:ascii="宋体" w:hAnsi="宋体" w:cs="宋体"/>
                <w:kern w:val="0"/>
                <w:sz w:val="20"/>
                <w:szCs w:val="20"/>
              </w:rPr>
            </w:pPr>
            <w:r>
              <w:rPr>
                <w:rFonts w:hint="eastAsia" w:ascii="宋体" w:hAnsi="宋体" w:cs="宋体"/>
                <w:kern w:val="0"/>
                <w:sz w:val="20"/>
                <w:szCs w:val="20"/>
              </w:rPr>
              <w:t>22分</w:t>
            </w:r>
          </w:p>
        </w:tc>
        <w:tc>
          <w:tcPr>
            <w:tcW w:w="1014"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经济效益</w:t>
            </w:r>
          </w:p>
        </w:tc>
        <w:tc>
          <w:tcPr>
            <w:tcW w:w="483" w:type="dxa"/>
            <w:vMerge w:val="restart"/>
            <w:tcBorders>
              <w:top w:val="nil"/>
              <w:left w:val="single" w:color="auto" w:sz="4" w:space="0"/>
              <w:bottom w:val="nil"/>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10</w:t>
            </w:r>
          </w:p>
        </w:tc>
        <w:tc>
          <w:tcPr>
            <w:tcW w:w="5330" w:type="dxa"/>
            <w:gridSpan w:val="2"/>
            <w:vMerge w:val="restart"/>
            <w:tcBorders>
              <w:top w:val="single" w:color="auto" w:sz="4" w:space="0"/>
              <w:left w:val="single" w:color="auto" w:sz="4" w:space="0"/>
              <w:bottom w:val="nil"/>
              <w:right w:val="single" w:color="000000"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717" w:type="dxa"/>
            <w:tcBorders>
              <w:top w:val="nil"/>
              <w:left w:val="nil"/>
              <w:bottom w:val="nil"/>
              <w:right w:val="single" w:color="auto" w:sz="4" w:space="0"/>
            </w:tcBorders>
            <w:noWrap w:val="0"/>
            <w:vAlign w:val="center"/>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社会效益</w:t>
            </w:r>
          </w:p>
        </w:tc>
        <w:tc>
          <w:tcPr>
            <w:tcW w:w="483" w:type="dxa"/>
            <w:vMerge w:val="continue"/>
            <w:tcBorders>
              <w:top w:val="nil"/>
              <w:left w:val="single" w:color="auto" w:sz="4" w:space="0"/>
              <w:bottom w:val="nil"/>
              <w:right w:val="single" w:color="auto" w:sz="4" w:space="0"/>
            </w:tcBorders>
            <w:noWrap w:val="0"/>
            <w:vAlign w:val="center"/>
          </w:tcPr>
          <w:p>
            <w:pPr>
              <w:widowControl/>
              <w:rPr>
                <w:rFonts w:hint="eastAsia" w:ascii="宋体" w:hAnsi="宋体" w:cs="宋体"/>
                <w:kern w:val="0"/>
                <w:sz w:val="20"/>
                <w:szCs w:val="20"/>
              </w:rPr>
            </w:pPr>
          </w:p>
        </w:tc>
        <w:tc>
          <w:tcPr>
            <w:tcW w:w="5330" w:type="dxa"/>
            <w:gridSpan w:val="2"/>
            <w:vMerge w:val="continue"/>
            <w:tcBorders>
              <w:top w:val="single" w:color="auto" w:sz="4" w:space="0"/>
              <w:left w:val="single" w:color="auto" w:sz="4" w:space="0"/>
              <w:bottom w:val="nil"/>
              <w:right w:val="single" w:color="000000" w:sz="4" w:space="0"/>
            </w:tcBorders>
            <w:noWrap w:val="0"/>
            <w:vAlign w:val="center"/>
          </w:tcPr>
          <w:p>
            <w:pPr>
              <w:widowControl/>
              <w:rPr>
                <w:rFonts w:hint="eastAsia" w:ascii="宋体" w:hAnsi="宋体" w:cs="宋体"/>
                <w:kern w:val="0"/>
                <w:sz w:val="20"/>
                <w:szCs w:val="20"/>
              </w:rPr>
            </w:pPr>
          </w:p>
        </w:tc>
        <w:tc>
          <w:tcPr>
            <w:tcW w:w="717" w:type="dxa"/>
            <w:tcBorders>
              <w:top w:val="nil"/>
              <w:left w:val="nil"/>
              <w:bottom w:val="nil"/>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行政效能</w:t>
            </w:r>
          </w:p>
        </w:tc>
        <w:tc>
          <w:tcPr>
            <w:tcW w:w="48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6</w:t>
            </w:r>
          </w:p>
        </w:tc>
        <w:tc>
          <w:tcPr>
            <w:tcW w:w="308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促进部门改进文风会风，加强经费及资产管理，推动网上办事，提高行政效率，降低行政成本效果较好的计6分；一般3分；无效果或者效果不明显0分。</w:t>
            </w:r>
          </w:p>
        </w:tc>
        <w:tc>
          <w:tcPr>
            <w:tcW w:w="225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根据部门自评材料评定。</w:t>
            </w:r>
          </w:p>
        </w:tc>
        <w:tc>
          <w:tcPr>
            <w:tcW w:w="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社会公众或服务对象满意度</w:t>
            </w:r>
          </w:p>
        </w:tc>
        <w:tc>
          <w:tcPr>
            <w:tcW w:w="48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6</w:t>
            </w:r>
          </w:p>
        </w:tc>
        <w:tc>
          <w:tcPr>
            <w:tcW w:w="308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90%（含）以上计6分；</w:t>
            </w:r>
            <w:r>
              <w:rPr>
                <w:rFonts w:hint="eastAsia" w:ascii="宋体" w:hAnsi="宋体" w:cs="宋体"/>
                <w:kern w:val="0"/>
                <w:sz w:val="20"/>
                <w:szCs w:val="20"/>
              </w:rPr>
              <w:br w:type="textWrapping"/>
            </w:r>
            <w:r>
              <w:rPr>
                <w:rFonts w:hint="eastAsia" w:ascii="宋体" w:hAnsi="宋体" w:cs="宋体"/>
                <w:kern w:val="0"/>
                <w:sz w:val="20"/>
                <w:szCs w:val="20"/>
              </w:rPr>
              <w:t>80%（含）-90%，计4分；</w:t>
            </w:r>
            <w:r>
              <w:rPr>
                <w:rFonts w:hint="eastAsia" w:ascii="宋体" w:hAnsi="宋体" w:cs="宋体"/>
                <w:kern w:val="0"/>
                <w:sz w:val="20"/>
                <w:szCs w:val="20"/>
              </w:rPr>
              <w:br w:type="textWrapping"/>
            </w:r>
            <w:r>
              <w:rPr>
                <w:rFonts w:hint="eastAsia" w:ascii="宋体" w:hAnsi="宋体" w:cs="宋体"/>
                <w:kern w:val="0"/>
                <w:sz w:val="20"/>
                <w:szCs w:val="20"/>
              </w:rPr>
              <w:t>70%（含）-80%，计2分；</w:t>
            </w:r>
            <w:r>
              <w:rPr>
                <w:rFonts w:hint="eastAsia" w:ascii="宋体" w:hAnsi="宋体" w:cs="宋体"/>
                <w:kern w:val="0"/>
                <w:sz w:val="20"/>
                <w:szCs w:val="20"/>
              </w:rPr>
              <w:br w:type="textWrapping"/>
            </w:r>
            <w:r>
              <w:rPr>
                <w:rFonts w:hint="eastAsia" w:ascii="宋体" w:hAnsi="宋体" w:cs="宋体"/>
                <w:kern w:val="0"/>
                <w:sz w:val="20"/>
                <w:szCs w:val="20"/>
              </w:rPr>
              <w:t>低于70%计0分。</w:t>
            </w:r>
          </w:p>
        </w:tc>
        <w:tc>
          <w:tcPr>
            <w:tcW w:w="225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社会公众或服务对象是指部门（单位）履行职责而影响到的部门、群体或个人，一般采取社会调查的方式。</w:t>
            </w:r>
          </w:p>
        </w:tc>
        <w:tc>
          <w:tcPr>
            <w:tcW w:w="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w:t>
            </w:r>
          </w:p>
        </w:tc>
      </w:tr>
    </w:tbl>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jc w:val="center"/>
        <w:rPr>
          <w:rFonts w:hint="eastAsia" w:ascii="宋体" w:hAnsi="宋体" w:cs="宋体"/>
          <w:kern w:val="0"/>
          <w:sz w:val="36"/>
          <w:szCs w:val="36"/>
        </w:rPr>
      </w:pPr>
      <w:r>
        <w:rPr>
          <w:rFonts w:hint="eastAsia" w:ascii="宋体" w:hAnsi="宋体" w:cs="宋体"/>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hint="eastAsia" w:ascii="宋体" w:hAnsi="宋体" w:cs="宋体"/>
          <w:kern w:val="0"/>
          <w:sz w:val="24"/>
        </w:rPr>
      </w:pPr>
      <w:r>
        <w:rPr>
          <w:rFonts w:hint="eastAsia" w:ascii="宋体" w:hAnsi="宋体" w:cs="宋体"/>
          <w:kern w:val="0"/>
          <w:sz w:val="24"/>
        </w:rPr>
        <w:t>填报单位：</w:t>
      </w:r>
      <w:r>
        <w:t>衡山县人民政府办公室</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p>
    <w:tbl>
      <w:tblPr>
        <w:tblStyle w:val="7"/>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财政供养人员情况</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2022年实际在职人数</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75</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69</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92%　</w:t>
            </w:r>
          </w:p>
        </w:tc>
      </w:tr>
      <w:tr>
        <w:tblPrEx>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经费控制情况</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2021年决算数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2022年预算数</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2022年决算数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5.1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11</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10.29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7</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6.29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1、业务工作专项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589.91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63</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478.32</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402" w:firstLineChars="200"/>
              <w:rPr>
                <w:rFonts w:hint="eastAsia" w:ascii="宋体" w:hAnsi="宋体" w:cs="宋体"/>
                <w:kern w:val="0"/>
                <w:szCs w:val="21"/>
              </w:rPr>
            </w:pP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402" w:firstLineChars="200"/>
              <w:rPr>
                <w:rFonts w:hint="eastAsia" w:ascii="宋体" w:hAnsi="宋体" w:cs="宋体"/>
                <w:kern w:val="0"/>
                <w:szCs w:val="21"/>
              </w:rPr>
            </w:pP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201" w:firstLineChars="100"/>
              <w:jc w:val="left"/>
              <w:rPr>
                <w:rFonts w:hint="eastAsia" w:ascii="宋体" w:hAnsi="宋体" w:cs="宋体"/>
                <w:kern w:val="0"/>
                <w:szCs w:val="21"/>
              </w:rPr>
            </w:pPr>
            <w:r>
              <w:rPr>
                <w:rFonts w:hint="eastAsia" w:ascii="宋体" w:hAnsi="宋体" w:cs="宋体"/>
                <w:kern w:val="0"/>
                <w:szCs w:val="21"/>
              </w:rPr>
              <w:t>2、省、市级专项资金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402" w:firstLineChars="200"/>
              <w:rPr>
                <w:rFonts w:hint="eastAsia" w:ascii="宋体" w:hAnsi="宋体" w:cs="宋体"/>
                <w:kern w:val="0"/>
                <w:szCs w:val="21"/>
              </w:rPr>
            </w:pPr>
            <w:r>
              <w:rPr>
                <w:rFonts w:hint="eastAsia" w:ascii="宋体" w:hAnsi="宋体" w:cs="宋体"/>
                <w:kern w:val="0"/>
                <w:szCs w:val="21"/>
              </w:rPr>
              <w:t>无</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r>
              <w:rPr>
                <w:rFonts w:hint="eastAsia" w:eastAsia="仿宋_GB2312"/>
                <w:kern w:val="0"/>
                <w:szCs w:val="21"/>
              </w:rPr>
              <w:t>234.74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148.87</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169.09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eastAsia="仿宋_GB2312"/>
                <w:kern w:val="0"/>
                <w:szCs w:val="21"/>
              </w:rPr>
              <w:t>15.35</w:t>
            </w:r>
            <w:r>
              <w:rPr>
                <w:rFonts w:hint="eastAsia" w:ascii="宋体" w:hAnsi="宋体" w:cs="宋体"/>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26.82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eastAsia="仿宋_GB2312"/>
                <w:kern w:val="0"/>
                <w:szCs w:val="21"/>
              </w:rPr>
              <w:t>0.26</w:t>
            </w:r>
            <w:r>
              <w:rPr>
                <w:rFonts w:hint="eastAsia" w:ascii="宋体" w:hAnsi="宋体" w:cs="宋体"/>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3.4</w:t>
            </w:r>
          </w:p>
        </w:tc>
      </w:tr>
      <w:tr>
        <w:tblPrEx>
          <w:tblCellMar>
            <w:top w:w="0" w:type="dxa"/>
            <w:left w:w="108" w:type="dxa"/>
            <w:bottom w:w="0" w:type="dxa"/>
            <w:right w:w="108" w:type="dxa"/>
          </w:tblCellMar>
        </w:tblPrEx>
        <w:trPr>
          <w:trHeight w:val="313"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1106" w:firstLineChars="550"/>
              <w:jc w:val="left"/>
              <w:rPr>
                <w:rFonts w:hint="eastAsia" w:ascii="宋体" w:hAnsi="宋体" w:cs="宋体"/>
                <w:kern w:val="0"/>
                <w:szCs w:val="21"/>
              </w:rPr>
            </w:pPr>
            <w:r>
              <w:rPr>
                <w:rFonts w:hint="eastAsia" w:ascii="宋体" w:hAnsi="宋体" w:cs="宋体"/>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79"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4"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楼堂馆所控制情况</w:t>
            </w:r>
            <w:r>
              <w:rPr>
                <w:rFonts w:hint="eastAsia" w:ascii="宋体" w:hAnsi="宋体" w:cs="宋体"/>
                <w:kern w:val="0"/>
                <w:szCs w:val="21"/>
              </w:rPr>
              <w:br w:type="textWrapping"/>
            </w:r>
            <w:r>
              <w:rPr>
                <w:rFonts w:hint="eastAsia" w:ascii="宋体" w:hAnsi="宋体" w:cs="宋体"/>
                <w:kern w:val="0"/>
                <w:szCs w:val="21"/>
              </w:rPr>
              <w:t>（2022年完工项目）</w:t>
            </w:r>
          </w:p>
        </w:tc>
        <w:tc>
          <w:tcPr>
            <w:tcW w:w="118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批复规模</w:t>
            </w:r>
            <w:r>
              <w:rPr>
                <w:rFonts w:hint="eastAsia" w:ascii="宋体" w:hAnsi="宋体" w:cs="宋体"/>
                <w:b/>
                <w:bCs/>
                <w:kern w:val="0"/>
                <w:szCs w:val="21"/>
              </w:rPr>
              <w:br w:type="textWrapping"/>
            </w:r>
            <w:r>
              <w:rPr>
                <w:rFonts w:hint="eastAsia" w:ascii="宋体" w:hAnsi="宋体" w:cs="宋体"/>
                <w:b/>
                <w:bCs/>
                <w:kern w:val="0"/>
                <w:szCs w:val="21"/>
              </w:rPr>
              <w:t>（㎡）</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实际规模（㎡）</w:t>
            </w:r>
          </w:p>
        </w:tc>
        <w:tc>
          <w:tcPr>
            <w:tcW w:w="112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规模控制率</w:t>
            </w:r>
          </w:p>
        </w:tc>
        <w:tc>
          <w:tcPr>
            <w:tcW w:w="111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预算投资（万元）</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实际投资（万元）</w:t>
            </w:r>
          </w:p>
        </w:tc>
        <w:tc>
          <w:tcPr>
            <w:tcW w:w="86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投资概算控制率</w:t>
            </w:r>
          </w:p>
        </w:tc>
      </w:tr>
      <w:tr>
        <w:tblPrEx>
          <w:tblCellMar>
            <w:top w:w="0" w:type="dxa"/>
            <w:left w:w="108" w:type="dxa"/>
            <w:bottom w:w="0" w:type="dxa"/>
            <w:right w:w="108" w:type="dxa"/>
          </w:tblCellMar>
        </w:tblPrEx>
        <w:trPr>
          <w:trHeight w:val="274"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8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4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1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11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96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86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1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r>
    </w:tbl>
    <w:p>
      <w:pPr>
        <w:rPr>
          <w:rFonts w:hint="eastAsia" w:ascii="宋体" w:hAnsi="宋体" w:cs="宋体"/>
          <w:kern w:val="0"/>
          <w:sz w:val="22"/>
          <w:szCs w:val="22"/>
        </w:rPr>
      </w:pPr>
      <w:r>
        <w:rPr>
          <w:rFonts w:hint="eastAsia" w:ascii="宋体" w:hAnsi="宋体" w:cs="宋体"/>
          <w:kern w:val="0"/>
          <w:sz w:val="22"/>
          <w:szCs w:val="22"/>
        </w:rPr>
        <w:t>说明：“项目支出”需要填报基本支出以外的所有项目支出情况，包括业务工作项目、运行维护项目和市级专项资金等；“公用经费”填报基本支出中的一般商品和服务支出。</w:t>
      </w:r>
    </w:p>
    <w:p>
      <w:pPr>
        <w:rPr>
          <w:rFonts w:hint="eastAsia" w:ascii="宋体" w:hAnsi="宋体" w:cs="宋体"/>
          <w:kern w:val="0"/>
          <w:sz w:val="22"/>
          <w:szCs w:val="22"/>
        </w:rPr>
      </w:pPr>
    </w:p>
    <w:p>
      <w:pPr>
        <w:rPr>
          <w:rFonts w:hint="eastAsia" w:ascii="宋体" w:hAnsi="宋体" w:cs="宋体"/>
          <w:kern w:val="0"/>
          <w:sz w:val="22"/>
          <w:szCs w:val="22"/>
        </w:rPr>
      </w:pPr>
    </w:p>
    <w:p>
      <w:pPr>
        <w:widowControl/>
        <w:jc w:val="center"/>
        <w:rPr>
          <w:rFonts w:hint="eastAsia" w:ascii="宋体" w:hAnsi="宋体" w:cs="宋体"/>
          <w:kern w:val="0"/>
          <w:sz w:val="36"/>
          <w:szCs w:val="36"/>
        </w:rPr>
      </w:pPr>
      <w:r>
        <w:rPr>
          <w:rFonts w:hint="eastAsia" w:ascii="宋体" w:hAnsi="宋体" w:cs="宋体"/>
          <w:kern w:val="0"/>
          <w:sz w:val="36"/>
          <w:szCs w:val="36"/>
        </w:rPr>
        <w:t>2022年度县级专项资金绩效目标自评表</w:t>
      </w:r>
    </w:p>
    <w:tbl>
      <w:tblPr>
        <w:tblStyle w:val="7"/>
        <w:tblW w:w="10060" w:type="dxa"/>
        <w:jc w:val="center"/>
        <w:tblLayout w:type="fixed"/>
        <w:tblCellMar>
          <w:top w:w="0" w:type="dxa"/>
          <w:left w:w="108" w:type="dxa"/>
          <w:bottom w:w="0" w:type="dxa"/>
          <w:right w:w="108" w:type="dxa"/>
        </w:tblCellMar>
      </w:tblPr>
      <w:tblGrid>
        <w:gridCol w:w="769"/>
        <w:gridCol w:w="675"/>
        <w:gridCol w:w="709"/>
        <w:gridCol w:w="1701"/>
        <w:gridCol w:w="1843"/>
        <w:gridCol w:w="1276"/>
        <w:gridCol w:w="1073"/>
        <w:gridCol w:w="31"/>
        <w:gridCol w:w="1983"/>
      </w:tblGrid>
      <w:tr>
        <w:tblPrEx>
          <w:tblCellMar>
            <w:top w:w="0" w:type="dxa"/>
            <w:left w:w="108" w:type="dxa"/>
            <w:bottom w:w="0" w:type="dxa"/>
            <w:right w:w="108" w:type="dxa"/>
          </w:tblCellMar>
        </w:tblPrEx>
        <w:trPr>
          <w:trHeight w:val="270" w:hRule="atLeast"/>
          <w:jc w:val="center"/>
        </w:trPr>
        <w:tc>
          <w:tcPr>
            <w:tcW w:w="10060" w:type="dxa"/>
            <w:gridSpan w:val="9"/>
            <w:tcBorders>
              <w:top w:val="nil"/>
              <w:left w:val="nil"/>
              <w:bottom w:val="single" w:color="auto" w:sz="4" w:space="0"/>
              <w:right w:val="nil"/>
            </w:tcBorders>
            <w:noWrap w:val="0"/>
            <w:vAlign w:val="center"/>
          </w:tcPr>
          <w:p>
            <w:pPr>
              <w:widowControl/>
              <w:jc w:val="center"/>
              <w:rPr>
                <w:rFonts w:hint="eastAsia" w:ascii="宋体" w:hAnsi="宋体" w:cs="宋体"/>
                <w:b/>
                <w:bCs/>
                <w:kern w:val="0"/>
                <w:sz w:val="22"/>
              </w:rPr>
            </w:pPr>
          </w:p>
        </w:tc>
      </w:tr>
      <w:tr>
        <w:tblPrEx>
          <w:tblCellMar>
            <w:top w:w="0" w:type="dxa"/>
            <w:left w:w="108" w:type="dxa"/>
            <w:bottom w:w="0" w:type="dxa"/>
            <w:right w:w="108" w:type="dxa"/>
          </w:tblCellMar>
        </w:tblPrEx>
        <w:trPr>
          <w:trHeight w:val="608"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专项资金名称</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rPr>
                <w:rFonts w:hint="eastAsia" w:ascii="宋体" w:hAnsi="宋体" w:cs="宋体"/>
                <w:kern w:val="0"/>
                <w:szCs w:val="21"/>
              </w:rPr>
            </w:pPr>
            <w:r>
              <w:rPr>
                <w:rFonts w:hint="eastAsia" w:ascii="仿宋_GB2312" w:hAnsi="宋体" w:eastAsia="仿宋_GB2312" w:cs="宋体"/>
                <w:kern w:val="0"/>
                <w:szCs w:val="21"/>
              </w:rPr>
              <w:t>工作经费专项资金</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负责人</w:t>
            </w:r>
          </w:p>
          <w:p>
            <w:pPr>
              <w:widowControl/>
              <w:jc w:val="center"/>
              <w:rPr>
                <w:rFonts w:hint="eastAsia" w:ascii="宋体" w:hAnsi="宋体" w:cs="宋体"/>
                <w:kern w:val="0"/>
                <w:szCs w:val="21"/>
              </w:rPr>
            </w:pPr>
            <w:r>
              <w:rPr>
                <w:rFonts w:hint="eastAsia" w:ascii="宋体" w:hAnsi="宋体" w:cs="宋体"/>
                <w:kern w:val="0"/>
                <w:szCs w:val="21"/>
              </w:rPr>
              <w:t>及电话</w:t>
            </w:r>
          </w:p>
        </w:tc>
        <w:tc>
          <w:tcPr>
            <w:tcW w:w="3087"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杨伟明</w:t>
            </w:r>
          </w:p>
        </w:tc>
      </w:tr>
      <w:tr>
        <w:tblPrEx>
          <w:tblCellMar>
            <w:top w:w="0" w:type="dxa"/>
            <w:left w:w="108" w:type="dxa"/>
            <w:bottom w:w="0" w:type="dxa"/>
            <w:right w:w="108" w:type="dxa"/>
          </w:tblCellMar>
        </w:tblPrEx>
        <w:trPr>
          <w:trHeight w:val="44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县级主管部门</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rPr>
                <w:rFonts w:hint="eastAsia" w:ascii="宋体" w:hAnsi="宋体" w:cs="宋体"/>
                <w:kern w:val="0"/>
                <w:szCs w:val="21"/>
              </w:rPr>
            </w:pPr>
            <w:r>
              <w:rPr>
                <w:rFonts w:hint="eastAsia" w:ascii="仿宋_GB2312" w:hAnsi="宋体" w:eastAsia="仿宋_GB2312" w:cs="宋体"/>
                <w:kern w:val="0"/>
                <w:szCs w:val="21"/>
              </w:rPr>
              <w:t>衡山县人民政府　</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实施单位</w:t>
            </w:r>
          </w:p>
        </w:tc>
        <w:tc>
          <w:tcPr>
            <w:tcW w:w="3087" w:type="dxa"/>
            <w:gridSpan w:val="3"/>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仿宋_GB2312" w:hAnsi="宋体" w:eastAsia="仿宋_GB2312" w:cs="宋体"/>
                <w:kern w:val="0"/>
                <w:szCs w:val="21"/>
              </w:rPr>
              <w:t>衡山县人民政府</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全年预算数（A）</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全年执行数（B）</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执行率（B／A）</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年度资金总额</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303</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478.32</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157.86%</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其中：中央、省、市补助</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xml:space="preserve">  县级资金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303</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478.32</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157.86%</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xml:space="preserve">      其他资金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11"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年度总体目标</w:t>
            </w:r>
          </w:p>
        </w:tc>
        <w:tc>
          <w:tcPr>
            <w:tcW w:w="49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年初设定目标　</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全年实际完成情况</w:t>
            </w:r>
          </w:p>
        </w:tc>
      </w:tr>
      <w:tr>
        <w:tblPrEx>
          <w:tblCellMar>
            <w:top w:w="0" w:type="dxa"/>
            <w:left w:w="108" w:type="dxa"/>
            <w:bottom w:w="0" w:type="dxa"/>
            <w:right w:w="108" w:type="dxa"/>
          </w:tblCellMar>
        </w:tblPrEx>
        <w:trPr>
          <w:trHeight w:val="46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492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100%　</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100%</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绩  效    指  标</w:t>
            </w:r>
          </w:p>
        </w:tc>
        <w:tc>
          <w:tcPr>
            <w:tcW w:w="675" w:type="dxa"/>
            <w:tcBorders>
              <w:top w:val="single" w:color="auto" w:sz="4" w:space="0"/>
              <w:left w:val="nil"/>
              <w:bottom w:val="single" w:color="auto" w:sz="4" w:space="0"/>
              <w:right w:val="nil"/>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二级指标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三级指标</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年度指标值</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全年</w:t>
            </w:r>
          </w:p>
          <w:p>
            <w:pPr>
              <w:widowControl/>
              <w:jc w:val="center"/>
              <w:rPr>
                <w:rFonts w:hint="eastAsia" w:ascii="宋体" w:hAnsi="宋体" w:cs="宋体"/>
                <w:kern w:val="0"/>
                <w:szCs w:val="21"/>
              </w:rPr>
            </w:pPr>
            <w:r>
              <w:rPr>
                <w:rFonts w:hint="eastAsia" w:ascii="宋体" w:hAnsi="宋体" w:cs="宋体"/>
                <w:kern w:val="0"/>
                <w:szCs w:val="21"/>
              </w:rPr>
              <w:t>完成值</w:t>
            </w:r>
          </w:p>
        </w:tc>
        <w:tc>
          <w:tcPr>
            <w:tcW w:w="198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未完成原因和</w:t>
            </w:r>
          </w:p>
          <w:p>
            <w:pPr>
              <w:widowControl/>
              <w:jc w:val="center"/>
              <w:rPr>
                <w:rFonts w:hint="eastAsia" w:ascii="宋体" w:hAnsi="宋体" w:cs="宋体"/>
                <w:kern w:val="0"/>
                <w:szCs w:val="21"/>
              </w:rPr>
            </w:pPr>
            <w:r>
              <w:rPr>
                <w:rFonts w:hint="eastAsia" w:ascii="宋体" w:hAnsi="宋体" w:cs="宋体"/>
                <w:kern w:val="0"/>
                <w:szCs w:val="21"/>
              </w:rPr>
              <w:t>改进措施</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产   出   指   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数量指标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完成项目数量</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kern w:val="0"/>
                <w:szCs w:val="21"/>
              </w:rPr>
            </w:pPr>
            <w:r>
              <w:rPr>
                <w:rFonts w:hint="eastAsia" w:ascii="宋体" w:hAnsi="宋体" w:cs="宋体"/>
                <w:kern w:val="0"/>
                <w:szCs w:val="21"/>
              </w:rPr>
              <w:t>10</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kern w:val="0"/>
                <w:szCs w:val="21"/>
              </w:rPr>
            </w:pPr>
            <w:r>
              <w:rPr>
                <w:rFonts w:hint="eastAsia" w:ascii="宋体" w:hAnsi="宋体" w:cs="宋体"/>
                <w:kern w:val="0"/>
                <w:szCs w:val="21"/>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质量指标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项目验收合格率</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kern w:val="0"/>
                <w:szCs w:val="21"/>
              </w:rPr>
            </w:pPr>
            <w:r>
              <w:rPr>
                <w:rFonts w:hint="eastAsia" w:ascii="宋体" w:hAnsi="宋体" w:cs="宋体"/>
                <w:kern w:val="0"/>
                <w:szCs w:val="21"/>
              </w:rPr>
              <w:t>100%</w:t>
            </w: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201" w:firstLineChars="100"/>
              <w:jc w:val="left"/>
              <w:rPr>
                <w:rFonts w:ascii="宋体" w:hAnsi="宋体" w:cs="宋体"/>
                <w:kern w:val="0"/>
                <w:szCs w:val="21"/>
              </w:rPr>
            </w:pPr>
            <w:r>
              <w:rPr>
                <w:rFonts w:hint="eastAsia" w:ascii="宋体" w:hAnsi="宋体" w:cs="宋体"/>
                <w:kern w:val="0"/>
                <w:szCs w:val="21"/>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时效指标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项目实施程度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center"/>
              <w:rPr>
                <w:rFonts w:hint="eastAsia" w:ascii="宋体" w:hAnsi="宋体" w:cs="宋体"/>
                <w:kern w:val="0"/>
                <w:szCs w:val="21"/>
              </w:rPr>
            </w:pPr>
            <w:r>
              <w:rPr>
                <w:rFonts w:hint="eastAsia" w:ascii="宋体" w:hAnsi="宋体" w:cs="宋体"/>
                <w:kern w:val="0"/>
                <w:szCs w:val="21"/>
              </w:rPr>
              <w:t>本年度完成</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center"/>
              <w:rPr>
                <w:rFonts w:hint="eastAsia" w:ascii="宋体" w:hAnsi="宋体" w:cs="宋体"/>
                <w:kern w:val="0"/>
                <w:szCs w:val="21"/>
              </w:rPr>
            </w:pPr>
            <w:r>
              <w:rPr>
                <w:rFonts w:hint="eastAsia" w:ascii="宋体" w:hAnsi="宋体" w:cs="宋体"/>
                <w:kern w:val="0"/>
                <w:szCs w:val="21"/>
              </w:rPr>
              <w:t>完工</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投资完成率</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b/>
                <w:bCs/>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成本指标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设备购置成本</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通过招标符合市场价成本</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通过招标符合市场价成本</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56"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0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效益   指标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经济效益指标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23"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19"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Cs w:val="21"/>
              </w:rPr>
            </w:pPr>
            <w:r>
              <w:rPr>
                <w:rFonts w:hint="eastAsia" w:ascii="宋体" w:hAnsi="宋体" w:cs="宋体"/>
                <w:kern w:val="0"/>
                <w:szCs w:val="21"/>
              </w:rPr>
              <w:t>绩效指标</w:t>
            </w: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Cs w:val="21"/>
              </w:rPr>
            </w:pPr>
            <w:r>
              <w:rPr>
                <w:rFonts w:hint="eastAsia" w:ascii="宋体" w:hAnsi="宋体" w:cs="宋体"/>
                <w:kern w:val="0"/>
                <w:szCs w:val="21"/>
              </w:rPr>
              <w:t>效   益   指   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生态效益  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无污染</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保持</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保持</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可持续影响指标</w:t>
            </w:r>
          </w:p>
        </w:tc>
        <w:tc>
          <w:tcPr>
            <w:tcW w:w="1701"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宋体" w:hAnsi="宋体" w:cs="宋体"/>
                <w:kern w:val="0"/>
                <w:szCs w:val="21"/>
              </w:rPr>
            </w:pPr>
            <w:r>
              <w:rPr>
                <w:rFonts w:hint="eastAsia" w:ascii="宋体" w:hAnsi="宋体" w:cs="宋体"/>
                <w:kern w:val="0"/>
                <w:szCs w:val="21"/>
              </w:rPr>
              <w:t>　工作持续情况</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宋体" w:hAnsi="宋体" w:cs="宋体"/>
                <w:kern w:val="0"/>
                <w:szCs w:val="21"/>
              </w:rPr>
            </w:pPr>
            <w:r>
              <w:rPr>
                <w:rFonts w:hint="eastAsia" w:ascii="宋体" w:hAnsi="宋体" w:cs="宋体"/>
                <w:kern w:val="0"/>
                <w:szCs w:val="21"/>
              </w:rPr>
              <w:t>　保持</w:t>
            </w:r>
          </w:p>
        </w:tc>
        <w:tc>
          <w:tcPr>
            <w:tcW w:w="110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宋体" w:hAnsi="宋体" w:cs="宋体"/>
                <w:kern w:val="0"/>
                <w:szCs w:val="21"/>
              </w:rPr>
            </w:pPr>
            <w:r>
              <w:rPr>
                <w:rFonts w:hint="eastAsia" w:ascii="宋体" w:hAnsi="宋体" w:cs="宋体"/>
                <w:kern w:val="0"/>
                <w:szCs w:val="21"/>
              </w:rPr>
              <w:t>　保持</w:t>
            </w: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spacing w:line="280" w:lineRule="exac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center"/>
          </w:tcPr>
          <w:p>
            <w:pPr>
              <w:widowControl/>
              <w:spacing w:line="280" w:lineRule="exac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spacing w:line="280" w:lineRule="exac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spacing w:line="280" w:lineRule="exac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center"/>
          </w:tcPr>
          <w:p>
            <w:pPr>
              <w:widowControl/>
              <w:spacing w:line="280" w:lineRule="exac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满意度指标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服务对象满意度指标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社会评估</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满意</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满意</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52" w:hRule="atLeast"/>
          <w:jc w:val="center"/>
        </w:trPr>
        <w:tc>
          <w:tcPr>
            <w:tcW w:w="769" w:type="dxa"/>
            <w:tcBorders>
              <w:top w:val="single" w:color="auto" w:sz="4" w:space="0"/>
              <w:left w:val="single" w:color="auto" w:sz="4" w:space="0"/>
              <w:bottom w:val="nil"/>
              <w:right w:val="single" w:color="auto" w:sz="4" w:space="0"/>
            </w:tcBorders>
            <w:noWrap/>
            <w:vAlign w:val="center"/>
          </w:tcPr>
          <w:p>
            <w:pPr>
              <w:widowControl/>
              <w:rPr>
                <w:rFonts w:hint="eastAsia" w:ascii="宋体" w:hAnsi="宋体" w:cs="宋体"/>
                <w:kern w:val="0"/>
                <w:szCs w:val="21"/>
              </w:rPr>
            </w:pPr>
            <w:r>
              <w:rPr>
                <w:rFonts w:hint="eastAsia" w:ascii="宋体" w:hAnsi="宋体" w:cs="宋体"/>
                <w:kern w:val="0"/>
                <w:szCs w:val="21"/>
              </w:rPr>
              <w:t>说明</w:t>
            </w:r>
          </w:p>
        </w:tc>
        <w:tc>
          <w:tcPr>
            <w:tcW w:w="9291" w:type="dxa"/>
            <w:gridSpan w:val="8"/>
            <w:tcBorders>
              <w:top w:val="single" w:color="auto" w:sz="4" w:space="0"/>
              <w:left w:val="nil"/>
              <w:bottom w:val="nil"/>
              <w:right w:val="single" w:color="000000"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请在此处简要说明各级监督检查中发现的问题及其所涉及的金额，如没有请填无</w:t>
            </w:r>
          </w:p>
        </w:tc>
      </w:tr>
      <w:tr>
        <w:tblPrEx>
          <w:tblCellMar>
            <w:top w:w="0" w:type="dxa"/>
            <w:left w:w="108" w:type="dxa"/>
            <w:bottom w:w="0" w:type="dxa"/>
            <w:right w:w="108" w:type="dxa"/>
          </w:tblCellMar>
        </w:tblPrEx>
        <w:trPr>
          <w:trHeight w:val="1785" w:hRule="atLeast"/>
          <w:jc w:val="center"/>
        </w:trPr>
        <w:tc>
          <w:tcPr>
            <w:tcW w:w="10060" w:type="dxa"/>
            <w:gridSpan w:val="9"/>
            <w:tcBorders>
              <w:top w:val="single" w:color="auto" w:sz="8" w:space="0"/>
              <w:left w:val="nil"/>
              <w:bottom w:val="nil"/>
              <w:right w:val="nil"/>
            </w:tcBorders>
            <w:noWrap w:val="0"/>
            <w:vAlign w:val="top"/>
          </w:tcPr>
          <w:p>
            <w:pPr>
              <w:widowControl/>
              <w:ind w:firstLine="402" w:firstLineChars="200"/>
              <w:jc w:val="left"/>
              <w:rPr>
                <w:rFonts w:hint="eastAsia" w:ascii="宋体" w:hAnsi="宋体" w:cs="宋体"/>
                <w:kern w:val="0"/>
                <w:szCs w:val="21"/>
              </w:rPr>
            </w:pPr>
          </w:p>
          <w:p>
            <w:pPr>
              <w:widowControl/>
              <w:spacing w:line="360" w:lineRule="exact"/>
              <w:ind w:firstLine="402" w:firstLineChars="200"/>
              <w:jc w:val="left"/>
              <w:rPr>
                <w:rFonts w:hint="eastAsia" w:ascii="宋体" w:hAnsi="宋体" w:cs="宋体"/>
                <w:kern w:val="0"/>
                <w:szCs w:val="21"/>
              </w:rPr>
            </w:pPr>
            <w:r>
              <w:rPr>
                <w:rFonts w:hint="eastAsia" w:ascii="宋体" w:hAnsi="宋体" w:cs="宋体"/>
                <w:kern w:val="0"/>
                <w:szCs w:val="21"/>
              </w:rPr>
              <w:t xml:space="preserve">注：1、其他资金包括和中央、省、市补助、地方财政资金共同投入到同一项目的自有资金、社会资金，以及以前年度的结转结余资金等。 </w:t>
            </w:r>
          </w:p>
          <w:p>
            <w:pPr>
              <w:widowControl/>
              <w:spacing w:line="360" w:lineRule="exact"/>
              <w:ind w:firstLine="402" w:firstLineChars="200"/>
              <w:jc w:val="left"/>
              <w:rPr>
                <w:rFonts w:hint="eastAsia" w:ascii="宋体" w:hAnsi="宋体" w:cs="宋体"/>
                <w:kern w:val="0"/>
                <w:szCs w:val="21"/>
              </w:rPr>
            </w:pPr>
            <w:r>
              <w:rPr>
                <w:rFonts w:hint="eastAsia" w:ascii="宋体" w:hAnsi="宋体" w:cs="宋体"/>
                <w:kern w:val="0"/>
                <w:szCs w:val="21"/>
              </w:rPr>
              <w:t>2、定量指标，资金使用单位填写本地区实际完成数。各部门汇总时，对绝对值直接累加计算，相对值按照资金额度加权平均计算。</w:t>
            </w:r>
          </w:p>
          <w:p>
            <w:pPr>
              <w:widowControl/>
              <w:spacing w:line="360" w:lineRule="exact"/>
              <w:ind w:firstLine="402" w:firstLineChars="200"/>
              <w:jc w:val="left"/>
              <w:rPr>
                <w:rFonts w:hint="eastAsia" w:ascii="宋体" w:hAnsi="宋体" w:cs="宋体"/>
                <w:kern w:val="0"/>
                <w:szCs w:val="21"/>
              </w:rPr>
            </w:pPr>
            <w:r>
              <w:rPr>
                <w:rFonts w:hint="eastAsia" w:ascii="宋体" w:hAnsi="宋体" w:cs="宋体"/>
                <w:kern w:val="0"/>
                <w:szCs w:val="21"/>
              </w:rPr>
              <w:t>3、定性指标根据指标完成情况分为：全部或基本达成预期指标、部分达成预期指标并具有一定效果、未达成预期指标且效果较差三档，资金使用单位分别按照100％—80％（含）、80％—60％（含）、60％—0％合理填写完成比例。</w:t>
            </w:r>
          </w:p>
          <w:p>
            <w:pPr>
              <w:widowControl/>
              <w:spacing w:line="360" w:lineRule="exact"/>
              <w:ind w:firstLine="402" w:firstLineChars="200"/>
              <w:jc w:val="left"/>
              <w:rPr>
                <w:rFonts w:hint="eastAsia" w:ascii="宋体" w:hAnsi="宋体" w:cs="宋体"/>
                <w:kern w:val="0"/>
                <w:szCs w:val="21"/>
              </w:rPr>
            </w:pPr>
            <w:r>
              <w:rPr>
                <w:rFonts w:hint="eastAsia" w:ascii="宋体" w:hAnsi="宋体" w:cs="宋体"/>
                <w:kern w:val="0"/>
                <w:szCs w:val="21"/>
              </w:rPr>
              <w:t>4、各主管部门及资金使用单位填写《自评表》并报送同级财政部门审核后，形成县级专项资金《自评表》。</w:t>
            </w:r>
          </w:p>
        </w:tc>
      </w:tr>
    </w:tbl>
    <w:p>
      <w:pPr>
        <w:rPr>
          <w:rFonts w:hint="eastAsia" w:ascii="宋体" w:hAnsi="宋体" w:cs="宋体"/>
          <w:kern w:val="0"/>
          <w:sz w:val="22"/>
          <w:szCs w:val="22"/>
        </w:rPr>
      </w:pPr>
    </w:p>
    <w:p>
      <w:pPr>
        <w:rPr>
          <w:rFonts w:hint="eastAsia" w:ascii="宋体" w:hAnsi="宋体" w:cs="宋体"/>
        </w:rPr>
      </w:pPr>
    </w:p>
    <w:p>
      <w:pPr>
        <w:rPr>
          <w:rFonts w:hint="eastAsia" w:ascii="宋体" w:hAnsi="宋体" w:cs="宋体"/>
        </w:rPr>
      </w:pPr>
    </w:p>
    <w:p>
      <w:pPr>
        <w:pStyle w:val="6"/>
        <w:widowControl/>
        <w:rPr>
          <w:rFonts w:hint="eastAsia" w:ascii="宋体" w:hAnsi="宋体" w:cs="宋体"/>
        </w:rPr>
      </w:pPr>
    </w:p>
    <w:p>
      <w:pPr>
        <w:rPr>
          <w:rFonts w:ascii="仿宋" w:hAnsi="仿宋" w:eastAsia="仿宋" w:cs="仿宋"/>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559" w:right="1287" w:bottom="1440" w:left="1622"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3</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1AF5DE"/>
    <w:multiLevelType w:val="singleLevel"/>
    <w:tmpl w:val="BE1AF5DE"/>
    <w:lvl w:ilvl="0" w:tentative="0">
      <w:start w:val="2"/>
      <w:numFmt w:val="chineseCounting"/>
      <w:suff w:val="nothing"/>
      <w:lvlText w:val="%1、"/>
      <w:lvlJc w:val="left"/>
      <w:rPr>
        <w:rFonts w:hint="eastAsia"/>
      </w:rPr>
    </w:lvl>
  </w:abstractNum>
  <w:abstractNum w:abstractNumId="1">
    <w:nsid w:val="E11BDDAF"/>
    <w:multiLevelType w:val="singleLevel"/>
    <w:tmpl w:val="E11BDDAF"/>
    <w:lvl w:ilvl="0" w:tentative="0">
      <w:start w:val="1"/>
      <w:numFmt w:val="decimal"/>
      <w:lvlText w:val="%1."/>
      <w:lvlJc w:val="left"/>
      <w:pPr>
        <w:tabs>
          <w:tab w:val="left" w:pos="312"/>
        </w:tabs>
      </w:pPr>
    </w:lvl>
  </w:abstractNum>
  <w:abstractNum w:abstractNumId="2">
    <w:nsid w:val="4A4A2EA4"/>
    <w:multiLevelType w:val="multilevel"/>
    <w:tmpl w:val="4A4A2EA4"/>
    <w:lvl w:ilvl="0" w:tentative="0">
      <w:start w:val="1"/>
      <w:numFmt w:val="chineseCounting"/>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5E6462E0"/>
    <w:multiLevelType w:val="singleLevel"/>
    <w:tmpl w:val="5E6462E0"/>
    <w:lvl w:ilvl="0" w:tentative="0">
      <w:start w:val="1"/>
      <w:numFmt w:val="chineseCounting"/>
      <w:lvlText w:val="(%1)"/>
      <w:lvlJc w:val="left"/>
      <w:pPr>
        <w:tabs>
          <w:tab w:val="left" w:pos="312"/>
        </w:tabs>
      </w:pPr>
      <w:rPr>
        <w:rFonts w:hint="eastAsi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5NDY0ZjQ1MThkYjE3Mjk0ODY4MTllMjM1MDg3NzIifQ=="/>
  </w:docVars>
  <w:rsids>
    <w:rsidRoot w:val="003C0C34"/>
    <w:rsid w:val="003C0C34"/>
    <w:rsid w:val="004C586E"/>
    <w:rsid w:val="00512DF6"/>
    <w:rsid w:val="006A71EA"/>
    <w:rsid w:val="0092468F"/>
    <w:rsid w:val="00A0553B"/>
    <w:rsid w:val="00AA0FD7"/>
    <w:rsid w:val="00D30345"/>
    <w:rsid w:val="00E65814"/>
    <w:rsid w:val="015A78E1"/>
    <w:rsid w:val="01765509"/>
    <w:rsid w:val="01786CB0"/>
    <w:rsid w:val="01896392"/>
    <w:rsid w:val="02202EE2"/>
    <w:rsid w:val="02771B73"/>
    <w:rsid w:val="02C319D5"/>
    <w:rsid w:val="0475269F"/>
    <w:rsid w:val="07724E37"/>
    <w:rsid w:val="07E819FF"/>
    <w:rsid w:val="0848769D"/>
    <w:rsid w:val="085A1058"/>
    <w:rsid w:val="096B7117"/>
    <w:rsid w:val="09811362"/>
    <w:rsid w:val="09964830"/>
    <w:rsid w:val="09B71227"/>
    <w:rsid w:val="09D82067"/>
    <w:rsid w:val="0A157843"/>
    <w:rsid w:val="0AE26DBD"/>
    <w:rsid w:val="0B9B4196"/>
    <w:rsid w:val="0D293355"/>
    <w:rsid w:val="0DB20DDC"/>
    <w:rsid w:val="0DB461AA"/>
    <w:rsid w:val="0EAB48B3"/>
    <w:rsid w:val="0EAC1BE4"/>
    <w:rsid w:val="0F834E39"/>
    <w:rsid w:val="10434E25"/>
    <w:rsid w:val="10E857AD"/>
    <w:rsid w:val="11125B27"/>
    <w:rsid w:val="121C3641"/>
    <w:rsid w:val="13A66E22"/>
    <w:rsid w:val="14425626"/>
    <w:rsid w:val="146055C5"/>
    <w:rsid w:val="1796247C"/>
    <w:rsid w:val="1B8E3472"/>
    <w:rsid w:val="1B9F49FE"/>
    <w:rsid w:val="1BA05BFB"/>
    <w:rsid w:val="1C4179D6"/>
    <w:rsid w:val="1C9B60FF"/>
    <w:rsid w:val="1E9474F3"/>
    <w:rsid w:val="1EF0275A"/>
    <w:rsid w:val="1F4A0753"/>
    <w:rsid w:val="1F944F23"/>
    <w:rsid w:val="1FB32342"/>
    <w:rsid w:val="204C355C"/>
    <w:rsid w:val="20A50F85"/>
    <w:rsid w:val="214614A1"/>
    <w:rsid w:val="214F6C6B"/>
    <w:rsid w:val="217C528F"/>
    <w:rsid w:val="22746625"/>
    <w:rsid w:val="22925608"/>
    <w:rsid w:val="232B71C8"/>
    <w:rsid w:val="238E5914"/>
    <w:rsid w:val="23F16A08"/>
    <w:rsid w:val="241F65EF"/>
    <w:rsid w:val="246A4EB0"/>
    <w:rsid w:val="24922BA6"/>
    <w:rsid w:val="24A761B3"/>
    <w:rsid w:val="25467A95"/>
    <w:rsid w:val="2572737F"/>
    <w:rsid w:val="28512A26"/>
    <w:rsid w:val="2915155D"/>
    <w:rsid w:val="29BC1C27"/>
    <w:rsid w:val="29BF3CEA"/>
    <w:rsid w:val="29C73D0E"/>
    <w:rsid w:val="2A0B7111"/>
    <w:rsid w:val="2ADC6A71"/>
    <w:rsid w:val="2B212549"/>
    <w:rsid w:val="2B5F64F0"/>
    <w:rsid w:val="2C381403"/>
    <w:rsid w:val="2C56745B"/>
    <w:rsid w:val="2C8965CE"/>
    <w:rsid w:val="2EDE1350"/>
    <w:rsid w:val="2EE46E5B"/>
    <w:rsid w:val="2F7F13AE"/>
    <w:rsid w:val="2F8C15CD"/>
    <w:rsid w:val="30E75EF9"/>
    <w:rsid w:val="31646916"/>
    <w:rsid w:val="332C09B7"/>
    <w:rsid w:val="341166B1"/>
    <w:rsid w:val="346C522D"/>
    <w:rsid w:val="34C3303A"/>
    <w:rsid w:val="34DE5D78"/>
    <w:rsid w:val="355D0596"/>
    <w:rsid w:val="35BC3FE4"/>
    <w:rsid w:val="35DE58DF"/>
    <w:rsid w:val="37213246"/>
    <w:rsid w:val="372A570E"/>
    <w:rsid w:val="37AD0E60"/>
    <w:rsid w:val="38161AA4"/>
    <w:rsid w:val="38C3505A"/>
    <w:rsid w:val="38DC15B7"/>
    <w:rsid w:val="39107295"/>
    <w:rsid w:val="391C1B45"/>
    <w:rsid w:val="39216977"/>
    <w:rsid w:val="39223E17"/>
    <w:rsid w:val="3C293654"/>
    <w:rsid w:val="3C676A08"/>
    <w:rsid w:val="3CCE5366"/>
    <w:rsid w:val="3D1A1EEB"/>
    <w:rsid w:val="3D38675C"/>
    <w:rsid w:val="3EAD4D9F"/>
    <w:rsid w:val="3EE15E23"/>
    <w:rsid w:val="408D5382"/>
    <w:rsid w:val="419B73EB"/>
    <w:rsid w:val="423617D0"/>
    <w:rsid w:val="4280413A"/>
    <w:rsid w:val="4329695F"/>
    <w:rsid w:val="43A876B3"/>
    <w:rsid w:val="44CE3567"/>
    <w:rsid w:val="450D1959"/>
    <w:rsid w:val="46834F50"/>
    <w:rsid w:val="472F21C1"/>
    <w:rsid w:val="480815EC"/>
    <w:rsid w:val="4A430341"/>
    <w:rsid w:val="4A5B3276"/>
    <w:rsid w:val="4C800030"/>
    <w:rsid w:val="4CED4FB6"/>
    <w:rsid w:val="4D1F0E2B"/>
    <w:rsid w:val="4D6D388E"/>
    <w:rsid w:val="4DA62CD8"/>
    <w:rsid w:val="4DB40BB0"/>
    <w:rsid w:val="4F247D92"/>
    <w:rsid w:val="4FE02601"/>
    <w:rsid w:val="502544E6"/>
    <w:rsid w:val="503175CB"/>
    <w:rsid w:val="514B1F77"/>
    <w:rsid w:val="521E0327"/>
    <w:rsid w:val="522C2474"/>
    <w:rsid w:val="53610982"/>
    <w:rsid w:val="54BF1EAD"/>
    <w:rsid w:val="5517053E"/>
    <w:rsid w:val="556C3953"/>
    <w:rsid w:val="57A85D4F"/>
    <w:rsid w:val="57BA476E"/>
    <w:rsid w:val="57D34547"/>
    <w:rsid w:val="58387C2C"/>
    <w:rsid w:val="59B3732F"/>
    <w:rsid w:val="5ADE5706"/>
    <w:rsid w:val="5B9E23E5"/>
    <w:rsid w:val="5BFE3124"/>
    <w:rsid w:val="5C743027"/>
    <w:rsid w:val="5CA02671"/>
    <w:rsid w:val="5D824873"/>
    <w:rsid w:val="5DA11D96"/>
    <w:rsid w:val="5E2E218B"/>
    <w:rsid w:val="5E9445FE"/>
    <w:rsid w:val="5E9D413D"/>
    <w:rsid w:val="5EB53393"/>
    <w:rsid w:val="605D0B2A"/>
    <w:rsid w:val="60811842"/>
    <w:rsid w:val="61FC468C"/>
    <w:rsid w:val="62F155AD"/>
    <w:rsid w:val="63D959FE"/>
    <w:rsid w:val="65780233"/>
    <w:rsid w:val="66DB4BCE"/>
    <w:rsid w:val="6828783D"/>
    <w:rsid w:val="68F4029A"/>
    <w:rsid w:val="69EF758C"/>
    <w:rsid w:val="6A26217B"/>
    <w:rsid w:val="6A504B87"/>
    <w:rsid w:val="6AB533BC"/>
    <w:rsid w:val="6AEB37B0"/>
    <w:rsid w:val="6B9A2B68"/>
    <w:rsid w:val="6C761D7F"/>
    <w:rsid w:val="6C87447F"/>
    <w:rsid w:val="6CF500D1"/>
    <w:rsid w:val="6D9B39C2"/>
    <w:rsid w:val="6E110691"/>
    <w:rsid w:val="6E5830DC"/>
    <w:rsid w:val="6EA652E4"/>
    <w:rsid w:val="6EEF2965"/>
    <w:rsid w:val="6F186F84"/>
    <w:rsid w:val="6F6B2C0E"/>
    <w:rsid w:val="6F836DDA"/>
    <w:rsid w:val="705B67A0"/>
    <w:rsid w:val="70D06722"/>
    <w:rsid w:val="710E3FA6"/>
    <w:rsid w:val="711D0952"/>
    <w:rsid w:val="71306D00"/>
    <w:rsid w:val="71F52F69"/>
    <w:rsid w:val="72202949"/>
    <w:rsid w:val="73E11E9E"/>
    <w:rsid w:val="746D5B65"/>
    <w:rsid w:val="75075F69"/>
    <w:rsid w:val="7543499F"/>
    <w:rsid w:val="75A553E3"/>
    <w:rsid w:val="760D0DAC"/>
    <w:rsid w:val="7751311B"/>
    <w:rsid w:val="776B6FDA"/>
    <w:rsid w:val="77847125"/>
    <w:rsid w:val="77895AF6"/>
    <w:rsid w:val="789E5222"/>
    <w:rsid w:val="78ED3FFD"/>
    <w:rsid w:val="7A1919F7"/>
    <w:rsid w:val="7C1164D1"/>
    <w:rsid w:val="7F481744"/>
    <w:rsid w:val="7F901DEE"/>
    <w:rsid w:val="7FDE4E32"/>
    <w:rsid w:val="7FF506D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720" w:firstLineChars="257"/>
    </w:pPr>
    <w:rPr>
      <w:rFonts w:ascii="Calibri" w:hAnsi="Calibri" w:cs="Times New Roman"/>
      <w:kern w:val="0"/>
      <w:sz w:val="20"/>
    </w:rPr>
  </w:style>
  <w:style w:type="paragraph" w:styleId="4">
    <w:name w:val="footer"/>
    <w:basedOn w:val="1"/>
    <w:link w:val="11"/>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rPr>
  </w:style>
  <w:style w:type="character" w:styleId="9">
    <w:name w:val="Strong"/>
    <w:basedOn w:val="8"/>
    <w:qFormat/>
    <w:uiPriority w:val="99"/>
    <w:rPr>
      <w:rFonts w:cs="Times New Roman"/>
      <w:b/>
    </w:rPr>
  </w:style>
  <w:style w:type="character" w:styleId="10">
    <w:name w:val="page number"/>
    <w:basedOn w:val="8"/>
    <w:qFormat/>
    <w:uiPriority w:val="99"/>
    <w:rPr>
      <w:rFonts w:cs="Times New Roman"/>
    </w:rPr>
  </w:style>
  <w:style w:type="character" w:customStyle="1" w:styleId="11">
    <w:name w:val="Footer Char"/>
    <w:basedOn w:val="8"/>
    <w:link w:val="4"/>
    <w:semiHidden/>
    <w:qFormat/>
    <w:uiPriority w:val="99"/>
    <w:rPr>
      <w:sz w:val="18"/>
      <w:szCs w:val="18"/>
    </w:rPr>
  </w:style>
  <w:style w:type="paragraph" w:styleId="12">
    <w:name w:val="List Paragraph"/>
    <w:basedOn w:val="1"/>
    <w:qFormat/>
    <w:uiPriority w:val="99"/>
    <w:pPr>
      <w:ind w:firstLine="420" w:firstLineChars="200"/>
    </w:pPr>
  </w:style>
  <w:style w:type="character" w:customStyle="1" w:styleId="13">
    <w:name w:val="Header Char"/>
    <w:basedOn w:val="8"/>
    <w:link w:val="5"/>
    <w:semiHidden/>
    <w:qFormat/>
    <w:uiPriority w:val="99"/>
    <w:rPr>
      <w:sz w:val="18"/>
      <w:szCs w:val="18"/>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3918</Words>
  <Characters>4286</Characters>
  <Lines>0</Lines>
  <Paragraphs>0</Paragraphs>
  <TotalTime>1</TotalTime>
  <ScaleCrop>false</ScaleCrop>
  <LinksUpToDate>false</LinksUpToDate>
  <CharactersWithSpaces>4760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2021-03-17T03:21:00Z</dcterms:created>
  <dc:creator>Administrator</dc:creator>
  <cp:lastModifiedBy>Administrator</cp:lastModifiedBy>
  <cp:lastPrinted>2021-05-18T09:56:00Z</cp:lastPrinted>
  <dcterms:modified xsi:type="dcterms:W3CDTF">2023-08-21T11:34:58Z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9ED004A16EC0407480C6C35449DD524B</vt:lpwstr>
  </property>
</Properties>
</file>