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方正小标宋_GBK" w:hAnsi="Times New Roman" w:eastAsia="方正小标宋_GBK" w:cs="Times New Roman"/>
          <w:snapToGrid/>
          <w:color w:val="000000"/>
          <w:kern w:val="2"/>
          <w:sz w:val="48"/>
          <w:szCs w:val="48"/>
          <w:lang w:val="en-US" w:eastAsia="zh-CN" w:bidi="ar-SA"/>
        </w:rPr>
      </w:pPr>
      <w:r>
        <w:rPr>
          <w:rFonts w:ascii="方正小标宋_GBK" w:hAnsi="Times New Roman" w:eastAsia="方正小标宋_GBK" w:cs="Times New Roman"/>
          <w:snapToGrid/>
          <w:color w:val="000000"/>
          <w:kern w:val="2"/>
          <w:sz w:val="48"/>
          <w:szCs w:val="48"/>
          <w:lang w:val="en-US" w:eastAsia="zh-CN" w:bidi="ar-SA"/>
        </w:rPr>
        <w:t>20</w:t>
      </w:r>
      <w:r>
        <w:rPr>
          <w:rFonts w:hint="eastAsia" w:ascii="方正小标宋_GBK" w:hAnsi="Times New Roman" w:eastAsia="方正小标宋_GBK" w:cs="Times New Roman"/>
          <w:snapToGrid/>
          <w:color w:val="000000"/>
          <w:kern w:val="2"/>
          <w:sz w:val="48"/>
          <w:szCs w:val="48"/>
          <w:lang w:val="en-US" w:eastAsia="zh-CN" w:bidi="ar-SA"/>
        </w:rPr>
        <w:t>22年度部门整体支出绩效自评报告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beforeLines="0" w:afterLines="0" w:line="240" w:lineRule="auto"/>
        <w:jc w:val="center"/>
        <w:textAlignment w:val="auto"/>
        <w:rPr>
          <w:rFonts w:hint="eastAsia" w:ascii="黑体" w:hAnsi="Times New Roman" w:eastAsia="黑体" w:cs="Times New Roman"/>
          <w:snapToGrid/>
          <w:color w:val="000000"/>
          <w:kern w:val="2"/>
          <w:sz w:val="4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beforeLines="0" w:afterLines="0" w:line="240" w:lineRule="auto"/>
        <w:jc w:val="center"/>
        <w:textAlignment w:val="auto"/>
        <w:rPr>
          <w:rFonts w:hint="eastAsia" w:ascii="黑体" w:hAnsi="Times New Roman" w:eastAsia="黑体" w:cs="Times New Roman"/>
          <w:snapToGrid/>
          <w:color w:val="000000"/>
          <w:kern w:val="2"/>
          <w:sz w:val="4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beforeLines="0" w:afterLines="0" w:line="240" w:lineRule="auto"/>
        <w:jc w:val="center"/>
        <w:textAlignment w:val="auto"/>
        <w:rPr>
          <w:rFonts w:hint="eastAsia" w:ascii="黑体" w:hAnsi="Times New Roman" w:eastAsia="黑体" w:cs="Times New Roman"/>
          <w:snapToGrid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Times New Roman" w:eastAsia="黑体" w:cs="Times New Roman"/>
          <w:snapToGrid/>
          <w:color w:val="000000"/>
          <w:kern w:val="2"/>
          <w:sz w:val="44"/>
          <w:szCs w:val="24"/>
          <w:lang w:val="en-US" w:eastAsia="zh-CN" w:bidi="ar-SA"/>
        </w:rPr>
        <w:t>中共衡山县委巡察工作领导小组办公室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7"/>
        <w:widowControl/>
        <w:spacing w:line="600" w:lineRule="exact"/>
        <w:ind w:firstLine="620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widowControl/>
        <w:spacing w:line="600" w:lineRule="exact"/>
        <w:ind w:firstLine="620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widowControl/>
        <w:spacing w:line="600" w:lineRule="exact"/>
        <w:ind w:firstLine="620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widowControl/>
        <w:spacing w:line="600" w:lineRule="exact"/>
        <w:ind w:firstLine="620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widowControl/>
        <w:spacing w:line="600" w:lineRule="exact"/>
        <w:ind w:firstLine="620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widowControl/>
        <w:spacing w:line="600" w:lineRule="exact"/>
        <w:ind w:firstLine="620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widowControl/>
        <w:spacing w:line="600" w:lineRule="exact"/>
        <w:ind w:firstLine="620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一、单位基本情况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(一)部门主要职责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中共衡山县委巡察工作领导小组办公室的主要职责是：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负责传达贯彻中央、省委、市委、县委巡察工作领导小组的决策和部署、向省委巡视办、省委巡视组、市委巡察办、县委巡察工作领导小组报告巡视巡察工作情况；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负责对接上级巡视巡察办、巡视巡察组的日常联络工作，及时报送有关信息、资料；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负责统筹、管理、协调县委巡察组开展工作；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承担县委各项巡察工作的综合协调、调查研究、督察督办、情况通报、制度建设、服务保障等；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负责对巡察发现的普遍性、规律性问题进行综合、分析和研究，形成专题报告，为县委决策服务；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负责对上级巡视巡察办、巡视巡察组、县委、县委巡察工作领导小组决定的事项及移交事项进行督办；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负责对巡察工作人员的培训、考核、监督和管理；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负责受理干部群众对巡察工作的举报和反映，并提出处理意见；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负责巡察信息处理和宣传公开工作；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承办县委、县委巡察工作领导小组交办的其他事项。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(二)人员编制情况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核定中共衡山县委巡察工作领导小组办公室编制数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名，行政编制数18名，事业编制数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名，工勤人员编制数0名，现有在职在岗在编职工14人，离退休0人，临聘人员0人。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二、预算支出及绩效情况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(一)部门预决算情况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1.部门预算情况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2022年年初预算安排收入218.14万元，其中一般公共财政拨款218.14万元；2022年年初预算安排支出218.14万元，其中：基本支出203.14万元，项目支出15万元。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2.部门决算情况(含年中预算追加情况)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决算总收入292.43万元，较预算增加74.29万元，总支出293.65万元，其中：基本支出222.50万元，占总支出的75.77%;项目支出71.15万元，占总支出的24.23%。差异产生的主要原因是年初结转和结余1.28万元，年末结转和结余0.06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b/>
          <w:bCs/>
          <w:sz w:val="32"/>
          <w:szCs w:val="32"/>
        </w:rPr>
        <w:t>三公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b/>
          <w:bCs/>
          <w:sz w:val="32"/>
          <w:szCs w:val="32"/>
        </w:rPr>
        <w:t>经费执行情况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三公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经费预算数2.5万元，其中：因公出国(境)费0万元，公务用车购置及运行维护费0万元，公务接待费2.5万元。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三公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经费决算数0.76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元，其中：因公出国(境)费0万元，公务用车运行维护费0万元，公务接待费0.76万元。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4.政府采购执行情况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2022年度政府采购支出0万元，其中：货物0元，工程0万元，服务0万元。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5.资产管理情况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2022年年末资产总额16.64万元，负债总额0万元，净资产16.64万元。截至2022年12月31日，固定资产账面原值36.14万元，在用资产36.14万元，资产使用率100%。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(二)资金使用及绩效情况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1.整体绩效目标完成情况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考核评分细则，从整体上看，2022年我办资金运行维护决策正确，资金管理规范，项目管理到位，政策执行有力，有效发挥了财政资金的使用效率。各项资金其主要用途是用于人员经费支出、人员培训及巡察日常开支等；公共支出严格执行县委县政府的各项制度；在经费的使用上，保证巡察工作任务顺利完成的同时，严格落实厉行节约的原则；三公经费的使用严格控制在预算申报的范围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2.项目绩效目标完成情况(仅对50万元以上的项目资金进行分项说明)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2022年开展两轮常规巡察和一轮专项巡察，共巡察26个县直单位，4个乡镇及45个村社区。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三、存在的问题及改进措施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主要问题：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资产管理工作有待加强。固定资产日常动态管理不规范，未对固定资产的领用、保管、使用、收回等全过程进行记录，有待进一步规范管理。</w:t>
      </w:r>
      <w:r>
        <w:rPr>
          <w:rFonts w:hint="eastAsia" w:ascii="仿宋_GB2312" w:eastAsia="仿宋_GB2312"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资金使用方面预算不够细致。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意见建议：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加强国有资产管理，确保资产账实相符。建立固定资产动态管理制度，对固定资产流进至流出单位的全过程进行记录。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加强财务力量，规范财务管理。鼓励财务人员参加各种专业培训，熟练掌握财政政策和财经法规，不断提高其专业水平。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三是</w:t>
      </w:r>
      <w:r>
        <w:rPr>
          <w:rFonts w:hint="eastAsia" w:ascii="仿宋_GB2312" w:eastAsia="仿宋_GB2312"/>
          <w:sz w:val="32"/>
          <w:szCs w:val="32"/>
        </w:rPr>
        <w:t>加强做好各项目资金的预算工作，即要确保各项工作顺利的开展，更要做好厉行节约，力争把成本降低。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四、其他需要说明的情况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spacing w:before="69" w:line="224" w:lineRule="auto"/>
        <w:ind w:left="639"/>
        <w:rPr>
          <w:rFonts w:ascii="黑体" w:hAnsi="黑体" w:eastAsia="黑体" w:cs="黑体"/>
          <w:b/>
          <w:bCs/>
          <w:spacing w:val="-11"/>
          <w:sz w:val="34"/>
          <w:szCs w:val="34"/>
        </w:rPr>
      </w:pPr>
    </w:p>
    <w:p>
      <w:pPr>
        <w:spacing w:before="303" w:line="219" w:lineRule="auto"/>
        <w:ind w:left="2659"/>
        <w:rPr>
          <w:rFonts w:ascii="宋体" w:hAnsi="宋体" w:eastAsia="宋体" w:cs="宋体"/>
          <w:sz w:val="34"/>
          <w:szCs w:val="3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11"/>
          <w:sz w:val="34"/>
          <w:szCs w:val="34"/>
        </w:rPr>
        <w:t>2022年度预算支出绩效自评表</w:t>
      </w:r>
    </w:p>
    <w:p>
      <w:pPr>
        <w:spacing w:line="72" w:lineRule="exact"/>
      </w:pPr>
    </w:p>
    <w:tbl>
      <w:tblPr>
        <w:tblStyle w:val="8"/>
        <w:tblW w:w="9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89"/>
        <w:gridCol w:w="1268"/>
        <w:gridCol w:w="1209"/>
        <w:gridCol w:w="1119"/>
        <w:gridCol w:w="1109"/>
        <w:gridCol w:w="660"/>
        <w:gridCol w:w="1018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34" w:type="dxa"/>
            <w:vAlign w:val="center"/>
          </w:tcPr>
          <w:p>
            <w:pPr>
              <w:spacing w:before="94" w:line="301" w:lineRule="exact"/>
              <w:ind w:left="24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position w:val="6"/>
                <w:sz w:val="21"/>
                <w:szCs w:val="21"/>
              </w:rPr>
              <w:t>项目支</w:t>
            </w:r>
          </w:p>
          <w:p>
            <w:pPr>
              <w:spacing w:line="221" w:lineRule="auto"/>
              <w:ind w:left="24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出名称</w:t>
            </w:r>
          </w:p>
        </w:tc>
        <w:tc>
          <w:tcPr>
            <w:tcW w:w="8745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巡察经费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Align w:val="center"/>
          </w:tcPr>
          <w:p>
            <w:pPr>
              <w:spacing w:before="69" w:line="219" w:lineRule="auto"/>
              <w:ind w:left="13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458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衡山县财政局行政政法股</w:t>
            </w:r>
          </w:p>
        </w:tc>
        <w:tc>
          <w:tcPr>
            <w:tcW w:w="1109" w:type="dxa"/>
            <w:vAlign w:val="center"/>
          </w:tcPr>
          <w:p>
            <w:pPr>
              <w:spacing w:before="70" w:line="220" w:lineRule="auto"/>
              <w:ind w:left="12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实施单位</w:t>
            </w:r>
          </w:p>
        </w:tc>
        <w:tc>
          <w:tcPr>
            <w:tcW w:w="305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衡山县委巡察办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>
            <w:pPr>
              <w:spacing w:before="68" w:line="220" w:lineRule="auto"/>
              <w:ind w:left="13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项目资金</w:t>
            </w:r>
          </w:p>
          <w:p>
            <w:pPr>
              <w:spacing w:before="69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before="9" w:line="219" w:lineRule="auto"/>
              <w:ind w:left="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年初预算数</w:t>
            </w:r>
          </w:p>
        </w:tc>
        <w:tc>
          <w:tcPr>
            <w:tcW w:w="1119" w:type="dxa"/>
            <w:vAlign w:val="center"/>
          </w:tcPr>
          <w:p>
            <w:pPr>
              <w:spacing w:before="59" w:line="219" w:lineRule="auto"/>
              <w:ind w:left="2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全年预算数</w:t>
            </w:r>
          </w:p>
        </w:tc>
        <w:tc>
          <w:tcPr>
            <w:tcW w:w="1109" w:type="dxa"/>
            <w:vAlign w:val="center"/>
          </w:tcPr>
          <w:p>
            <w:pPr>
              <w:spacing w:before="59" w:line="219" w:lineRule="auto"/>
              <w:ind w:left="2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全年执行数</w:t>
            </w:r>
          </w:p>
        </w:tc>
        <w:tc>
          <w:tcPr>
            <w:tcW w:w="660" w:type="dxa"/>
            <w:vAlign w:val="center"/>
          </w:tcPr>
          <w:p>
            <w:pPr>
              <w:spacing w:before="9" w:line="219" w:lineRule="auto"/>
              <w:ind w:left="137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1018" w:type="dxa"/>
            <w:vAlign w:val="center"/>
          </w:tcPr>
          <w:p>
            <w:pPr>
              <w:spacing w:before="19" w:line="219" w:lineRule="auto"/>
              <w:ind w:left="107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执行率</w:t>
            </w:r>
          </w:p>
        </w:tc>
        <w:tc>
          <w:tcPr>
            <w:tcW w:w="1373" w:type="dxa"/>
            <w:vAlign w:val="center"/>
          </w:tcPr>
          <w:p>
            <w:pPr>
              <w:spacing w:before="9" w:line="219" w:lineRule="auto"/>
              <w:ind w:left="469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before="79" w:line="219" w:lineRule="auto"/>
              <w:ind w:left="12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年度资金总额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15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115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71.</w:t>
            </w: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10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61.87%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before="69" w:line="219" w:lineRule="auto"/>
              <w:ind w:left="12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其中：当年财政拨款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15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115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71.</w:t>
            </w: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10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61.87%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before="69" w:line="219" w:lineRule="auto"/>
              <w:ind w:left="73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上年结转资金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before="70" w:line="220" w:lineRule="auto"/>
              <w:ind w:left="73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其他资金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>
            <w:pPr>
              <w:spacing w:before="68" w:line="321" w:lineRule="exact"/>
              <w:ind w:left="24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position w:val="8"/>
                <w:sz w:val="21"/>
                <w:szCs w:val="21"/>
              </w:rPr>
              <w:t>年度总</w:t>
            </w:r>
          </w:p>
          <w:p>
            <w:pPr>
              <w:spacing w:line="220" w:lineRule="auto"/>
              <w:ind w:left="24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体目标</w:t>
            </w:r>
          </w:p>
        </w:tc>
        <w:tc>
          <w:tcPr>
            <w:tcW w:w="4585" w:type="dxa"/>
            <w:gridSpan w:val="4"/>
            <w:vAlign w:val="center"/>
          </w:tcPr>
          <w:p>
            <w:pPr>
              <w:spacing w:before="70" w:line="220" w:lineRule="auto"/>
              <w:ind w:left="186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预期目标</w:t>
            </w:r>
          </w:p>
        </w:tc>
        <w:tc>
          <w:tcPr>
            <w:tcW w:w="4160" w:type="dxa"/>
            <w:gridSpan w:val="4"/>
            <w:vAlign w:val="center"/>
          </w:tcPr>
          <w:p>
            <w:pPr>
              <w:spacing w:before="69" w:line="219" w:lineRule="auto"/>
              <w:ind w:left="144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58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按时按质完成省市县安排的巡察工作任务</w:t>
            </w:r>
          </w:p>
        </w:tc>
        <w:tc>
          <w:tcPr>
            <w:tcW w:w="416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开展两轮常规巡察和一轮专项巡察，共巡察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26个县直单位，4个乡镇及45个村社区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1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7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71" w:line="217" w:lineRule="auto"/>
              <w:ind w:left="376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绩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效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</w:t>
            </w:r>
          </w:p>
        </w:tc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>
            <w:pPr>
              <w:spacing w:line="28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9" w:line="250" w:lineRule="auto"/>
              <w:ind w:left="380" w:right="164" w:hanging="20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一级指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标</w:t>
            </w:r>
          </w:p>
        </w:tc>
        <w:tc>
          <w:tcPr>
            <w:tcW w:w="1268" w:type="dxa"/>
            <w:tcBorders>
              <w:bottom w:val="single" w:color="auto" w:sz="4" w:space="0"/>
            </w:tcBorders>
            <w:vAlign w:val="center"/>
          </w:tcPr>
          <w:p>
            <w:pPr>
              <w:spacing w:line="341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9" w:line="220" w:lineRule="auto"/>
              <w:ind w:left="2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1209" w:type="dxa"/>
            <w:vAlign w:val="center"/>
          </w:tcPr>
          <w:p>
            <w:pPr>
              <w:spacing w:line="341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9" w:line="220" w:lineRule="auto"/>
              <w:ind w:left="22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三级指标</w:t>
            </w:r>
          </w:p>
        </w:tc>
        <w:tc>
          <w:tcPr>
            <w:tcW w:w="1119" w:type="dxa"/>
            <w:vAlign w:val="center"/>
          </w:tcPr>
          <w:p>
            <w:pPr>
              <w:spacing w:line="271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8" w:line="330" w:lineRule="exact"/>
              <w:ind w:left="34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position w:val="8"/>
                <w:sz w:val="21"/>
                <w:szCs w:val="21"/>
              </w:rPr>
              <w:t>年度</w:t>
            </w:r>
          </w:p>
          <w:p>
            <w:pPr>
              <w:spacing w:line="219" w:lineRule="auto"/>
              <w:ind w:left="23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指标值</w:t>
            </w:r>
          </w:p>
        </w:tc>
        <w:tc>
          <w:tcPr>
            <w:tcW w:w="1109" w:type="dxa"/>
            <w:vAlign w:val="center"/>
          </w:tcPr>
          <w:p>
            <w:pPr>
              <w:spacing w:line="282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8" w:line="329" w:lineRule="exact"/>
              <w:ind w:left="33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position w:val="8"/>
                <w:sz w:val="21"/>
                <w:szCs w:val="21"/>
              </w:rPr>
              <w:t>实际</w:t>
            </w:r>
          </w:p>
          <w:p>
            <w:pPr>
              <w:spacing w:line="219" w:lineRule="auto"/>
              <w:ind w:left="23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完成值</w:t>
            </w:r>
          </w:p>
        </w:tc>
        <w:tc>
          <w:tcPr>
            <w:tcW w:w="660" w:type="dxa"/>
            <w:vAlign w:val="center"/>
          </w:tcPr>
          <w:p>
            <w:pPr>
              <w:spacing w:line="341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8" w:line="219" w:lineRule="auto"/>
              <w:ind w:left="13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1018" w:type="dxa"/>
            <w:vAlign w:val="center"/>
          </w:tcPr>
          <w:p>
            <w:pPr>
              <w:spacing w:line="341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8" w:line="219" w:lineRule="auto"/>
              <w:ind w:left="2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1373" w:type="dxa"/>
            <w:vAlign w:val="center"/>
          </w:tcPr>
          <w:p>
            <w:pPr>
              <w:spacing w:before="131" w:line="219" w:lineRule="auto"/>
              <w:ind w:left="25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偏差原因</w:t>
            </w:r>
          </w:p>
          <w:p>
            <w:pPr>
              <w:spacing w:before="61" w:line="220" w:lineRule="auto"/>
              <w:ind w:left="36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分析及</w:t>
            </w:r>
          </w:p>
          <w:p>
            <w:pPr>
              <w:spacing w:before="59" w:line="219" w:lineRule="auto"/>
              <w:ind w:left="25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34" w:type="dxa"/>
            <w:vMerge w:val="continue"/>
            <w:tcBorders>
              <w:top w:val="nil"/>
              <w:bottom w:val="nil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9" w:line="219" w:lineRule="auto"/>
              <w:ind w:left="271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  <w:sz w:val="21"/>
                <w:szCs w:val="21"/>
              </w:rPr>
              <w:t>产出</w:t>
            </w:r>
          </w:p>
          <w:p>
            <w:pPr>
              <w:spacing w:before="81" w:line="630" w:lineRule="exact"/>
              <w:ind w:left="271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32"/>
                <w:sz w:val="21"/>
                <w:szCs w:val="21"/>
              </w:rPr>
              <w:t>指标</w:t>
            </w:r>
          </w:p>
          <w:p>
            <w:pPr>
              <w:spacing w:line="220" w:lineRule="auto"/>
              <w:ind w:left="17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(50分)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2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8" w:line="219" w:lineRule="auto"/>
              <w:ind w:left="2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按年度规划完成巡察工作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巡察任务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开展两轮常规巡察和一轮专项巡察，共巡察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26个县直单位，4个乡镇及45个村社区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。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12.5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12.5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8" w:line="220" w:lineRule="auto"/>
              <w:ind w:left="2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按质完成巡察工作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巡察质量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巡察效果显著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12.5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12.5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8" w:line="220" w:lineRule="auto"/>
              <w:ind w:left="2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时效指标</w:t>
            </w: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巡察期限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根据巡察要求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均按时完成巡察工作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12.5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12.5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Merge w:val="continue"/>
            <w:tcBorders>
              <w:top w:val="nil"/>
              <w:bottom w:val="nil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8" w:line="219" w:lineRule="auto"/>
              <w:ind w:left="2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厉行节约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业务费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厉行节约，控制经费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12.5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12.5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134" w:type="dxa"/>
            <w:vMerge w:val="continue"/>
            <w:tcBorders>
              <w:top w:val="nil"/>
              <w:bottom w:val="nil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1" w:line="630" w:lineRule="exact"/>
              <w:ind w:left="271"/>
              <w:jc w:val="both"/>
              <w:rPr>
                <w:rFonts w:hint="eastAsia" w:asciiTheme="minorEastAsia" w:hAnsiTheme="minorEastAsia" w:eastAsiaTheme="minorEastAsia" w:cstheme="minorEastAsia"/>
                <w:spacing w:val="-3"/>
                <w:positio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32"/>
                <w:sz w:val="21"/>
                <w:szCs w:val="21"/>
                <w:lang w:eastAsia="zh-CN"/>
              </w:rPr>
              <w:t>效益</w:t>
            </w:r>
          </w:p>
          <w:p>
            <w:pPr>
              <w:spacing w:before="81" w:line="630" w:lineRule="exact"/>
              <w:ind w:left="271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32"/>
                <w:sz w:val="21"/>
                <w:szCs w:val="21"/>
              </w:rPr>
              <w:t>指标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分)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4" w:line="322" w:lineRule="exact"/>
              <w:ind w:left="3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8"/>
                <w:sz w:val="21"/>
                <w:szCs w:val="21"/>
              </w:rPr>
              <w:t>社会效</w:t>
            </w:r>
          </w:p>
          <w:p>
            <w:pPr>
              <w:spacing w:line="220" w:lineRule="auto"/>
              <w:ind w:left="3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益指标</w:t>
            </w: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群众满意度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持续提升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满意度高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30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30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37" w:line="262" w:lineRule="auto"/>
              <w:ind w:left="171" w:right="132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0"/>
                <w:szCs w:val="20"/>
              </w:rPr>
              <w:t>满意度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w w:val="118"/>
                <w:sz w:val="20"/>
                <w:szCs w:val="20"/>
              </w:rPr>
              <w:t>指标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(10分)</w:t>
            </w:r>
          </w:p>
        </w:tc>
        <w:tc>
          <w:tcPr>
            <w:tcW w:w="126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47" w:line="219" w:lineRule="auto"/>
              <w:ind w:left="2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服务对象</w:t>
            </w:r>
          </w:p>
          <w:p>
            <w:pPr>
              <w:spacing w:before="70" w:line="219" w:lineRule="auto"/>
              <w:ind w:left="2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满意度指</w:t>
            </w:r>
          </w:p>
          <w:p>
            <w:pPr>
              <w:spacing w:before="21" w:line="220" w:lineRule="auto"/>
              <w:ind w:left="50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巡察满意度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持续提升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满意度高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10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6828" w:type="dxa"/>
            <w:gridSpan w:val="6"/>
            <w:vAlign w:val="top"/>
          </w:tcPr>
          <w:p>
            <w:pPr>
              <w:spacing w:before="139" w:line="220" w:lineRule="auto"/>
              <w:ind w:left="24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分</w:t>
            </w:r>
          </w:p>
        </w:tc>
        <w:tc>
          <w:tcPr>
            <w:tcW w:w="66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100</w:t>
            </w: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98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</w:tbl>
    <w:p>
      <w:pPr>
        <w:spacing w:before="161" w:line="225" w:lineRule="auto"/>
        <w:ind w:left="635"/>
        <w:rPr>
          <w:rFonts w:ascii="仿宋" w:hAnsi="仿宋" w:eastAsia="仿宋" w:cs="仿宋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4"/>
          <w:position w:val="-1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pacing w:val="4"/>
          <w:position w:val="-1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pacing w:val="4"/>
          <w:position w:val="-1"/>
          <w:sz w:val="24"/>
          <w:szCs w:val="24"/>
          <w:lang w:val="en-US" w:eastAsia="zh-CN"/>
        </w:rPr>
        <w:t>何雅岚</w:t>
      </w:r>
      <w:r>
        <w:rPr>
          <w:rFonts w:hint="eastAsia" w:asciiTheme="minorEastAsia" w:hAnsiTheme="minorEastAsia" w:eastAsiaTheme="minorEastAsia" w:cstheme="minorEastAsia"/>
          <w:spacing w:val="4"/>
          <w:position w:val="-1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</w:rPr>
        <w:t>填报日期：</w:t>
      </w:r>
      <w:r>
        <w:rPr>
          <w:rFonts w:hint="eastAsia" w:asciiTheme="minorEastAsia" w:hAnsiTheme="minorEastAsia" w:cstheme="minorEastAsia"/>
          <w:spacing w:val="-24"/>
          <w:sz w:val="24"/>
          <w:szCs w:val="24"/>
          <w:lang w:val="en-US" w:eastAsia="zh-CN"/>
        </w:rPr>
        <w:t>2023.8.9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</w:rPr>
        <w:t>联系电话：</w:t>
      </w:r>
      <w:r>
        <w:rPr>
          <w:rFonts w:hint="eastAsia" w:asciiTheme="minorEastAsia" w:hAnsiTheme="minorEastAsia" w:cstheme="minorEastAsia"/>
          <w:spacing w:val="-24"/>
          <w:sz w:val="24"/>
          <w:szCs w:val="24"/>
          <w:lang w:val="en-US" w:eastAsia="zh-CN"/>
        </w:rPr>
        <w:t>15211052957</w:t>
      </w:r>
      <w:r>
        <w:rPr>
          <w:rFonts w:hint="eastAsia" w:asciiTheme="minorEastAsia" w:hAnsiTheme="minorEastAsia" w:eastAsiaTheme="minorEastAsia" w:cstheme="minorEastAsia"/>
          <w:spacing w:val="18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24"/>
          <w:position w:val="1"/>
          <w:sz w:val="24"/>
          <w:szCs w:val="24"/>
        </w:rPr>
        <w:t>单位负责人签字：</w:t>
      </w:r>
    </w:p>
    <w:p/>
    <w:sectPr>
      <w:footerReference r:id="rId3" w:type="default"/>
      <w:pgSz w:w="11860" w:h="16800"/>
      <w:pgMar w:top="1233" w:right="935" w:bottom="400" w:left="103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OGJkYTc5OTkxNDIxMGFhNzI2YjA3NmJiMjA0NDQifQ=="/>
  </w:docVars>
  <w:rsids>
    <w:rsidRoot w:val="00000000"/>
    <w:rsid w:val="17C33019"/>
    <w:rsid w:val="1AD85034"/>
    <w:rsid w:val="1F514DBC"/>
    <w:rsid w:val="27627997"/>
    <w:rsid w:val="377E6868"/>
    <w:rsid w:val="4C515656"/>
    <w:rsid w:val="6DA865FA"/>
    <w:rsid w:val="701848FE"/>
    <w:rsid w:val="FFD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1948</Words>
  <Characters>2182</Characters>
  <Lines>0</Lines>
  <Paragraphs>0</Paragraphs>
  <TotalTime>11</TotalTime>
  <ScaleCrop>false</ScaleCrop>
  <LinksUpToDate>false</LinksUpToDate>
  <CharactersWithSpaces>2203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dcterms:modified xsi:type="dcterms:W3CDTF">2023-08-22T16:27:31Z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2E85B628902C46DA8BFAF3E5080BFAA0_13</vt:lpwstr>
  </property>
</Properties>
</file>