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</w:p>
    <w:p>
      <w:pPr>
        <w:spacing w:before="471" w:line="219" w:lineRule="auto"/>
        <w:ind w:left="584"/>
        <w:rPr>
          <w:rFonts w:ascii="宋体" w:hAnsi="宋体" w:eastAsia="宋体" w:cs="宋体"/>
          <w:sz w:val="145"/>
          <w:szCs w:val="145"/>
        </w:rPr>
      </w:pPr>
      <w:r>
        <w:rPr>
          <w:rFonts w:ascii="宋体" w:hAnsi="宋体" w:eastAsia="宋体" w:cs="宋体"/>
          <w:b/>
          <w:bCs/>
          <w:color w:val="FE2100"/>
          <w:spacing w:val="-119"/>
          <w:w w:val="80"/>
          <w:sz w:val="145"/>
          <w:szCs w:val="145"/>
        </w:rPr>
        <w:t>衡山县财政局文件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0" w:lineRule="auto"/>
        <w:ind w:left="30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山财绩〔2023〕170号</w:t>
      </w:r>
    </w:p>
    <w:p>
      <w:pPr>
        <w:spacing w:before="134" w:line="60" w:lineRule="exact"/>
        <w:textAlignment w:val="center"/>
      </w:pPr>
      <w:r>
        <w:drawing>
          <wp:inline distT="0" distB="0" distL="0" distR="0">
            <wp:extent cx="57969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7517" cy="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43" w:line="226" w:lineRule="auto"/>
        <w:ind w:left="1336" w:right="1332" w:firstLine="3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关于开展2022年度衡山县财政</w:t>
      </w:r>
      <w:r>
        <w:rPr>
          <w:rFonts w:ascii="宋体" w:hAnsi="宋体" w:eastAsia="宋体" w:cs="宋体"/>
          <w:spacing w:val="3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预算整体支出绩效评价工作的通知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5" w:line="221" w:lineRule="auto"/>
        <w:ind w:left="4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各预算单位：</w:t>
      </w:r>
    </w:p>
    <w:p>
      <w:pPr>
        <w:spacing w:before="157" w:line="323" w:lineRule="auto"/>
        <w:ind w:left="449" w:right="310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为进一步规范财政资金管理，强化财政大绩效管理理念</w:t>
      </w:r>
      <w:r>
        <w:rPr>
          <w:rFonts w:ascii="仿宋" w:hAnsi="仿宋" w:eastAsia="仿宋" w:cs="仿宋"/>
          <w:spacing w:val="-15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推动“绩效管理提升年”行动在衡山落地生效，切实提高财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政资金使用效益，根据《中华人民共和国预算法》、《中共中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央国务院关于全面实施预算绩效管理的意见》(中发〔2018〕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34号)精神、《中共湖南省委办公厅、省人民政府办公厅关于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全面实施预算绩效管理的实施意见》(湘办发</w:t>
      </w:r>
      <w:r>
        <w:rPr>
          <w:rFonts w:ascii="仿宋" w:hAnsi="仿宋" w:eastAsia="仿宋" w:cs="仿宋"/>
          <w:spacing w:val="-5"/>
          <w:sz w:val="32"/>
          <w:szCs w:val="32"/>
        </w:rPr>
        <w:t>〔2019〕10号)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和山财绩〔2023〕88号有关要求，现就做好2022年度衡山县</w:t>
      </w:r>
    </w:p>
    <w:p>
      <w:pPr>
        <w:spacing w:line="220" w:lineRule="auto"/>
        <w:ind w:left="4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财政预算整体支出绩效评价工作有关事项通知如下：</w:t>
      </w:r>
    </w:p>
    <w:p>
      <w:pPr>
        <w:spacing w:before="177" w:line="221" w:lineRule="auto"/>
        <w:ind w:left="10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一、绩效自评</w:t>
      </w:r>
    </w:p>
    <w:p>
      <w:pPr>
        <w:spacing w:before="172" w:line="223" w:lineRule="auto"/>
        <w:ind w:left="12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(一)自评范围</w:t>
      </w:r>
    </w:p>
    <w:p>
      <w:pPr>
        <w:spacing w:before="201" w:line="221" w:lineRule="auto"/>
        <w:ind w:left="10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各预算单位2022年度绩效目标完成情况及实现程度。</w:t>
      </w:r>
    </w:p>
    <w:p>
      <w:pPr>
        <w:sectPr>
          <w:footerReference r:id="rId5" w:type="default"/>
          <w:pgSz w:w="11860" w:h="16800"/>
          <w:pgMar w:top="1428" w:right="1350" w:bottom="1146" w:left="1380" w:header="0" w:footer="1009" w:gutter="0"/>
          <w:cols w:space="720" w:num="1"/>
        </w:sectPr>
      </w:pPr>
    </w:p>
    <w:p>
      <w:pPr>
        <w:spacing w:before="64" w:line="223" w:lineRule="auto"/>
        <w:ind w:left="9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(二)自评步骤</w:t>
      </w:r>
    </w:p>
    <w:p>
      <w:pPr>
        <w:spacing w:before="200" w:line="328" w:lineRule="auto"/>
        <w:ind w:right="21" w:firstLine="7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各预算单位根据2022年申报的整体支出及项目支出绩</w:t>
      </w:r>
      <w:r>
        <w:rPr>
          <w:rFonts w:ascii="仿宋" w:hAnsi="仿宋" w:eastAsia="仿宋" w:cs="仿宋"/>
          <w:spacing w:val="4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目标，按实际完成情况撰写《部门整体支出绩效自</w:t>
      </w:r>
      <w:r>
        <w:rPr>
          <w:rFonts w:ascii="仿宋" w:hAnsi="仿宋" w:eastAsia="仿宋" w:cs="仿宋"/>
          <w:spacing w:val="-13"/>
          <w:sz w:val="31"/>
          <w:szCs w:val="31"/>
        </w:rPr>
        <w:t>评报告》(附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件1)及《预算支出绩效自评表》(附件2),并根据一级指标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总分值，在分值范围内对三级指标进行合理赋分。根据赋分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分值和完成情况，计算三级指标各项实际得分及总得分。对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于年底绩效指标未完成且超过20%的，在自评报告中要逐项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说明偏离绩效目标形成差异的原因及后续改进措施。</w:t>
      </w:r>
    </w:p>
    <w:p>
      <w:pPr>
        <w:spacing w:before="222" w:line="227" w:lineRule="auto"/>
        <w:ind w:left="8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(三)报送时间</w:t>
      </w:r>
    </w:p>
    <w:p>
      <w:pPr>
        <w:spacing w:before="177" w:line="335" w:lineRule="auto"/>
        <w:ind w:right="41" w:firstLine="7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各预算单位应在2023年8月11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日前完成自评工作，并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向财政部门报送《部门整体支出绩效自评报告》及《预算支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出绩效自评表》纸质版。</w:t>
      </w:r>
    </w:p>
    <w:p>
      <w:pPr>
        <w:spacing w:before="177" w:line="223" w:lineRule="auto"/>
        <w:ind w:left="8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(四)自评要求</w:t>
      </w:r>
    </w:p>
    <w:p>
      <w:pPr>
        <w:spacing w:before="199" w:line="328" w:lineRule="auto"/>
        <w:ind w:right="60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(1)各预算单位应高度重视绩效自评工作，积极开展绩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效自评，全面准确、客观真实反映绩效目标完成情况及实现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程度。各预算单位对绩效自评的真实性、客观性和准确性负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责，《部门整体支出绩效自评报告》、《预算支出绩效自评表》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应报单位负责人审核签字并盖具公章。</w:t>
      </w:r>
    </w:p>
    <w:p>
      <w:pPr>
        <w:spacing w:before="182" w:line="327" w:lineRule="auto"/>
        <w:ind w:right="116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(2)各预算单位应填报《部门整体支出绩效自评报告》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及《预算支出绩效自评表》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一式三份，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一份报财政</w:t>
      </w:r>
      <w:r>
        <w:rPr>
          <w:rFonts w:ascii="仿宋" w:hAnsi="仿宋" w:eastAsia="仿宋" w:cs="仿宋"/>
          <w:spacing w:val="-12"/>
          <w:sz w:val="31"/>
          <w:szCs w:val="31"/>
        </w:rPr>
        <w:t>归口管理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股室、中心，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一份报财政局绩效管理股，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一份由单位自行留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存。</w:t>
      </w:r>
    </w:p>
    <w:p>
      <w:pPr>
        <w:spacing w:before="187" w:line="547" w:lineRule="exact"/>
        <w:ind w:left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(3)各乡镇先统一报送乡镇财政服务中心初审后交至绩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效管理股复审，教育系统单位先交由教育局初审后统一交至</w:t>
      </w:r>
    </w:p>
    <w:p>
      <w:pPr>
        <w:sectPr>
          <w:footerReference r:id="rId6" w:type="default"/>
          <w:pgSz w:w="11860" w:h="16800"/>
          <w:pgMar w:top="1426" w:right="1779" w:bottom="1285" w:left="1739" w:header="0" w:footer="1136" w:gutter="0"/>
          <w:cols w:space="720" w:num="1"/>
        </w:sectPr>
      </w:pPr>
    </w:p>
    <w:p>
      <w:pPr>
        <w:spacing w:before="170" w:line="334" w:lineRule="auto"/>
        <w:ind w:left="60" w:right="1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财政部门复审，卫生系统单位先交由卫健局初审后统一交至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财政部门复审，其余预算单位先报送各业务归口</w:t>
      </w:r>
      <w:r>
        <w:rPr>
          <w:rFonts w:ascii="仿宋" w:hAnsi="仿宋" w:eastAsia="仿宋" w:cs="仿宋"/>
          <w:spacing w:val="4"/>
          <w:sz w:val="31"/>
          <w:szCs w:val="31"/>
        </w:rPr>
        <w:t>管理股室初</w:t>
      </w:r>
    </w:p>
    <w:p>
      <w:pPr>
        <w:spacing w:line="222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审后交至绩效管理股复审。</w:t>
      </w:r>
    </w:p>
    <w:p>
      <w:pPr>
        <w:spacing w:before="183" w:line="333" w:lineRule="auto"/>
        <w:ind w:left="60" w:right="112" w:firstLine="7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(4)各预算单位应按照“非涉密，全公开”的原则，将 </w:t>
      </w:r>
      <w:r>
        <w:rPr>
          <w:rFonts w:ascii="仿宋" w:hAnsi="仿宋" w:eastAsia="仿宋" w:cs="仿宋"/>
          <w:spacing w:val="-8"/>
          <w:sz w:val="31"/>
          <w:szCs w:val="31"/>
        </w:rPr>
        <w:t>报送财政的《部门整体支出绩效自评报告》、《预算支出绩效</w:t>
      </w:r>
    </w:p>
    <w:p>
      <w:pPr>
        <w:spacing w:line="219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自评表》及时在政府门户网站进行公开。</w:t>
      </w:r>
    </w:p>
    <w:p>
      <w:pPr>
        <w:spacing w:before="196" w:line="333" w:lineRule="auto"/>
        <w:ind w:left="30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(5)9月绩效评价股将对各预算单位的2023年绩效目标、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2022年度整体支出自评报告和2022年度预算支出绩效自评表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公示情况进行检查，对公示情况不理想的单位纳</w:t>
      </w:r>
      <w:r>
        <w:rPr>
          <w:rFonts w:ascii="仿宋" w:hAnsi="仿宋" w:eastAsia="仿宋" w:cs="仿宋"/>
          <w:spacing w:val="5"/>
          <w:sz w:val="31"/>
          <w:szCs w:val="31"/>
        </w:rPr>
        <w:t>入县政府对</w:t>
      </w:r>
    </w:p>
    <w:p>
      <w:pPr>
        <w:spacing w:before="2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各单位的年终绩效考核计分。</w:t>
      </w:r>
    </w:p>
    <w:p>
      <w:pPr>
        <w:spacing w:before="187" w:line="222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二、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抽查复核</w:t>
      </w:r>
    </w:p>
    <w:p>
      <w:pPr>
        <w:spacing w:before="191" w:line="333" w:lineRule="auto"/>
        <w:ind w:left="60" w:right="102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为切实提升绩效自评质量，压实支出责任，提高财</w:t>
      </w:r>
      <w:r>
        <w:rPr>
          <w:rFonts w:ascii="仿宋" w:hAnsi="仿宋" w:eastAsia="仿宋" w:cs="仿宋"/>
          <w:spacing w:val="5"/>
          <w:sz w:val="31"/>
          <w:szCs w:val="31"/>
        </w:rPr>
        <w:t>政资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源配置效率和使用效益，县财政局根据对各预算单位绩效自</w:t>
      </w:r>
    </w:p>
    <w:p>
      <w:pPr>
        <w:spacing w:before="1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评结果的审核情况，将抽取部分单位进行绩效再评。</w:t>
      </w:r>
    </w:p>
    <w:p>
      <w:pPr>
        <w:spacing w:before="186" w:line="225" w:lineRule="auto"/>
        <w:ind w:left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(一)复核对象</w:t>
      </w:r>
    </w:p>
    <w:p>
      <w:pPr>
        <w:spacing w:before="184" w:line="560" w:lineRule="exact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按照不低于县级预算部门总数的50%,优先选择预算金</w:t>
      </w:r>
    </w:p>
    <w:p>
      <w:pPr>
        <w:spacing w:before="1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额较大、自评满分占比较高的部门，开展抽查复核工作。</w:t>
      </w:r>
    </w:p>
    <w:p>
      <w:pPr>
        <w:spacing w:before="194" w:line="223" w:lineRule="auto"/>
        <w:ind w:left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(二)复核工作方式</w:t>
      </w:r>
    </w:p>
    <w:p>
      <w:pPr>
        <w:spacing w:before="193" w:line="328" w:lineRule="auto"/>
        <w:ind w:left="60" w:right="109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采取“绩效评价股+业务股室+预算单位”的方式，通过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审核自评材料、查看台账资料、实地调查等方式开展抽查</w:t>
      </w:r>
      <w:r>
        <w:rPr>
          <w:rFonts w:ascii="仿宋" w:hAnsi="仿宋" w:eastAsia="仿宋" w:cs="仿宋"/>
          <w:spacing w:val="3"/>
          <w:sz w:val="31"/>
          <w:szCs w:val="31"/>
        </w:rPr>
        <w:t>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核工作。重点关注自评工作开展情况、资金使用情况、各项</w:t>
      </w:r>
    </w:p>
    <w:p>
      <w:pPr>
        <w:spacing w:line="222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指标完成情况、取得的效益等方面。</w:t>
      </w:r>
    </w:p>
    <w:p>
      <w:pPr>
        <w:spacing w:before="218" w:line="222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复核评价时间</w:t>
      </w:r>
    </w:p>
    <w:p>
      <w:pPr>
        <w:spacing w:before="173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县财政局自8月11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日至9月1日开展抽查复</w:t>
      </w:r>
      <w:r>
        <w:rPr>
          <w:rFonts w:ascii="仿宋" w:hAnsi="仿宋" w:eastAsia="仿宋" w:cs="仿宋"/>
          <w:spacing w:val="18"/>
          <w:sz w:val="31"/>
          <w:szCs w:val="31"/>
        </w:rPr>
        <w:t>核工作。</w:t>
      </w:r>
    </w:p>
    <w:p>
      <w:pPr>
        <w:sectPr>
          <w:footerReference r:id="rId7" w:type="default"/>
          <w:pgSz w:w="11860" w:h="16800"/>
          <w:pgMar w:top="1428" w:right="1724" w:bottom="1165" w:left="1779" w:header="0" w:footer="1016" w:gutter="0"/>
          <w:cols w:space="720" w:num="1"/>
        </w:sectPr>
      </w:pPr>
    </w:p>
    <w:p>
      <w:pPr>
        <w:spacing w:before="78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现场评价</w:t>
      </w:r>
    </w:p>
    <w:p>
      <w:pPr>
        <w:spacing w:before="186" w:line="334" w:lineRule="auto"/>
        <w:ind w:right="11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为全面掌握各预算单位2022年度资金使用情况及取得的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效果，进一步规范和加强资金管理，切实提高财政资金使用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效益，根据上级有关文件要求，县财政局将从</w:t>
      </w:r>
      <w:r>
        <w:rPr>
          <w:rFonts w:ascii="仿宋" w:hAnsi="仿宋" w:eastAsia="仿宋" w:cs="仿宋"/>
          <w:spacing w:val="14"/>
          <w:sz w:val="31"/>
          <w:szCs w:val="31"/>
        </w:rPr>
        <w:t>2023年9月1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日开始组织中介机构对2022年度部分县级财</w:t>
      </w:r>
      <w:r>
        <w:rPr>
          <w:rFonts w:ascii="仿宋" w:hAnsi="仿宋" w:eastAsia="仿宋" w:cs="仿宋"/>
          <w:spacing w:val="2"/>
          <w:sz w:val="31"/>
          <w:szCs w:val="31"/>
        </w:rPr>
        <w:t>政支出项目及部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门整体支出开展现场绩效评价。</w:t>
      </w:r>
    </w:p>
    <w:p>
      <w:pPr>
        <w:spacing w:before="179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(一)评价对象</w:t>
      </w:r>
    </w:p>
    <w:p>
      <w:pPr>
        <w:spacing w:before="192" w:line="334" w:lineRule="auto"/>
        <w:ind w:right="11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一是按照要求全覆盖所有单位的评价原则，对近三年以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来没有进行现场评价的预算单位列为今年的评价对象。二是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就各预算单位自评结果的复核情况抽取部分单位进行现场评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价。</w:t>
      </w:r>
    </w:p>
    <w:p>
      <w:pPr>
        <w:spacing w:before="167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(二)评价内容</w:t>
      </w:r>
    </w:p>
    <w:p>
      <w:pPr>
        <w:spacing w:before="206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1、资金政策情况</w:t>
      </w:r>
    </w:p>
    <w:p>
      <w:pPr>
        <w:spacing w:before="178" w:line="332" w:lineRule="auto"/>
        <w:ind w:right="11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包括设立专项(项目)资金的政策依据是否充分、绩效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目标是否科学；政策实施的环境和条件是否发生了变化；是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否出现了适用范围相似或相近的政策、可否归并或整合。</w:t>
      </w:r>
    </w:p>
    <w:p>
      <w:pPr>
        <w:spacing w:before="205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资金管理情况</w:t>
      </w:r>
    </w:p>
    <w:p>
      <w:pPr>
        <w:spacing w:before="176" w:line="333" w:lineRule="auto"/>
        <w:ind w:right="12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包括整合后的专项资金管理办法制定情况；专项资金主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管部门内部是否实现了统一管理，项目申报和确定是否严格执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行了相关专项资金管理办法。</w:t>
      </w:r>
    </w:p>
    <w:p>
      <w:pPr>
        <w:spacing w:before="19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资金安排情况</w:t>
      </w:r>
    </w:p>
    <w:p>
      <w:pPr>
        <w:spacing w:before="183" w:line="334" w:lineRule="auto"/>
        <w:ind w:right="14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包括项目安排是否“散、小、乱”;是否存在</w:t>
      </w:r>
      <w:r>
        <w:rPr>
          <w:rFonts w:ascii="仿宋" w:hAnsi="仿宋" w:eastAsia="仿宋" w:cs="仿宋"/>
          <w:spacing w:val="-2"/>
          <w:sz w:val="31"/>
          <w:szCs w:val="31"/>
        </w:rPr>
        <w:t>多头申报、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重复安排资金的情况；是否存在通过“化整为零”的方式逃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避政府采购的问题；是否按有关规定实行了公开招投标；是</w:t>
      </w:r>
    </w:p>
    <w:p>
      <w:pPr>
        <w:sectPr>
          <w:footerReference r:id="rId8" w:type="default"/>
          <w:pgSz w:w="11860" w:h="16800"/>
          <w:pgMar w:top="1428" w:right="1779" w:bottom="1256" w:left="1749" w:header="0" w:footer="1119" w:gutter="0"/>
          <w:cols w:space="720" w:num="1"/>
        </w:sectPr>
      </w:pPr>
    </w:p>
    <w:p>
      <w:pPr>
        <w:spacing w:before="147" w:line="584" w:lineRule="exact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否存在不按专家评审结果确定项目的情况；项目单位承诺的</w:t>
      </w:r>
    </w:p>
    <w:p>
      <w:pPr>
        <w:spacing w:before="1" w:line="221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相关配套资金是否按时到位。</w:t>
      </w:r>
    </w:p>
    <w:p>
      <w:pPr>
        <w:spacing w:before="187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4、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资金使用情况</w:t>
      </w:r>
    </w:p>
    <w:p>
      <w:pPr>
        <w:spacing w:before="140" w:line="329" w:lineRule="auto"/>
        <w:ind w:left="50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包括资金使用单位财务制度是否健全、会计核算是否规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范、资金管理是否严格，是否按计划使用资金，是否按时、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按质、按量完成项目投资和建设任务，有无资金缺口或结余，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有无浪费行为，有无挤占挪用或套取资金等现象。</w:t>
      </w:r>
    </w:p>
    <w:p>
      <w:pPr>
        <w:spacing w:before="172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5、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资金绩效情况</w:t>
      </w:r>
    </w:p>
    <w:p>
      <w:pPr>
        <w:spacing w:before="151" w:line="323" w:lineRule="auto"/>
        <w:ind w:left="50" w:right="68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根据现场评价取得的第一手资料，围绕绩效目标，</w:t>
      </w:r>
      <w:r>
        <w:rPr>
          <w:rFonts w:ascii="仿宋" w:hAnsi="仿宋" w:eastAsia="仿宋" w:cs="仿宋"/>
          <w:spacing w:val="-4"/>
          <w:sz w:val="32"/>
          <w:szCs w:val="32"/>
        </w:rPr>
        <w:t>通过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横向比较、纵向分析、问卷调查等方式，对专项资金使用的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经济性、公平性、效率性、效益性和实施效果的可持</w:t>
      </w:r>
      <w:r>
        <w:rPr>
          <w:rFonts w:ascii="仿宋" w:hAnsi="仿宋" w:eastAsia="仿宋" w:cs="仿宋"/>
          <w:spacing w:val="-6"/>
          <w:sz w:val="32"/>
          <w:szCs w:val="32"/>
        </w:rPr>
        <w:t>续性进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行评价，并提出政策性建议。</w:t>
      </w:r>
    </w:p>
    <w:p>
      <w:pPr>
        <w:spacing w:before="198" w:line="222" w:lineRule="auto"/>
        <w:ind w:left="66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四、</w:t>
      </w:r>
      <w:r>
        <w:rPr>
          <w:rFonts w:ascii="黑体" w:hAnsi="黑体" w:eastAsia="黑体" w:cs="黑体"/>
          <w:spacing w:val="-9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工作要求</w:t>
      </w:r>
    </w:p>
    <w:p>
      <w:pPr>
        <w:spacing w:before="158" w:line="227" w:lineRule="auto"/>
        <w:ind w:left="8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(一)高度重视</w:t>
      </w:r>
    </w:p>
    <w:p>
      <w:pPr>
        <w:spacing w:before="165" w:line="323" w:lineRule="auto"/>
        <w:ind w:left="50" w:right="109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全面实施预算绩效管理是党中央、国务院作出的重大决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策，是优化财政资源配置、提升公共服务质量的关键举措，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各单位要高度重视绩效评价工作，积极组织力量，加强联系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沟通和协同配合，形成合力，为巩固全方位全过程全覆盖的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预算绩效管理体系作出积极贡献。</w:t>
      </w:r>
    </w:p>
    <w:p>
      <w:pPr>
        <w:spacing w:before="196" w:line="224" w:lineRule="auto"/>
        <w:ind w:left="8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(二)压实责任</w:t>
      </w:r>
    </w:p>
    <w:p>
      <w:pPr>
        <w:spacing w:before="143" w:line="330" w:lineRule="auto"/>
        <w:ind w:left="50" w:right="97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各预算单位要提高思想认识，认真履行绩效管理主体责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任，严格落实绩效评价相关工作管理办法和规程要求，规范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评价组织实施，提高评价工作质量，确保绩效评价的独立、</w:t>
      </w:r>
    </w:p>
    <w:p>
      <w:pPr>
        <w:spacing w:line="223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客观、公正。</w:t>
      </w:r>
    </w:p>
    <w:p>
      <w:pPr>
        <w:sectPr>
          <w:footerReference r:id="rId9" w:type="default"/>
          <w:pgSz w:w="11860" w:h="16800"/>
          <w:pgMar w:top="1428" w:right="1739" w:bottom="1174" w:left="1779" w:header="0" w:footer="102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24" w:lineRule="auto"/>
        <w:ind w:left="8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(三)结果应用</w:t>
      </w:r>
    </w:p>
    <w:p>
      <w:pPr>
        <w:spacing w:before="154" w:line="572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18"/>
          <w:sz w:val="32"/>
          <w:szCs w:val="32"/>
        </w:rPr>
        <w:t>1、各乡镇、部门单位要对绩效评价工作中发现的问题认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真分析原因、明确责任，积极落实整改。</w:t>
      </w:r>
    </w:p>
    <w:p>
      <w:pPr>
        <w:spacing w:before="184" w:line="330" w:lineRule="auto"/>
        <w:ind w:right="14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2、本次绩效评价工作将纳入县政府对各乡镇、部门单位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的年终绩效考核计分，并作为安排后续年度预算资金的重要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依据。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570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position w:val="18"/>
          <w:sz w:val="32"/>
          <w:szCs w:val="32"/>
        </w:rPr>
        <w:t>附件：1.</w:t>
      </w:r>
      <w:r>
        <w:rPr>
          <w:rFonts w:ascii="仿宋" w:hAnsi="仿宋" w:eastAsia="仿宋" w:cs="仿宋"/>
          <w:spacing w:val="11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position w:val="18"/>
          <w:sz w:val="32"/>
          <w:szCs w:val="32"/>
        </w:rPr>
        <w:t>《2022年度部门整体支出绩效自评报告》</w:t>
      </w:r>
    </w:p>
    <w:p>
      <w:pPr>
        <w:spacing w:before="1" w:line="221" w:lineRule="auto"/>
        <w:ind w:left="15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2.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《2022年度预算支出绩效自评表》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339" w:lineRule="exact"/>
        <w:ind w:firstLine="5940"/>
        <w:textAlignment w:val="center"/>
      </w:pPr>
      <w:r>
        <w:drawing>
          <wp:inline distT="0" distB="0" distL="0" distR="0">
            <wp:extent cx="1485265" cy="1485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886" cy="14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860" w:h="16800"/>
          <w:pgMar w:top="1428" w:right="1779" w:bottom="1268" w:left="1709" w:header="0" w:footer="1129" w:gutter="0"/>
          <w:cols w:space="720" w:num="1"/>
        </w:sectPr>
      </w:pPr>
    </w:p>
    <w:p>
      <w:pPr>
        <w:spacing w:before="67" w:line="224" w:lineRule="auto"/>
        <w:ind w:left="9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附件1: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40" w:line="221" w:lineRule="auto"/>
        <w:ind w:left="677"/>
        <w:rPr>
          <w:rFonts w:ascii="黑体" w:hAnsi="黑体" w:eastAsia="黑体" w:cs="黑体"/>
          <w:b/>
          <w:bCs/>
          <w:spacing w:val="8"/>
          <w:sz w:val="43"/>
          <w:szCs w:val="43"/>
        </w:rPr>
      </w:pPr>
      <w:r>
        <w:rPr>
          <w:rFonts w:ascii="黑体" w:hAnsi="黑体" w:eastAsia="黑体" w:cs="黑体"/>
          <w:b/>
          <w:bCs/>
          <w:spacing w:val="8"/>
          <w:sz w:val="43"/>
          <w:szCs w:val="43"/>
        </w:rPr>
        <w:t>2022年度部门整体支出绩效自评报告</w:t>
      </w:r>
    </w:p>
    <w:p>
      <w:pPr>
        <w:spacing w:before="140" w:line="221" w:lineRule="auto"/>
        <w:ind w:left="677"/>
        <w:rPr>
          <w:rFonts w:ascii="黑体" w:hAnsi="黑体" w:eastAsia="黑体" w:cs="黑体"/>
          <w:b/>
          <w:bCs/>
          <w:spacing w:val="8"/>
          <w:sz w:val="43"/>
          <w:szCs w:val="43"/>
        </w:rPr>
      </w:pPr>
    </w:p>
    <w:p>
      <w:pPr>
        <w:spacing w:before="140" w:line="221" w:lineRule="auto"/>
        <w:ind w:left="677"/>
        <w:rPr>
          <w:rFonts w:ascii="黑体" w:hAnsi="黑体" w:eastAsia="黑体" w:cs="黑体"/>
          <w:b/>
          <w:bCs/>
          <w:spacing w:val="8"/>
          <w:sz w:val="43"/>
          <w:szCs w:val="43"/>
        </w:rPr>
      </w:pPr>
    </w:p>
    <w:p>
      <w:pPr>
        <w:spacing w:before="140" w:line="221" w:lineRule="auto"/>
        <w:ind w:left="677"/>
        <w:rPr>
          <w:rFonts w:ascii="黑体" w:hAnsi="黑体" w:eastAsia="黑体" w:cs="黑体"/>
          <w:b/>
          <w:bCs/>
          <w:spacing w:val="8"/>
          <w:sz w:val="43"/>
          <w:szCs w:val="43"/>
        </w:rPr>
      </w:pPr>
    </w:p>
    <w:p>
      <w:pPr>
        <w:spacing w:before="140" w:line="221" w:lineRule="auto"/>
        <w:ind w:left="4257" w:leftChars="322" w:hanging="3581" w:hangingChars="800"/>
        <w:rPr>
          <w:rFonts w:hint="default" w:ascii="黑体" w:hAnsi="黑体" w:eastAsia="黑体" w:cs="黑体"/>
          <w:b/>
          <w:bCs/>
          <w:spacing w:val="8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43"/>
          <w:szCs w:val="43"/>
          <w:lang w:val="en-US" w:eastAsia="zh-CN"/>
        </w:rPr>
        <w:t>单位名称（盖章）中国共产主义青年团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8"/>
          <w:sz w:val="43"/>
          <w:szCs w:val="43"/>
          <w:lang w:val="en-US" w:eastAsia="zh-CN"/>
        </w:rPr>
        <w:t>衡山县委员会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07" w:line="222" w:lineRule="auto"/>
        <w:ind w:left="425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一、单位基本情况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一、部门基本概况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（一）职能职责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中国共产主义青年团衡山县委员会的主要职责是：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（一）行使县委赋予的领导全县共青团和少先队工作，对全县性青年社团组织进行指导和管理。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（二）参与制订青少年事业发展规划和青少年工作方针、政策，对青少年活动阵地和青少年服务机构的建设进行规划和管理。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（三）贯彻落实有关青少年事务的法律和法规，协助县委、县政府处理、协调与青少年利益有关的事务。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（四）调查青年思想动态和青年工作状况，研究青少年活动、青少年工作理论和思想教育问题，提出相应的对策，开展各种活动。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（五）协助教育部门做好中、小学学生的教育管理工作。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（六）在全县经济建设中，组织和领导基层青年发挥生力和突击队作用。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（七）负责县内外青少年交流工作，做好青年统战对象的团结教育工作。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（八）完成县委、县政府交办的其他任务。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（二）机构设置</w:t>
      </w:r>
    </w:p>
    <w:p>
      <w:pPr>
        <w:spacing w:before="223" w:line="222" w:lineRule="auto"/>
        <w:ind w:left="581" w:firstLine="704" w:firstLineChars="200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团县委 202</w:t>
      </w:r>
      <w:r>
        <w:rPr>
          <w:rFonts w:hint="eastAsia" w:ascii="仿宋" w:hAnsi="仿宋" w:eastAsia="仿宋" w:cs="仿宋"/>
          <w:spacing w:val="11"/>
          <w:sz w:val="33"/>
          <w:szCs w:val="33"/>
          <w:lang w:val="en-US" w:eastAsia="zh-CN"/>
        </w:rPr>
        <w:t>2</w:t>
      </w:r>
      <w:r>
        <w:rPr>
          <w:rFonts w:hint="eastAsia" w:ascii="仿宋" w:hAnsi="仿宋" w:eastAsia="仿宋" w:cs="仿宋"/>
          <w:spacing w:val="11"/>
          <w:sz w:val="33"/>
          <w:szCs w:val="33"/>
        </w:rPr>
        <w:t>年部门预算编制范围包括 3 个内设机构(青少年发展部、办公室、衡山县志愿者服务中心)，无下设机构。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spacing w:val="11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</w:rPr>
        <w:t>（三）人员情况</w:t>
      </w:r>
    </w:p>
    <w:p>
      <w:pPr>
        <w:spacing w:before="223" w:line="222" w:lineRule="auto"/>
        <w:ind w:left="581"/>
        <w:rPr>
          <w:rFonts w:hint="eastAsia" w:ascii="仿宋" w:hAnsi="仿宋" w:eastAsia="仿宋" w:cs="仿宋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14:textFill>
            <w14:solidFill>
              <w14:schemeClr w14:val="tx1"/>
            </w14:solidFill>
          </w14:textFill>
        </w:rPr>
        <w:t xml:space="preserve">核定中国共产主义青年团衡山县委员会编制数合计 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14:textFill>
            <w14:solidFill>
              <w14:schemeClr w14:val="tx1"/>
            </w14:solidFill>
          </w14:textFill>
        </w:rPr>
        <w:t xml:space="preserve"> 名，行政编制数 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14:textFill>
            <w14:solidFill>
              <w14:schemeClr w14:val="tx1"/>
            </w14:solidFill>
          </w14:textFill>
        </w:rPr>
        <w:t xml:space="preserve">名，事业编制数 2 名,工勤人员编制数 0 名。现有在职在岗在编职工 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14:textFill>
            <w14:solidFill>
              <w14:schemeClr w14:val="tx1"/>
            </w14:solidFill>
          </w14:textFill>
        </w:rPr>
        <w:t xml:space="preserve"> 人，离退休 0 人，临聘人员 0 人</w:t>
      </w:r>
      <w:r>
        <w:rPr>
          <w:rFonts w:hint="eastAsia" w:ascii="仿宋" w:hAnsi="仿宋" w:eastAsia="仿宋" w:cs="仿宋"/>
          <w:color w:val="000000" w:themeColor="text1"/>
          <w:spacing w:val="1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220" w:line="221" w:lineRule="auto"/>
        <w:ind w:left="425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二、</w:t>
      </w:r>
      <w:r>
        <w:rPr>
          <w:rFonts w:ascii="黑体" w:hAnsi="黑体" w:eastAsia="黑体" w:cs="黑体"/>
          <w:spacing w:val="-9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预算支出及绩效情况</w:t>
      </w:r>
    </w:p>
    <w:p>
      <w:pPr>
        <w:spacing w:before="228" w:line="222" w:lineRule="auto"/>
        <w:ind w:left="58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(一)部门预决算情况</w:t>
      </w:r>
    </w:p>
    <w:p>
      <w:pPr>
        <w:spacing w:before="218" w:line="222" w:lineRule="auto"/>
        <w:ind w:left="715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1.部门预算情况</w:t>
      </w:r>
    </w:p>
    <w:p>
      <w:pPr>
        <w:spacing w:before="239" w:line="342" w:lineRule="auto"/>
        <w:ind w:left="95" w:right="47" w:firstLine="61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2022年年初收入预算</w:t>
      </w:r>
      <w:r>
        <w:rPr>
          <w:rFonts w:hint="eastAsia" w:ascii="仿宋" w:hAnsi="仿宋" w:eastAsia="仿宋" w:cs="仿宋"/>
          <w:spacing w:val="-13"/>
          <w:sz w:val="33"/>
          <w:szCs w:val="33"/>
          <w:lang w:val="en-US" w:eastAsia="zh-CN"/>
        </w:rPr>
        <w:t>56.67</w:t>
      </w:r>
      <w:r>
        <w:rPr>
          <w:rFonts w:ascii="仿宋" w:hAnsi="仿宋" w:eastAsia="仿宋" w:cs="仿宋"/>
          <w:spacing w:val="-13"/>
          <w:sz w:val="33"/>
          <w:szCs w:val="33"/>
        </w:rPr>
        <w:t>万元，其中一</w:t>
      </w:r>
      <w:r>
        <w:rPr>
          <w:rFonts w:ascii="仿宋" w:hAnsi="仿宋" w:eastAsia="仿宋" w:cs="仿宋"/>
          <w:spacing w:val="-14"/>
          <w:sz w:val="33"/>
          <w:szCs w:val="33"/>
        </w:rPr>
        <w:t>般</w:t>
      </w:r>
      <w:r>
        <w:rPr>
          <w:rFonts w:hint="eastAsia" w:ascii="仿宋" w:hAnsi="仿宋" w:eastAsia="仿宋" w:cs="仿宋"/>
          <w:spacing w:val="-14"/>
          <w:sz w:val="33"/>
          <w:szCs w:val="33"/>
          <w:lang w:val="en-US" w:eastAsia="zh-CN"/>
        </w:rPr>
        <w:t>预算</w:t>
      </w:r>
      <w:r>
        <w:rPr>
          <w:rFonts w:ascii="仿宋" w:hAnsi="仿宋" w:eastAsia="仿宋" w:cs="仿宋"/>
          <w:spacing w:val="-14"/>
          <w:sz w:val="33"/>
          <w:szCs w:val="33"/>
        </w:rPr>
        <w:t>拨</w:t>
      </w: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款</w:t>
      </w:r>
      <w:r>
        <w:rPr>
          <w:rFonts w:hint="eastAsia" w:ascii="仿宋" w:hAnsi="仿宋" w:eastAsia="仿宋" w:cs="仿宋"/>
          <w:b/>
          <w:bCs/>
          <w:spacing w:val="-13"/>
          <w:sz w:val="33"/>
          <w:szCs w:val="33"/>
          <w:lang w:val="en-US" w:eastAsia="zh-CN"/>
        </w:rPr>
        <w:t>收入56.67</w:t>
      </w:r>
      <w:r>
        <w:rPr>
          <w:rFonts w:ascii="仿宋" w:hAnsi="仿宋" w:eastAsia="仿宋" w:cs="仿宋"/>
          <w:spacing w:val="-13"/>
          <w:sz w:val="33"/>
          <w:szCs w:val="33"/>
        </w:rPr>
        <w:t>万元；2022年年初预算安排支出</w:t>
      </w:r>
      <w:r>
        <w:rPr>
          <w:rFonts w:hint="eastAsia" w:ascii="仿宋" w:hAnsi="仿宋" w:eastAsia="仿宋" w:cs="仿宋"/>
          <w:spacing w:val="-13"/>
          <w:sz w:val="33"/>
          <w:szCs w:val="33"/>
          <w:lang w:val="en-US" w:eastAsia="zh-CN"/>
        </w:rPr>
        <w:t>56.67</w:t>
      </w:r>
      <w:r>
        <w:rPr>
          <w:rFonts w:ascii="仿宋" w:hAnsi="仿宋" w:eastAsia="仿宋" w:cs="仿宋"/>
          <w:spacing w:val="-13"/>
          <w:sz w:val="33"/>
          <w:szCs w:val="33"/>
        </w:rPr>
        <w:t>万元，其中：基本支</w:t>
      </w:r>
      <w:r>
        <w:rPr>
          <w:rFonts w:ascii="仿宋" w:hAnsi="仿宋" w:eastAsia="仿宋" w:cs="仿宋"/>
          <w:spacing w:val="-14"/>
          <w:sz w:val="33"/>
          <w:szCs w:val="33"/>
        </w:rPr>
        <w:t>出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val="en-US" w:eastAsia="zh-CN"/>
        </w:rPr>
        <w:t>51.67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万</w:t>
      </w:r>
      <w:r>
        <w:rPr>
          <w:rFonts w:ascii="仿宋" w:hAnsi="仿宋" w:eastAsia="仿宋" w:cs="仿宋"/>
          <w:spacing w:val="-14"/>
          <w:sz w:val="33"/>
          <w:szCs w:val="33"/>
        </w:rPr>
        <w:t>元，项目支出</w:t>
      </w:r>
      <w:r>
        <w:rPr>
          <w:rFonts w:hint="eastAsia" w:ascii="仿宋" w:hAnsi="仿宋" w:eastAsia="仿宋" w:cs="仿宋"/>
          <w:spacing w:val="-14"/>
          <w:sz w:val="33"/>
          <w:szCs w:val="33"/>
          <w:lang w:val="en-US" w:eastAsia="zh-CN"/>
        </w:rPr>
        <w:t>5</w:t>
      </w:r>
      <w:r>
        <w:rPr>
          <w:rFonts w:ascii="仿宋" w:hAnsi="仿宋" w:eastAsia="仿宋" w:cs="仿宋"/>
          <w:spacing w:val="-14"/>
          <w:sz w:val="33"/>
          <w:szCs w:val="33"/>
        </w:rPr>
        <w:t>万元。</w:t>
      </w:r>
    </w:p>
    <w:p>
      <w:pPr>
        <w:spacing w:before="232" w:line="222" w:lineRule="auto"/>
        <w:ind w:left="715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"/>
          <w:sz w:val="33"/>
          <w:szCs w:val="33"/>
        </w:rPr>
        <w:t>2.部门决算情况(含年中预算追加情况)</w:t>
      </w:r>
    </w:p>
    <w:p>
      <w:pPr>
        <w:spacing w:before="229" w:line="369" w:lineRule="auto"/>
        <w:ind w:left="90" w:right="2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3"/>
          <w:szCs w:val="33"/>
        </w:rPr>
        <w:t>2022年决算总收入</w:t>
      </w:r>
      <w:r>
        <w:rPr>
          <w:rFonts w:hint="eastAsia" w:ascii="仿宋" w:hAnsi="仿宋" w:eastAsia="仿宋" w:cs="仿宋"/>
          <w:spacing w:val="-11"/>
          <w:sz w:val="33"/>
          <w:szCs w:val="33"/>
          <w:lang w:val="en-US" w:eastAsia="zh-CN"/>
        </w:rPr>
        <w:t>65.80</w:t>
      </w:r>
      <w:r>
        <w:rPr>
          <w:rFonts w:ascii="仿宋" w:hAnsi="仿宋" w:eastAsia="仿宋" w:cs="仿宋"/>
          <w:spacing w:val="-11"/>
          <w:sz w:val="33"/>
          <w:szCs w:val="33"/>
        </w:rPr>
        <w:t>万元，较预算增加</w:t>
      </w:r>
      <w:r>
        <w:rPr>
          <w:rFonts w:hint="eastAsia" w:ascii="仿宋" w:hAnsi="仿宋" w:eastAsia="仿宋" w:cs="仿宋"/>
          <w:spacing w:val="-11"/>
          <w:sz w:val="33"/>
          <w:szCs w:val="33"/>
          <w:lang w:val="en-US" w:eastAsia="zh-CN"/>
        </w:rPr>
        <w:t>9.13</w:t>
      </w:r>
      <w:r>
        <w:rPr>
          <w:rFonts w:ascii="仿宋" w:hAnsi="仿宋" w:eastAsia="仿宋" w:cs="仿宋"/>
          <w:spacing w:val="-11"/>
          <w:sz w:val="33"/>
          <w:szCs w:val="33"/>
        </w:rPr>
        <w:t>万元，总支出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hint="eastAsia" w:ascii="仿宋" w:hAnsi="仿宋" w:eastAsia="仿宋" w:cs="仿宋"/>
          <w:spacing w:val="-1"/>
          <w:sz w:val="33"/>
          <w:szCs w:val="33"/>
          <w:lang w:val="en-US" w:eastAsia="zh-CN"/>
        </w:rPr>
        <w:t>56.67</w:t>
      </w:r>
      <w:r>
        <w:rPr>
          <w:rFonts w:ascii="仿宋" w:hAnsi="仿宋" w:eastAsia="仿宋" w:cs="仿宋"/>
          <w:spacing w:val="-1"/>
          <w:sz w:val="33"/>
          <w:szCs w:val="33"/>
        </w:rPr>
        <w:t>万元，其中：基本支出</w:t>
      </w:r>
      <w:r>
        <w:rPr>
          <w:rFonts w:hint="eastAsia" w:ascii="仿宋" w:hAnsi="仿宋" w:eastAsia="仿宋" w:cs="仿宋"/>
          <w:spacing w:val="-1"/>
          <w:sz w:val="33"/>
          <w:szCs w:val="33"/>
          <w:lang w:val="en-US" w:eastAsia="zh-CN"/>
        </w:rPr>
        <w:t>51.67</w:t>
      </w:r>
      <w:r>
        <w:rPr>
          <w:rFonts w:ascii="仿宋" w:hAnsi="仿宋" w:eastAsia="仿宋" w:cs="仿宋"/>
          <w:spacing w:val="-1"/>
          <w:sz w:val="33"/>
          <w:szCs w:val="33"/>
        </w:rPr>
        <w:t>万元，占总支出的</w:t>
      </w:r>
      <w:r>
        <w:rPr>
          <w:rFonts w:hint="eastAsia" w:ascii="仿宋" w:hAnsi="仿宋" w:eastAsia="仿宋" w:cs="仿宋"/>
          <w:spacing w:val="-1"/>
          <w:sz w:val="33"/>
          <w:szCs w:val="33"/>
          <w:lang w:val="en-US" w:eastAsia="zh-CN"/>
        </w:rPr>
        <w:t>91.18</w:t>
      </w:r>
      <w:r>
        <w:rPr>
          <w:rFonts w:ascii="仿宋" w:hAnsi="仿宋" w:eastAsia="仿宋" w:cs="仿宋"/>
          <w:spacing w:val="-2"/>
          <w:sz w:val="33"/>
          <w:szCs w:val="33"/>
        </w:rPr>
        <w:t>%;项目支</w:t>
      </w:r>
      <w:r>
        <w:rPr>
          <w:rFonts w:ascii="仿宋" w:hAnsi="仿宋" w:eastAsia="仿宋" w:cs="仿宋"/>
          <w:spacing w:val="40"/>
          <w:sz w:val="31"/>
          <w:szCs w:val="31"/>
        </w:rPr>
        <w:t>出</w:t>
      </w:r>
      <w:r>
        <w:rPr>
          <w:rFonts w:hint="eastAsia" w:ascii="仿宋" w:hAnsi="仿宋" w:eastAsia="仿宋" w:cs="仿宋"/>
          <w:b/>
          <w:bCs/>
          <w:spacing w:val="40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万元，占总支出的</w:t>
      </w:r>
      <w:r>
        <w:rPr>
          <w:rFonts w:hint="eastAsia" w:ascii="仿宋" w:hAnsi="仿宋" w:eastAsia="仿宋" w:cs="仿宋"/>
          <w:spacing w:val="40"/>
          <w:sz w:val="31"/>
          <w:szCs w:val="31"/>
          <w:lang w:val="en-US" w:eastAsia="zh-CN"/>
        </w:rPr>
        <w:t>8.82</w:t>
      </w:r>
      <w:r>
        <w:rPr>
          <w:rFonts w:ascii="仿宋" w:hAnsi="仿宋" w:eastAsia="仿宋" w:cs="仿宋"/>
          <w:spacing w:val="40"/>
          <w:sz w:val="31"/>
          <w:szCs w:val="31"/>
        </w:rPr>
        <w:t>%。</w:t>
      </w:r>
      <w:r>
        <w:rPr>
          <w:rFonts w:hint="eastAsia" w:ascii="仿宋" w:hAnsi="仿宋" w:eastAsia="仿宋" w:cs="仿宋"/>
          <w:spacing w:val="40"/>
          <w:sz w:val="31"/>
          <w:szCs w:val="31"/>
          <w:lang w:val="en-US" w:eastAsia="zh-CN"/>
        </w:rPr>
        <w:t>全年收支平衡，无结余</w:t>
      </w:r>
      <w:r>
        <w:rPr>
          <w:rFonts w:ascii="仿宋" w:hAnsi="仿宋" w:eastAsia="仿宋" w:cs="仿宋"/>
          <w:spacing w:val="40"/>
          <w:sz w:val="31"/>
          <w:szCs w:val="31"/>
        </w:rPr>
        <w:t>。</w:t>
      </w:r>
    </w:p>
    <w:p>
      <w:pPr>
        <w:spacing w:before="220" w:line="221" w:lineRule="auto"/>
        <w:ind w:left="715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"/>
          <w:sz w:val="33"/>
          <w:szCs w:val="33"/>
        </w:rPr>
        <w:t>3."三公"经费执行情况</w:t>
      </w:r>
    </w:p>
    <w:p>
      <w:pPr>
        <w:spacing w:before="232" w:line="352" w:lineRule="auto"/>
        <w:ind w:left="90" w:firstLine="620"/>
        <w:jc w:val="both"/>
        <w:sectPr>
          <w:footerReference r:id="rId11" w:type="default"/>
          <w:pgSz w:w="11860" w:h="16800"/>
          <w:pgMar w:top="1355" w:right="1728" w:bottom="400" w:left="1779" w:header="0" w:footer="0" w:gutter="0"/>
          <w:cols w:space="720" w:num="1"/>
        </w:sectPr>
      </w:pPr>
      <w:r>
        <w:rPr>
          <w:rFonts w:ascii="仿宋" w:hAnsi="仿宋" w:eastAsia="仿宋" w:cs="仿宋"/>
          <w:spacing w:val="-10"/>
          <w:sz w:val="33"/>
          <w:szCs w:val="33"/>
        </w:rPr>
        <w:t>2022年"三公"经费预算数</w:t>
      </w:r>
      <w:r>
        <w:rPr>
          <w:rFonts w:hint="eastAsia" w:ascii="仿宋" w:hAnsi="仿宋" w:eastAsia="仿宋" w:cs="仿宋"/>
          <w:spacing w:val="-10"/>
          <w:sz w:val="33"/>
          <w:szCs w:val="33"/>
          <w:lang w:val="en-US" w:eastAsia="zh-CN"/>
        </w:rPr>
        <w:t>1</w:t>
      </w:r>
      <w:r>
        <w:rPr>
          <w:rFonts w:ascii="仿宋" w:hAnsi="仿宋" w:eastAsia="仿宋" w:cs="仿宋"/>
          <w:spacing w:val="-10"/>
          <w:sz w:val="33"/>
          <w:szCs w:val="33"/>
        </w:rPr>
        <w:t>万元，其中：因公出国(境)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费</w:t>
      </w: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0</w:t>
      </w:r>
      <w:r>
        <w:rPr>
          <w:rFonts w:ascii="仿宋" w:hAnsi="仿宋" w:eastAsia="仿宋" w:cs="仿宋"/>
          <w:spacing w:val="-8"/>
          <w:sz w:val="33"/>
          <w:szCs w:val="33"/>
        </w:rPr>
        <w:t>万元，公务用车购置及运行维护费</w:t>
      </w: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0</w:t>
      </w:r>
      <w:r>
        <w:rPr>
          <w:rFonts w:ascii="仿宋" w:hAnsi="仿宋" w:eastAsia="仿宋" w:cs="仿宋"/>
          <w:spacing w:val="-8"/>
          <w:sz w:val="33"/>
          <w:szCs w:val="33"/>
        </w:rPr>
        <w:t>万元，公务接待费</w:t>
      </w: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3"/>
          <w:szCs w:val="33"/>
        </w:rPr>
        <w:t>万元。</w:t>
      </w:r>
      <w:r>
        <w:rPr>
          <w:rFonts w:ascii="仿宋" w:hAnsi="仿宋" w:eastAsia="仿宋" w:cs="仿宋"/>
          <w:spacing w:val="8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"三公"经费决算数</w:t>
      </w:r>
      <w:r>
        <w:rPr>
          <w:rFonts w:hint="eastAsia" w:ascii="仿宋" w:hAnsi="仿宋" w:eastAsia="仿宋" w:cs="仿宋"/>
          <w:spacing w:val="1"/>
          <w:sz w:val="33"/>
          <w:szCs w:val="33"/>
          <w:lang w:val="en-US" w:eastAsia="zh-CN"/>
        </w:rPr>
        <w:t>0.62</w:t>
      </w:r>
      <w:r>
        <w:rPr>
          <w:rFonts w:ascii="仿宋" w:hAnsi="仿宋" w:eastAsia="仿宋" w:cs="仿宋"/>
          <w:spacing w:val="1"/>
          <w:sz w:val="33"/>
          <w:szCs w:val="33"/>
        </w:rPr>
        <w:t>元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"/>
          <w:sz w:val="33"/>
          <w:szCs w:val="33"/>
        </w:rPr>
        <w:t>其中：因公出国(境)费</w:t>
      </w:r>
    </w:p>
    <w:p>
      <w:pPr>
        <w:spacing w:before="64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万元，公务用车运行维护费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万元，公务接待费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0.62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before="249" w:line="221" w:lineRule="auto"/>
        <w:ind w:left="74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4.政府采购执行情况</w:t>
      </w:r>
    </w:p>
    <w:p>
      <w:pPr>
        <w:spacing w:before="233" w:line="643" w:lineRule="exact"/>
        <w:ind w:left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4"/>
          <w:sz w:val="31"/>
          <w:szCs w:val="31"/>
        </w:rPr>
        <w:t>2022年度政府采购支出</w:t>
      </w:r>
      <w:r>
        <w:rPr>
          <w:rFonts w:hint="eastAsia" w:ascii="仿宋" w:hAnsi="仿宋" w:eastAsia="仿宋" w:cs="仿宋"/>
          <w:spacing w:val="6"/>
          <w:position w:val="2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6"/>
          <w:position w:val="24"/>
          <w:sz w:val="31"/>
          <w:szCs w:val="31"/>
        </w:rPr>
        <w:t>万元，其中：货物</w:t>
      </w:r>
      <w:r>
        <w:rPr>
          <w:rFonts w:hint="eastAsia" w:ascii="仿宋" w:hAnsi="仿宋" w:eastAsia="仿宋" w:cs="仿宋"/>
          <w:spacing w:val="6"/>
          <w:position w:val="2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position w:val="24"/>
          <w:sz w:val="31"/>
          <w:szCs w:val="31"/>
        </w:rPr>
        <w:t>元，工程</w:t>
      </w:r>
    </w:p>
    <w:p>
      <w:pPr>
        <w:spacing w:line="222" w:lineRule="auto"/>
        <w:ind w:left="11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万元，服务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spacing w:before="252" w:line="222" w:lineRule="auto"/>
        <w:ind w:left="74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5.资产管理情况</w:t>
      </w:r>
    </w:p>
    <w:p>
      <w:pPr>
        <w:spacing w:before="230" w:line="368" w:lineRule="auto"/>
        <w:ind w:left="115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2022年年末资产总额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7.36</w:t>
      </w:r>
      <w:r>
        <w:rPr>
          <w:rFonts w:ascii="仿宋" w:hAnsi="仿宋" w:eastAsia="仿宋" w:cs="仿宋"/>
          <w:spacing w:val="6"/>
          <w:sz w:val="31"/>
          <w:szCs w:val="31"/>
        </w:rPr>
        <w:t>万元，负债总额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万元，净资产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/>
          <w:bCs/>
          <w:spacing w:val="18"/>
          <w:sz w:val="31"/>
          <w:szCs w:val="31"/>
          <w:lang w:val="en-US" w:eastAsia="zh-CN"/>
        </w:rPr>
        <w:t>7.36</w:t>
      </w:r>
      <w:r>
        <w:rPr>
          <w:rFonts w:ascii="仿宋" w:hAnsi="仿宋" w:eastAsia="仿宋" w:cs="仿宋"/>
          <w:spacing w:val="18"/>
          <w:sz w:val="31"/>
          <w:szCs w:val="31"/>
        </w:rPr>
        <w:t>万元。截至2022年12月31日，</w:t>
      </w:r>
      <w:r>
        <w:rPr>
          <w:rFonts w:ascii="仿宋" w:hAnsi="仿宋" w:eastAsia="仿宋" w:cs="仿宋"/>
          <w:spacing w:val="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固定资产账面原值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12.40</w:t>
      </w:r>
      <w:r>
        <w:rPr>
          <w:rFonts w:ascii="仿宋" w:hAnsi="仿宋" w:eastAsia="仿宋" w:cs="仿宋"/>
          <w:spacing w:val="18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元，在用资产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12.40</w:t>
      </w:r>
      <w:r>
        <w:rPr>
          <w:rFonts w:ascii="仿宋" w:hAnsi="仿宋" w:eastAsia="仿宋" w:cs="仿宋"/>
          <w:spacing w:val="5"/>
          <w:sz w:val="31"/>
          <w:szCs w:val="31"/>
        </w:rPr>
        <w:t>万元，资产使用率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5"/>
          <w:sz w:val="31"/>
          <w:szCs w:val="31"/>
        </w:rPr>
        <w:t>%。</w:t>
      </w:r>
    </w:p>
    <w:p>
      <w:pPr>
        <w:spacing w:before="282" w:line="601" w:lineRule="exact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position w:val="21"/>
          <w:sz w:val="31"/>
          <w:szCs w:val="31"/>
        </w:rPr>
        <w:t>(二)资金使用及绩效情况</w:t>
      </w:r>
    </w:p>
    <w:p>
      <w:pPr>
        <w:spacing w:line="222" w:lineRule="auto"/>
        <w:ind w:left="745"/>
        <w:rPr>
          <w:rFonts w:ascii="仿宋" w:hAnsi="仿宋" w:eastAsia="仿宋" w:cs="仿宋"/>
          <w:b/>
          <w:bCs/>
          <w:spacing w:val="6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1.整体绩效目标完成情况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6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val="en-US" w:eastAsia="zh-CN"/>
        </w:rPr>
        <w:t xml:space="preserve">在经费支出安排上，全面保障了机关正常运转。首先保障工资福利支出，各股室工作开展良好，在经费上保证更好的履行职能职责促进工作有序开展，机关严格执行各项财经纪律，机关厉行节约，财务管理上从严要求，在保证行政运转下尽量控制压缩经费开支，制定相关管理办法，做到精打细算、财尽其用， 项目资金使用规范，不挤占、不挪用，及时足额拨付，社会效应明显。 </w:t>
      </w:r>
    </w:p>
    <w:p>
      <w:pPr>
        <w:spacing w:line="222" w:lineRule="auto"/>
        <w:ind w:left="745"/>
        <w:rPr>
          <w:rFonts w:hint="default" w:ascii="仿宋_GB2312" w:hAnsi="仿宋_GB2312" w:eastAsia="仿宋_GB2312" w:cs="仿宋_GB2312"/>
          <w:b/>
          <w:bCs/>
          <w:spacing w:val="6"/>
          <w:sz w:val="31"/>
          <w:szCs w:val="31"/>
          <w:lang w:val="en-US" w:eastAsia="zh-CN"/>
        </w:rPr>
      </w:pPr>
    </w:p>
    <w:p>
      <w:pPr>
        <w:spacing w:before="247" w:line="617" w:lineRule="exact"/>
        <w:ind w:left="7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position w:val="22"/>
          <w:sz w:val="31"/>
          <w:szCs w:val="31"/>
        </w:rPr>
        <w:t>2.项目绩效目标完成情况(仅对50万元以上的</w:t>
      </w:r>
      <w:r>
        <w:rPr>
          <w:rFonts w:ascii="仿宋" w:hAnsi="仿宋" w:eastAsia="仿宋" w:cs="仿宋"/>
          <w:b/>
          <w:bCs/>
          <w:spacing w:val="21"/>
          <w:position w:val="22"/>
          <w:sz w:val="31"/>
          <w:szCs w:val="31"/>
        </w:rPr>
        <w:t>项目资</w:t>
      </w:r>
    </w:p>
    <w:p>
      <w:pPr>
        <w:spacing w:before="2" w:line="220" w:lineRule="auto"/>
        <w:ind w:left="1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金进行分项说明)</w:t>
      </w:r>
    </w:p>
    <w:p>
      <w:pPr>
        <w:spacing w:line="244" w:lineRule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</w:p>
    <w:p>
      <w:pPr>
        <w:spacing w:line="244" w:lineRule="auto"/>
        <w:ind w:firstLine="1240" w:firstLineChars="4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团县委暂无50万以上的项目资金</w:t>
      </w:r>
    </w:p>
    <w:p>
      <w:pPr>
        <w:spacing w:line="244" w:lineRule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numPr>
          <w:ilvl w:val="0"/>
          <w:numId w:val="1"/>
        </w:numPr>
        <w:spacing w:before="102" w:line="222" w:lineRule="auto"/>
        <w:ind w:left="745"/>
        <w:outlineLvl w:val="0"/>
        <w:rPr>
          <w:rFonts w:ascii="黑体" w:hAnsi="黑体" w:eastAsia="黑体" w:cs="黑体"/>
          <w:b/>
          <w:bCs/>
          <w:spacing w:val="-1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存在的问题及改进措施</w:t>
      </w:r>
    </w:p>
    <w:p>
      <w:pPr>
        <w:numPr>
          <w:ilvl w:val="0"/>
          <w:numId w:val="0"/>
        </w:numPr>
        <w:spacing w:before="102" w:line="222" w:lineRule="auto"/>
        <w:ind w:firstLine="618" w:firstLineChars="200"/>
        <w:outlineLvl w:val="0"/>
        <w:rPr>
          <w:rFonts w:hint="eastAsia" w:ascii="仿宋" w:hAnsi="仿宋" w:eastAsia="仿宋" w:cs="仿宋"/>
          <w:b/>
          <w:bCs/>
          <w:spacing w:val="-1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"/>
          <w:sz w:val="31"/>
          <w:szCs w:val="31"/>
        </w:rPr>
        <w:t>在经费支出安排上，全面保障了机关正常运转。首先保障工资福利支出，各股室工作开展良好，在经费上保证更好的履行职能职责促进工作有序开展，机关严格执行各项财经纪律，机关厉行节约，财务管理上从严要求，在保证行政运转下尽量控制压缩经费开支，制定相关管理办法，做到精打细算、财尽其用， 项目资金使用规范，不挤占、不挪用，及时足额拨付，社会效应明显。</w:t>
      </w:r>
    </w:p>
    <w:p>
      <w:pPr>
        <w:numPr>
          <w:ilvl w:val="0"/>
          <w:numId w:val="2"/>
        </w:numPr>
        <w:spacing w:before="102" w:line="222" w:lineRule="auto"/>
        <w:ind w:firstLine="618" w:firstLineChars="200"/>
        <w:outlineLvl w:val="0"/>
        <w:rPr>
          <w:rFonts w:hint="eastAsia" w:ascii="仿宋" w:hAnsi="仿宋" w:eastAsia="仿宋" w:cs="仿宋"/>
          <w:b/>
          <w:bCs/>
          <w:spacing w:val="-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1"/>
          <w:szCs w:val="31"/>
          <w:lang w:val="en-US" w:eastAsia="zh-CN"/>
        </w:rPr>
        <w:t>加大财政投入，继续积极向上争取资金，完善内部建设，保障单位工作正常有序开展。</w:t>
      </w:r>
    </w:p>
    <w:p>
      <w:pPr>
        <w:numPr>
          <w:ilvl w:val="0"/>
          <w:numId w:val="2"/>
        </w:numPr>
        <w:spacing w:before="102" w:line="222" w:lineRule="auto"/>
        <w:ind w:firstLine="618" w:firstLineChars="200"/>
        <w:outlineLvl w:val="0"/>
        <w:rPr>
          <w:rFonts w:hint="eastAsia" w:ascii="仿宋_GB2312" w:hAnsi="仿宋_GB2312" w:eastAsia="仿宋_GB2312" w:cs="仿宋_GB2312"/>
          <w:b/>
          <w:bCs/>
          <w:spacing w:val="-1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"/>
          <w:sz w:val="31"/>
          <w:szCs w:val="31"/>
          <w:lang w:val="en-US" w:eastAsia="zh-CN"/>
        </w:rPr>
        <w:t>强化团县委人才培养，抓好青少年发展工作。</w:t>
      </w:r>
    </w:p>
    <w:p>
      <w:pPr>
        <w:numPr>
          <w:ilvl w:val="0"/>
          <w:numId w:val="1"/>
        </w:numPr>
        <w:spacing w:before="267" w:line="221" w:lineRule="auto"/>
        <w:ind w:left="745" w:leftChars="0" w:firstLine="0" w:firstLineChars="0"/>
        <w:outlineLvl w:val="0"/>
        <w:rPr>
          <w:rFonts w:ascii="黑体" w:hAnsi="黑体" w:eastAsia="黑体" w:cs="黑体"/>
          <w:b/>
          <w:bCs/>
          <w:spacing w:val="-4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其他需要说明的情况</w:t>
      </w:r>
    </w:p>
    <w:p>
      <w:pPr>
        <w:numPr>
          <w:ilvl w:val="0"/>
          <w:numId w:val="0"/>
        </w:numPr>
        <w:spacing w:before="267" w:line="221" w:lineRule="auto"/>
        <w:ind w:left="745" w:leftChars="0"/>
        <w:outlineLvl w:val="0"/>
        <w:rPr>
          <w:rFonts w:hint="eastAsia" w:ascii="新宋体" w:hAnsi="新宋体" w:eastAsia="新宋体" w:cs="新宋体"/>
          <w:b w:val="0"/>
          <w:bCs w:val="0"/>
          <w:spacing w:val="-4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1"/>
          <w:szCs w:val="31"/>
          <w:lang w:val="en-US" w:eastAsia="zh-CN"/>
        </w:rPr>
        <w:t>无</w:t>
      </w:r>
    </w:p>
    <w:p/>
    <w:p>
      <w:pPr>
        <w:rPr>
          <w:rFonts w:hint="eastAsia" w:eastAsia="宋体"/>
          <w:lang w:val="en-US" w:eastAsia="zh-CN"/>
        </w:rPr>
        <w:sectPr>
          <w:pgSz w:w="11860" w:h="16800"/>
          <w:pgMar w:top="1301" w:right="1727" w:bottom="400" w:left="1779" w:header="0" w:footer="0" w:gutter="0"/>
          <w:cols w:space="720" w:num="1"/>
        </w:sectPr>
      </w:pPr>
    </w:p>
    <w:p>
      <w:pPr>
        <w:spacing w:before="69" w:line="224" w:lineRule="auto"/>
        <w:ind w:left="6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1"/>
          <w:sz w:val="34"/>
          <w:szCs w:val="34"/>
        </w:rPr>
        <w:t>附件2:</w:t>
      </w:r>
    </w:p>
    <w:p>
      <w:pPr>
        <w:spacing w:before="303" w:line="219" w:lineRule="auto"/>
        <w:ind w:left="26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2022年度预算支出绩效自评表</w:t>
      </w:r>
    </w:p>
    <w:p>
      <w:pPr>
        <w:spacing w:line="72" w:lineRule="exact"/>
      </w:pPr>
    </w:p>
    <w:tbl>
      <w:tblPr>
        <w:tblStyle w:val="4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209"/>
        <w:gridCol w:w="1119"/>
        <w:gridCol w:w="1109"/>
        <w:gridCol w:w="819"/>
        <w:gridCol w:w="85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vAlign w:val="top"/>
          </w:tcPr>
          <w:p>
            <w:pPr>
              <w:spacing w:before="94" w:line="30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1"/>
                <w:szCs w:val="21"/>
              </w:rPr>
              <w:t>项目支</w:t>
            </w:r>
          </w:p>
          <w:p>
            <w:pPr>
              <w:spacing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出名称</w:t>
            </w:r>
          </w:p>
        </w:tc>
        <w:tc>
          <w:tcPr>
            <w:tcW w:w="8745" w:type="dxa"/>
            <w:gridSpan w:val="8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青少年发展、青少年维权、少先队经费、预防青少年违法犯罪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财政局</w:t>
            </w:r>
          </w:p>
        </w:tc>
        <w:tc>
          <w:tcPr>
            <w:tcW w:w="1109" w:type="dxa"/>
            <w:vAlign w:val="top"/>
          </w:tcPr>
          <w:p>
            <w:pPr>
              <w:spacing w:before="70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实施单位</w:t>
            </w:r>
          </w:p>
        </w:tc>
        <w:tc>
          <w:tcPr>
            <w:tcW w:w="3051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共青团衡山县委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项目资金</w:t>
            </w:r>
          </w:p>
          <w:p>
            <w:pPr>
              <w:spacing w:before="69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9" w:line="219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年初预算数</w:t>
            </w:r>
          </w:p>
        </w:tc>
        <w:tc>
          <w:tcPr>
            <w:tcW w:w="1119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109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全年执行数</w:t>
            </w:r>
          </w:p>
        </w:tc>
        <w:tc>
          <w:tcPr>
            <w:tcW w:w="819" w:type="dxa"/>
            <w:vAlign w:val="top"/>
          </w:tcPr>
          <w:p>
            <w:pPr>
              <w:spacing w:before="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before="19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73" w:type="dxa"/>
            <w:vAlign w:val="top"/>
          </w:tcPr>
          <w:p>
            <w:pPr>
              <w:spacing w:before="9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7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19" w:type="dxa"/>
            <w:vAlign w:val="top"/>
          </w:tcPr>
          <w:p>
            <w:pPr>
              <w:spacing w:before="163" w:line="173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ind w:firstLine="512" w:firstLineChars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6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其中：当年财政拨款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69" w:line="219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上年结转资金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70" w:line="220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年度总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体目标</w:t>
            </w:r>
          </w:p>
        </w:tc>
        <w:tc>
          <w:tcPr>
            <w:tcW w:w="4585" w:type="dxa"/>
            <w:gridSpan w:val="4"/>
            <w:vAlign w:val="top"/>
          </w:tcPr>
          <w:p>
            <w:pPr>
              <w:spacing w:before="70" w:line="220" w:lineRule="auto"/>
              <w:ind w:left="1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69" w:line="219" w:lineRule="auto"/>
              <w:ind w:left="1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5" w:type="dxa"/>
            <w:gridSpan w:val="4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开展志愿服务、青少年发展等活动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顺利开展好了各项活动，团结引领青少年为建设美丽衡山贡献了力量。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3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9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380" w:right="16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标</w:t>
            </w:r>
          </w:p>
        </w:tc>
        <w:tc>
          <w:tcPr>
            <w:tcW w:w="126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20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1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</w:t>
            </w:r>
          </w:p>
          <w:p>
            <w:pPr>
              <w:spacing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1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329" w:lineRule="exact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实际</w:t>
            </w:r>
          </w:p>
          <w:p>
            <w:pPr>
              <w:spacing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8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73" w:type="dxa"/>
            <w:vAlign w:val="top"/>
          </w:tcPr>
          <w:p>
            <w:pPr>
              <w:spacing w:before="131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偏差原因</w:t>
            </w:r>
          </w:p>
          <w:p>
            <w:pPr>
              <w:spacing w:before="61" w:line="22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分析及</w:t>
            </w:r>
          </w:p>
          <w:p>
            <w:pPr>
              <w:spacing w:before="5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产出</w:t>
            </w:r>
          </w:p>
          <w:p>
            <w:pPr>
              <w:spacing w:before="81" w:line="63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开展系列志愿者服务活动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≥45场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80场</w:t>
            </w:r>
          </w:p>
        </w:tc>
        <w:tc>
          <w:tcPr>
            <w:tcW w:w="819" w:type="dxa"/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20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绩效指标合理性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合理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合理</w:t>
            </w:r>
          </w:p>
        </w:tc>
        <w:tc>
          <w:tcPr>
            <w:tcW w:w="8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10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工作任务科学性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科学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科学</w:t>
            </w:r>
          </w:p>
        </w:tc>
        <w:tc>
          <w:tcPr>
            <w:tcW w:w="8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ind w:firstLine="23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  <w:p>
            <w:pPr>
              <w:ind w:firstLine="233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政府采购执行率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10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效益</w:t>
            </w:r>
          </w:p>
          <w:p>
            <w:pPr>
              <w:spacing w:before="79" w:line="61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(30分)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6" w:line="30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经济效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“</w:t>
            </w:r>
            <w:r>
              <w:rPr>
                <w:rFonts w:hint="eastAsia" w:eastAsia="宋体"/>
                <w:sz w:val="21"/>
                <w:lang w:val="en-US" w:eastAsia="zh-CN"/>
              </w:rPr>
              <w:t>三公经费</w:t>
            </w:r>
            <w:r>
              <w:rPr>
                <w:rFonts w:hint="eastAsia" w:eastAsia="宋体"/>
                <w:sz w:val="21"/>
                <w:lang w:eastAsia="zh-CN"/>
              </w:rPr>
              <w:t>”</w:t>
            </w:r>
            <w:r>
              <w:rPr>
                <w:rFonts w:hint="eastAsia" w:eastAsia="宋体"/>
                <w:sz w:val="21"/>
                <w:lang w:val="en-US" w:eastAsia="zh-CN"/>
              </w:rPr>
              <w:t>控制率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≤100%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9" w:type="dxa"/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322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社会效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资金使用合规性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合规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合规</w:t>
            </w:r>
          </w:p>
        </w:tc>
        <w:tc>
          <w:tcPr>
            <w:tcW w:w="819" w:type="dxa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33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生态效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通过开展各项青少年活动，充分发挥共青团的作用，团结广大青年，为建设美丽衡山贡献力量。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不断加强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不断加强</w:t>
            </w:r>
          </w:p>
        </w:tc>
        <w:tc>
          <w:tcPr>
            <w:tcW w:w="819" w:type="dxa"/>
            <w:vAlign w:val="top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5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4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可持续影</w:t>
            </w:r>
          </w:p>
          <w:p>
            <w:pPr>
              <w:spacing w:before="7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响指标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持续扩大共青团组织在青年中的影响力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不断加强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不断加强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62" w:lineRule="auto"/>
              <w:ind w:left="171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满意度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18"/>
                <w:sz w:val="20"/>
                <w:szCs w:val="20"/>
              </w:rPr>
              <w:t>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(10分)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服务对象</w:t>
            </w:r>
          </w:p>
          <w:p>
            <w:pPr>
              <w:spacing w:before="70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满意度指</w:t>
            </w:r>
          </w:p>
          <w:p>
            <w:pPr>
              <w:spacing w:before="21" w:line="220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社会公众满意度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≥98%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ind w:firstLine="23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  <w:p>
            <w:pPr>
              <w:ind w:firstLine="233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828" w:type="dxa"/>
            <w:gridSpan w:val="6"/>
            <w:vAlign w:val="top"/>
          </w:tcPr>
          <w:p>
            <w:pPr>
              <w:spacing w:before="139" w:line="220" w:lineRule="auto"/>
              <w:ind w:left="2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819" w:type="dxa"/>
            <w:vAlign w:val="top"/>
          </w:tcPr>
          <w:p>
            <w:pPr>
              <w:spacing w:before="191" w:line="184" w:lineRule="auto"/>
              <w:ind w:left="13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ind w:firstLine="210" w:firstLineChars="1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95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1" w:line="225" w:lineRule="auto"/>
        <w:ind w:firstLine="192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4"/>
          <w:position w:val="-1"/>
          <w:sz w:val="24"/>
          <w:szCs w:val="24"/>
        </w:rPr>
        <w:t>填表人：</w:t>
      </w:r>
      <w:r>
        <w:rPr>
          <w:rFonts w:hint="eastAsia" w:ascii="仿宋" w:hAnsi="仿宋" w:eastAsia="仿宋" w:cs="仿宋"/>
          <w:spacing w:val="-24"/>
          <w:position w:val="-1"/>
          <w:sz w:val="24"/>
          <w:szCs w:val="24"/>
          <w:lang w:val="en-US" w:eastAsia="zh-CN"/>
        </w:rPr>
        <w:t>刘雅</w:t>
      </w:r>
      <w:r>
        <w:rPr>
          <w:rFonts w:ascii="仿宋" w:hAnsi="仿宋" w:eastAsia="仿宋" w:cs="仿宋"/>
          <w:spacing w:val="4"/>
          <w:position w:val="-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填报日期：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 xml:space="preserve">2023年8月16号  </w:t>
      </w:r>
      <w:r>
        <w:rPr>
          <w:rFonts w:ascii="仿宋" w:hAnsi="仿宋" w:eastAsia="仿宋" w:cs="仿宋"/>
          <w:spacing w:val="-24"/>
          <w:sz w:val="24"/>
          <w:szCs w:val="24"/>
        </w:rPr>
        <w:t>联系电话：</w:t>
      </w:r>
      <w:r>
        <w:rPr>
          <w:rFonts w:hint="eastAsia" w:ascii="仿宋" w:hAnsi="仿宋" w:eastAsia="仿宋" w:cs="仿宋"/>
          <w:spacing w:val="-24"/>
          <w:sz w:val="24"/>
          <w:szCs w:val="24"/>
          <w:lang w:val="en-US" w:eastAsia="zh-CN"/>
        </w:rPr>
        <w:t>15116810074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position w:val="1"/>
          <w:sz w:val="24"/>
          <w:szCs w:val="24"/>
        </w:rPr>
        <w:t>单位负责人签字：</w:t>
      </w:r>
    </w:p>
    <w:sectPr>
      <w:pgSz w:w="11860" w:h="16800"/>
      <w:pgMar w:top="1233" w:right="935" w:bottom="400" w:left="10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9"/>
      <w:rPr>
        <w:rFonts w:ascii="仿宋" w:hAnsi="仿宋" w:eastAsia="仿宋" w:cs="仿宋"/>
        <w:sz w:val="14"/>
        <w:szCs w:val="14"/>
      </w:rPr>
    </w:pPr>
    <w:r>
      <w:rPr>
        <w:rFonts w:ascii="仿宋" w:hAnsi="仿宋" w:eastAsia="仿宋" w:cs="仿宋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0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30"/>
      <w:rPr>
        <w:rFonts w:ascii="仿宋" w:hAnsi="仿宋" w:eastAsia="仿宋" w:cs="仿宋"/>
        <w:sz w:val="14"/>
        <w:szCs w:val="14"/>
      </w:rPr>
    </w:pPr>
    <w:r>
      <w:rPr>
        <w:rFonts w:ascii="仿宋" w:hAnsi="仿宋" w:eastAsia="仿宋" w:cs="仿宋"/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71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9"/>
      <w:rPr>
        <w:rFonts w:ascii="宋体" w:hAnsi="宋体" w:eastAsia="宋体" w:cs="宋体"/>
        <w:sz w:val="14"/>
        <w:szCs w:val="14"/>
      </w:rPr>
    </w:pPr>
    <w:r>
      <w:pict>
        <v:shape id="_x0000_s4097" o:spid="_x0000_s4097" o:spt="202" type="#_x0000_t202" style="position:absolute;left:0pt;margin-left:379.45pt;margin-top:436.7pt;height:48.95pt;width:116.9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558" w:lineRule="exact"/>
                  <w:ind w:left="369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ascii="宋体" w:hAnsi="宋体" w:eastAsia="宋体" w:cs="宋体"/>
                    <w:spacing w:val="-15"/>
                    <w:position w:val="17"/>
                    <w:sz w:val="32"/>
                    <w:szCs w:val="32"/>
                  </w:rPr>
                  <w:t>衡山县财政局</w:t>
                </w:r>
              </w:p>
              <w:p>
                <w:pPr>
                  <w:spacing w:line="219" w:lineRule="auto"/>
                  <w:ind w:left="20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ascii="宋体" w:hAnsi="宋体" w:eastAsia="宋体" w:cs="宋体"/>
                    <w:spacing w:val="21"/>
                    <w:sz w:val="32"/>
                    <w:szCs w:val="32"/>
                  </w:rPr>
                  <w:t>2023年7月19日</w:t>
                </w:r>
              </w:p>
            </w:txbxContent>
          </v:textbox>
        </v:shape>
      </w:pict>
    </w: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BC487"/>
    <w:multiLevelType w:val="singleLevel"/>
    <w:tmpl w:val="01EBC4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88D9A5"/>
    <w:multiLevelType w:val="singleLevel"/>
    <w:tmpl w:val="4988D9A5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2NTZjZjQ2NmQ3MDc0ZWZmZGNkZGY5OTk3NTA4MTgifQ=="/>
  </w:docVars>
  <w:rsids>
    <w:rsidRoot w:val="00000000"/>
    <w:rsid w:val="02044498"/>
    <w:rsid w:val="02336A3A"/>
    <w:rsid w:val="06840B3B"/>
    <w:rsid w:val="07ED44BE"/>
    <w:rsid w:val="0DB0309C"/>
    <w:rsid w:val="0DB10023"/>
    <w:rsid w:val="0E99315B"/>
    <w:rsid w:val="0FF77685"/>
    <w:rsid w:val="10484987"/>
    <w:rsid w:val="109951E3"/>
    <w:rsid w:val="15CA5E3E"/>
    <w:rsid w:val="16EF53A5"/>
    <w:rsid w:val="170A508C"/>
    <w:rsid w:val="189866C8"/>
    <w:rsid w:val="1C147CF7"/>
    <w:rsid w:val="1CD50599"/>
    <w:rsid w:val="1D5F1562"/>
    <w:rsid w:val="1E85324A"/>
    <w:rsid w:val="2A1F09F7"/>
    <w:rsid w:val="3398021F"/>
    <w:rsid w:val="340824FC"/>
    <w:rsid w:val="38E35FF9"/>
    <w:rsid w:val="39072D82"/>
    <w:rsid w:val="3A3C4CAD"/>
    <w:rsid w:val="3CEA6C43"/>
    <w:rsid w:val="3F0900A0"/>
    <w:rsid w:val="401F30A7"/>
    <w:rsid w:val="405C39B3"/>
    <w:rsid w:val="43DC4549"/>
    <w:rsid w:val="47726EE6"/>
    <w:rsid w:val="485703E2"/>
    <w:rsid w:val="4987064A"/>
    <w:rsid w:val="49902920"/>
    <w:rsid w:val="4A510301"/>
    <w:rsid w:val="4A993A56"/>
    <w:rsid w:val="4CA9375C"/>
    <w:rsid w:val="4CC4300C"/>
    <w:rsid w:val="4DB0335D"/>
    <w:rsid w:val="4FEE214E"/>
    <w:rsid w:val="510347C9"/>
    <w:rsid w:val="51E67581"/>
    <w:rsid w:val="52E77C3C"/>
    <w:rsid w:val="53C90F08"/>
    <w:rsid w:val="56356D29"/>
    <w:rsid w:val="58353010"/>
    <w:rsid w:val="58B43E1C"/>
    <w:rsid w:val="58E84881"/>
    <w:rsid w:val="5C4557EC"/>
    <w:rsid w:val="5D11008D"/>
    <w:rsid w:val="5D577585"/>
    <w:rsid w:val="616C090E"/>
    <w:rsid w:val="63D85444"/>
    <w:rsid w:val="64E10284"/>
    <w:rsid w:val="65B7628A"/>
    <w:rsid w:val="66FB49CC"/>
    <w:rsid w:val="67486190"/>
    <w:rsid w:val="6917388C"/>
    <w:rsid w:val="71B836B6"/>
    <w:rsid w:val="722A0455"/>
    <w:rsid w:val="762A1882"/>
    <w:rsid w:val="78EF752F"/>
    <w:rsid w:val="7D7E4292"/>
    <w:rsid w:val="7F511C2E"/>
    <w:rsid w:val="7FD7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4235</Words>
  <Characters>4477</Characters>
  <TotalTime>2</TotalTime>
  <ScaleCrop>false</ScaleCrop>
  <LinksUpToDate>false</LinksUpToDate>
  <CharactersWithSpaces>4625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2023-07-20T15:23:00Z</dcterms:created>
  <dc:creator>Kingsoft-PDF</dc:creator>
  <cp:lastModifiedBy>洁儿</cp:lastModifiedBy>
  <dcterms:modified xsi:type="dcterms:W3CDTF">2023-08-16T01:15:39Z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2023-07-20T15:23:42Z</vt:filetime>
  </property>
  <property fmtid="{D5CDD505-2E9C-101B-9397-08002B2CF9AE}" pid="4" name="UsrData">
    <vt:lpwstr>64b8e0f831e116001f1dc528wl</vt:lpwstr>
  </property>
  <property fmtid="{D5CDD505-2E9C-101B-9397-08002B2CF9AE}" pid="5" name="KSOProductBuildVer">
    <vt:lpwstr>2052-12.1.0.15120</vt:lpwstr>
  </property>
  <property fmtid="{D5CDD505-2E9C-101B-9397-08002B2CF9AE}" pid="6" name="ICV">
    <vt:lpwstr>14EB4730D0CD4ED49B71F146D4E43BEA_13</vt:lpwstr>
  </property>
</Properties>
</file>