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8" w:lineRule="auto"/>
        <w:rPr>
          <w:rFonts w:ascii="Arial"/>
          <w:sz w:val="21"/>
        </w:rPr>
      </w:pPr>
    </w:p>
    <w:p>
      <w:pPr>
        <w:spacing w:before="471" w:line="219" w:lineRule="auto"/>
        <w:ind w:left="584"/>
        <w:rPr>
          <w:rFonts w:ascii="宋体" w:hAnsi="宋体" w:eastAsia="宋体" w:cs="宋体"/>
          <w:sz w:val="145"/>
          <w:szCs w:val="145"/>
        </w:rPr>
      </w:pPr>
      <w:r>
        <w:rPr>
          <w:rFonts w:ascii="宋体" w:hAnsi="宋体" w:eastAsia="宋体" w:cs="宋体"/>
          <w:b/>
          <w:bCs/>
          <w:color w:val="FE2100"/>
          <w:spacing w:val="-119"/>
          <w:w w:val="80"/>
          <w:sz w:val="145"/>
          <w:szCs w:val="145"/>
        </w:rPr>
        <w:t>衡山县财政局文件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220" w:lineRule="auto"/>
        <w:ind w:left="307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山财绩〔2023〕170号</w:t>
      </w:r>
    </w:p>
    <w:p>
      <w:pPr>
        <w:spacing w:before="134" w:line="60" w:lineRule="exact"/>
        <w:textAlignment w:val="center"/>
      </w:pPr>
      <w:r>
        <w:drawing>
          <wp:inline distT="0" distB="0" distL="0" distR="0">
            <wp:extent cx="579691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7517" cy="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143" w:line="226" w:lineRule="auto"/>
        <w:ind w:left="1336" w:right="1332" w:firstLine="34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关于开展2022年度衡山县财政</w:t>
      </w:r>
      <w:r>
        <w:rPr>
          <w:rFonts w:ascii="宋体" w:hAnsi="宋体" w:eastAsia="宋体" w:cs="宋体"/>
          <w:spacing w:val="3"/>
          <w:sz w:val="44"/>
          <w:szCs w:val="44"/>
        </w:rPr>
        <w:t xml:space="preserve">  </w:t>
      </w:r>
      <w:r>
        <w:rPr>
          <w:rFonts w:ascii="宋体" w:hAnsi="宋体" w:eastAsia="宋体" w:cs="宋体"/>
          <w:b/>
          <w:bCs/>
          <w:spacing w:val="-14"/>
          <w:sz w:val="44"/>
          <w:szCs w:val="44"/>
        </w:rPr>
        <w:t>预算整体支出绩效评价工作的通知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5" w:line="221" w:lineRule="auto"/>
        <w:ind w:left="4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各预算单位：</w:t>
      </w:r>
    </w:p>
    <w:p>
      <w:pPr>
        <w:spacing w:before="157" w:line="323" w:lineRule="auto"/>
        <w:ind w:left="449" w:right="310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为进一步规范财政资金管理，强化财政大绩效管理理念</w:t>
      </w:r>
      <w:r>
        <w:rPr>
          <w:rFonts w:ascii="仿宋" w:hAnsi="仿宋" w:eastAsia="仿宋" w:cs="仿宋"/>
          <w:spacing w:val="-15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推动“绩效管理提升年”行动在衡山落地生效，切实提高财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7"/>
          <w:sz w:val="32"/>
          <w:szCs w:val="32"/>
        </w:rPr>
        <w:t>政资金使用效益，根据《中华人民共和国预算法》、《中共中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央国务院关于全面实施预算绩效管理的意见》(中发〔2018〕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34号)精神、《中共湖南省委办公厅、省人民政府办公厅关于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全面实施预算绩效管理的实施意见》(湘办发</w:t>
      </w:r>
      <w:r>
        <w:rPr>
          <w:rFonts w:ascii="仿宋" w:hAnsi="仿宋" w:eastAsia="仿宋" w:cs="仿宋"/>
          <w:spacing w:val="-5"/>
          <w:sz w:val="32"/>
          <w:szCs w:val="32"/>
        </w:rPr>
        <w:t>〔2019〕10号)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和山财绩〔2023〕88号有关要求，现就做好2022年度衡山县</w:t>
      </w:r>
    </w:p>
    <w:p>
      <w:pPr>
        <w:spacing w:line="220" w:lineRule="auto"/>
        <w:ind w:left="4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财政预算整体支出绩效评价工作有关事项通知如下：</w:t>
      </w:r>
    </w:p>
    <w:p>
      <w:pPr>
        <w:spacing w:before="177" w:line="221" w:lineRule="auto"/>
        <w:ind w:left="108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一、绩效自评</w:t>
      </w:r>
    </w:p>
    <w:p>
      <w:pPr>
        <w:spacing w:before="172" w:line="223" w:lineRule="auto"/>
        <w:ind w:left="125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1"/>
          <w:sz w:val="32"/>
          <w:szCs w:val="32"/>
        </w:rPr>
        <w:t>(一)自评范围</w:t>
      </w:r>
    </w:p>
    <w:p>
      <w:pPr>
        <w:spacing w:before="201" w:line="221" w:lineRule="auto"/>
        <w:ind w:left="10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各预算单位2022年度绩效目标完成情况及实现程度。</w:t>
      </w:r>
    </w:p>
    <w:p>
      <w:pPr>
        <w:sectPr>
          <w:footerReference r:id="rId5" w:type="default"/>
          <w:pgSz w:w="11860" w:h="16800"/>
          <w:pgMar w:top="1428" w:right="1350" w:bottom="1146" w:left="1380" w:header="0" w:footer="1009" w:gutter="0"/>
          <w:cols w:space="720" w:num="1"/>
        </w:sectPr>
      </w:pPr>
    </w:p>
    <w:p>
      <w:pPr>
        <w:spacing w:before="64" w:line="223" w:lineRule="auto"/>
        <w:ind w:left="9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4"/>
          <w:sz w:val="31"/>
          <w:szCs w:val="31"/>
        </w:rPr>
        <w:t>(二)自评步骤</w:t>
      </w:r>
    </w:p>
    <w:p>
      <w:pPr>
        <w:spacing w:before="200" w:line="328" w:lineRule="auto"/>
        <w:ind w:right="21" w:firstLine="7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各预算单位根据2022年申报的整体支出及项目支出绩</w:t>
      </w:r>
      <w:r>
        <w:rPr>
          <w:rFonts w:ascii="仿宋" w:hAnsi="仿宋" w:eastAsia="仿宋" w:cs="仿宋"/>
          <w:spacing w:val="4"/>
          <w:sz w:val="31"/>
          <w:szCs w:val="31"/>
        </w:rPr>
        <w:t>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目标，按实际完成情况撰写《部门整体支出绩效自</w:t>
      </w:r>
      <w:r>
        <w:rPr>
          <w:rFonts w:ascii="仿宋" w:hAnsi="仿宋" w:eastAsia="仿宋" w:cs="仿宋"/>
          <w:spacing w:val="-13"/>
          <w:sz w:val="31"/>
          <w:szCs w:val="31"/>
        </w:rPr>
        <w:t>评报告》(附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件1)及《预算支出绩效自评表》(附件2),并根据一级指标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总分值，在分值范围内对三级指标进行合理赋分。根据赋分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分值和完成情况，计算三级指标各项实际得分及总得分。对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于年底绩效指标未完成且超过20%的，在自评报告中要逐项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说明偏离绩效目标形成差异的原因及后续改进措施。</w:t>
      </w:r>
    </w:p>
    <w:p>
      <w:pPr>
        <w:spacing w:before="222" w:line="227" w:lineRule="auto"/>
        <w:ind w:left="88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9"/>
          <w:sz w:val="31"/>
          <w:szCs w:val="31"/>
        </w:rPr>
        <w:t>(三)报送时间</w:t>
      </w:r>
    </w:p>
    <w:p>
      <w:pPr>
        <w:spacing w:before="177" w:line="335" w:lineRule="auto"/>
        <w:ind w:right="41" w:firstLine="7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各预算单位应在2023年8月11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日前完成自评工作，并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向财政部门报送《部门整体支出绩效自评报告》及《预算支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出绩效自评表》纸质版。</w:t>
      </w:r>
    </w:p>
    <w:p>
      <w:pPr>
        <w:spacing w:before="177" w:line="223" w:lineRule="auto"/>
        <w:ind w:left="86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3"/>
          <w:sz w:val="31"/>
          <w:szCs w:val="31"/>
        </w:rPr>
        <w:t>(四)自评要求</w:t>
      </w:r>
    </w:p>
    <w:p>
      <w:pPr>
        <w:spacing w:before="199" w:line="328" w:lineRule="auto"/>
        <w:ind w:right="60" w:firstLine="8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(1)各预算单位应高度重视绩效自评工作，积极开展绩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效自评，全面准确、客观真实反映绩效目标完成情况及实现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程度。各预算单位对绩效自评的真实性、客观性和准确性负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责，《部门整体支出绩效自评报告》、《预算支出绩效自评表》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应报单位负责人审核签字并盖具公章。</w:t>
      </w:r>
    </w:p>
    <w:p>
      <w:pPr>
        <w:spacing w:before="182" w:line="327" w:lineRule="auto"/>
        <w:ind w:right="116" w:firstLine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(2)各预算单位应填报《部门整体支出绩效自评报告》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及《预算支出绩效自评表》</w:t>
      </w:r>
      <w:r>
        <w:rPr>
          <w:rFonts w:ascii="仿宋" w:hAnsi="仿宋" w:eastAsia="仿宋" w:cs="仿宋"/>
          <w:spacing w:val="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一式三份，</w:t>
      </w:r>
      <w:r>
        <w:rPr>
          <w:rFonts w:ascii="仿宋" w:hAnsi="仿宋" w:eastAsia="仿宋" w:cs="仿宋"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一份报财政</w:t>
      </w:r>
      <w:r>
        <w:rPr>
          <w:rFonts w:ascii="仿宋" w:hAnsi="仿宋" w:eastAsia="仿宋" w:cs="仿宋"/>
          <w:spacing w:val="-12"/>
          <w:sz w:val="31"/>
          <w:szCs w:val="31"/>
        </w:rPr>
        <w:t>归口管理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股室、中心，</w:t>
      </w:r>
      <w:r>
        <w:rPr>
          <w:rFonts w:ascii="仿宋" w:hAnsi="仿宋" w:eastAsia="仿宋" w:cs="仿宋"/>
          <w:spacing w:val="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一份报财政局绩效管理股，</w:t>
      </w:r>
      <w:r>
        <w:rPr>
          <w:rFonts w:ascii="仿宋" w:hAnsi="仿宋" w:eastAsia="仿宋" w:cs="仿宋"/>
          <w:spacing w:val="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一份由单位自行留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存。</w:t>
      </w:r>
    </w:p>
    <w:p>
      <w:pPr>
        <w:spacing w:before="187" w:line="547" w:lineRule="exact"/>
        <w:ind w:left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7"/>
          <w:sz w:val="31"/>
          <w:szCs w:val="31"/>
        </w:rPr>
        <w:t>(3)各乡镇先统一报送乡镇财政服务中心初审后交至绩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效管理股复审，教育系统单位先交由教育局初审后统一交至</w:t>
      </w:r>
    </w:p>
    <w:p>
      <w:pPr>
        <w:sectPr>
          <w:footerReference r:id="rId6" w:type="default"/>
          <w:pgSz w:w="11860" w:h="16800"/>
          <w:pgMar w:top="1426" w:right="1779" w:bottom="1285" w:left="1739" w:header="0" w:footer="1136" w:gutter="0"/>
          <w:cols w:space="720" w:num="1"/>
        </w:sectPr>
      </w:pPr>
    </w:p>
    <w:p>
      <w:pPr>
        <w:spacing w:before="170" w:line="334" w:lineRule="auto"/>
        <w:ind w:left="60" w:right="10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财政部门复审，卫生系统单位先交由卫健局初审后统一交至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财政部门复审，其余预算单位先报送各业务归口</w:t>
      </w:r>
      <w:r>
        <w:rPr>
          <w:rFonts w:ascii="仿宋" w:hAnsi="仿宋" w:eastAsia="仿宋" w:cs="仿宋"/>
          <w:spacing w:val="4"/>
          <w:sz w:val="31"/>
          <w:szCs w:val="31"/>
        </w:rPr>
        <w:t>管理股室初</w:t>
      </w:r>
    </w:p>
    <w:p>
      <w:pPr>
        <w:spacing w:line="222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审后交至绩效管理股复审。</w:t>
      </w:r>
    </w:p>
    <w:p>
      <w:pPr>
        <w:spacing w:before="183" w:line="333" w:lineRule="auto"/>
        <w:ind w:left="60" w:right="112" w:firstLine="7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(4)各预算单位应按照“非涉密，全公开”的原则，将 </w:t>
      </w:r>
      <w:r>
        <w:rPr>
          <w:rFonts w:ascii="仿宋" w:hAnsi="仿宋" w:eastAsia="仿宋" w:cs="仿宋"/>
          <w:spacing w:val="-8"/>
          <w:sz w:val="31"/>
          <w:szCs w:val="31"/>
        </w:rPr>
        <w:t>报送财政的《部门整体支出绩效自评报告》、《预算支出绩效</w:t>
      </w:r>
    </w:p>
    <w:p>
      <w:pPr>
        <w:spacing w:line="219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自评表》及时在政府门户网站进行公开。</w:t>
      </w:r>
    </w:p>
    <w:p>
      <w:pPr>
        <w:spacing w:before="196" w:line="333" w:lineRule="auto"/>
        <w:ind w:left="30" w:firstLine="7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(5)9月绩效评价股将对各预算单位的2023年绩效目标、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2022年度整体支出自评报告和2022年度预算支出绩效自评表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公示情况进行检查，对公示情况不理想的单位纳</w:t>
      </w:r>
      <w:r>
        <w:rPr>
          <w:rFonts w:ascii="仿宋" w:hAnsi="仿宋" w:eastAsia="仿宋" w:cs="仿宋"/>
          <w:spacing w:val="5"/>
          <w:sz w:val="31"/>
          <w:szCs w:val="31"/>
        </w:rPr>
        <w:t>入县政府对</w:t>
      </w:r>
    </w:p>
    <w:p>
      <w:pPr>
        <w:spacing w:before="2" w:line="220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各单位的年终绩效考核计分。</w:t>
      </w:r>
    </w:p>
    <w:p>
      <w:pPr>
        <w:spacing w:before="187" w:line="222" w:lineRule="auto"/>
        <w:ind w:left="67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6"/>
          <w:sz w:val="31"/>
          <w:szCs w:val="31"/>
        </w:rPr>
        <w:t>二、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1"/>
          <w:szCs w:val="31"/>
        </w:rPr>
        <w:t>抽查复核</w:t>
      </w:r>
    </w:p>
    <w:p>
      <w:pPr>
        <w:spacing w:before="191" w:line="333" w:lineRule="auto"/>
        <w:ind w:left="60" w:right="102" w:firstLine="6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为切实提升绩效自评质量，压实支出责任，提高财</w:t>
      </w:r>
      <w:r>
        <w:rPr>
          <w:rFonts w:ascii="仿宋" w:hAnsi="仿宋" w:eastAsia="仿宋" w:cs="仿宋"/>
          <w:spacing w:val="5"/>
          <w:sz w:val="31"/>
          <w:szCs w:val="31"/>
        </w:rPr>
        <w:t>政资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源配置效率和使用效益，县财政局根据对各预算单位绩效自</w:t>
      </w:r>
    </w:p>
    <w:p>
      <w:pPr>
        <w:spacing w:before="1" w:line="220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评结果的审核情况，将抽取部分单位进行绩效再评。</w:t>
      </w:r>
    </w:p>
    <w:p>
      <w:pPr>
        <w:spacing w:before="186" w:line="225" w:lineRule="auto"/>
        <w:ind w:left="84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0"/>
          <w:sz w:val="31"/>
          <w:szCs w:val="31"/>
        </w:rPr>
        <w:t>(一)复核对象</w:t>
      </w:r>
    </w:p>
    <w:p>
      <w:pPr>
        <w:spacing w:before="184" w:line="560" w:lineRule="exact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8"/>
          <w:sz w:val="31"/>
          <w:szCs w:val="31"/>
        </w:rPr>
        <w:t>按照不低于县级预算部门总数的50%,优先选择预算金</w:t>
      </w:r>
    </w:p>
    <w:p>
      <w:pPr>
        <w:spacing w:before="1" w:line="220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额较大、自评满分占比较高的部门，开展抽查复核工作。</w:t>
      </w:r>
    </w:p>
    <w:p>
      <w:pPr>
        <w:spacing w:before="194" w:line="223" w:lineRule="auto"/>
        <w:ind w:left="84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5"/>
          <w:sz w:val="31"/>
          <w:szCs w:val="31"/>
        </w:rPr>
        <w:t>(二)复核工作方式</w:t>
      </w:r>
    </w:p>
    <w:p>
      <w:pPr>
        <w:spacing w:before="193" w:line="328" w:lineRule="auto"/>
        <w:ind w:left="60" w:right="109" w:firstLine="6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采取“绩效评价股+业务股室+预算单位”的方式，通过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审核自评材料、查看台账资料、实地调查等方式开展抽查</w:t>
      </w:r>
      <w:r>
        <w:rPr>
          <w:rFonts w:ascii="仿宋" w:hAnsi="仿宋" w:eastAsia="仿宋" w:cs="仿宋"/>
          <w:spacing w:val="3"/>
          <w:sz w:val="31"/>
          <w:szCs w:val="31"/>
        </w:rPr>
        <w:t>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核工作。重点关注自评工作开展情况、资金使用情况、各项</w:t>
      </w:r>
    </w:p>
    <w:p>
      <w:pPr>
        <w:spacing w:line="222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指标完成情况、取得的效益等方面。</w:t>
      </w:r>
    </w:p>
    <w:p>
      <w:pPr>
        <w:spacing w:before="218" w:line="222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复核评价时间</w:t>
      </w:r>
    </w:p>
    <w:p>
      <w:pPr>
        <w:spacing w:before="173" w:line="220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县财政局自8月11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日至9月1日开展抽查复</w:t>
      </w:r>
      <w:r>
        <w:rPr>
          <w:rFonts w:ascii="仿宋" w:hAnsi="仿宋" w:eastAsia="仿宋" w:cs="仿宋"/>
          <w:spacing w:val="18"/>
          <w:sz w:val="31"/>
          <w:szCs w:val="31"/>
        </w:rPr>
        <w:t>核工作。</w:t>
      </w:r>
    </w:p>
    <w:p>
      <w:pPr>
        <w:sectPr>
          <w:footerReference r:id="rId7" w:type="default"/>
          <w:pgSz w:w="11860" w:h="16800"/>
          <w:pgMar w:top="1428" w:right="1724" w:bottom="1165" w:left="1779" w:header="0" w:footer="1016" w:gutter="0"/>
          <w:cols w:space="720" w:num="1"/>
        </w:sectPr>
      </w:pPr>
    </w:p>
    <w:p>
      <w:pPr>
        <w:spacing w:before="78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6"/>
          <w:sz w:val="31"/>
          <w:szCs w:val="31"/>
        </w:rPr>
        <w:t>三、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1"/>
          <w:szCs w:val="31"/>
        </w:rPr>
        <w:t>现场评价</w:t>
      </w:r>
    </w:p>
    <w:p>
      <w:pPr>
        <w:spacing w:before="186" w:line="334" w:lineRule="auto"/>
        <w:ind w:right="114" w:firstLine="6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为全面掌握各预算单位2022年度资金使用情况及取得的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效果，进一步规范和加强资金管理，切实提高财政资金使用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效益，根据上级有关文件要求，县财政局将从</w:t>
      </w:r>
      <w:r>
        <w:rPr>
          <w:rFonts w:ascii="仿宋" w:hAnsi="仿宋" w:eastAsia="仿宋" w:cs="仿宋"/>
          <w:spacing w:val="14"/>
          <w:sz w:val="31"/>
          <w:szCs w:val="31"/>
        </w:rPr>
        <w:t>2023年9月1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日开始组织中介机构对2022年度部分县级财</w:t>
      </w:r>
      <w:r>
        <w:rPr>
          <w:rFonts w:ascii="仿宋" w:hAnsi="仿宋" w:eastAsia="仿宋" w:cs="仿宋"/>
          <w:spacing w:val="2"/>
          <w:sz w:val="31"/>
          <w:szCs w:val="31"/>
        </w:rPr>
        <w:t>政支出项目及部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门整体支出开展现场绩效评价。</w:t>
      </w:r>
    </w:p>
    <w:p>
      <w:pPr>
        <w:spacing w:before="179" w:line="223" w:lineRule="auto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4"/>
          <w:sz w:val="31"/>
          <w:szCs w:val="31"/>
        </w:rPr>
        <w:t>(一)评价对象</w:t>
      </w:r>
    </w:p>
    <w:p>
      <w:pPr>
        <w:spacing w:before="192" w:line="334" w:lineRule="auto"/>
        <w:ind w:right="114" w:firstLine="6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一是按照要求全覆盖所有单位的评价原则，对近三年以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来没有进行现场评价的预算单位列为今年的评价对象。二是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就各预算单位自评结果的复核情况抽取部分单位进行现场评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价。</w:t>
      </w:r>
    </w:p>
    <w:p>
      <w:pPr>
        <w:spacing w:before="167" w:line="223" w:lineRule="auto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0"/>
          <w:sz w:val="31"/>
          <w:szCs w:val="31"/>
        </w:rPr>
        <w:t>(二)评价内容</w:t>
      </w:r>
    </w:p>
    <w:p>
      <w:pPr>
        <w:spacing w:before="206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1、资金政策情况</w:t>
      </w:r>
    </w:p>
    <w:p>
      <w:pPr>
        <w:spacing w:before="178" w:line="332" w:lineRule="auto"/>
        <w:ind w:right="111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包括设立专项(项目)资金的政策依据是否充分、绩效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目标是否科学；政策实施的环境和条件是否发生了变化；是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否出现了适用范围相似或相近的政策、可否归并或整合。</w:t>
      </w:r>
    </w:p>
    <w:p>
      <w:pPr>
        <w:spacing w:before="205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2、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资金管理情况</w:t>
      </w:r>
    </w:p>
    <w:p>
      <w:pPr>
        <w:spacing w:before="176" w:line="333" w:lineRule="auto"/>
        <w:ind w:right="124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包括整合后的专项资金管理办法制定情况；专项资金主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管部门内部是否实现了统一管理，项目申报和确定是否严格执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行了相关专项资金管理办法。</w:t>
      </w:r>
    </w:p>
    <w:p>
      <w:pPr>
        <w:spacing w:before="192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3、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资金安排情况</w:t>
      </w:r>
    </w:p>
    <w:p>
      <w:pPr>
        <w:spacing w:before="183" w:line="334" w:lineRule="auto"/>
        <w:ind w:right="145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包括项目安排是否“散、小、乱”;是否存在</w:t>
      </w:r>
      <w:r>
        <w:rPr>
          <w:rFonts w:ascii="仿宋" w:hAnsi="仿宋" w:eastAsia="仿宋" w:cs="仿宋"/>
          <w:spacing w:val="-2"/>
          <w:sz w:val="31"/>
          <w:szCs w:val="31"/>
        </w:rPr>
        <w:t>多头申报、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重复安排资金的情况；是否存在通过“化整为零”的方式逃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避政府采购的问题；是否按有关规定实行了公开招投标；是</w:t>
      </w:r>
    </w:p>
    <w:p>
      <w:pPr>
        <w:sectPr>
          <w:footerReference r:id="rId8" w:type="default"/>
          <w:pgSz w:w="11860" w:h="16800"/>
          <w:pgMar w:top="1428" w:right="1779" w:bottom="1256" w:left="1749" w:header="0" w:footer="1119" w:gutter="0"/>
          <w:cols w:space="720" w:num="1"/>
        </w:sectPr>
      </w:pPr>
    </w:p>
    <w:p>
      <w:pPr>
        <w:spacing w:before="147" w:line="584" w:lineRule="exact"/>
        <w:ind w:left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9"/>
          <w:sz w:val="32"/>
          <w:szCs w:val="32"/>
        </w:rPr>
        <w:t>否存在不按专家评审结果确定项目的情况；项目单位承诺的</w:t>
      </w:r>
    </w:p>
    <w:p>
      <w:pPr>
        <w:spacing w:before="1" w:line="221" w:lineRule="auto"/>
        <w:ind w:left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相关配套资金是否按时到位。</w:t>
      </w:r>
    </w:p>
    <w:p>
      <w:pPr>
        <w:spacing w:before="187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4、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资金使用情况</w:t>
      </w:r>
    </w:p>
    <w:p>
      <w:pPr>
        <w:spacing w:before="140" w:line="329" w:lineRule="auto"/>
        <w:ind w:left="50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包括资金使用单位财务制度是否健全、会计核算是否规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范、资金管理是否严格，是否按计划使用资金，是否按时、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按质、按量完成项目投资和建设任务，有无资金缺口或结余，</w:t>
      </w:r>
    </w:p>
    <w:p>
      <w:pPr>
        <w:spacing w:line="220" w:lineRule="auto"/>
        <w:ind w:left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有无浪费行为，有无挤占挪用或套取资金等现象。</w:t>
      </w:r>
    </w:p>
    <w:p>
      <w:pPr>
        <w:spacing w:before="172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5、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资金绩效情况</w:t>
      </w:r>
    </w:p>
    <w:p>
      <w:pPr>
        <w:spacing w:before="151" w:line="323" w:lineRule="auto"/>
        <w:ind w:left="50" w:right="68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根据现场评价取得的第一手资料，围绕绩效目标，</w:t>
      </w:r>
      <w:r>
        <w:rPr>
          <w:rFonts w:ascii="仿宋" w:hAnsi="仿宋" w:eastAsia="仿宋" w:cs="仿宋"/>
          <w:spacing w:val="-4"/>
          <w:sz w:val="32"/>
          <w:szCs w:val="32"/>
        </w:rPr>
        <w:t>通过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横向比较、纵向分析、问卷调查等方式，对专项资金使用的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经济性、公平性、效率性、效益性和实施效果的可持</w:t>
      </w:r>
      <w:r>
        <w:rPr>
          <w:rFonts w:ascii="仿宋" w:hAnsi="仿宋" w:eastAsia="仿宋" w:cs="仿宋"/>
          <w:spacing w:val="-6"/>
          <w:sz w:val="32"/>
          <w:szCs w:val="32"/>
        </w:rPr>
        <w:t>续性进</w:t>
      </w:r>
    </w:p>
    <w:p>
      <w:pPr>
        <w:spacing w:line="220" w:lineRule="auto"/>
        <w:ind w:left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行评价，并提出政策性建议。</w:t>
      </w:r>
    </w:p>
    <w:p>
      <w:pPr>
        <w:spacing w:before="198" w:line="222" w:lineRule="auto"/>
        <w:ind w:left="665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3"/>
          <w:sz w:val="32"/>
          <w:szCs w:val="32"/>
        </w:rPr>
        <w:t>四、</w:t>
      </w:r>
      <w:r>
        <w:rPr>
          <w:rFonts w:ascii="黑体" w:hAnsi="黑体" w:eastAsia="黑体" w:cs="黑体"/>
          <w:spacing w:val="-94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32"/>
          <w:szCs w:val="32"/>
        </w:rPr>
        <w:t>工作要求</w:t>
      </w:r>
    </w:p>
    <w:p>
      <w:pPr>
        <w:spacing w:before="158" w:line="227" w:lineRule="auto"/>
        <w:ind w:left="86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0"/>
          <w:sz w:val="32"/>
          <w:szCs w:val="32"/>
        </w:rPr>
        <w:t>(一)高度重视</w:t>
      </w:r>
    </w:p>
    <w:p>
      <w:pPr>
        <w:spacing w:before="165" w:line="323" w:lineRule="auto"/>
        <w:ind w:left="50" w:right="109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全面实施预算绩效管理是党中央、国务院作出的重大决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策，是优化财政资源配置、提升公共服务质量的关键举措，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各单位要高度重视绩效评价工作，积极组织力量，加强联系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沟通和协同配合，形成合力，为巩固全方位全过程全覆盖的</w:t>
      </w:r>
    </w:p>
    <w:p>
      <w:pPr>
        <w:spacing w:line="220" w:lineRule="auto"/>
        <w:ind w:left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预算绩效管理体系作出积极贡献。</w:t>
      </w:r>
    </w:p>
    <w:p>
      <w:pPr>
        <w:spacing w:before="196" w:line="224" w:lineRule="auto"/>
        <w:ind w:left="86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1"/>
          <w:sz w:val="32"/>
          <w:szCs w:val="32"/>
        </w:rPr>
        <w:t>(二)压实责任</w:t>
      </w:r>
    </w:p>
    <w:p>
      <w:pPr>
        <w:spacing w:before="143" w:line="330" w:lineRule="auto"/>
        <w:ind w:left="50" w:right="97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各预算单位要提高思想认识，认真履行绩效管理主体责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任，严格落实绩效评价相关工作管理办法和规程要求，规范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评价组织实施，提高评价工作质量，确保绩效评价的独立、</w:t>
      </w:r>
    </w:p>
    <w:p>
      <w:pPr>
        <w:spacing w:line="223" w:lineRule="auto"/>
        <w:ind w:left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客观、公正。</w:t>
      </w:r>
    </w:p>
    <w:p>
      <w:pPr>
        <w:sectPr>
          <w:footerReference r:id="rId9" w:type="default"/>
          <w:pgSz w:w="11860" w:h="16800"/>
          <w:pgMar w:top="1428" w:right="1739" w:bottom="1174" w:left="1779" w:header="0" w:footer="1026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4" w:line="224" w:lineRule="auto"/>
        <w:ind w:left="81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1"/>
          <w:sz w:val="32"/>
          <w:szCs w:val="32"/>
        </w:rPr>
        <w:t>(三)结果应用</w:t>
      </w:r>
    </w:p>
    <w:p>
      <w:pPr>
        <w:spacing w:before="154" w:line="572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position w:val="18"/>
          <w:sz w:val="32"/>
          <w:szCs w:val="32"/>
        </w:rPr>
        <w:t>1、各乡镇、部门单位要对绩效评价工作中发现的问题认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真分析原因、明确责任，积极落实整改。</w:t>
      </w:r>
    </w:p>
    <w:p>
      <w:pPr>
        <w:spacing w:before="184" w:line="330" w:lineRule="auto"/>
        <w:ind w:right="141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2、本次绩效评价工作将纳入县政府对各乡镇、部门单位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的年终绩效考核计分，并作为安排后续年度预算资金的重要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依据。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4" w:line="570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position w:val="18"/>
          <w:sz w:val="32"/>
          <w:szCs w:val="32"/>
        </w:rPr>
        <w:t>附件：1.</w:t>
      </w:r>
      <w:r>
        <w:rPr>
          <w:rFonts w:ascii="仿宋" w:hAnsi="仿宋" w:eastAsia="仿宋" w:cs="仿宋"/>
          <w:spacing w:val="11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position w:val="18"/>
          <w:sz w:val="32"/>
          <w:szCs w:val="32"/>
        </w:rPr>
        <w:t>《2022年度部门整体支出绩效自评报告》</w:t>
      </w:r>
    </w:p>
    <w:p>
      <w:pPr>
        <w:spacing w:before="1" w:line="221" w:lineRule="auto"/>
        <w:ind w:left="15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2.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《2022年度预算支出绩效自评表》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339" w:lineRule="exact"/>
        <w:ind w:firstLine="5940"/>
        <w:textAlignment w:val="center"/>
      </w:pPr>
      <w:r>
        <w:drawing>
          <wp:inline distT="0" distB="0" distL="0" distR="0">
            <wp:extent cx="1485265" cy="14852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5886" cy="14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0" w:type="default"/>
          <w:pgSz w:w="11860" w:h="16800"/>
          <w:pgMar w:top="1428" w:right="1779" w:bottom="1268" w:left="1709" w:header="0" w:footer="1129" w:gutter="0"/>
          <w:cols w:space="720" w:num="1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/>
          <w:sz w:val="48"/>
          <w:szCs w:val="48"/>
        </w:rPr>
        <w:t>20</w:t>
      </w:r>
      <w:r>
        <w:rPr>
          <w:rFonts w:hint="eastAsia" w:ascii="方正小标宋_GBK" w:eastAsia="方正小标宋_GBK"/>
          <w:sz w:val="48"/>
          <w:szCs w:val="48"/>
        </w:rPr>
        <w:t>2</w:t>
      </w:r>
      <w:r>
        <w:rPr>
          <w:rFonts w:hint="eastAsia" w:ascii="方正小标宋_GBK" w:eastAsia="方正小标宋_GBK"/>
          <w:sz w:val="48"/>
          <w:szCs w:val="48"/>
          <w:lang w:val="en-US" w:eastAsia="zh-CN"/>
        </w:rPr>
        <w:t>2</w:t>
      </w:r>
      <w:r>
        <w:rPr>
          <w:rFonts w:hint="eastAsia" w:ascii="方正小标宋_GBK" w:eastAsia="方正小标宋_GBK"/>
          <w:sz w:val="48"/>
          <w:szCs w:val="48"/>
        </w:rPr>
        <w:t>年度部门整体支出绩效自评报告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ind w:left="5280" w:hanging="5280" w:hangingChars="1200"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单位名称（盖章）</w:t>
      </w:r>
      <w:r>
        <w:rPr>
          <w:rFonts w:hint="eastAsia" w:ascii="黑体" w:eastAsia="黑体"/>
          <w:sz w:val="44"/>
          <w:szCs w:val="44"/>
          <w:lang w:val="en-US" w:eastAsia="zh-CN"/>
        </w:rPr>
        <w:t>中共</w:t>
      </w:r>
      <w:r>
        <w:rPr>
          <w:rFonts w:hint="eastAsia" w:ascii="黑体" w:eastAsia="黑体"/>
          <w:sz w:val="44"/>
          <w:szCs w:val="44"/>
        </w:rPr>
        <w:t>衡山县</w:t>
      </w:r>
      <w:r>
        <w:rPr>
          <w:rFonts w:hint="eastAsia" w:ascii="黑体" w:eastAsia="黑体"/>
          <w:sz w:val="44"/>
          <w:szCs w:val="44"/>
          <w:lang w:val="en-US" w:eastAsia="zh-CN"/>
        </w:rPr>
        <w:t>委网络安全和信息化  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衡山县委网信办</w:t>
      </w:r>
      <w:r>
        <w:rPr>
          <w:rFonts w:hint="eastAsia" w:ascii="方正粗黑宋简体" w:hAnsi="方正粗黑宋简体" w:eastAsia="方正粗黑宋简体" w:cs="方正粗黑宋简体"/>
          <w:sz w:val="44"/>
          <w:szCs w:val="44"/>
        </w:rPr>
        <w:t>2022年度部门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</w:rPr>
        <w:t>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)人员编制情况</w:t>
      </w:r>
    </w:p>
    <w:p>
      <w:pPr>
        <w:pStyle w:val="7"/>
        <w:keepNext w:val="0"/>
        <w:keepLines w:val="0"/>
        <w:pageBreakBefore w:val="0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根据县委《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关于印发中共衡山县委网络安全和信息化委员会办公室职能配置、内设机构和人员编制规定的通知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》（山办[2019]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20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号）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文件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精神，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中共衡山县委网络安全和信息化委员会办公室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（简称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县委网信办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）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是中共衡山县委网络安全和信息化委员会的办事机构，为正科级单位， 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共有编制13名，实有人数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9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人，其中财政供养在职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9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人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离退休0人。 内设机构3个股室(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综合股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、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网络宣传舆情应急和管理执法股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、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网络安全协调和数据技术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</w:rPr>
        <w:t>股)</w:t>
      </w: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/>
          <w:lang w:val="en-US" w:eastAsia="zh-CN"/>
        </w:rPr>
        <w:t>和1个所属事业单位衡山县网络信息数据中心。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)部门主要职责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 w:color="auto" w:fill="auto"/>
          <w:lang w:val="en-US" w:eastAsia="zh-CN" w:bidi="ar-SA"/>
        </w:rPr>
        <w:t>主要职责：负责处理县委网信委日常事务工作；组织研究起草全县网络安全和信息化发展战略、宏观规划和重大政策；组织实施网络意识形态工作责任制和网络安全工作责任制的考核；负责全县网络舆情管理和互联网信息内容管理，统筹协调组织互联网宣传管理和舆论引导工作；会同有关部门协调推进全县信息化工作；负责协调处理网络安全和信息化重大突发事件与有关应急工作；推动全县网络社会工作和网络文化、网络文明建设；负责指导全县互联网行业党建工作等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position w:val="0"/>
          <w:sz w:val="28"/>
          <w:szCs w:val="28"/>
          <w:u w:val="none"/>
          <w:shd w:val="clear" w:color="auto" w:fill="auto"/>
          <w:lang w:val="en-US" w:eastAsia="zh-CN" w:bidi="ar-SA"/>
        </w:rPr>
        <w:t>工作情况：2022年，衡山县委网信办认真贯彻落实上级政策和县委县政府安排，积极履行自身职责，廉洁自律，规范高效的原则，严格执行部门预算、核算、决算各环节工作，经县委县政府年终目标考核，完成了全年各项工作任务，机关运行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二、预算支出及绩效情况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(一)部门预决算情况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1.部门预算情况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2022年年初收入预算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99.86</w:t>
      </w:r>
      <w:r>
        <w:rPr>
          <w:rFonts w:hint="eastAsia" w:ascii="仿宋" w:hAnsi="仿宋" w:eastAsia="仿宋" w:cs="仿宋"/>
          <w:sz w:val="28"/>
          <w:szCs w:val="28"/>
        </w:rPr>
        <w:t>万元，其中，一般公共预算拨款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99.86</w:t>
      </w:r>
      <w:r>
        <w:rPr>
          <w:rFonts w:hint="eastAsia" w:ascii="仿宋" w:hAnsi="仿宋" w:eastAsia="仿宋" w:cs="仿宋"/>
          <w:sz w:val="28"/>
          <w:szCs w:val="28"/>
        </w:rPr>
        <w:t>万元；2022年年初预算安排支出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99.86</w:t>
      </w:r>
      <w:r>
        <w:rPr>
          <w:rFonts w:hint="eastAsia" w:ascii="仿宋" w:hAnsi="仿宋" w:eastAsia="仿宋" w:cs="仿宋"/>
          <w:sz w:val="28"/>
          <w:szCs w:val="28"/>
        </w:rPr>
        <w:t>万元，其中：基本支出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90.86</w:t>
      </w:r>
      <w:r>
        <w:rPr>
          <w:rFonts w:hint="eastAsia" w:ascii="仿宋" w:hAnsi="仿宋" w:eastAsia="仿宋" w:cs="仿宋"/>
          <w:sz w:val="28"/>
          <w:szCs w:val="28"/>
        </w:rPr>
        <w:t>万元， 项目支出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2.部门决算情况(含年中预算追加情况)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2022年决算总收入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128.69</w:t>
      </w:r>
      <w:r>
        <w:rPr>
          <w:rFonts w:hint="eastAsia" w:ascii="仿宋" w:hAnsi="仿宋" w:eastAsia="仿宋" w:cs="仿宋"/>
          <w:sz w:val="28"/>
          <w:szCs w:val="28"/>
        </w:rPr>
        <w:t>万元，较预算增加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28.83</w:t>
      </w:r>
      <w:r>
        <w:rPr>
          <w:rFonts w:hint="eastAsia" w:ascii="仿宋" w:hAnsi="仿宋" w:eastAsia="仿宋" w:cs="仿宋"/>
          <w:sz w:val="28"/>
          <w:szCs w:val="28"/>
        </w:rPr>
        <w:t>万元，总支出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128.69</w:t>
      </w:r>
      <w:r>
        <w:rPr>
          <w:rFonts w:hint="eastAsia" w:ascii="仿宋" w:hAnsi="仿宋" w:eastAsia="仿宋" w:cs="仿宋"/>
          <w:sz w:val="28"/>
          <w:szCs w:val="28"/>
        </w:rPr>
        <w:t>万元， 其中： 基本支出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103.98</w:t>
      </w:r>
      <w:r>
        <w:rPr>
          <w:rFonts w:hint="eastAsia" w:ascii="仿宋" w:hAnsi="仿宋" w:eastAsia="仿宋" w:cs="仿宋"/>
          <w:sz w:val="28"/>
          <w:szCs w:val="28"/>
        </w:rPr>
        <w:t>万元，占总支出的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80.8</w:t>
      </w:r>
      <w:r>
        <w:rPr>
          <w:rFonts w:hint="eastAsia" w:ascii="仿宋" w:hAnsi="仿宋" w:eastAsia="仿宋" w:cs="仿宋"/>
          <w:sz w:val="28"/>
          <w:szCs w:val="28"/>
        </w:rPr>
        <w:t>%； 项目支出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24.71</w:t>
      </w:r>
      <w:r>
        <w:rPr>
          <w:rFonts w:hint="eastAsia" w:ascii="仿宋" w:hAnsi="仿宋" w:eastAsia="仿宋" w:cs="仿宋"/>
          <w:sz w:val="28"/>
          <w:szCs w:val="28"/>
        </w:rPr>
        <w:t>万元， 占总支出的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19.2</w:t>
      </w:r>
      <w:r>
        <w:rPr>
          <w:rFonts w:hint="eastAsia" w:ascii="仿宋" w:hAnsi="仿宋" w:eastAsia="仿宋" w:cs="仿宋"/>
          <w:sz w:val="28"/>
          <w:szCs w:val="28"/>
        </w:rPr>
        <w:t>%。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全年收支平衡，无结余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“三公"经费执行情况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2022年“三公"经费预算数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2.55</w:t>
      </w:r>
      <w:r>
        <w:rPr>
          <w:rFonts w:hint="eastAsia" w:ascii="仿宋" w:hAnsi="仿宋" w:eastAsia="仿宋" w:cs="仿宋"/>
          <w:sz w:val="28"/>
          <w:szCs w:val="28"/>
        </w:rPr>
        <w:t>万元，其中：因公出国(境)费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万元，公务用车购置及运行维护费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万元，公务接待费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2.55</w:t>
      </w:r>
      <w:r>
        <w:rPr>
          <w:rFonts w:hint="eastAsia" w:ascii="仿宋" w:hAnsi="仿宋" w:eastAsia="仿宋" w:cs="仿宋"/>
          <w:sz w:val="28"/>
          <w:szCs w:val="28"/>
        </w:rPr>
        <w:t>万元。  “三公"经费决算数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0.34</w:t>
      </w:r>
      <w:r>
        <w:rPr>
          <w:rFonts w:hint="eastAsia" w:ascii="仿宋" w:hAnsi="仿宋" w:eastAsia="仿宋" w:cs="仿宋"/>
          <w:sz w:val="28"/>
          <w:szCs w:val="28"/>
        </w:rPr>
        <w:t>元，其中：因公出国(境)费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万元，公务用车运行维护费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万元，公务接待费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0.34</w:t>
      </w:r>
      <w:r>
        <w:rPr>
          <w:rFonts w:hint="eastAsia" w:ascii="仿宋" w:hAnsi="仿宋" w:eastAsia="仿宋" w:cs="仿宋"/>
          <w:sz w:val="28"/>
          <w:szCs w:val="28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4.政府采购执行情况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2022年度政府采购支出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万元，其中：货物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元，工程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万元, 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5.资产管理情况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2022年年末资产总额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16.3</w:t>
      </w:r>
      <w:r>
        <w:rPr>
          <w:rFonts w:hint="eastAsia" w:ascii="仿宋" w:hAnsi="仿宋" w:eastAsia="仿宋" w:cs="仿宋"/>
          <w:sz w:val="28"/>
          <w:szCs w:val="28"/>
        </w:rPr>
        <w:t>万元，负债总额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万元，净资产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16.3</w:t>
      </w:r>
      <w:r>
        <w:rPr>
          <w:rFonts w:hint="eastAsia" w:ascii="仿宋" w:hAnsi="仿宋" w:eastAsia="仿宋" w:cs="仿宋"/>
          <w:sz w:val="28"/>
          <w:szCs w:val="28"/>
        </w:rPr>
        <w:t>万元。截至2022年 12月31日， 固定资产账面原值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26.61</w:t>
      </w:r>
      <w:r>
        <w:rPr>
          <w:rFonts w:hint="eastAsia" w:ascii="仿宋" w:hAnsi="仿宋" w:eastAsia="仿宋" w:cs="仿宋"/>
          <w:sz w:val="28"/>
          <w:szCs w:val="28"/>
        </w:rPr>
        <w:t>万元， 在用资产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26.61</w:t>
      </w:r>
      <w:r>
        <w:rPr>
          <w:rFonts w:hint="eastAsia" w:ascii="仿宋" w:hAnsi="仿宋" w:eastAsia="仿宋" w:cs="仿宋"/>
          <w:sz w:val="28"/>
          <w:szCs w:val="28"/>
        </w:rPr>
        <w:t>万元， 资产使用率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(二)资金使用及绩效情况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1.整体绩效目标完成情况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在经费支出安排上，全面保障了机关正常运转。首先保障工资福利支出，各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室工作开展良好，在经费上保证更好的履行职能职责促进工作有序开展，机关严格执行各项财经纪律，机关厉行节约，财务管理上从严要求，在保证行政运转下尽量控制压缩经费开支，制定相关管理办法，做到精打细算、财尽其用，项目资金使用规范，不挤占、不挪用，及时足额拨付，社会效应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2.项目绩效目标完成情况(仅对50万元以上的项目资金进行分项说明)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网信办暂无</w:t>
      </w:r>
      <w:r>
        <w:rPr>
          <w:rFonts w:hint="eastAsia" w:ascii="仿宋" w:hAnsi="仿宋" w:eastAsia="仿宋" w:cs="仿宋"/>
          <w:sz w:val="28"/>
          <w:szCs w:val="28"/>
        </w:rPr>
        <w:t>50万元以上的项目资金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三、存在的问题及改进措施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虽然在财政资金的使用管理工作中取得了一些成绩，但也发现不少问题，比如资金的不足、专业人员的不足等，这些都制约着我单位工作的进一步开展，在此希望能增加财政资金的安排以及业务人员培训安排。在以后的工作中，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</w:t>
      </w:r>
      <w:r>
        <w:rPr>
          <w:rFonts w:hint="eastAsia" w:ascii="仿宋" w:hAnsi="仿宋" w:eastAsia="仿宋" w:cs="仿宋"/>
          <w:sz w:val="28"/>
          <w:szCs w:val="28"/>
        </w:rPr>
        <w:t>将进一步加强财政资金管理，节约财政资金，保证国有资金使用有序到位，最大限度提高资金的使用效率。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1.加大财政投入，继续积极向上争取资金，完善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网信内部</w:t>
      </w:r>
      <w:r>
        <w:rPr>
          <w:rFonts w:hint="eastAsia" w:ascii="仿宋" w:hAnsi="仿宋" w:eastAsia="仿宋" w:cs="仿宋"/>
          <w:sz w:val="28"/>
          <w:szCs w:val="28"/>
        </w:rPr>
        <w:t>建设，保障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单位相关工作正常有序开展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2.强化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网信</w:t>
      </w:r>
      <w:r>
        <w:rPr>
          <w:rFonts w:hint="eastAsia" w:ascii="仿宋" w:hAnsi="仿宋" w:eastAsia="仿宋" w:cs="仿宋"/>
          <w:sz w:val="28"/>
          <w:szCs w:val="28"/>
        </w:rPr>
        <w:t>人才培养，抓好全县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网络意识形态和网络安全</w:t>
      </w:r>
      <w:r>
        <w:rPr>
          <w:rFonts w:hint="eastAsia" w:ascii="仿宋" w:hAnsi="仿宋" w:eastAsia="仿宋" w:cs="仿宋"/>
          <w:sz w:val="28"/>
          <w:szCs w:val="28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b/>
          <w:bCs/>
          <w:spacing w:val="-11"/>
          <w:sz w:val="34"/>
          <w:szCs w:val="34"/>
        </w:rPr>
      </w:pPr>
    </w:p>
    <w:p>
      <w:pPr>
        <w:spacing w:before="69" w:line="224" w:lineRule="auto"/>
        <w:ind w:left="63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1"/>
          <w:sz w:val="34"/>
          <w:szCs w:val="34"/>
        </w:rPr>
        <w:t>附件2:</w:t>
      </w:r>
    </w:p>
    <w:p>
      <w:pPr>
        <w:spacing w:before="303" w:line="219" w:lineRule="auto"/>
        <w:ind w:left="265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1"/>
          <w:sz w:val="34"/>
          <w:szCs w:val="34"/>
        </w:rPr>
        <w:t>2022年度预算支出绩效自评表</w:t>
      </w:r>
    </w:p>
    <w:p>
      <w:pPr>
        <w:spacing w:line="72" w:lineRule="exact"/>
      </w:pPr>
    </w:p>
    <w:tbl>
      <w:tblPr>
        <w:tblStyle w:val="6"/>
        <w:tblW w:w="9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89"/>
        <w:gridCol w:w="1268"/>
        <w:gridCol w:w="1483"/>
        <w:gridCol w:w="845"/>
        <w:gridCol w:w="1109"/>
        <w:gridCol w:w="819"/>
        <w:gridCol w:w="859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vAlign w:val="top"/>
          </w:tcPr>
          <w:p>
            <w:pPr>
              <w:spacing w:before="94" w:line="30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1"/>
                <w:szCs w:val="21"/>
              </w:rPr>
              <w:t>项目支</w:t>
            </w:r>
          </w:p>
          <w:p>
            <w:pPr>
              <w:spacing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出名称</w:t>
            </w:r>
          </w:p>
        </w:tc>
        <w:tc>
          <w:tcPr>
            <w:tcW w:w="8745" w:type="dxa"/>
            <w:gridSpan w:val="8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ind w:firstLine="2310" w:firstLineChars="110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业务经费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Align w:val="top"/>
          </w:tcPr>
          <w:p>
            <w:pPr>
              <w:spacing w:before="69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4585" w:type="dxa"/>
            <w:gridSpan w:val="4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衡山县委网信办</w:t>
            </w:r>
            <w:bookmarkStart w:id="0" w:name="_GoBack"/>
            <w:bookmarkEnd w:id="0"/>
          </w:p>
        </w:tc>
        <w:tc>
          <w:tcPr>
            <w:tcW w:w="1109" w:type="dxa"/>
            <w:vAlign w:val="top"/>
          </w:tcPr>
          <w:p>
            <w:pPr>
              <w:spacing w:before="70" w:line="220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实施单位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项目资金</w:t>
            </w:r>
          </w:p>
          <w:p>
            <w:pPr>
              <w:spacing w:before="69"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spacing w:before="9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年初预算数</w:t>
            </w:r>
          </w:p>
        </w:tc>
        <w:tc>
          <w:tcPr>
            <w:tcW w:w="845" w:type="dxa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全年预算数</w:t>
            </w:r>
          </w:p>
        </w:tc>
        <w:tc>
          <w:tcPr>
            <w:tcW w:w="1109" w:type="dxa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全年执行数</w:t>
            </w:r>
          </w:p>
        </w:tc>
        <w:tc>
          <w:tcPr>
            <w:tcW w:w="819" w:type="dxa"/>
            <w:vAlign w:val="top"/>
          </w:tcPr>
          <w:p>
            <w:pPr>
              <w:spacing w:before="9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vAlign w:val="top"/>
          </w:tcPr>
          <w:p>
            <w:pPr>
              <w:spacing w:before="19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373" w:type="dxa"/>
            <w:vAlign w:val="top"/>
          </w:tcPr>
          <w:p>
            <w:pPr>
              <w:spacing w:before="9" w:line="219" w:lineRule="auto"/>
              <w:ind w:left="4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7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483" w:type="dxa"/>
            <w:vAlign w:val="top"/>
          </w:tcPr>
          <w:p>
            <w:pPr>
              <w:spacing w:before="163" w:line="173" w:lineRule="auto"/>
              <w:ind w:firstLine="594" w:firstLineChars="300"/>
              <w:jc w:val="both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45" w:type="dxa"/>
            <w:vAlign w:val="top"/>
          </w:tcPr>
          <w:p>
            <w:pPr>
              <w:spacing w:before="163" w:line="173" w:lineRule="auto"/>
              <w:ind w:firstLine="396" w:firstLineChars="200"/>
              <w:jc w:val="both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09" w:type="dxa"/>
            <w:vAlign w:val="top"/>
          </w:tcPr>
          <w:p>
            <w:pPr>
              <w:spacing w:before="163" w:line="173" w:lineRule="auto"/>
              <w:ind w:firstLine="396" w:firstLineChars="200"/>
              <w:jc w:val="both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19" w:type="dxa"/>
            <w:vAlign w:val="top"/>
          </w:tcPr>
          <w:p>
            <w:pPr>
              <w:spacing w:before="163" w:line="173" w:lineRule="auto"/>
              <w:ind w:firstLine="198" w:firstLineChars="1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63" w:line="173" w:lineRule="auto"/>
              <w:ind w:firstLine="198" w:firstLineChars="100"/>
              <w:jc w:val="both"/>
              <w:rPr>
                <w:rFonts w:hint="default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73" w:type="dxa"/>
            <w:vAlign w:val="top"/>
          </w:tcPr>
          <w:p>
            <w:pPr>
              <w:spacing w:before="163" w:line="173" w:lineRule="auto"/>
              <w:ind w:firstLine="594" w:firstLineChars="300"/>
              <w:jc w:val="both"/>
              <w:rPr>
                <w:rFonts w:hint="default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6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其中：当年财政拨款</w:t>
            </w:r>
          </w:p>
        </w:tc>
        <w:tc>
          <w:tcPr>
            <w:tcW w:w="1483" w:type="dxa"/>
            <w:vAlign w:val="top"/>
          </w:tcPr>
          <w:p>
            <w:pPr>
              <w:spacing w:before="163" w:line="173" w:lineRule="auto"/>
              <w:ind w:firstLine="594" w:firstLineChars="300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45" w:type="dxa"/>
            <w:vAlign w:val="top"/>
          </w:tcPr>
          <w:p>
            <w:pPr>
              <w:spacing w:before="163" w:line="173" w:lineRule="auto"/>
              <w:ind w:firstLine="396" w:firstLineChars="200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09" w:type="dxa"/>
            <w:vAlign w:val="top"/>
          </w:tcPr>
          <w:p>
            <w:pPr>
              <w:spacing w:before="163" w:line="173" w:lineRule="auto"/>
              <w:ind w:firstLine="396" w:firstLineChars="200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69" w:line="219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上年结转资金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70" w:line="220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32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年度总</w:t>
            </w:r>
          </w:p>
          <w:p>
            <w:pPr>
              <w:spacing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体目标</w:t>
            </w:r>
          </w:p>
        </w:tc>
        <w:tc>
          <w:tcPr>
            <w:tcW w:w="4585" w:type="dxa"/>
            <w:gridSpan w:val="4"/>
            <w:vAlign w:val="top"/>
          </w:tcPr>
          <w:p>
            <w:pPr>
              <w:spacing w:before="70" w:line="220" w:lineRule="auto"/>
              <w:ind w:left="18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160" w:type="dxa"/>
            <w:gridSpan w:val="4"/>
            <w:vAlign w:val="top"/>
          </w:tcPr>
          <w:p>
            <w:pPr>
              <w:spacing w:before="69" w:line="219" w:lineRule="auto"/>
              <w:ind w:left="1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240" w:leftChars="0"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坚持以抓好网上舆情管控为重点。坚决打赢网上意识形态斗争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240" w:leftChars="0"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坚持以加强网络安全保障体系建设为重点，扎实推进网络安全工作</w:t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坚持以健全工作体系为重点，努力 形成推动网信工作的整体合力。</w:t>
            </w:r>
          </w:p>
        </w:tc>
        <w:tc>
          <w:tcPr>
            <w:tcW w:w="416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疫情期间，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正确引导网上舆论，第一时间辟谣发声。</w:t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2、及时回复网民信息，网络问政得到有效实行。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1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3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98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50" w:lineRule="auto"/>
              <w:ind w:left="380" w:right="16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一级指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标</w:t>
            </w:r>
          </w:p>
        </w:tc>
        <w:tc>
          <w:tcPr>
            <w:tcW w:w="126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1483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84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330" w:lineRule="exact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</w:t>
            </w:r>
          </w:p>
          <w:p>
            <w:pPr>
              <w:spacing w:line="219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329" w:lineRule="exact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1"/>
                <w:szCs w:val="21"/>
              </w:rPr>
              <w:t>实际</w:t>
            </w:r>
          </w:p>
          <w:p>
            <w:pPr>
              <w:spacing w:line="219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81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373" w:type="dxa"/>
            <w:vAlign w:val="top"/>
          </w:tcPr>
          <w:p>
            <w:pPr>
              <w:spacing w:before="131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偏差原因</w:t>
            </w:r>
          </w:p>
          <w:p>
            <w:pPr>
              <w:spacing w:before="61" w:line="220" w:lineRule="auto"/>
              <w:ind w:left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分析及</w:t>
            </w:r>
          </w:p>
          <w:p>
            <w:pPr>
              <w:spacing w:before="5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产出</w:t>
            </w:r>
          </w:p>
          <w:p>
            <w:pPr>
              <w:spacing w:before="81" w:line="63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2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before="68" w:line="219" w:lineRule="auto"/>
              <w:ind w:firstLine="206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/>
              </w:rPr>
              <w:t>管理制度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日趋完善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资产管理规范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180" w:firstLineChars="10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360" w:firstLineChars="200"/>
              <w:jc w:val="both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较好履行了工作职责，按期按质按量完成相关工作任务：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360" w:leftChars="0" w:hanging="360" w:hangingChars="20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before="68" w:line="220" w:lineRule="auto"/>
              <w:ind w:firstLine="214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时效指标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资金按时拨付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before="68" w:line="219" w:lineRule="auto"/>
              <w:ind w:firstLine="206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规范使用经费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效益</w:t>
            </w:r>
          </w:p>
          <w:p>
            <w:pPr>
              <w:spacing w:before="79" w:line="61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1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(30分)</w:t>
            </w: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before="116" w:line="30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经济</w:t>
            </w:r>
            <w:r>
              <w:rPr>
                <w:rFonts w:hint="eastAsia" w:ascii="宋体" w:hAnsi="宋体" w:eastAsia="宋体" w:cs="宋体"/>
                <w:spacing w:val="-3"/>
                <w:position w:val="6"/>
                <w:sz w:val="21"/>
                <w:szCs w:val="21"/>
                <w:lang w:val="en-US" w:eastAsia="zh-CN"/>
              </w:rPr>
              <w:t>效益指标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114" w:line="322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社会效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网络留言回复率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≥98%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上级下发网宣网评任务完成率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before="97" w:line="330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生态效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把牢网络舆论导向，为全县社会和谐稳定营造 良好的网络舆论氛围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≥98%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before="117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可持续影</w:t>
            </w:r>
          </w:p>
          <w:p>
            <w:pPr>
              <w:spacing w:before="71"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响指标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综合影响力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bottom w:val="nil"/>
            </w:tcBorders>
            <w:vAlign w:val="top"/>
          </w:tcPr>
          <w:p>
            <w:pPr>
              <w:spacing w:before="37" w:line="262" w:lineRule="auto"/>
              <w:ind w:left="171" w:righ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满意度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18"/>
                <w:sz w:val="20"/>
                <w:szCs w:val="20"/>
              </w:rPr>
              <w:t>指标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(10分)</w:t>
            </w: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before="47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服务对象</w:t>
            </w:r>
          </w:p>
          <w:p>
            <w:pPr>
              <w:spacing w:before="70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满意度指</w:t>
            </w:r>
          </w:p>
          <w:p>
            <w:pPr>
              <w:spacing w:before="21" w:line="220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社会公众或服务对象满意度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828" w:type="dxa"/>
            <w:gridSpan w:val="6"/>
            <w:vAlign w:val="top"/>
          </w:tcPr>
          <w:p>
            <w:pPr>
              <w:spacing w:before="139" w:line="220" w:lineRule="auto"/>
              <w:ind w:left="2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</w:p>
        </w:tc>
        <w:tc>
          <w:tcPr>
            <w:tcW w:w="819" w:type="dxa"/>
            <w:vAlign w:val="top"/>
          </w:tcPr>
          <w:p>
            <w:pPr>
              <w:spacing w:before="191" w:line="184" w:lineRule="auto"/>
              <w:ind w:left="137"/>
              <w:rPr>
                <w:rFonts w:ascii="宋体" w:hAnsi="宋体" w:eastAsia="宋体" w:cs="宋体"/>
                <w:spacing w:val="-6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859" w:type="dxa"/>
            <w:vAlign w:val="top"/>
          </w:tcPr>
          <w:p>
            <w:pPr>
              <w:spacing w:before="191" w:line="184" w:lineRule="auto"/>
              <w:ind w:left="137" w:firstLine="198" w:firstLineChars="100"/>
              <w:rPr>
                <w:rFonts w:hint="default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1" w:line="225" w:lineRule="auto"/>
        <w:ind w:left="63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4"/>
          <w:position w:val="-1"/>
          <w:sz w:val="24"/>
          <w:szCs w:val="24"/>
        </w:rPr>
        <w:t>填表人：</w:t>
      </w:r>
      <w:r>
        <w:rPr>
          <w:rFonts w:hint="eastAsia" w:ascii="仿宋" w:hAnsi="仿宋" w:eastAsia="仿宋" w:cs="仿宋"/>
          <w:spacing w:val="4"/>
          <w:position w:val="-1"/>
          <w:sz w:val="24"/>
          <w:szCs w:val="24"/>
          <w:lang w:val="en-US" w:eastAsia="zh-CN"/>
        </w:rPr>
        <w:t>王璐</w:t>
      </w:r>
      <w:r>
        <w:rPr>
          <w:rFonts w:ascii="仿宋" w:hAnsi="仿宋" w:eastAsia="仿宋" w:cs="仿宋"/>
          <w:spacing w:val="4"/>
          <w:position w:val="-1"/>
          <w:sz w:val="24"/>
          <w:szCs w:val="24"/>
        </w:rPr>
        <w:t xml:space="preserve">    </w:t>
      </w:r>
      <w:r>
        <w:rPr>
          <w:rFonts w:ascii="仿宋" w:hAnsi="仿宋" w:eastAsia="仿宋" w:cs="仿宋"/>
          <w:spacing w:val="-24"/>
          <w:sz w:val="24"/>
          <w:szCs w:val="24"/>
        </w:rPr>
        <w:t>填报日期：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3"/>
          <w:sz w:val="24"/>
          <w:szCs w:val="24"/>
          <w:lang w:val="en-US" w:eastAsia="zh-CN"/>
        </w:rPr>
        <w:t>2023.8.3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24"/>
          <w:sz w:val="24"/>
          <w:szCs w:val="24"/>
        </w:rPr>
        <w:t>联系电话：</w:t>
      </w:r>
      <w:r>
        <w:rPr>
          <w:rFonts w:hint="eastAsia" w:ascii="仿宋" w:hAnsi="仿宋" w:eastAsia="仿宋" w:cs="仿宋"/>
          <w:spacing w:val="18"/>
          <w:sz w:val="24"/>
          <w:szCs w:val="24"/>
          <w:lang w:val="en-US" w:eastAsia="zh-CN"/>
        </w:rPr>
        <w:t>18890256850</w:t>
      </w:r>
      <w:r>
        <w:rPr>
          <w:rFonts w:ascii="仿宋" w:hAnsi="仿宋" w:eastAsia="仿宋" w:cs="仿宋"/>
          <w:spacing w:val="1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4"/>
          <w:position w:val="1"/>
          <w:sz w:val="24"/>
          <w:szCs w:val="24"/>
        </w:rPr>
        <w:t>单位负责人签字：</w:t>
      </w:r>
    </w:p>
    <w:sectPr>
      <w:footerReference r:id="rId11" w:type="default"/>
      <w:pgSz w:w="11860" w:h="16800"/>
      <w:pgMar w:top="1233" w:right="935" w:bottom="400" w:left="10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579"/>
      <w:rPr>
        <w:rFonts w:ascii="仿宋" w:hAnsi="仿宋" w:eastAsia="仿宋" w:cs="仿宋"/>
        <w:sz w:val="14"/>
        <w:szCs w:val="14"/>
      </w:rPr>
    </w:pPr>
    <w:r>
      <w:rPr>
        <w:rFonts w:ascii="仿宋" w:hAnsi="仿宋" w:eastAsia="仿宋" w:cs="仿宋"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0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5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130"/>
      <w:rPr>
        <w:rFonts w:ascii="仿宋" w:hAnsi="仿宋" w:eastAsia="仿宋" w:cs="仿宋"/>
        <w:sz w:val="14"/>
        <w:szCs w:val="14"/>
      </w:rPr>
    </w:pPr>
    <w:r>
      <w:rPr>
        <w:rFonts w:ascii="仿宋" w:hAnsi="仿宋" w:eastAsia="仿宋" w:cs="仿宋"/>
        <w:sz w:val="14"/>
        <w:szCs w:val="14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71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39"/>
      <w:rPr>
        <w:rFonts w:ascii="宋体" w:hAnsi="宋体" w:eastAsia="宋体" w:cs="宋体"/>
        <w:sz w:val="14"/>
        <w:szCs w:val="14"/>
      </w:rPr>
    </w:pPr>
    <w:r>
      <w:pict>
        <v:shape id="_x0000_s4097" o:spid="_x0000_s4097" o:spt="202" type="#_x0000_t202" style="position:absolute;left:0pt;margin-left:379.45pt;margin-top:436.7pt;height:48.95pt;width:116.9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558" w:lineRule="exact"/>
                  <w:ind w:left="369"/>
                  <w:rPr>
                    <w:rFonts w:ascii="宋体" w:hAnsi="宋体" w:eastAsia="宋体" w:cs="宋体"/>
                    <w:sz w:val="32"/>
                    <w:szCs w:val="32"/>
                  </w:rPr>
                </w:pPr>
                <w:r>
                  <w:rPr>
                    <w:rFonts w:ascii="宋体" w:hAnsi="宋体" w:eastAsia="宋体" w:cs="宋体"/>
                    <w:spacing w:val="-15"/>
                    <w:position w:val="17"/>
                    <w:sz w:val="32"/>
                    <w:szCs w:val="32"/>
                  </w:rPr>
                  <w:t>衡山县财政局</w:t>
                </w:r>
              </w:p>
              <w:p>
                <w:pPr>
                  <w:spacing w:line="219" w:lineRule="auto"/>
                  <w:ind w:left="20"/>
                  <w:rPr>
                    <w:rFonts w:ascii="宋体" w:hAnsi="宋体" w:eastAsia="宋体" w:cs="宋体"/>
                    <w:sz w:val="32"/>
                    <w:szCs w:val="32"/>
                  </w:rPr>
                </w:pPr>
                <w:r>
                  <w:rPr>
                    <w:rFonts w:ascii="宋体" w:hAnsi="宋体" w:eastAsia="宋体" w:cs="宋体"/>
                    <w:spacing w:val="21"/>
                    <w:sz w:val="32"/>
                    <w:szCs w:val="32"/>
                  </w:rPr>
                  <w:t>2023年7月19日</w:t>
                </w:r>
              </w:p>
            </w:txbxContent>
          </v:textbox>
        </v:shape>
      </w:pict>
    </w:r>
    <w:r>
      <w:rPr>
        <w:rFonts w:ascii="宋体" w:hAnsi="宋体" w:eastAsia="宋体" w:cs="宋体"/>
        <w:sz w:val="14"/>
        <w:szCs w:val="14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BCA88"/>
    <w:multiLevelType w:val="singleLevel"/>
    <w:tmpl w:val="E5FBCA88"/>
    <w:lvl w:ilvl="0" w:tentative="0">
      <w:start w:val="1"/>
      <w:numFmt w:val="decimal"/>
      <w:suff w:val="nothing"/>
      <w:lvlText w:val="%1、"/>
      <w:lvlJc w:val="left"/>
      <w:pPr>
        <w:ind w:left="2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AxNDIyOTQyNWU3YzNmOGUwYmFkYTQyNDRmODE5NWYifQ=="/>
  </w:docVars>
  <w:rsids>
    <w:rsidRoot w:val="00000000"/>
    <w:rsid w:val="213F1A88"/>
    <w:rsid w:val="22FB20F0"/>
    <w:rsid w:val="29190126"/>
    <w:rsid w:val="303B6F1E"/>
    <w:rsid w:val="31593045"/>
    <w:rsid w:val="3E6F1A2D"/>
    <w:rsid w:val="47284AF2"/>
    <w:rsid w:val="4996276C"/>
    <w:rsid w:val="4AA475EA"/>
    <w:rsid w:val="5C217C66"/>
    <w:rsid w:val="5FC714A3"/>
    <w:rsid w:val="64322AF9"/>
    <w:rsid w:val="6FE63175"/>
    <w:rsid w:val="6FF876F5"/>
    <w:rsid w:val="79DE709E"/>
    <w:rsid w:val="7D7E4292"/>
    <w:rsid w:val="7FB02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 2"/>
    <w:basedOn w:val="1"/>
    <w:qFormat/>
    <w:uiPriority w:val="99"/>
    <w:pPr>
      <w:spacing w:after="0"/>
      <w:ind w:left="0" w:leftChars="0" w:firstLine="200" w:firstLineChars="200"/>
    </w:pPr>
    <w:rPr>
      <w:sz w:val="2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[Normal]"/>
    <w:qFormat/>
    <w:uiPriority w:val="6"/>
    <w:rPr>
      <w:rFonts w:ascii="宋体" w:hAnsi="宋体" w:eastAsia="宋体" w:cs="Times New Roman"/>
      <w:color w:val="auto"/>
      <w:position w:val="0"/>
      <w:sz w:val="24"/>
      <w:u w:val="none"/>
      <w:shd w:val="clear" w:color="auto" w:fill="auto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2.pn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3100</Words>
  <Characters>3264</Characters>
  <TotalTime>1</TotalTime>
  <ScaleCrop>false</ScaleCrop>
  <LinksUpToDate>false</LinksUpToDate>
  <CharactersWithSpaces>3378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2023-07-20T15:23:00Z</dcterms:created>
  <dc:creator>Kingsoft-PDF</dc:creator>
  <cp:lastModifiedBy>落落</cp:lastModifiedBy>
  <cp:lastPrinted>2023-08-15T01:53:43Z</cp:lastPrinted>
  <dcterms:modified xsi:type="dcterms:W3CDTF">2023-08-15T01:55:06Z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2023-07-20T15:23:42Z</vt:filetime>
  </property>
  <property fmtid="{D5CDD505-2E9C-101B-9397-08002B2CF9AE}" pid="4" name="UsrData">
    <vt:lpwstr>64b8e0f831e116001f1dc528wl</vt:lpwstr>
  </property>
  <property fmtid="{D5CDD505-2E9C-101B-9397-08002B2CF9AE}" pid="5" name="KSOProductBuildVer">
    <vt:lpwstr>2052-12.1.0.15120</vt:lpwstr>
  </property>
  <property fmtid="{D5CDD505-2E9C-101B-9397-08002B2CF9AE}" pid="6" name="ICV">
    <vt:lpwstr>5854157A73384964838B67020455D8ED_13</vt:lpwstr>
  </property>
</Properties>
</file>