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autoSpaceDE/>
        <w:autoSpaceDN/>
        <w:bidi w:val="0"/>
        <w:adjustRightInd w:val="0"/>
        <w:snapToGrid w:val="0"/>
        <w:spacing w:before="67" w:line="580" w:lineRule="exact"/>
        <w:ind w:left="94" w:leftChars="45" w:right="-44" w:rightChars="-21" w:firstLine="544" w:firstLineChars="154"/>
        <w:textAlignment w:val="baseline"/>
        <w:rPr>
          <w:rFonts w:ascii="黑体" w:hAnsi="黑体" w:eastAsia="黑体" w:cs="黑体"/>
          <w:sz w:val="33"/>
          <w:szCs w:val="33"/>
        </w:rPr>
      </w:pPr>
      <w:r>
        <w:rPr>
          <w:rFonts w:ascii="黑体" w:hAnsi="黑体" w:eastAsia="黑体" w:cs="黑体"/>
          <w:b/>
          <w:bCs/>
          <w:spacing w:val="11"/>
          <w:sz w:val="33"/>
          <w:szCs w:val="33"/>
        </w:rPr>
        <w:t>附件1:</w:t>
      </w:r>
    </w:p>
    <w:p>
      <w:pPr>
        <w:keepNext w:val="0"/>
        <w:keepLines w:val="0"/>
        <w:pageBreakBefore w:val="0"/>
        <w:widowControl/>
        <w:kinsoku/>
        <w:wordWrap w:val="0"/>
        <w:overflowPunct/>
        <w:topLinePunct/>
        <w:autoSpaceDE/>
        <w:autoSpaceDN/>
        <w:bidi w:val="0"/>
        <w:adjustRightInd w:val="0"/>
        <w:snapToGrid w:val="0"/>
        <w:spacing w:line="580" w:lineRule="exact"/>
        <w:ind w:left="94" w:leftChars="45" w:right="-44" w:rightChars="-21" w:firstLine="323" w:firstLineChars="154"/>
        <w:textAlignment w:val="baseline"/>
        <w:rPr>
          <w:rFonts w:ascii="Arial"/>
          <w:sz w:val="21"/>
        </w:rPr>
      </w:pPr>
    </w:p>
    <w:p>
      <w:pPr>
        <w:keepNext w:val="0"/>
        <w:keepLines w:val="0"/>
        <w:pageBreakBefore w:val="0"/>
        <w:widowControl/>
        <w:kinsoku/>
        <w:wordWrap w:val="0"/>
        <w:overflowPunct/>
        <w:topLinePunct/>
        <w:autoSpaceDE/>
        <w:autoSpaceDN/>
        <w:bidi w:val="0"/>
        <w:adjustRightInd w:val="0"/>
        <w:snapToGrid w:val="0"/>
        <w:spacing w:line="580" w:lineRule="exact"/>
        <w:ind w:left="94" w:leftChars="45" w:right="-44" w:rightChars="-21" w:firstLine="323" w:firstLineChars="154"/>
        <w:textAlignment w:val="baseline"/>
        <w:rPr>
          <w:rFonts w:ascii="Arial"/>
          <w:sz w:val="21"/>
        </w:rPr>
      </w:pPr>
    </w:p>
    <w:p>
      <w:pPr>
        <w:keepNext w:val="0"/>
        <w:keepLines w:val="0"/>
        <w:pageBreakBefore w:val="0"/>
        <w:widowControl/>
        <w:kinsoku/>
        <w:wordWrap w:val="0"/>
        <w:overflowPunct/>
        <w:topLinePunct/>
        <w:autoSpaceDE/>
        <w:autoSpaceDN/>
        <w:bidi w:val="0"/>
        <w:adjustRightInd w:val="0"/>
        <w:snapToGrid w:val="0"/>
        <w:spacing w:before="140" w:line="580" w:lineRule="exact"/>
        <w:ind w:left="94" w:leftChars="45" w:right="-44" w:rightChars="-21" w:firstLine="689" w:firstLineChars="154"/>
        <w:textAlignment w:val="baseline"/>
        <w:rPr>
          <w:rFonts w:ascii="黑体" w:hAnsi="黑体" w:eastAsia="黑体" w:cs="黑体"/>
          <w:sz w:val="43"/>
          <w:szCs w:val="43"/>
        </w:rPr>
      </w:pPr>
      <w:r>
        <w:rPr>
          <w:rFonts w:ascii="黑体" w:hAnsi="黑体" w:eastAsia="黑体" w:cs="黑体"/>
          <w:b/>
          <w:bCs/>
          <w:spacing w:val="8"/>
          <w:sz w:val="43"/>
          <w:szCs w:val="43"/>
        </w:rPr>
        <w:t>2022年度部门整体支出绩效自评报告</w:t>
      </w:r>
    </w:p>
    <w:p>
      <w:pPr>
        <w:keepNext w:val="0"/>
        <w:keepLines w:val="0"/>
        <w:pageBreakBefore w:val="0"/>
        <w:widowControl/>
        <w:kinsoku/>
        <w:wordWrap w:val="0"/>
        <w:overflowPunct/>
        <w:topLinePunct/>
        <w:autoSpaceDE/>
        <w:autoSpaceDN/>
        <w:bidi w:val="0"/>
        <w:adjustRightInd w:val="0"/>
        <w:snapToGrid w:val="0"/>
        <w:spacing w:line="580" w:lineRule="exact"/>
        <w:ind w:left="94" w:leftChars="45" w:right="-44" w:rightChars="-21" w:firstLine="323" w:firstLineChars="154"/>
        <w:textAlignment w:val="baseline"/>
        <w:rPr>
          <w:rFonts w:ascii="Arial"/>
          <w:sz w:val="21"/>
        </w:rPr>
      </w:pP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一、单位基本情况</w:t>
      </w:r>
    </w:p>
    <w:p>
      <w:pPr>
        <w:keepNext w:val="0"/>
        <w:keepLines w:val="0"/>
        <w:pageBreakBefore w:val="0"/>
        <w:widowControl/>
        <w:kinsoku/>
        <w:wordWrap w:val="0"/>
        <w:overflowPunct/>
        <w:topLinePunct/>
        <w:autoSpaceDE/>
        <w:autoSpaceDN/>
        <w:bidi w:val="0"/>
        <w:adjustRightInd w:val="0"/>
        <w:snapToGrid w:val="0"/>
        <w:spacing w:line="520" w:lineRule="exact"/>
        <w:ind w:left="638" w:leftChars="304" w:firstLine="0" w:firstLineChars="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部门主要职责</w:t>
      </w:r>
      <w:r>
        <w:rPr>
          <w:rFonts w:hint="eastAsia" w:ascii="仿宋_GB2312" w:hAnsi="仿宋_GB2312" w:eastAsia="仿宋_GB2312" w:cs="仿宋_GB2312"/>
          <w:sz w:val="32"/>
          <w:szCs w:val="32"/>
          <w:lang w:val="en-US" w:eastAsia="zh-CN"/>
        </w:rPr>
        <w:t>衡山县融媒体中心的主要职责是：    1.坚持党管宣传、党管意识形态、党管媒体，贯彻落实党</w:t>
      </w:r>
    </w:p>
    <w:p>
      <w:pPr>
        <w:keepNext w:val="0"/>
        <w:keepLines w:val="0"/>
        <w:pageBreakBefore w:val="0"/>
        <w:widowControl/>
        <w:kinsoku/>
        <w:wordWrap w:val="0"/>
        <w:overflowPunct/>
        <w:topLinePunct/>
        <w:autoSpaceDE/>
        <w:autoSpaceDN/>
        <w:bidi w:val="0"/>
        <w:adjustRightInd w:val="0"/>
        <w:snapToGrid w:val="0"/>
        <w:spacing w:line="52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中央关于宣传思想文化工作的方针政策和决策部署，不断提高媒体宣传质量，当好党和政府的喉舌，发挥好党和政府联系人民群众的桥梁、纽带作用。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2.把握正确的舆论导向，充分利用广播、电视、手机报、《新衡山》、新闻网站、手机客户端、微信、微博等媒体平台,宣传阐释中央和省、市、县的决策部署，宣传县委、政府的中心工作，发布权威政经资讯。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3.负责全县广播、电视、手机报、《新衡山》、新闻网站、手机客户端、微信、微博等媒体平台的规划、建设、发展和管理工作。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负责全县广播、电视、手机报、《新衡山》、新闻网站、手机客户端、微信、微博等媒体平台的新技术研究、开发和利用，全面链接政府政务、行业商务、用户服务，促进新技术和新科研成果的应用，参与全县信息产业、大数据、智慧城市的规划与建设。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5.负责全县广播、电视、手机报、《新衡山》、新闻网 站、手机客户端、微信、微博等媒体平台节目的采编、制作、播发、传输、外宣、交流、创优和宣传精品工程实施。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6.负责全县对中央和省、市级所有媒体平台节目的转播。    7.负责全县广播、电视、手机报、《新衡山》、新闻网</w:t>
      </w:r>
    </w:p>
    <w:p>
      <w:pPr>
        <w:keepNext w:val="0"/>
        <w:keepLines w:val="0"/>
        <w:pageBreakBefore w:val="0"/>
        <w:widowControl/>
        <w:kinsoku/>
        <w:wordWrap w:val="0"/>
        <w:overflowPunct/>
        <w:topLinePunct/>
        <w:autoSpaceDE/>
        <w:autoSpaceDN/>
        <w:bidi w:val="0"/>
        <w:adjustRightInd w:val="0"/>
        <w:snapToGrid w:val="0"/>
        <w:spacing w:line="52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站、手机客户端、微信、微博等媒体覆盖网络的建设、管理和维护，拓展网络服务业务，扩大网络覆盖范围。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8.负责全县广播、电视、手机报、《新衡山》、新闻网站、手机客户端、微信、微博等媒体平台广告业务的经营、审查和播发。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9.负责本中心电视剧的生产、营销及媒体文化产业开发。</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10.负责本中心的物业管理及相关产业的开发、发展，确保中心管理的国有资产保值增值。 </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11.完成县委、县政府交办的其他事项。</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人员编制情况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核定衡山县融媒体中心编制数合计88名，行政编制数4名，事业编制数34名,工勤人员编制数29名。现有在职在岗在编职工67人，离退休57人，临聘人员36人。</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黑体" w:hAnsi="黑体" w:eastAsia="黑体" w:cs="黑体"/>
          <w:sz w:val="32"/>
          <w:szCs w:val="32"/>
        </w:rPr>
        <w:t>二、 预算支出及绩效情况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(一)部门预决算情况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1.部门预算情况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2022年年初预算安排收入</w:t>
      </w:r>
      <w:r>
        <w:rPr>
          <w:rFonts w:hint="eastAsia" w:ascii="仿宋_GB2312" w:hAnsi="仿宋_GB2312" w:eastAsia="仿宋_GB2312" w:cs="仿宋_GB2312"/>
          <w:sz w:val="32"/>
          <w:szCs w:val="32"/>
          <w:lang w:val="en-US" w:eastAsia="zh-CN"/>
        </w:rPr>
        <w:t>768.96</w:t>
      </w:r>
      <w:r>
        <w:rPr>
          <w:rFonts w:hint="eastAsia" w:ascii="仿宋_GB2312" w:hAnsi="仿宋_GB2312" w:eastAsia="仿宋_GB2312" w:cs="仿宋_GB2312"/>
          <w:sz w:val="32"/>
          <w:szCs w:val="32"/>
        </w:rPr>
        <w:t>万元，其中一般公共财政拨</w:t>
      </w:r>
      <w:r>
        <w:rPr>
          <w:rFonts w:hint="eastAsia" w:ascii="仿宋_GB2312" w:hAnsi="仿宋_GB2312" w:eastAsia="仿宋_GB2312" w:cs="仿宋_GB2312"/>
          <w:sz w:val="32"/>
          <w:szCs w:val="32"/>
          <w:lang w:val="en-US" w:eastAsia="zh-CN"/>
        </w:rPr>
        <w:t>款768.96</w:t>
      </w:r>
      <w:r>
        <w:rPr>
          <w:rFonts w:hint="eastAsia" w:ascii="仿宋_GB2312" w:hAnsi="仿宋_GB2312" w:eastAsia="仿宋_GB2312" w:cs="仿宋_GB2312"/>
          <w:sz w:val="32"/>
          <w:szCs w:val="32"/>
        </w:rPr>
        <w:t>万元；2022年年初预算安排支出</w:t>
      </w:r>
      <w:r>
        <w:rPr>
          <w:rFonts w:hint="eastAsia" w:ascii="仿宋_GB2312" w:hAnsi="仿宋_GB2312" w:eastAsia="仿宋_GB2312" w:cs="仿宋_GB2312"/>
          <w:sz w:val="32"/>
          <w:szCs w:val="32"/>
          <w:lang w:val="en-US" w:eastAsia="zh-CN"/>
        </w:rPr>
        <w:t>768.96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543.80</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225.16</w:t>
      </w:r>
      <w:r>
        <w:rPr>
          <w:rFonts w:hint="eastAsia" w:ascii="仿宋_GB2312" w:hAnsi="仿宋_GB2312" w:eastAsia="仿宋_GB2312" w:cs="仿宋_GB2312"/>
          <w:sz w:val="32"/>
          <w:szCs w:val="32"/>
        </w:rPr>
        <w:t>万元。</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2.部门决算情况(含年中预算追加情况)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2022年决算总收入</w:t>
      </w:r>
      <w:r>
        <w:rPr>
          <w:rFonts w:hint="eastAsia" w:ascii="仿宋_GB2312" w:hAnsi="仿宋_GB2312" w:eastAsia="仿宋_GB2312" w:cs="仿宋_GB2312"/>
          <w:sz w:val="32"/>
          <w:szCs w:val="32"/>
          <w:lang w:val="en-US" w:eastAsia="zh-CN"/>
        </w:rPr>
        <w:t>1601</w:t>
      </w:r>
      <w:r>
        <w:rPr>
          <w:rFonts w:hint="eastAsia" w:ascii="仿宋_GB2312" w:hAnsi="仿宋_GB2312" w:eastAsia="仿宋_GB2312" w:cs="仿宋_GB2312"/>
          <w:sz w:val="32"/>
          <w:szCs w:val="32"/>
        </w:rPr>
        <w:t>万元，较预算增加</w:t>
      </w:r>
      <w:r>
        <w:rPr>
          <w:rFonts w:hint="eastAsia" w:ascii="仿宋_GB2312" w:hAnsi="仿宋_GB2312" w:eastAsia="仿宋_GB2312" w:cs="仿宋_GB2312"/>
          <w:sz w:val="32"/>
          <w:szCs w:val="32"/>
          <w:lang w:val="en-US" w:eastAsia="zh-CN"/>
        </w:rPr>
        <w:t>832.04</w:t>
      </w:r>
      <w:r>
        <w:rPr>
          <w:rFonts w:hint="eastAsia" w:ascii="仿宋_GB2312" w:hAnsi="仿宋_GB2312" w:eastAsia="仿宋_GB2312" w:cs="仿宋_GB2312"/>
          <w:sz w:val="32"/>
          <w:szCs w:val="32"/>
        </w:rPr>
        <w:t>万元，总支出</w:t>
      </w:r>
      <w:r>
        <w:rPr>
          <w:rFonts w:hint="eastAsia" w:ascii="仿宋_GB2312" w:hAnsi="仿宋_GB2312" w:eastAsia="仿宋_GB2312" w:cs="仿宋_GB2312"/>
          <w:sz w:val="32"/>
          <w:szCs w:val="32"/>
          <w:lang w:val="en-US" w:eastAsia="zh-CN"/>
        </w:rPr>
        <w:t>1601.35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1391.13</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86.87</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210.22</w:t>
      </w:r>
      <w:r>
        <w:rPr>
          <w:rFonts w:hint="eastAsia"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13.13</w:t>
      </w:r>
      <w:r>
        <w:rPr>
          <w:rFonts w:hint="eastAsia" w:ascii="仿宋_GB2312" w:hAnsi="仿宋_GB2312" w:eastAsia="仿宋_GB2312" w:cs="仿宋_GB2312"/>
          <w:sz w:val="32"/>
          <w:szCs w:val="32"/>
        </w:rPr>
        <w:t>%。差异产生的主要原因是</w:t>
      </w:r>
      <w:r>
        <w:rPr>
          <w:rFonts w:hint="eastAsia" w:ascii="仿宋_GB2312" w:hAnsi="仿宋_GB2312" w:eastAsia="仿宋_GB2312" w:cs="仿宋_GB2312"/>
          <w:sz w:val="32"/>
          <w:szCs w:val="32"/>
          <w:lang w:eastAsia="zh-CN"/>
        </w:rPr>
        <w:t>增加了村村响、手机台、新衡山报、中央无线覆盖等重点项目</w:t>
      </w:r>
      <w:r>
        <w:rPr>
          <w:rFonts w:hint="eastAsia" w:ascii="仿宋_GB2312" w:hAnsi="仿宋_GB2312" w:eastAsia="仿宋_GB2312" w:cs="仿宋_GB2312"/>
          <w:sz w:val="32"/>
          <w:szCs w:val="32"/>
        </w:rPr>
        <w:t>。</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经费执行情况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经费预算数</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万元，其中：因公出国(境) 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万元，公务用车购置及运行维护费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经费决算数</w:t>
      </w:r>
      <w:r>
        <w:rPr>
          <w:rFonts w:hint="eastAsia" w:ascii="仿宋_GB2312" w:hAnsi="仿宋_GB2312" w:eastAsia="仿宋_GB2312" w:cs="仿宋_GB2312"/>
          <w:sz w:val="32"/>
          <w:szCs w:val="32"/>
          <w:lang w:val="en-US" w:eastAsia="zh-CN"/>
        </w:rPr>
        <w:t>11.08万</w:t>
      </w:r>
      <w:r>
        <w:rPr>
          <w:rFonts w:hint="eastAsia" w:ascii="仿宋_GB2312" w:hAnsi="仿宋_GB2312" w:eastAsia="仿宋_GB2312" w:cs="仿宋_GB2312"/>
          <w:sz w:val="32"/>
          <w:szCs w:val="32"/>
        </w:rPr>
        <w:t>元，其中：因公出国(境)费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万元，公务用车运行维护费</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lang w:eastAsia="zh-CN"/>
        </w:rPr>
        <w:t>万元，公务接待费</w:t>
      </w:r>
      <w:r>
        <w:rPr>
          <w:rFonts w:hint="eastAsia" w:ascii="仿宋_GB2312" w:hAnsi="仿宋_GB2312" w:eastAsia="仿宋_GB2312" w:cs="仿宋_GB2312"/>
          <w:sz w:val="32"/>
          <w:szCs w:val="32"/>
          <w:lang w:val="en-US" w:eastAsia="zh-CN"/>
        </w:rPr>
        <w:t>4.36</w:t>
      </w:r>
      <w:r>
        <w:rPr>
          <w:rFonts w:hint="eastAsia" w:ascii="仿宋_GB2312" w:hAnsi="仿宋_GB2312" w:eastAsia="仿宋_GB2312" w:cs="仿宋_GB2312"/>
          <w:sz w:val="32"/>
          <w:szCs w:val="32"/>
          <w:lang w:eastAsia="zh-CN"/>
        </w:rPr>
        <w:t>万元。</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4.政府采购执行情况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2022年度政府采购支出</w:t>
      </w:r>
      <w:r>
        <w:rPr>
          <w:rFonts w:hint="eastAsia" w:ascii="仿宋_GB2312" w:hAnsi="仿宋_GB2312" w:eastAsia="仿宋_GB2312" w:cs="仿宋_GB2312"/>
          <w:sz w:val="32"/>
          <w:szCs w:val="32"/>
          <w:lang w:val="en-US" w:eastAsia="zh-CN"/>
        </w:rPr>
        <w:t>371</w:t>
      </w:r>
      <w:r>
        <w:rPr>
          <w:rFonts w:hint="eastAsia" w:ascii="仿宋_GB2312" w:hAnsi="仿宋_GB2312" w:eastAsia="仿宋_GB2312" w:cs="仿宋_GB2312"/>
          <w:sz w:val="32"/>
          <w:szCs w:val="32"/>
        </w:rPr>
        <w:t>万元，其中：货物</w:t>
      </w:r>
      <w:r>
        <w:rPr>
          <w:rFonts w:hint="eastAsia" w:ascii="仿宋_GB2312" w:hAnsi="仿宋_GB2312" w:eastAsia="仿宋_GB2312" w:cs="仿宋_GB2312"/>
          <w:sz w:val="32"/>
          <w:szCs w:val="32"/>
          <w:lang w:val="en-US" w:eastAsia="zh-CN"/>
        </w:rPr>
        <w:t>371万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lang w:val="en-US" w:eastAsia="zh-CN"/>
        </w:rPr>
        <w:t>0万元，服务0万元。</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5.资产管理情况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2022年年末资产总额</w:t>
      </w:r>
      <w:r>
        <w:rPr>
          <w:rFonts w:hint="eastAsia" w:ascii="仿宋_GB2312" w:hAnsi="仿宋_GB2312" w:eastAsia="仿宋_GB2312" w:cs="仿宋_GB2312"/>
          <w:sz w:val="32"/>
          <w:szCs w:val="32"/>
          <w:lang w:val="en-US" w:eastAsia="zh-CN"/>
        </w:rPr>
        <w:t>669.09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负债总额</w:t>
      </w:r>
      <w:r>
        <w:rPr>
          <w:rFonts w:hint="eastAsia" w:ascii="仿宋_GB2312" w:hAnsi="仿宋_GB2312" w:eastAsia="仿宋_GB2312" w:cs="仿宋_GB2312"/>
          <w:sz w:val="32"/>
          <w:szCs w:val="32"/>
          <w:lang w:val="en-US" w:eastAsia="zh-CN"/>
        </w:rPr>
        <w:t>52.50</w:t>
      </w:r>
      <w:r>
        <w:rPr>
          <w:rFonts w:hint="eastAsia" w:ascii="仿宋_GB2312" w:hAnsi="仿宋_GB2312" w:eastAsia="仿宋_GB2312" w:cs="仿宋_GB2312"/>
          <w:sz w:val="32"/>
          <w:szCs w:val="32"/>
        </w:rPr>
        <w:t xml:space="preserve">万元，净资产 </w:t>
      </w:r>
      <w:r>
        <w:rPr>
          <w:rFonts w:hint="eastAsia" w:ascii="仿宋_GB2312" w:hAnsi="仿宋_GB2312" w:eastAsia="仿宋_GB2312" w:cs="仿宋_GB2312"/>
          <w:sz w:val="32"/>
          <w:szCs w:val="32"/>
          <w:lang w:val="en-US" w:eastAsia="zh-CN"/>
        </w:rPr>
        <w:t>616.60</w:t>
      </w:r>
      <w:r>
        <w:rPr>
          <w:rFonts w:hint="eastAsia" w:ascii="仿宋_GB2312" w:hAnsi="仿宋_GB2312" w:eastAsia="仿宋_GB2312" w:cs="仿宋_GB2312"/>
          <w:sz w:val="32"/>
          <w:szCs w:val="32"/>
        </w:rPr>
        <w:t>万元。截至2022年12月31日， 固定资产账面原值</w:t>
      </w:r>
      <w:r>
        <w:rPr>
          <w:rFonts w:hint="eastAsia" w:ascii="仿宋_GB2312" w:hAnsi="仿宋_GB2312" w:eastAsia="仿宋_GB2312" w:cs="仿宋_GB2312"/>
          <w:sz w:val="32"/>
          <w:szCs w:val="32"/>
          <w:lang w:val="en-US" w:eastAsia="zh-CN"/>
        </w:rPr>
        <w:t>1279.09</w:t>
      </w:r>
      <w:r>
        <w:rPr>
          <w:rFonts w:hint="eastAsia" w:ascii="仿宋_GB2312" w:hAnsi="仿宋_GB2312" w:eastAsia="仿宋_GB2312" w:cs="仿宋_GB2312"/>
          <w:sz w:val="32"/>
          <w:szCs w:val="32"/>
        </w:rPr>
        <w:t>万元，在用资产</w:t>
      </w:r>
      <w:r>
        <w:rPr>
          <w:rFonts w:hint="eastAsia" w:ascii="仿宋_GB2312" w:hAnsi="仿宋_GB2312" w:eastAsia="仿宋_GB2312" w:cs="仿宋_GB2312"/>
          <w:sz w:val="32"/>
          <w:szCs w:val="32"/>
          <w:lang w:val="en-US" w:eastAsia="zh-CN"/>
        </w:rPr>
        <w:t>1186.40</w:t>
      </w:r>
      <w:r>
        <w:rPr>
          <w:rFonts w:hint="eastAsia" w:ascii="仿宋_GB2312" w:hAnsi="仿宋_GB2312" w:eastAsia="仿宋_GB2312" w:cs="仿宋_GB2312"/>
          <w:sz w:val="32"/>
          <w:szCs w:val="32"/>
        </w:rPr>
        <w:t>万元，资产使用率</w:t>
      </w:r>
      <w:r>
        <w:rPr>
          <w:rFonts w:hint="eastAsia" w:ascii="仿宋_GB2312" w:hAnsi="仿宋_GB2312" w:eastAsia="仿宋_GB2312" w:cs="仿宋_GB2312"/>
          <w:sz w:val="32"/>
          <w:szCs w:val="32"/>
          <w:lang w:val="en-US" w:eastAsia="zh-CN"/>
        </w:rPr>
        <w:t>92.75</w:t>
      </w:r>
      <w:r>
        <w:rPr>
          <w:rFonts w:hint="eastAsia" w:ascii="仿宋_GB2312" w:hAnsi="仿宋_GB2312" w:eastAsia="仿宋_GB2312" w:cs="仿宋_GB2312"/>
          <w:sz w:val="32"/>
          <w:szCs w:val="32"/>
        </w:rPr>
        <w:t>%。</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(二)资金使用及绩效情况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1.整体绩效目标完成情况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严格执行财政部门预算，全面保障了机关日常正常运转，认真履行好单位职能职责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完成了</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政府下达的各项业务目标任务</w:t>
      </w:r>
      <w:r>
        <w:rPr>
          <w:rFonts w:hint="eastAsia" w:ascii="仿宋_GB2312" w:hAnsi="仿宋_GB2312" w:eastAsia="仿宋_GB2312" w:cs="仿宋_GB2312"/>
          <w:sz w:val="32"/>
          <w:szCs w:val="32"/>
          <w:lang w:eastAsia="zh-CN"/>
        </w:rPr>
        <w:t>，</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完成本年度单位人员经费保障任务和单位日常开支。提高干部职工积极性，提升工作效率。额保障在职人员工资、奖金、补助、五险一金等发放和缴纳。</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严格控制三公经费。保障机关正常运行，厉行节约，节省了开支，降低成本。</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切实维护全局干部职工权益，做好工会各项日常工作。</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足额保障全年工会经费。二是中心工会组织干部职工开展了团队拓展等活动，提升团队意识，增强凝聚力。三是工会按照上级工会部门文件要求落实工会会员节日福利待遇。</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壮大新闻舆论主声音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一是对内宣传提质增效。</w:t>
      </w:r>
      <w:r>
        <w:rPr>
          <w:rFonts w:hint="eastAsia" w:ascii="仿宋_GB2312" w:hAnsi="仿宋_GB2312" w:eastAsia="仿宋_GB2312" w:cs="仿宋_GB2312"/>
          <w:sz w:val="32"/>
          <w:szCs w:val="32"/>
          <w:lang w:eastAsia="zh-CN"/>
        </w:rPr>
        <w:t>对县上级部门下发</w:t>
      </w:r>
      <w:r>
        <w:rPr>
          <w:rFonts w:hint="eastAsia" w:ascii="仿宋_GB2312" w:hAnsi="仿宋_GB2312" w:eastAsia="仿宋_GB2312" w:cs="仿宋_GB2312"/>
          <w:sz w:val="32"/>
          <w:szCs w:val="32"/>
        </w:rPr>
        <w:t>各项指令基本做到及时接收、及时落实、及时反馈，高质量完成了各类工作总结的报送。二是对外宣传提升形象。积极将我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经济社会发展取得的辉煌成就及各行各业各条战线所取得的成绩更好的推介出去。</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2.项目绩效目标完成情况(仅对50万元以上的项目资</w:t>
      </w:r>
    </w:p>
    <w:p>
      <w:pPr>
        <w:keepNext w:val="0"/>
        <w:keepLines w:val="0"/>
        <w:pageBreakBefore w:val="0"/>
        <w:widowControl/>
        <w:kinsoku/>
        <w:wordWrap w:val="0"/>
        <w:overflowPunct/>
        <w:topLinePunct/>
        <w:autoSpaceDE/>
        <w:autoSpaceDN/>
        <w:bidi w:val="0"/>
        <w:adjustRightInd w:val="0"/>
        <w:snapToGrid w:val="0"/>
        <w:spacing w:line="520" w:lineRule="exac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金进行分项说明)</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存在的问题及改进措施</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因部门整体支出的预算资金安排和使用上仍有不可预见性，年中有些科目的开支会有调整，所以导致有时预算控制率低。经认真分析，202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年预算及执行还须进一步加强，我单位将会仔细评估申报来年预算金额，并在执行过程中不断加强管理和业务培训，加强股室协同和预算管理，严格预算执行，科学编制预算。</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其他需要说明的情况</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keepNext w:val="0"/>
        <w:keepLines w:val="0"/>
        <w:pageBreakBefore w:val="0"/>
        <w:widowControl/>
        <w:kinsoku/>
        <w:wordWrap w:val="0"/>
        <w:overflowPunct/>
        <w:topLinePunct/>
        <w:autoSpaceDE/>
        <w:autoSpaceDN/>
        <w:bidi w:val="0"/>
        <w:adjustRightInd w:val="0"/>
        <w:snapToGrid w:val="0"/>
        <w:spacing w:line="520" w:lineRule="exact"/>
        <w:ind w:left="0" w:leftChars="0" w:firstLine="640" w:firstLineChars="200"/>
        <w:textAlignment w:val="baseline"/>
        <w:rPr>
          <w:rFonts w:hint="eastAsia" w:ascii="仿宋_GB2312" w:hAnsi="仿宋_GB2312" w:eastAsia="仿宋_GB2312" w:cs="仿宋_GB2312"/>
          <w:sz w:val="32"/>
          <w:szCs w:val="32"/>
          <w:lang w:val="en-US" w:eastAsia="zh-CN"/>
        </w:rPr>
        <w:sectPr>
          <w:footerReference r:id="rId5" w:type="default"/>
          <w:pgSz w:w="11860" w:h="16800"/>
          <w:pgMar w:top="1301" w:right="1531" w:bottom="1440" w:left="1531" w:header="0" w:footer="0" w:gutter="0"/>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kMDU5ZGMyNjIwYzhkNzgwMGE3NGFmZmIyNzljMzIifQ=="/>
  </w:docVars>
  <w:rsids>
    <w:rsidRoot w:val="00000000"/>
    <w:rsid w:val="33D7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衡山县广播电视台</cp:lastModifiedBy>
  <dcterms:modified xsi:type="dcterms:W3CDTF">2023-08-24T02:33:15Z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0D82FB788CB5422A98C6131E1AA6317A_12</vt:lpwstr>
  </property>
</Properties>
</file>