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rPr>
          <w:rFonts w:ascii="黑体" w:eastAsia="黑体"/>
          <w:sz w:val="32"/>
          <w:szCs w:val="32"/>
        </w:rPr>
      </w:pPr>
    </w:p>
    <w:p>
      <w:pPr>
        <w:jc w:val="center"/>
        <w:rPr>
          <w:rFonts w:ascii="方正小标宋_GBK" w:eastAsia="方正小标宋_GBK"/>
          <w:sz w:val="48"/>
          <w:szCs w:val="48"/>
        </w:rPr>
      </w:pPr>
      <w:r>
        <w:rPr>
          <w:rFonts w:hint="eastAsia" w:ascii="方正小标宋_GBK" w:eastAsia="方正小标宋_GBK"/>
          <w:sz w:val="48"/>
          <w:szCs w:val="48"/>
          <w:lang w:eastAsia="zh-CN"/>
        </w:rPr>
        <w:t>202</w:t>
      </w:r>
      <w:r>
        <w:rPr>
          <w:rFonts w:hint="eastAsia" w:ascii="方正小标宋_GBK" w:eastAsia="方正小标宋_GBK"/>
          <w:sz w:val="48"/>
          <w:szCs w:val="48"/>
          <w:lang w:val="en-US" w:eastAsia="zh-CN"/>
        </w:rPr>
        <w:t>2</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单位名称（盖章）</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hAnsi="黑体" w:eastAsia="黑体"/>
          <w:sz w:val="32"/>
          <w:szCs w:val="32"/>
        </w:rPr>
      </w:pPr>
      <w:r>
        <w:rPr>
          <w:rFonts w:hint="eastAsia" w:ascii="仿宋_GB2312" w:eastAsia="仿宋_GB2312"/>
          <w:sz w:val="32"/>
          <w:szCs w:val="32"/>
        </w:rPr>
        <w:t>（此页为封面）</w:t>
      </w:r>
    </w:p>
    <w:p>
      <w:pPr>
        <w:pStyle w:val="16"/>
        <w:widowControl/>
        <w:spacing w:line="600" w:lineRule="exact"/>
        <w:ind w:firstLine="620"/>
        <w:rPr>
          <w:rFonts w:ascii="黑体" w:hAnsi="黑体" w:eastAsia="黑体"/>
          <w:sz w:val="32"/>
          <w:szCs w:val="32"/>
        </w:rPr>
      </w:pPr>
    </w:p>
    <w:p>
      <w:pPr>
        <w:pStyle w:val="16"/>
        <w:widowControl/>
        <w:spacing w:line="600" w:lineRule="exact"/>
        <w:ind w:firstLine="620"/>
        <w:rPr>
          <w:rFonts w:ascii="黑体" w:hAnsi="黑体" w:eastAsia="黑体"/>
          <w:sz w:val="32"/>
          <w:szCs w:val="32"/>
        </w:rPr>
      </w:pPr>
    </w:p>
    <w:p>
      <w:pPr>
        <w:pStyle w:val="16"/>
        <w:widowControl/>
        <w:spacing w:line="600" w:lineRule="exact"/>
        <w:ind w:firstLine="620"/>
        <w:rPr>
          <w:rFonts w:ascii="黑体" w:hAnsi="黑体" w:eastAsia="黑体"/>
          <w:sz w:val="32"/>
          <w:szCs w:val="32"/>
        </w:rPr>
      </w:pPr>
    </w:p>
    <w:p>
      <w:pPr>
        <w:pStyle w:val="16"/>
        <w:widowControl/>
        <w:numPr>
          <w:ilvl w:val="0"/>
          <w:numId w:val="1"/>
        </w:numPr>
        <w:spacing w:line="600" w:lineRule="exact"/>
        <w:ind w:firstLine="620"/>
        <w:rPr>
          <w:rFonts w:hint="eastAsia" w:ascii="黑体" w:hAnsi="黑体" w:eastAsia="黑体"/>
          <w:sz w:val="32"/>
          <w:szCs w:val="32"/>
        </w:rPr>
      </w:pPr>
      <w:r>
        <w:rPr>
          <w:rFonts w:hint="eastAsia" w:ascii="黑体" w:hAnsi="黑体" w:eastAsia="黑体"/>
          <w:sz w:val="32"/>
          <w:szCs w:val="32"/>
        </w:rPr>
        <w:t>单位基本情况</w:t>
      </w:r>
    </w:p>
    <w:p>
      <w:pPr>
        <w:pStyle w:val="16"/>
        <w:widowControl/>
        <w:numPr>
          <w:ilvl w:val="0"/>
          <w:numId w:val="2"/>
        </w:numPr>
        <w:spacing w:line="600" w:lineRule="exact"/>
        <w:ind w:firstLine="542"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部门主要职责</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eastAsia="宋体"/>
          <w:sz w:val="28"/>
          <w:szCs w:val="28"/>
          <w:lang w:val="en-US" w:eastAsia="zh-CN"/>
        </w:rPr>
      </w:pPr>
      <w:r>
        <w:rPr>
          <w:rFonts w:hint="eastAsia" w:eastAsia="宋体"/>
          <w:sz w:val="28"/>
          <w:szCs w:val="28"/>
          <w:lang w:val="en-US" w:eastAsia="zh-CN"/>
        </w:rPr>
        <w:t>中共衡山县委机构编制委员会办公室（以下简称</w:t>
      </w:r>
      <w:r>
        <w:rPr>
          <w:rFonts w:hint="eastAsia" w:eastAsia="宋体"/>
          <w:sz w:val="28"/>
          <w:szCs w:val="28"/>
          <w:lang w:eastAsia="zh-CN"/>
        </w:rPr>
        <w:t>中共衡山县委编办）于1995年8月成立，为正科级</w:t>
      </w:r>
      <w:r>
        <w:rPr>
          <w:rFonts w:hint="eastAsia" w:eastAsia="宋体"/>
          <w:sz w:val="28"/>
          <w:szCs w:val="28"/>
          <w:lang w:val="en-US" w:eastAsia="zh-CN"/>
        </w:rPr>
        <w:t>财政全额</w:t>
      </w:r>
      <w:r>
        <w:rPr>
          <w:rFonts w:hint="eastAsia" w:eastAsia="宋体"/>
          <w:sz w:val="28"/>
          <w:szCs w:val="28"/>
          <w:lang w:eastAsia="zh-CN"/>
        </w:rPr>
        <w:t>拨款行政机关，下设</w:t>
      </w:r>
      <w:r>
        <w:rPr>
          <w:rFonts w:hint="eastAsia" w:eastAsia="宋体"/>
          <w:sz w:val="28"/>
          <w:szCs w:val="28"/>
          <w:lang w:val="en-US" w:eastAsia="zh-CN"/>
        </w:rPr>
        <w:t>办公室</w:t>
      </w:r>
      <w:r>
        <w:rPr>
          <w:rFonts w:hint="eastAsia" w:eastAsia="宋体"/>
          <w:sz w:val="28"/>
          <w:szCs w:val="28"/>
          <w:lang w:eastAsia="zh-CN"/>
        </w:rPr>
        <w:t>等3个股室，</w:t>
      </w:r>
      <w:r>
        <w:rPr>
          <w:rFonts w:hint="eastAsia"/>
          <w:sz w:val="28"/>
          <w:szCs w:val="28"/>
          <w:lang w:val="en-US" w:eastAsia="zh-CN"/>
        </w:rPr>
        <w:t>下设非独立财务核算的</w:t>
      </w:r>
      <w:r>
        <w:rPr>
          <w:rFonts w:hint="eastAsia" w:eastAsia="宋体"/>
          <w:sz w:val="28"/>
          <w:szCs w:val="28"/>
          <w:lang w:eastAsia="zh-CN"/>
        </w:rPr>
        <w:t>二级机构：衡山县机构编制</w:t>
      </w:r>
      <w:r>
        <w:rPr>
          <w:rFonts w:hint="eastAsia"/>
          <w:sz w:val="28"/>
          <w:szCs w:val="28"/>
          <w:lang w:eastAsia="zh-CN"/>
        </w:rPr>
        <w:t>事务</w:t>
      </w:r>
      <w:r>
        <w:rPr>
          <w:rFonts w:hint="eastAsia" w:eastAsia="宋体"/>
          <w:sz w:val="28"/>
          <w:szCs w:val="28"/>
          <w:lang w:eastAsia="zh-CN"/>
        </w:rPr>
        <w:t>中心。</w:t>
      </w:r>
      <w:r>
        <w:rPr>
          <w:rFonts w:hint="eastAsia" w:eastAsia="宋体"/>
          <w:sz w:val="28"/>
          <w:szCs w:val="28"/>
          <w:lang w:val="en-US" w:eastAsia="zh-CN"/>
        </w:rPr>
        <w:t>中共衡山县委机构编制委员会办的主要职责是：</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42" w:firstLineChars="200"/>
        <w:textAlignment w:val="auto"/>
        <w:rPr>
          <w:rFonts w:hint="eastAsia" w:eastAsia="宋体"/>
          <w:sz w:val="28"/>
          <w:szCs w:val="28"/>
          <w:lang w:val="en-US" w:eastAsia="zh-CN"/>
        </w:rPr>
      </w:pPr>
      <w:r>
        <w:rPr>
          <w:rFonts w:hint="eastAsia" w:eastAsia="宋体"/>
          <w:sz w:val="28"/>
          <w:szCs w:val="28"/>
          <w:lang w:val="en-US" w:eastAsia="zh-CN"/>
        </w:rPr>
        <w:t>贯彻执行党中央和省有关行政管理体制和机构改革，以及机构编制管理的方针政策和法规，全面贯彻落实省委、市委、县委关于机构改革和机构编制管理的决策部署，拟订机构编制管理的地方性规章草案和规范性文件，并组织实施。统一管理全县各级党政机关和事业单位的机构编制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2、拟订全县行政管理体制与机构改革总体方案并组织实施。审核县直党政群机关机构改革方案。指导、协调全县各级行政管理体制和机构改革工作。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3、拟订全县事业单位管理体制与分类改革总体方案并组织实施。审核全县科级事业单位分类改革方案。审定县直股级事业单位分类改革方案。指导、协调全县各级事业单位分类改革工作。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4、审核全县科级机构的设置和调整。研究提出县直党政机关职责配置和调整意见，协调各部门之间、县本级与乡镇之间的事权划分和职责分工。审定全县科级机构的内设机构、县直党政机关股级机构、乡镇机关股级事业单位的设置和调整。</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5、审核县直党政机关各部门、全县科级事业单位人员编制方案，审定县直股级事业单位人员编制方案。会同县委组织部提出全县党政群机关、科级事业单位领导职数配备和调整方案。审定县直党政群机关、事业单位股级领导职数。拟订全县各级党政机关行政编制、政法专项编制总额分配和调整方案。拟订全县性事业单位机构编制标准和管理办法并组织实施。负责全县党政群机关、乡镇机关、财政全额拨款和差额补助事业单位新进人员用编的事前申报、事后备案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6、拟订全县乡镇机构改革总体方案并指导实施，管理全县乡镇人员编制总量。</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7、负责县直机关、乡镇、事业单位机构编制实名制管理。审核纳入县级财政统一发放工资和参加养老保险的事业单位人员编制。负责全县机构编制统计和分析工作。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8、贯彻执行国家、省有关事业单位登记管理的法律、法规和规章，拟订全县事业单位登记管理工作办法并组织实施。依法对县本级登记管辖范围内（含利用国有资产举办）和省市编办授权管理的垂直管理事业单位进行登记管理，保障其合法权益。监督事业单位贯彻落实事业单位登记管理法规，依法处理违法行为。指导和实施事业单位法人治理结构、绩效评估、信用监管和年度报告公开，以及事业单位法人公示信息抽查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9、监督检查全县各级党政机关、事业单位机构编制及管理体制、机构改革方案的执行情况，对县直单位执行“三定”规定情况进行评估。组织开展相关事业单位履职评估和相关考核工作。会同有关部门查处机构编制违规违纪行为。</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10、负责全县机关、事业单位“政务”和“公益”中文域名注册的组织、协调、宣传和管理工作。负责县直党政机关、事业单位已有网站、拟新开设网站的审核、资格复核和网站标识管理工作。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11、负责开展全县机关、编办直接管理机构编制的群众团体、上级编办授权管理单位的统一社会信用代码赋码工作。</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12、统一管理全县议事协调机构和临时机构，承担受理、审核、报批县级议事协调机构和临时机构的设置、变更等事项。</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ascii="黑体" w:hAnsi="黑体" w:eastAsia="黑体"/>
          <w:sz w:val="32"/>
          <w:szCs w:val="32"/>
        </w:rPr>
      </w:pPr>
      <w:r>
        <w:rPr>
          <w:rFonts w:hint="eastAsia"/>
          <w:sz w:val="28"/>
          <w:szCs w:val="28"/>
          <w:lang w:eastAsia="zh-CN"/>
        </w:rPr>
        <w:t>截至</w:t>
      </w:r>
      <w:r>
        <w:rPr>
          <w:rFonts w:hint="eastAsia"/>
          <w:sz w:val="28"/>
          <w:szCs w:val="28"/>
          <w:lang w:val="en-US" w:eastAsia="zh-CN"/>
        </w:rPr>
        <w:t>2022年12月31日，</w:t>
      </w:r>
      <w:r>
        <w:rPr>
          <w:rFonts w:hint="eastAsia"/>
          <w:sz w:val="28"/>
          <w:szCs w:val="28"/>
          <w:lang w:eastAsia="zh-CN"/>
        </w:rPr>
        <w:t>我单位</w:t>
      </w:r>
      <w:r>
        <w:rPr>
          <w:rFonts w:hint="eastAsia" w:eastAsia="宋体"/>
          <w:sz w:val="28"/>
          <w:szCs w:val="28"/>
          <w:lang w:eastAsia="zh-CN"/>
        </w:rPr>
        <w:t>现有行政编制</w:t>
      </w:r>
      <w:r>
        <w:rPr>
          <w:rFonts w:hint="eastAsia"/>
          <w:sz w:val="28"/>
          <w:szCs w:val="28"/>
          <w:lang w:val="en-US" w:eastAsia="zh-CN"/>
        </w:rPr>
        <w:t>10名</w:t>
      </w:r>
      <w:r>
        <w:rPr>
          <w:rFonts w:hint="eastAsia" w:eastAsia="宋体"/>
          <w:sz w:val="28"/>
          <w:szCs w:val="28"/>
          <w:lang w:eastAsia="zh-CN"/>
        </w:rPr>
        <w:t>，全额拨款事业编制</w:t>
      </w:r>
      <w:r>
        <w:rPr>
          <w:rFonts w:hint="eastAsia"/>
          <w:sz w:val="28"/>
          <w:szCs w:val="28"/>
          <w:lang w:val="en-US" w:eastAsia="zh-CN"/>
        </w:rPr>
        <w:t>7名（</w:t>
      </w:r>
      <w:r>
        <w:rPr>
          <w:rFonts w:hint="eastAsia"/>
          <w:sz w:val="28"/>
          <w:szCs w:val="28"/>
          <w:lang w:eastAsia="zh-CN"/>
        </w:rPr>
        <w:t>衡山县机构编制事务中心</w:t>
      </w:r>
      <w:r>
        <w:rPr>
          <w:rFonts w:hint="eastAsia"/>
          <w:sz w:val="28"/>
          <w:szCs w:val="28"/>
          <w:lang w:val="en-US" w:eastAsia="zh-CN"/>
        </w:rPr>
        <w:t>），</w:t>
      </w:r>
      <w:r>
        <w:rPr>
          <w:rFonts w:hint="eastAsia" w:eastAsia="宋体"/>
          <w:sz w:val="28"/>
          <w:szCs w:val="28"/>
          <w:lang w:eastAsia="zh-CN"/>
        </w:rPr>
        <w:t>实有在职在编人员</w:t>
      </w:r>
      <w:r>
        <w:rPr>
          <w:rFonts w:hint="eastAsia"/>
          <w:sz w:val="28"/>
          <w:szCs w:val="28"/>
          <w:lang w:val="en-US" w:eastAsia="zh-CN"/>
        </w:rPr>
        <w:t>10</w:t>
      </w:r>
      <w:r>
        <w:rPr>
          <w:rFonts w:hint="eastAsia" w:eastAsia="宋体"/>
          <w:sz w:val="28"/>
          <w:szCs w:val="28"/>
          <w:lang w:eastAsia="zh-CN"/>
        </w:rPr>
        <w:t>人，退休人员</w:t>
      </w:r>
      <w:r>
        <w:rPr>
          <w:rFonts w:hint="eastAsia"/>
          <w:sz w:val="28"/>
          <w:szCs w:val="28"/>
          <w:lang w:val="en-US" w:eastAsia="zh-CN"/>
        </w:rPr>
        <w:t>4</w:t>
      </w:r>
      <w:r>
        <w:rPr>
          <w:rFonts w:hint="eastAsia" w:eastAsia="宋体"/>
          <w:sz w:val="28"/>
          <w:szCs w:val="28"/>
          <w:lang w:eastAsia="zh-CN"/>
        </w:rPr>
        <w:t>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42" w:firstLineChars="200"/>
        <w:textAlignment w:val="auto"/>
        <w:rPr>
          <w:rFonts w:hint="eastAsia"/>
          <w:sz w:val="28"/>
          <w:szCs w:val="28"/>
          <w:lang w:eastAsia="zh-CN"/>
        </w:rPr>
      </w:pPr>
      <w:r>
        <w:rPr>
          <w:rFonts w:hint="eastAsia"/>
          <w:sz w:val="28"/>
          <w:szCs w:val="28"/>
          <w:lang w:eastAsia="zh-CN"/>
        </w:rPr>
        <w:t>预算支出及绩效情况</w:t>
      </w:r>
    </w:p>
    <w:p>
      <w:pPr>
        <w:keepNext w:val="0"/>
        <w:keepLines w:val="0"/>
        <w:pageBreakBefore w:val="0"/>
        <w:widowControl w:val="0"/>
        <w:numPr>
          <w:ilvl w:val="0"/>
          <w:numId w:val="4"/>
        </w:numPr>
        <w:kinsoku/>
        <w:wordWrap/>
        <w:overflowPunct/>
        <w:topLinePunct w:val="0"/>
        <w:autoSpaceDE/>
        <w:autoSpaceDN/>
        <w:bidi w:val="0"/>
        <w:adjustRightInd/>
        <w:snapToGrid/>
        <w:ind w:leftChars="200"/>
        <w:textAlignment w:val="auto"/>
        <w:rPr>
          <w:rFonts w:hint="eastAsia"/>
          <w:sz w:val="28"/>
          <w:szCs w:val="28"/>
          <w:lang w:eastAsia="zh-CN"/>
        </w:rPr>
      </w:pPr>
      <w:r>
        <w:rPr>
          <w:rFonts w:hint="eastAsia"/>
          <w:sz w:val="28"/>
          <w:szCs w:val="28"/>
          <w:lang w:eastAsia="zh-CN"/>
        </w:rPr>
        <w:t>部门预算情况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r>
        <w:rPr>
          <w:rFonts w:hint="eastAsia"/>
          <w:sz w:val="28"/>
          <w:szCs w:val="28"/>
          <w:lang w:val="en-US" w:eastAsia="zh-CN"/>
        </w:rPr>
        <w:t xml:space="preserve">    1、部门预算情况</w:t>
      </w:r>
    </w:p>
    <w:p>
      <w:pPr>
        <w:keepNext w:val="0"/>
        <w:keepLines w:val="0"/>
        <w:pageBreakBefore w:val="0"/>
        <w:widowControl w:val="0"/>
        <w:numPr>
          <w:ilvl w:val="0"/>
          <w:numId w:val="0"/>
        </w:numPr>
        <w:kinsoku/>
        <w:wordWrap/>
        <w:overflowPunct/>
        <w:topLinePunct w:val="0"/>
        <w:autoSpaceDE/>
        <w:autoSpaceDN/>
        <w:bidi w:val="0"/>
        <w:adjustRightInd/>
        <w:snapToGrid/>
        <w:ind w:firstLine="542" w:firstLineChars="200"/>
        <w:textAlignment w:val="auto"/>
        <w:rPr>
          <w:rFonts w:hint="default" w:eastAsia="宋体"/>
          <w:sz w:val="28"/>
          <w:szCs w:val="28"/>
          <w:lang w:val="en-US" w:eastAsia="zh-CN"/>
        </w:rPr>
      </w:pPr>
      <w:r>
        <w:rPr>
          <w:rFonts w:hint="eastAsia"/>
          <w:sz w:val="28"/>
          <w:szCs w:val="28"/>
          <w:lang w:val="en-US" w:eastAsia="zh-CN"/>
        </w:rPr>
        <w:t>2022</w:t>
      </w:r>
      <w:r>
        <w:rPr>
          <w:rFonts w:hint="eastAsia"/>
          <w:sz w:val="28"/>
          <w:szCs w:val="28"/>
        </w:rPr>
        <w:t>年</w:t>
      </w:r>
      <w:r>
        <w:rPr>
          <w:rFonts w:hint="eastAsia"/>
          <w:sz w:val="28"/>
          <w:szCs w:val="28"/>
          <w:lang w:eastAsia="zh-CN"/>
        </w:rPr>
        <w:t>年初预算安排收入</w:t>
      </w:r>
      <w:r>
        <w:rPr>
          <w:rFonts w:hint="eastAsia"/>
          <w:sz w:val="28"/>
          <w:szCs w:val="28"/>
          <w:lang w:val="en-US" w:eastAsia="zh-CN"/>
        </w:rPr>
        <w:t>135万元，其中一般公共财政拨款135万元；2022年年初预算安排支出 135万元，其中：基本支出125万元，项目支出   10万元。</w:t>
      </w:r>
    </w:p>
    <w:p>
      <w:pPr>
        <w:keepNext w:val="0"/>
        <w:keepLines w:val="0"/>
        <w:pageBreakBefore w:val="0"/>
        <w:widowControl w:val="0"/>
        <w:numPr>
          <w:ilvl w:val="0"/>
          <w:numId w:val="5"/>
        </w:numPr>
        <w:kinsoku/>
        <w:wordWrap/>
        <w:overflowPunct/>
        <w:topLinePunct w:val="0"/>
        <w:autoSpaceDE/>
        <w:autoSpaceDN/>
        <w:bidi w:val="0"/>
        <w:adjustRightInd/>
        <w:snapToGrid/>
        <w:ind w:firstLine="542" w:firstLineChars="200"/>
        <w:textAlignment w:val="auto"/>
        <w:rPr>
          <w:rFonts w:hint="eastAsia"/>
          <w:sz w:val="28"/>
          <w:szCs w:val="28"/>
          <w:lang w:val="en-US" w:eastAsia="zh-CN"/>
        </w:rPr>
      </w:pPr>
      <w:r>
        <w:rPr>
          <w:rFonts w:hint="eastAsia"/>
          <w:sz w:val="28"/>
          <w:szCs w:val="28"/>
          <w:lang w:val="en-US" w:eastAsia="zh-CN"/>
        </w:rPr>
        <w:t>部门决算情况（含年终预算追加情况）</w:t>
      </w:r>
    </w:p>
    <w:p>
      <w:pPr>
        <w:keepNext w:val="0"/>
        <w:keepLines w:val="0"/>
        <w:pageBreakBefore w:val="0"/>
        <w:widowControl w:val="0"/>
        <w:numPr>
          <w:ilvl w:val="0"/>
          <w:numId w:val="0"/>
        </w:numPr>
        <w:kinsoku/>
        <w:wordWrap/>
        <w:overflowPunct/>
        <w:topLinePunct w:val="0"/>
        <w:autoSpaceDE/>
        <w:autoSpaceDN/>
        <w:bidi w:val="0"/>
        <w:adjustRightInd/>
        <w:snapToGrid/>
        <w:ind w:firstLine="540"/>
        <w:textAlignment w:val="auto"/>
        <w:rPr>
          <w:rFonts w:hint="default"/>
          <w:sz w:val="28"/>
          <w:szCs w:val="28"/>
          <w:lang w:val="en-US" w:eastAsia="zh-CN"/>
        </w:rPr>
      </w:pPr>
      <w:r>
        <w:rPr>
          <w:rFonts w:hint="eastAsia"/>
          <w:sz w:val="28"/>
          <w:szCs w:val="28"/>
          <w:lang w:val="en-US" w:eastAsia="zh-CN"/>
        </w:rPr>
        <w:t>2022年决算总收入149.9万元，较预算增加14.9万元，总支出148.75万元，其中：基本支出118.22万元，占总支出的79.48%；项目支出30.53万元，占总支出的20.52%，差异产生的主要原因是上年结转基本支出0.09万元，本年度年终结转基本支出1.24万元。</w:t>
      </w:r>
    </w:p>
    <w:p>
      <w:pPr>
        <w:keepNext w:val="0"/>
        <w:keepLines w:val="0"/>
        <w:pageBreakBefore w:val="0"/>
        <w:widowControl w:val="0"/>
        <w:numPr>
          <w:ilvl w:val="0"/>
          <w:numId w:val="5"/>
        </w:numPr>
        <w:kinsoku/>
        <w:wordWrap/>
        <w:overflowPunct/>
        <w:topLinePunct w:val="0"/>
        <w:autoSpaceDE/>
        <w:autoSpaceDN/>
        <w:bidi w:val="0"/>
        <w:adjustRightInd/>
        <w:snapToGrid/>
        <w:ind w:firstLine="542" w:firstLineChars="200"/>
        <w:textAlignment w:val="auto"/>
        <w:rPr>
          <w:rFonts w:hint="default"/>
          <w:sz w:val="28"/>
          <w:szCs w:val="28"/>
          <w:lang w:val="en-US" w:eastAsia="zh-CN"/>
        </w:rPr>
      </w:pPr>
      <w:r>
        <w:rPr>
          <w:rFonts w:hint="eastAsia"/>
          <w:sz w:val="28"/>
          <w:szCs w:val="28"/>
          <w:lang w:val="en-US" w:eastAsia="zh-CN"/>
        </w:rPr>
        <w:t>“三公”经费执行情况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r>
        <w:rPr>
          <w:rFonts w:hint="eastAsia"/>
          <w:sz w:val="28"/>
          <w:szCs w:val="28"/>
          <w:lang w:val="en-US" w:eastAsia="zh-CN"/>
        </w:rPr>
        <w:t xml:space="preserve">    2022年“三公”经费预算数1.83万元，其中：因公出国（境）费0万元，公务用车购置及运行维护费0万元，公务接待费1.83万元。“三公”经费决算数0.5万元，其中：因公出国（境）费0万元，公务用车购置及运行维护费0万元，公务接待费0.5万元。</w:t>
      </w:r>
    </w:p>
    <w:p>
      <w:pPr>
        <w:keepNext w:val="0"/>
        <w:keepLines w:val="0"/>
        <w:pageBreakBefore w:val="0"/>
        <w:widowControl w:val="0"/>
        <w:numPr>
          <w:ilvl w:val="0"/>
          <w:numId w:val="5"/>
        </w:numPr>
        <w:kinsoku/>
        <w:wordWrap/>
        <w:overflowPunct/>
        <w:topLinePunct w:val="0"/>
        <w:autoSpaceDE/>
        <w:autoSpaceDN/>
        <w:bidi w:val="0"/>
        <w:adjustRightInd/>
        <w:snapToGrid/>
        <w:ind w:firstLine="542" w:firstLineChars="200"/>
        <w:textAlignment w:val="auto"/>
        <w:rPr>
          <w:rFonts w:hint="default"/>
          <w:sz w:val="28"/>
          <w:szCs w:val="28"/>
          <w:lang w:val="en-US" w:eastAsia="zh-CN"/>
        </w:rPr>
      </w:pPr>
      <w:r>
        <w:rPr>
          <w:rFonts w:hint="eastAsia"/>
          <w:sz w:val="28"/>
          <w:szCs w:val="28"/>
          <w:lang w:val="en-US" w:eastAsia="zh-CN"/>
        </w:rPr>
        <w:t>政府采购执行情况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r>
        <w:rPr>
          <w:rFonts w:hint="eastAsia"/>
          <w:sz w:val="28"/>
          <w:szCs w:val="28"/>
          <w:lang w:val="en-US" w:eastAsia="zh-CN"/>
        </w:rPr>
        <w:t xml:space="preserve">    2022年度政府采购支出0万元，其中：货物0万元，工程0万元，服务 0万元。</w:t>
      </w:r>
    </w:p>
    <w:p>
      <w:pPr>
        <w:keepNext w:val="0"/>
        <w:keepLines w:val="0"/>
        <w:pageBreakBefore w:val="0"/>
        <w:widowControl w:val="0"/>
        <w:numPr>
          <w:ilvl w:val="0"/>
          <w:numId w:val="5"/>
        </w:numPr>
        <w:kinsoku/>
        <w:wordWrap/>
        <w:overflowPunct/>
        <w:topLinePunct w:val="0"/>
        <w:autoSpaceDE/>
        <w:autoSpaceDN/>
        <w:bidi w:val="0"/>
        <w:adjustRightInd/>
        <w:snapToGrid/>
        <w:ind w:firstLine="542" w:firstLineChars="200"/>
        <w:textAlignment w:val="auto"/>
        <w:rPr>
          <w:rFonts w:hint="default"/>
          <w:sz w:val="28"/>
          <w:szCs w:val="28"/>
          <w:lang w:val="en-US" w:eastAsia="zh-CN"/>
        </w:rPr>
      </w:pPr>
      <w:r>
        <w:rPr>
          <w:rFonts w:hint="eastAsia"/>
          <w:sz w:val="28"/>
          <w:szCs w:val="28"/>
          <w:lang w:val="en-US" w:eastAsia="zh-CN"/>
        </w:rPr>
        <w:t>资产管理情况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28"/>
          <w:lang w:val="en-US" w:eastAsia="zh-CN"/>
        </w:rPr>
      </w:pPr>
      <w:r>
        <w:rPr>
          <w:rFonts w:hint="eastAsia"/>
          <w:sz w:val="28"/>
          <w:szCs w:val="28"/>
          <w:lang w:val="en-US" w:eastAsia="zh-CN"/>
        </w:rPr>
        <w:t xml:space="preserve">    2022年年末资产总额10.08万元，负债总额 6.5万元，净资产3.58万元。截至2022年12月31日，固定资产账面价值21.39万元，在用资产21.39万元，资产使用率100%。</w:t>
      </w:r>
    </w:p>
    <w:p>
      <w:pPr>
        <w:keepNext w:val="0"/>
        <w:keepLines w:val="0"/>
        <w:pageBreakBefore w:val="0"/>
        <w:widowControl w:val="0"/>
        <w:numPr>
          <w:ilvl w:val="0"/>
          <w:numId w:val="4"/>
        </w:numPr>
        <w:kinsoku/>
        <w:wordWrap/>
        <w:overflowPunct/>
        <w:topLinePunct w:val="0"/>
        <w:autoSpaceDE/>
        <w:autoSpaceDN/>
        <w:bidi w:val="0"/>
        <w:adjustRightInd/>
        <w:snapToGrid/>
        <w:ind w:left="402" w:leftChars="200" w:firstLine="0" w:firstLineChars="0"/>
        <w:textAlignment w:val="auto"/>
        <w:rPr>
          <w:rFonts w:hint="eastAsia"/>
          <w:sz w:val="28"/>
          <w:szCs w:val="28"/>
          <w:lang w:val="en-US" w:eastAsia="zh-CN"/>
        </w:rPr>
      </w:pPr>
      <w:r>
        <w:rPr>
          <w:rFonts w:hint="eastAsia"/>
          <w:sz w:val="28"/>
          <w:szCs w:val="28"/>
          <w:lang w:val="en-US" w:eastAsia="zh-CN"/>
        </w:rPr>
        <w:t>资金使用及绩效情况</w:t>
      </w:r>
    </w:p>
    <w:p>
      <w:pPr>
        <w:keepNext w:val="0"/>
        <w:keepLines w:val="0"/>
        <w:pageBreakBefore w:val="0"/>
        <w:widowControl w:val="0"/>
        <w:numPr>
          <w:ilvl w:val="0"/>
          <w:numId w:val="6"/>
        </w:numPr>
        <w:kinsoku/>
        <w:wordWrap/>
        <w:overflowPunct/>
        <w:topLinePunct w:val="0"/>
        <w:autoSpaceDE/>
        <w:autoSpaceDN/>
        <w:bidi w:val="0"/>
        <w:adjustRightInd/>
        <w:snapToGrid/>
        <w:ind w:leftChars="200"/>
        <w:textAlignment w:val="auto"/>
        <w:rPr>
          <w:rFonts w:hint="eastAsia"/>
          <w:sz w:val="28"/>
          <w:szCs w:val="28"/>
          <w:lang w:val="en-US" w:eastAsia="zh-CN"/>
        </w:rPr>
      </w:pPr>
      <w:r>
        <w:rPr>
          <w:rFonts w:hint="eastAsia"/>
          <w:sz w:val="28"/>
          <w:szCs w:val="28"/>
          <w:lang w:val="en-US" w:eastAsia="zh-CN"/>
        </w:rPr>
        <w:t>整体绩效目标完成情况</w:t>
      </w:r>
    </w:p>
    <w:p>
      <w:pPr>
        <w:keepNext w:val="0"/>
        <w:keepLines w:val="0"/>
        <w:pageBreakBefore w:val="0"/>
        <w:widowControl w:val="0"/>
        <w:numPr>
          <w:ilvl w:val="0"/>
          <w:numId w:val="0"/>
        </w:numPr>
        <w:kinsoku/>
        <w:wordWrap/>
        <w:overflowPunct/>
        <w:topLinePunct w:val="0"/>
        <w:autoSpaceDE/>
        <w:autoSpaceDN/>
        <w:bidi w:val="0"/>
        <w:adjustRightInd/>
        <w:snapToGrid/>
        <w:ind w:firstLine="813" w:firstLineChars="300"/>
        <w:textAlignment w:val="auto"/>
        <w:rPr>
          <w:rFonts w:hint="eastAsia"/>
          <w:sz w:val="28"/>
          <w:szCs w:val="28"/>
          <w:lang w:val="en-US" w:eastAsia="zh-CN"/>
        </w:rPr>
      </w:pPr>
      <w:r>
        <w:rPr>
          <w:rFonts w:hint="eastAsia"/>
          <w:sz w:val="28"/>
          <w:szCs w:val="28"/>
          <w:lang w:val="en-US" w:eastAsia="zh-CN"/>
        </w:rPr>
        <w:t>2022年，根据本单位年初工作规划和重点工作，围绕县委、县政府中心工作，积极履行职责，强化管理，较好地完成了年度工作目标，同时加强预算收支的管理，建立健全内部管理制度，严格内部管理流程，单位整体支出管理得到了提升。</w:t>
      </w:r>
    </w:p>
    <w:p>
      <w:pPr>
        <w:widowControl/>
        <w:numPr>
          <w:ilvl w:val="0"/>
          <w:numId w:val="7"/>
        </w:numPr>
        <w:spacing w:line="600" w:lineRule="exact"/>
        <w:jc w:val="left"/>
        <w:rPr>
          <w:rFonts w:hint="eastAsia"/>
          <w:sz w:val="28"/>
          <w:szCs w:val="28"/>
          <w:lang w:val="en-US" w:eastAsia="zh-CN"/>
        </w:rPr>
      </w:pPr>
      <w:r>
        <w:rPr>
          <w:rFonts w:hint="eastAsia"/>
          <w:sz w:val="28"/>
          <w:szCs w:val="28"/>
          <w:lang w:val="en-US" w:eastAsia="zh-CN"/>
        </w:rPr>
        <w:t>完成电力行业管理及电力行政执法职责调整事项。根据衡阳市发改委《关于全面理顺电力管理机构的函》文件精神，按照上下对口的原则，将县科技和工业信息化局所属的衡山县电力执法大队职责、机构、编制、人员整体划转县发展和改革局。</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二）完成文物保护工作机构设置调整事项。根据《关于调整县市区文物保护工作机构设置的通知》文件精神，衡山县文化旅游广电体育局对外使用文物局名称，统一调整为加挂衡山县文物局牌子，并在衡山县文化遗产事务中心加挂考古研究中心牌子。</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三）完成国家安全委员会办公室机构编制调整事项。根据衡阳市委编办《关于县市区党委国家安全委员会办公室有关机构编制事项的通知》文件精神，将中共衡山县委国家安全委员会办公室由设在政法委统一调整为设在县委办。</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（四）完成县绩效考核相关职责和机构编制调整事项。县委考核工作领导小组设在县委组织部，将县委办公室承担的有关绩效考核相关职责整合至县委组织部。</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五）完成应急管理领域综合行政执法改革。印发《衡山县应急管理综合行政执法改革实施方案》，整合了相关行政处罚、行政强制职能，并重新组建了应急管理综合行政执法机构，为我县执法机构构建、执法队伍建设、执法机制完善、强化综合执法保障提供了有力的制度依据和编制保障。</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六）公安局增设反恐大队。根据衡阳市公安局《关于推进县市公安机关成立反恐怖大队的意见》文件精神，经县委编委主要领导批示，县委编办主任办公会议研究，同意撤销衡山县公安局治安管理大队下所属反恐中队，并增设衡山县公安局反恐怖工作大队。</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七）完成衡山县委财经委员会办公室机构编制事项调整。根据衡阳市委编办《关于衡山县委财经委员会办公室机构编制事项调整的批复》文件精神，衡山县委财经委员会办公室由设在县委办公室调整为设在衡山县发展和改革局，相应职责一并划转。</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（八）完成自然资源领域综合行政执法改革。根据《关于转发&lt;省委编办 省自然资源厅关于推进基层自然资源行政执法改革的通知&gt;》文件精神，县自然资源局实行“局队合一”体制，加挂“自然资源行政执法局”牌子，实行一套工作机构、一套领导班子，负责统一领导和管理行政执法工作。</w:t>
      </w:r>
    </w:p>
    <w:p>
      <w:pPr>
        <w:widowControl/>
        <w:numPr>
          <w:ilvl w:val="0"/>
          <w:numId w:val="0"/>
        </w:numPr>
        <w:spacing w:line="600" w:lineRule="exact"/>
        <w:jc w:val="left"/>
        <w:rPr>
          <w:rFonts w:hint="eastAsia"/>
          <w:sz w:val="28"/>
          <w:szCs w:val="28"/>
          <w:lang w:val="en-US" w:eastAsia="zh-CN"/>
        </w:rPr>
      </w:pPr>
      <w:r>
        <w:rPr>
          <w:rFonts w:hint="eastAsia"/>
          <w:sz w:val="28"/>
          <w:szCs w:val="28"/>
          <w:lang w:val="en-US" w:eastAsia="zh-CN"/>
        </w:rPr>
        <w:t>（九）完成民转公教师编制动态调整。经第二次编委会研究，同意将衡山县观湘中学更名为衡山县观湘学校，并在县本级事业单位待分配编制池内暂借146名编制给教育系统，同时按照3002名编制对衡山县公办中小学教职工编制数量进行动态调整。</w:t>
      </w:r>
    </w:p>
    <w:p>
      <w:pPr>
        <w:widowControl/>
        <w:numPr>
          <w:ilvl w:val="0"/>
          <w:numId w:val="0"/>
        </w:numPr>
        <w:spacing w:line="600" w:lineRule="exact"/>
        <w:jc w:val="left"/>
        <w:rPr>
          <w:rFonts w:hint="eastAsia" w:ascii="黑体" w:hAnsi="黑体" w:eastAsia="黑体"/>
          <w:sz w:val="32"/>
          <w:szCs w:val="32"/>
        </w:rPr>
      </w:pPr>
      <w:r>
        <w:rPr>
          <w:rFonts w:hint="eastAsia"/>
          <w:sz w:val="28"/>
          <w:szCs w:val="28"/>
          <w:lang w:val="en-US" w:eastAsia="zh-CN"/>
        </w:rPr>
        <w:t>（十）新设机构。今年新设立了衡山县民营企业服务中心、衡山县未成年人救助保护中心、衡山县大数据审计中心和衡山县医疗保障基金监管事务中心。</w:t>
      </w:r>
      <w:r>
        <w:rPr>
          <w:rFonts w:hint="eastAsia" w:ascii="黑体" w:hAnsi="黑体" w:eastAsia="黑体"/>
          <w:sz w:val="32"/>
          <w:szCs w:val="32"/>
          <w:lang w:eastAsia="zh-CN"/>
        </w:rPr>
        <w:t>三、</w:t>
      </w:r>
      <w:r>
        <w:rPr>
          <w:rFonts w:hint="eastAsia" w:ascii="黑体" w:hAnsi="黑体" w:eastAsia="黑体"/>
          <w:sz w:val="32"/>
          <w:szCs w:val="32"/>
        </w:rPr>
        <w:t>存在的主要问题及下一步改进措施</w:t>
      </w:r>
    </w:p>
    <w:p>
      <w:pPr>
        <w:widowControl/>
        <w:numPr>
          <w:ilvl w:val="0"/>
          <w:numId w:val="0"/>
        </w:numPr>
        <w:spacing w:line="600" w:lineRule="exact"/>
        <w:ind w:firstLine="311" w:firstLineChars="100"/>
        <w:jc w:val="left"/>
        <w:rPr>
          <w:rFonts w:hint="eastAsia" w:ascii="黑体" w:hAnsi="黑体" w:eastAsia="黑体"/>
          <w:sz w:val="32"/>
          <w:szCs w:val="32"/>
          <w:lang w:eastAsia="zh-CN"/>
        </w:rPr>
      </w:pPr>
      <w:r>
        <w:rPr>
          <w:rFonts w:hint="eastAsia" w:ascii="黑体" w:hAnsi="黑体" w:eastAsia="黑体"/>
          <w:sz w:val="32"/>
          <w:szCs w:val="32"/>
          <w:lang w:eastAsia="zh-CN"/>
        </w:rPr>
        <w:t>（</w:t>
      </w:r>
      <w:r>
        <w:rPr>
          <w:rFonts w:hint="eastAsia" w:ascii="黑体" w:hAnsi="黑体" w:eastAsia="黑体"/>
          <w:sz w:val="32"/>
          <w:szCs w:val="32"/>
          <w:lang w:val="en-US" w:eastAsia="zh-CN"/>
        </w:rPr>
        <w:t>一</w:t>
      </w:r>
      <w:r>
        <w:rPr>
          <w:rFonts w:hint="eastAsia" w:ascii="黑体" w:hAnsi="黑体" w:eastAsia="黑体"/>
          <w:sz w:val="32"/>
          <w:szCs w:val="32"/>
          <w:lang w:eastAsia="zh-CN"/>
        </w:rPr>
        <w:t>）</w:t>
      </w:r>
      <w:r>
        <w:rPr>
          <w:rFonts w:hint="eastAsia" w:ascii="黑体" w:hAnsi="黑体" w:eastAsia="黑体"/>
          <w:sz w:val="32"/>
          <w:szCs w:val="32"/>
          <w:lang w:val="en-US" w:eastAsia="zh-CN"/>
        </w:rPr>
        <w:t>存在的问题</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一是预算编制有待更严格执行。预算编制与实际支出项目有的仍存在细微差异。</w:t>
      </w:r>
    </w:p>
    <w:p>
      <w:pPr>
        <w:keepNext w:val="0"/>
        <w:keepLines w:val="0"/>
        <w:pageBreakBefore w:val="0"/>
        <w:widowControl w:val="0"/>
        <w:kinsoku/>
        <w:wordWrap/>
        <w:overflowPunct/>
        <w:topLinePunct w:val="0"/>
        <w:autoSpaceDE/>
        <w:autoSpaceDN/>
        <w:bidi w:val="0"/>
        <w:adjustRightInd/>
        <w:snapToGrid/>
        <w:ind w:left="0" w:leftChars="0" w:firstLine="542" w:firstLineChars="200"/>
        <w:textAlignment w:val="auto"/>
        <w:rPr>
          <w:rFonts w:hint="eastAsia"/>
          <w:sz w:val="28"/>
          <w:szCs w:val="28"/>
          <w:lang w:val="en-US" w:eastAsia="zh-CN"/>
        </w:rPr>
      </w:pPr>
      <w:r>
        <w:rPr>
          <w:rFonts w:hint="eastAsia"/>
          <w:sz w:val="28"/>
          <w:szCs w:val="28"/>
          <w:lang w:val="en-US" w:eastAsia="zh-CN"/>
        </w:rPr>
        <w:t>二是经费管理有待更严格控制。</w:t>
      </w:r>
    </w:p>
    <w:p>
      <w:pPr>
        <w:pStyle w:val="6"/>
        <w:widowControl/>
        <w:numPr>
          <w:ilvl w:val="0"/>
          <w:numId w:val="8"/>
        </w:numPr>
        <w:shd w:val="clear" w:color="auto" w:fill="FFFFFF"/>
        <w:spacing w:line="280" w:lineRule="atLeast"/>
        <w:ind w:firstLine="480"/>
        <w:rPr>
          <w:rFonts w:hint="eastAsia" w:ascii="仿宋_GB2312" w:hAnsi="瀹嬩綋" w:eastAsia="仿宋_GB2312" w:cs="仿宋_GB2312"/>
          <w:b/>
          <w:bCs/>
          <w:color w:val="000000"/>
          <w:sz w:val="30"/>
          <w:szCs w:val="30"/>
          <w:shd w:val="clear" w:color="auto" w:fill="FFFFFF"/>
          <w:lang w:val="en-US" w:eastAsia="zh-CN"/>
        </w:rPr>
      </w:pPr>
      <w:r>
        <w:rPr>
          <w:rFonts w:hint="eastAsia" w:ascii="仿宋_GB2312" w:hAnsi="瀹嬩綋" w:eastAsia="仿宋_GB2312" w:cs="仿宋_GB2312"/>
          <w:b/>
          <w:bCs/>
          <w:color w:val="000000"/>
          <w:sz w:val="30"/>
          <w:szCs w:val="30"/>
          <w:shd w:val="clear" w:color="auto" w:fill="FFFFFF"/>
          <w:lang w:val="en-US" w:eastAsia="zh-CN"/>
        </w:rPr>
        <w:t>改进措施</w:t>
      </w:r>
    </w:p>
    <w:p>
      <w:pPr>
        <w:widowControl/>
        <w:numPr>
          <w:ilvl w:val="0"/>
          <w:numId w:val="9"/>
        </w:numPr>
        <w:spacing w:line="600" w:lineRule="exact"/>
        <w:ind w:firstLine="645"/>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完善绩效运行监控机制，实现部门预算绩效的动态监管</w:t>
      </w:r>
    </w:p>
    <w:p>
      <w:pPr>
        <w:widowControl/>
        <w:numPr>
          <w:ilvl w:val="0"/>
          <w:numId w:val="0"/>
        </w:numPr>
        <w:spacing w:line="600" w:lineRule="exact"/>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以《关于全面实施预算绩效管理的实施意见》《中央部门预算绩效运行监控管理暂行办法》等文件为指导，完善部门绩效运行监控机制，运用科学、合理的绩效信息汇总方法，对财政支出的预算执行、管理和绩效目标运行等情况进行动态监管、督促检查，及时发现问题并采取有效的措施予以纠正。</w:t>
      </w:r>
    </w:p>
    <w:p>
      <w:pPr>
        <w:widowControl/>
        <w:numPr>
          <w:ilvl w:val="0"/>
          <w:numId w:val="9"/>
        </w:numPr>
        <w:spacing w:line="600" w:lineRule="exact"/>
        <w:ind w:left="0" w:leftChars="0" w:firstLine="645" w:firstLineChars="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加强经费管理，严格控制预算</w:t>
      </w:r>
    </w:p>
    <w:p>
      <w:pPr>
        <w:widowControl/>
        <w:numPr>
          <w:ilvl w:val="0"/>
          <w:numId w:val="0"/>
        </w:numPr>
        <w:spacing w:line="600" w:lineRule="exact"/>
        <w:ind w:left="645" w:leftChars="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严格遵守预算法等各项财经法律法规，强化预算刚性约束，严禁无预</w:t>
      </w:r>
    </w:p>
    <w:p>
      <w:pPr>
        <w:widowControl/>
        <w:numPr>
          <w:ilvl w:val="0"/>
          <w:numId w:val="0"/>
        </w:numPr>
        <w:spacing w:line="600" w:lineRule="exact"/>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算、超预算支出，严禁擅自改变预算资金支出用途。</w:t>
      </w:r>
    </w:p>
    <w:p>
      <w:pPr>
        <w:widowControl/>
        <w:spacing w:line="600" w:lineRule="exact"/>
        <w:ind w:firstLine="645"/>
        <w:jc w:val="left"/>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w:t>
      </w:r>
      <w:r>
        <w:rPr>
          <w:rFonts w:hint="eastAsia" w:ascii="仿宋" w:hAnsi="仿宋" w:eastAsia="仿宋" w:cs="仿宋"/>
          <w:b/>
          <w:bCs/>
          <w:sz w:val="32"/>
          <w:szCs w:val="32"/>
          <w:lang w:eastAsia="zh-CN"/>
        </w:rPr>
        <w:t>其他需要说明的情况</w:t>
      </w:r>
    </w:p>
    <w:p>
      <w:pPr>
        <w:widowControl/>
        <w:spacing w:line="600" w:lineRule="exact"/>
        <w:ind w:firstLine="645"/>
        <w:jc w:val="left"/>
        <w:rPr>
          <w:rFonts w:hint="eastAsia" w:ascii="仿宋_GB2312" w:hAnsi="黑体" w:eastAsia="仿宋_GB2312"/>
          <w:sz w:val="32"/>
          <w:szCs w:val="32"/>
        </w:rPr>
      </w:pPr>
    </w:p>
    <w:p>
      <w:pPr>
        <w:widowControl/>
        <w:spacing w:line="600" w:lineRule="exact"/>
        <w:ind w:firstLine="1072" w:firstLineChars="508"/>
        <w:jc w:val="left"/>
        <w:rPr>
          <w:rFonts w:eastAsia="仿宋_GB2312"/>
          <w:kern w:val="0"/>
          <w:sz w:val="22"/>
          <w:szCs w:val="22"/>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瀹嬩綋">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6B5D6"/>
    <w:multiLevelType w:val="singleLevel"/>
    <w:tmpl w:val="96A6B5D6"/>
    <w:lvl w:ilvl="0" w:tentative="0">
      <w:start w:val="1"/>
      <w:numFmt w:val="chineseCounting"/>
      <w:suff w:val="nothing"/>
      <w:lvlText w:val="%1、"/>
      <w:lvlJc w:val="left"/>
      <w:rPr>
        <w:rFonts w:hint="eastAsia"/>
      </w:rPr>
    </w:lvl>
  </w:abstractNum>
  <w:abstractNum w:abstractNumId="1">
    <w:nsid w:val="9B4E03E9"/>
    <w:multiLevelType w:val="singleLevel"/>
    <w:tmpl w:val="9B4E03E9"/>
    <w:lvl w:ilvl="0" w:tentative="0">
      <w:start w:val="1"/>
      <w:numFmt w:val="chineseCounting"/>
      <w:suff w:val="nothing"/>
      <w:lvlText w:val="（%1）"/>
      <w:lvlJc w:val="left"/>
      <w:rPr>
        <w:rFonts w:hint="eastAsia"/>
      </w:rPr>
    </w:lvl>
  </w:abstractNum>
  <w:abstractNum w:abstractNumId="2">
    <w:nsid w:val="A796780D"/>
    <w:multiLevelType w:val="singleLevel"/>
    <w:tmpl w:val="A796780D"/>
    <w:lvl w:ilvl="0" w:tentative="0">
      <w:start w:val="1"/>
      <w:numFmt w:val="chineseCounting"/>
      <w:lvlText w:val="(%1)"/>
      <w:lvlJc w:val="left"/>
      <w:pPr>
        <w:tabs>
          <w:tab w:val="left" w:pos="312"/>
        </w:tabs>
      </w:pPr>
      <w:rPr>
        <w:rFonts w:hint="eastAsia"/>
      </w:rPr>
    </w:lvl>
  </w:abstractNum>
  <w:abstractNum w:abstractNumId="3">
    <w:nsid w:val="D1E41204"/>
    <w:multiLevelType w:val="singleLevel"/>
    <w:tmpl w:val="D1E41204"/>
    <w:lvl w:ilvl="0" w:tentative="0">
      <w:start w:val="1"/>
      <w:numFmt w:val="decimal"/>
      <w:suff w:val="nothing"/>
      <w:lvlText w:val="%1、"/>
      <w:lvlJc w:val="left"/>
    </w:lvl>
  </w:abstractNum>
  <w:abstractNum w:abstractNumId="4">
    <w:nsid w:val="E59C80A3"/>
    <w:multiLevelType w:val="singleLevel"/>
    <w:tmpl w:val="E59C80A3"/>
    <w:lvl w:ilvl="0" w:tentative="0">
      <w:start w:val="1"/>
      <w:numFmt w:val="decimal"/>
      <w:suff w:val="nothing"/>
      <w:lvlText w:val="%1、"/>
      <w:lvlJc w:val="left"/>
    </w:lvl>
  </w:abstractNum>
  <w:abstractNum w:abstractNumId="5">
    <w:nsid w:val="364FB5DE"/>
    <w:multiLevelType w:val="singleLevel"/>
    <w:tmpl w:val="364FB5DE"/>
    <w:lvl w:ilvl="0" w:tentative="0">
      <w:start w:val="1"/>
      <w:numFmt w:val="chineseCounting"/>
      <w:suff w:val="nothing"/>
      <w:lvlText w:val="（%1）"/>
      <w:lvlJc w:val="left"/>
      <w:rPr>
        <w:rFonts w:hint="eastAsia"/>
      </w:rPr>
    </w:lvl>
  </w:abstractNum>
  <w:abstractNum w:abstractNumId="6">
    <w:nsid w:val="45716BAF"/>
    <w:multiLevelType w:val="singleLevel"/>
    <w:tmpl w:val="45716BAF"/>
    <w:lvl w:ilvl="0" w:tentative="0">
      <w:start w:val="2"/>
      <w:numFmt w:val="decimal"/>
      <w:suff w:val="nothing"/>
      <w:lvlText w:val="%1、"/>
      <w:lvlJc w:val="left"/>
    </w:lvl>
  </w:abstractNum>
  <w:abstractNum w:abstractNumId="7">
    <w:nsid w:val="49F2C685"/>
    <w:multiLevelType w:val="singleLevel"/>
    <w:tmpl w:val="49F2C685"/>
    <w:lvl w:ilvl="0" w:tentative="0">
      <w:start w:val="1"/>
      <w:numFmt w:val="decimal"/>
      <w:suff w:val="nothing"/>
      <w:lvlText w:val="%1、"/>
      <w:lvlJc w:val="left"/>
    </w:lvl>
  </w:abstractNum>
  <w:abstractNum w:abstractNumId="8">
    <w:nsid w:val="61CC30D7"/>
    <w:multiLevelType w:val="singleLevel"/>
    <w:tmpl w:val="61CC30D7"/>
    <w:lvl w:ilvl="0" w:tentative="0">
      <w:start w:val="2"/>
      <w:numFmt w:val="chineseCounting"/>
      <w:suff w:val="nothing"/>
      <w:lvlText w:val="（%1）"/>
      <w:lvlJc w:val="left"/>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iNTZkOThhYjYyOWY5OTYwM2VkYTQ5OTI3OTA1ZjcifQ=="/>
  </w:docVars>
  <w:rsids>
    <w:rsidRoot w:val="00CC3008"/>
    <w:rsid w:val="0003350F"/>
    <w:rsid w:val="000C2790"/>
    <w:rsid w:val="00191481"/>
    <w:rsid w:val="00223AA5"/>
    <w:rsid w:val="003209DE"/>
    <w:rsid w:val="003963BE"/>
    <w:rsid w:val="00651D89"/>
    <w:rsid w:val="007961C3"/>
    <w:rsid w:val="009D4A2F"/>
    <w:rsid w:val="00AF3825"/>
    <w:rsid w:val="00BA4F96"/>
    <w:rsid w:val="00C43FE7"/>
    <w:rsid w:val="00CC3008"/>
    <w:rsid w:val="00DC6F3D"/>
    <w:rsid w:val="00E25E12"/>
    <w:rsid w:val="00ED2940"/>
    <w:rsid w:val="00EF2DF2"/>
    <w:rsid w:val="03E06313"/>
    <w:rsid w:val="067803E8"/>
    <w:rsid w:val="067A5F0E"/>
    <w:rsid w:val="06C673A5"/>
    <w:rsid w:val="092959CA"/>
    <w:rsid w:val="096B5405"/>
    <w:rsid w:val="0B1364CA"/>
    <w:rsid w:val="0B5E1814"/>
    <w:rsid w:val="0D89362F"/>
    <w:rsid w:val="11F51B29"/>
    <w:rsid w:val="135C79E8"/>
    <w:rsid w:val="13985EC3"/>
    <w:rsid w:val="16846935"/>
    <w:rsid w:val="17575D2C"/>
    <w:rsid w:val="17D077E9"/>
    <w:rsid w:val="2419173D"/>
    <w:rsid w:val="269F6EA3"/>
    <w:rsid w:val="26FE003E"/>
    <w:rsid w:val="27752EF5"/>
    <w:rsid w:val="286A598B"/>
    <w:rsid w:val="2E960B5C"/>
    <w:rsid w:val="31CB5DD1"/>
    <w:rsid w:val="36AF3556"/>
    <w:rsid w:val="376A1FDA"/>
    <w:rsid w:val="3A8964D4"/>
    <w:rsid w:val="3A8F302F"/>
    <w:rsid w:val="3B8B7C9A"/>
    <w:rsid w:val="3F3570C3"/>
    <w:rsid w:val="40A67324"/>
    <w:rsid w:val="414C7ECC"/>
    <w:rsid w:val="434C2169"/>
    <w:rsid w:val="43F13BFE"/>
    <w:rsid w:val="45091C30"/>
    <w:rsid w:val="47656DB9"/>
    <w:rsid w:val="4D724297"/>
    <w:rsid w:val="4D835CCD"/>
    <w:rsid w:val="4F846A62"/>
    <w:rsid w:val="50CA4969"/>
    <w:rsid w:val="5A360F6C"/>
    <w:rsid w:val="5CF97443"/>
    <w:rsid w:val="5F4E086F"/>
    <w:rsid w:val="60484B86"/>
    <w:rsid w:val="626B5685"/>
    <w:rsid w:val="63526AAF"/>
    <w:rsid w:val="638F7BA9"/>
    <w:rsid w:val="6723497B"/>
    <w:rsid w:val="677F6056"/>
    <w:rsid w:val="680B7FDB"/>
    <w:rsid w:val="7044426F"/>
    <w:rsid w:val="765B465C"/>
    <w:rsid w:val="7ABC7297"/>
    <w:rsid w:val="7ADE49EA"/>
    <w:rsid w:val="7CF6398C"/>
    <w:rsid w:val="7DD328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ody Text"/>
    <w:basedOn w:val="1"/>
    <w:link w:val="12"/>
    <w:qFormat/>
    <w:uiPriority w:val="99"/>
    <w:rPr>
      <w:sz w:val="32"/>
    </w:rPr>
  </w:style>
  <w:style w:type="paragraph" w:styleId="4">
    <w:name w:val="Balloon Text"/>
    <w:basedOn w:val="1"/>
    <w:link w:val="13"/>
    <w:semiHidden/>
    <w:qFormat/>
    <w:locked/>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Normal (Web)"/>
    <w:basedOn w:val="1"/>
    <w:unhideWhenUsed/>
    <w:qFormat/>
    <w:locked/>
    <w:uiPriority w:val="99"/>
    <w:rPr>
      <w:sz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Comment Text Char"/>
    <w:basedOn w:val="8"/>
    <w:link w:val="2"/>
    <w:semiHidden/>
    <w:qFormat/>
    <w:locked/>
    <w:uiPriority w:val="99"/>
    <w:rPr>
      <w:rFonts w:cs="Times New Roman"/>
      <w:sz w:val="24"/>
      <w:szCs w:val="24"/>
    </w:rPr>
  </w:style>
  <w:style w:type="character" w:customStyle="1" w:styleId="12">
    <w:name w:val="Body Text Char"/>
    <w:basedOn w:val="8"/>
    <w:link w:val="3"/>
    <w:semiHidden/>
    <w:qFormat/>
    <w:locked/>
    <w:uiPriority w:val="99"/>
    <w:rPr>
      <w:rFonts w:cs="Times New Roman"/>
      <w:sz w:val="24"/>
      <w:szCs w:val="24"/>
    </w:rPr>
  </w:style>
  <w:style w:type="character" w:customStyle="1" w:styleId="13">
    <w:name w:val="Balloon Text Char"/>
    <w:basedOn w:val="8"/>
    <w:link w:val="4"/>
    <w:semiHidden/>
    <w:qFormat/>
    <w:uiPriority w:val="99"/>
    <w:rPr>
      <w:sz w:val="16"/>
      <w:szCs w:val="0"/>
    </w:rPr>
  </w:style>
  <w:style w:type="character" w:customStyle="1" w:styleId="14">
    <w:name w:val="Footer Char"/>
    <w:basedOn w:val="8"/>
    <w:link w:val="5"/>
    <w:semiHidden/>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3955</Words>
  <Characters>4276</Characters>
  <Lines>0</Lines>
  <Paragraphs>0</Paragraphs>
  <TotalTime>1388</TotalTime>
  <ScaleCrop>false</ScaleCrop>
  <LinksUpToDate>false</LinksUpToDate>
  <CharactersWithSpaces>4831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李燕</cp:lastModifiedBy>
  <cp:lastPrinted>2021-12-29T10:27:00Z</cp:lastPrinted>
  <dcterms:modified xsi:type="dcterms:W3CDTF">2023-08-22T08:27:35Z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10B5FCE035634F67A1042E19CFF72D36_13</vt:lpwstr>
  </property>
</Properties>
</file>