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jc w:val="center"/>
        <w:rPr>
          <w:rFonts w:ascii="方正小标宋_GBK" w:eastAsia="方正小标宋_GBK"/>
          <w:sz w:val="48"/>
          <w:szCs w:val="48"/>
        </w:rPr>
      </w:pPr>
    </w:p>
    <w:p>
      <w:pPr>
        <w:jc w:val="center"/>
        <w:rPr>
          <w:rFonts w:ascii="方正小标宋_GBK" w:eastAsia="方正小标宋_GBK"/>
          <w:sz w:val="48"/>
          <w:szCs w:val="48"/>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22</w:t>
      </w:r>
      <w:r>
        <w:rPr>
          <w:rFonts w:hint="eastAsia" w:ascii="方正小标宋_GBK" w:eastAsia="方正小标宋_GBK"/>
          <w:sz w:val="48"/>
          <w:szCs w:val="48"/>
        </w:rPr>
        <w:t>年度部门整体支出绩效自评报告</w:t>
      </w:r>
    </w:p>
    <w:p>
      <w:pPr>
        <w:jc w:val="center"/>
        <w:rPr>
          <w:rFonts w:ascii="楷体_GB2312" w:eastAsia="楷体_GB2312"/>
          <w:b/>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ascii="黑体" w:eastAsia="黑体"/>
          <w:sz w:val="44"/>
          <w:szCs w:val="44"/>
        </w:rPr>
      </w:pPr>
      <w:r>
        <w:rPr>
          <w:rFonts w:hint="eastAsia" w:ascii="黑体" w:eastAsia="黑体"/>
          <w:sz w:val="44"/>
          <w:szCs w:val="44"/>
        </w:rPr>
        <w:t>中共衡山县委组织部</w:t>
      </w:r>
    </w:p>
    <w:p>
      <w:pPr>
        <w:jc w:val="center"/>
        <w:rPr>
          <w:rFonts w:ascii="黑体" w:eastAsia="黑体"/>
          <w:sz w:val="32"/>
          <w:szCs w:val="32"/>
        </w:rPr>
      </w:pPr>
    </w:p>
    <w:p>
      <w:pPr>
        <w:spacing w:line="344" w:lineRule="auto"/>
        <w:rPr>
          <w:rFonts w:ascii="Arial"/>
          <w:sz w:val="21"/>
        </w:rPr>
      </w:pPr>
    </w:p>
    <w:p>
      <w:pPr>
        <w:spacing w:line="345" w:lineRule="auto"/>
        <w:rPr>
          <w:rFonts w:ascii="Arial"/>
          <w:sz w:val="21"/>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rPr>
          <w:rFonts w:ascii="黑体" w:hAnsi="黑体" w:eastAsia="黑体" w:cs="黑体"/>
          <w:b/>
          <w:bCs/>
          <w:spacing w:val="8"/>
          <w:sz w:val="43"/>
          <w:szCs w:val="43"/>
        </w:rPr>
      </w:pPr>
    </w:p>
    <w:p>
      <w:pPr>
        <w:spacing w:before="140" w:line="221" w:lineRule="auto"/>
        <w:ind w:left="677" w:firstLine="895" w:firstLineChars="200"/>
        <w:rPr>
          <w:rFonts w:ascii="黑体" w:hAnsi="黑体" w:eastAsia="黑体" w:cs="黑体"/>
          <w:sz w:val="43"/>
          <w:szCs w:val="43"/>
        </w:rPr>
      </w:pPr>
      <w:r>
        <w:rPr>
          <w:rFonts w:ascii="黑体" w:hAnsi="黑体" w:eastAsia="黑体" w:cs="黑体"/>
          <w:b/>
          <w:bCs/>
          <w:spacing w:val="8"/>
          <w:sz w:val="43"/>
          <w:szCs w:val="43"/>
        </w:rPr>
        <w:t>2022年度部门整体支出绩效自评报告</w:t>
      </w:r>
    </w:p>
    <w:p>
      <w:pPr>
        <w:spacing w:line="416" w:lineRule="auto"/>
        <w:rPr>
          <w:rFonts w:ascii="Arial"/>
          <w:sz w:val="21"/>
        </w:rPr>
      </w:pPr>
    </w:p>
    <w:p>
      <w:pPr>
        <w:spacing w:before="107" w:line="222" w:lineRule="auto"/>
        <w:ind w:left="425"/>
        <w:outlineLvl w:val="0"/>
        <w:rPr>
          <w:rFonts w:ascii="黑体" w:hAnsi="黑体" w:eastAsia="黑体" w:cs="黑体"/>
          <w:sz w:val="33"/>
          <w:szCs w:val="33"/>
        </w:rPr>
      </w:pPr>
      <w:r>
        <w:rPr>
          <w:rFonts w:ascii="黑体" w:hAnsi="黑体" w:eastAsia="黑体" w:cs="黑体"/>
          <w:b/>
          <w:bCs/>
          <w:spacing w:val="-10"/>
          <w:sz w:val="33"/>
          <w:szCs w:val="33"/>
        </w:rPr>
        <w:t>一、单位基本情况</w:t>
      </w:r>
    </w:p>
    <w:p>
      <w:pPr>
        <w:spacing w:line="560" w:lineRule="exact"/>
        <w:ind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000000"/>
          <w:sz w:val="32"/>
          <w:szCs w:val="32"/>
          <w:shd w:val="clear" w:color="auto" w:fill="FFFFFF"/>
        </w:rPr>
        <w:t>中共衡山县委组织部为</w:t>
      </w:r>
      <w:r>
        <w:rPr>
          <w:rFonts w:hint="eastAsia" w:ascii="仿宋" w:hAnsi="仿宋" w:eastAsia="仿宋" w:cs="仿宋"/>
          <w:sz w:val="32"/>
          <w:szCs w:val="32"/>
        </w:rPr>
        <w:t>是县委工作机关，是县委领导组织工作的职能部门，为正科级</w:t>
      </w:r>
      <w:r>
        <w:rPr>
          <w:rFonts w:hint="eastAsia" w:ascii="仿宋_GB2312" w:hAnsi="微软雅黑" w:eastAsia="仿宋_GB2312"/>
          <w:color w:val="333333"/>
          <w:sz w:val="32"/>
          <w:szCs w:val="32"/>
          <w:shd w:val="clear" w:color="auto" w:fill="FFFFFF"/>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一、部门基本概况</w:t>
      </w:r>
    </w:p>
    <w:p>
      <w:pPr>
        <w:keepNext w:val="0"/>
        <w:keepLines w:val="0"/>
        <w:pageBreakBefore w:val="0"/>
        <w:widowControl/>
        <w:kinsoku/>
        <w:wordWrap/>
        <w:overflowPunct w:val="0"/>
        <w:topLinePunct w:val="0"/>
        <w:autoSpaceDE w:val="0"/>
        <w:autoSpaceDN w:val="0"/>
        <w:bidi w:val="0"/>
        <w:adjustRightInd w:val="0"/>
        <w:snapToGrid w:val="0"/>
        <w:spacing w:line="560" w:lineRule="exact"/>
        <w:ind w:left="0" w:firstLine="480" w:firstLineChars="150"/>
        <w:jc w:val="left"/>
        <w:textAlignment w:val="baseline"/>
        <w:rPr>
          <w:rFonts w:ascii="楷体_GB2312" w:eastAsia="楷体_GB2312"/>
          <w:sz w:val="32"/>
          <w:szCs w:val="32"/>
        </w:rPr>
      </w:pPr>
      <w:r>
        <w:rPr>
          <w:rFonts w:hint="eastAsia" w:ascii="楷体_GB2312" w:eastAsia="楷体_GB2312"/>
          <w:sz w:val="32"/>
          <w:szCs w:val="32"/>
        </w:rPr>
        <w:t>（一）职能职责</w:t>
      </w:r>
    </w:p>
    <w:p>
      <w:pPr>
        <w:pStyle w:val="5"/>
        <w:keepNext w:val="0"/>
        <w:keepLines w:val="0"/>
        <w:pageBreakBefore w:val="0"/>
        <w:widowControl/>
        <w:shd w:val="clear" w:color="auto" w:fill="FFFFFF"/>
        <w:kinsoku/>
        <w:wordWrap/>
        <w:overflowPunct w:val="0"/>
        <w:topLinePunct w:val="0"/>
        <w:autoSpaceDE w:val="0"/>
        <w:autoSpaceDN w:val="0"/>
        <w:bidi w:val="0"/>
        <w:adjustRightInd w:val="0"/>
        <w:snapToGrid w:val="0"/>
        <w:spacing w:before="0" w:beforeAutospacing="0" w:after="0" w:afterAutospacing="0" w:line="570" w:lineRule="exact"/>
        <w:ind w:left="0" w:firstLine="640" w:firstLineChars="200"/>
        <w:jc w:val="left"/>
        <w:textAlignment w:val="baseline"/>
        <w:rPr>
          <w:rFonts w:ascii="仿宋_GB2312" w:hAnsi="微软雅黑" w:eastAsia="仿宋_GB2312"/>
          <w:color w:val="000000"/>
          <w:sz w:val="32"/>
          <w:szCs w:val="32"/>
        </w:rPr>
      </w:pPr>
      <w:r>
        <w:rPr>
          <w:rFonts w:hint="eastAsia" w:ascii="楷体_GB2312" w:eastAsia="楷体_GB2312"/>
          <w:sz w:val="32"/>
          <w:szCs w:val="32"/>
        </w:rPr>
        <w:t xml:space="preserve"> </w:t>
      </w:r>
      <w:r>
        <w:rPr>
          <w:rFonts w:hint="eastAsia" w:ascii="仿宋_GB2312" w:hAnsi="微软雅黑" w:eastAsia="仿宋_GB2312"/>
          <w:color w:val="000000"/>
          <w:sz w:val="32"/>
          <w:szCs w:val="32"/>
        </w:rPr>
        <w:t>1.</w:t>
      </w:r>
      <w:r>
        <w:rPr>
          <w:rFonts w:hint="eastAsia" w:ascii="仿宋_GB2312" w:hAnsi="仿宋" w:eastAsia="仿宋_GB2312" w:cs="仿宋"/>
          <w:sz w:val="32"/>
          <w:szCs w:val="32"/>
        </w:rPr>
        <w:t>负责研究和指导党组织建设，拟订加强党的工作制度、党内生活制度建设的规定和意见；会同有关部门对乡镇党组织换届选举、乡镇和县直机关单位党委（党组）民主生活会进行指导；研究、指导党的基层组织建设和党员队伍建设，主管党员管理和发展工作，指导、协调党员教育和党代表工作；组织和开展新时期党的建设理论研究。</w:t>
      </w:r>
    </w:p>
    <w:p>
      <w:pPr>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2.</w:t>
      </w:r>
      <w:r>
        <w:rPr>
          <w:rFonts w:hint="eastAsia" w:ascii="仿宋_GB2312" w:hAnsi="仿宋" w:eastAsia="仿宋_GB2312" w:cs="仿宋"/>
          <w:sz w:val="32"/>
          <w:szCs w:val="32"/>
        </w:rPr>
        <w:t>负责研究和指导全县非公有制经济组织和社会组织党组织建设；开展党建调研和理论探索，组织制定加强非公有制经济组织和社会组织党建工作的政策、规划和考评体系。</w:t>
      </w:r>
    </w:p>
    <w:p>
      <w:pPr>
        <w:pStyle w:val="5"/>
        <w:keepNext w:val="0"/>
        <w:keepLines w:val="0"/>
        <w:pageBreakBefore w:val="0"/>
        <w:widowControl/>
        <w:shd w:val="clear" w:color="auto" w:fill="FFFFFF"/>
        <w:kinsoku/>
        <w:wordWrap/>
        <w:overflowPunct w:val="0"/>
        <w:topLinePunct w:val="0"/>
        <w:autoSpaceDE w:val="0"/>
        <w:autoSpaceDN w:val="0"/>
        <w:bidi w:val="0"/>
        <w:adjustRightInd w:val="0"/>
        <w:snapToGrid w:val="0"/>
        <w:spacing w:before="0" w:beforeAutospacing="0" w:after="0" w:afterAutospacing="0" w:line="570" w:lineRule="exact"/>
        <w:ind w:left="0" w:firstLine="640" w:firstLineChars="200"/>
        <w:jc w:val="left"/>
        <w:textAlignment w:val="baseline"/>
        <w:rPr>
          <w:rFonts w:ascii="仿宋_GB2312" w:hAnsi="微软雅黑" w:eastAsia="仿宋_GB2312"/>
          <w:color w:val="000000"/>
          <w:sz w:val="32"/>
          <w:szCs w:val="32"/>
        </w:rPr>
      </w:pPr>
      <w:r>
        <w:rPr>
          <w:rFonts w:hint="eastAsia" w:ascii="仿宋_GB2312" w:hAnsi="微软雅黑" w:eastAsia="仿宋_GB2312"/>
          <w:color w:val="000000"/>
          <w:sz w:val="32"/>
          <w:szCs w:val="32"/>
        </w:rPr>
        <w:t>3.</w:t>
      </w:r>
      <w:r>
        <w:rPr>
          <w:rFonts w:hint="eastAsia" w:ascii="仿宋_GB2312" w:hAnsi="仿宋" w:eastAsia="仿宋_GB2312" w:cs="仿宋"/>
          <w:sz w:val="32"/>
          <w:szCs w:val="32"/>
        </w:rPr>
        <w:t>负责全县党代表联络工作的综合协调和宏观指导；负责全县国、省、市、县党代表大会代表选举、联络和服务工作；承办和督办县党代表提案、提议、询问的有关事项；指导各乡镇党代表联络工作。</w:t>
      </w:r>
    </w:p>
    <w:p>
      <w:pPr>
        <w:pStyle w:val="5"/>
        <w:keepNext w:val="0"/>
        <w:keepLines w:val="0"/>
        <w:pageBreakBefore w:val="0"/>
        <w:widowControl/>
        <w:shd w:val="clear" w:color="auto" w:fill="FFFFFF"/>
        <w:kinsoku/>
        <w:wordWrap/>
        <w:overflowPunct w:val="0"/>
        <w:topLinePunct w:val="0"/>
        <w:autoSpaceDE w:val="0"/>
        <w:autoSpaceDN w:val="0"/>
        <w:bidi w:val="0"/>
        <w:adjustRightInd w:val="0"/>
        <w:snapToGrid w:val="0"/>
        <w:spacing w:before="0" w:beforeAutospacing="0" w:after="0" w:afterAutospacing="0" w:line="570" w:lineRule="exact"/>
        <w:ind w:left="0" w:firstLine="640" w:firstLineChars="200"/>
        <w:jc w:val="left"/>
        <w:textAlignment w:val="baseline"/>
        <w:rPr>
          <w:rFonts w:ascii="仿宋_GB2312" w:hAnsi="微软雅黑" w:eastAsia="仿宋_GB2312"/>
          <w:color w:val="000000"/>
          <w:sz w:val="32"/>
          <w:szCs w:val="32"/>
        </w:rPr>
      </w:pPr>
      <w:r>
        <w:rPr>
          <w:rFonts w:hint="eastAsia" w:ascii="仿宋_GB2312" w:hAnsi="微软雅黑" w:eastAsia="仿宋_GB2312"/>
          <w:color w:val="000000"/>
          <w:sz w:val="32"/>
          <w:szCs w:val="32"/>
        </w:rPr>
        <w:t>4.</w:t>
      </w:r>
      <w:r>
        <w:rPr>
          <w:rFonts w:hint="eastAsia" w:ascii="仿宋_GB2312" w:hAnsi="仿宋" w:eastAsia="仿宋_GB2312" w:cs="仿宋"/>
          <w:sz w:val="32"/>
          <w:szCs w:val="32"/>
        </w:rPr>
        <w:t>负责干部队伍建设的宏观管理，拟订和参与制定干部、人事工作的重要政策、规章、制度，并组织实施。</w:t>
      </w:r>
    </w:p>
    <w:p>
      <w:pPr>
        <w:pStyle w:val="5"/>
        <w:keepNext w:val="0"/>
        <w:keepLines w:val="0"/>
        <w:pageBreakBefore w:val="0"/>
        <w:shd w:val="clear" w:color="auto" w:fill="FFFFFF"/>
        <w:kinsoku/>
        <w:wordWrap/>
        <w:overflowPunct w:val="0"/>
        <w:topLinePunct/>
        <w:bidi w:val="0"/>
        <w:spacing w:before="0" w:beforeAutospacing="0" w:after="0" w:afterAutospacing="0" w:line="570" w:lineRule="exact"/>
        <w:ind w:left="0"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5.</w:t>
      </w:r>
      <w:r>
        <w:rPr>
          <w:rFonts w:hint="eastAsia" w:ascii="仿宋_GB2312" w:hAnsi="仿宋" w:eastAsia="仿宋_GB2312" w:cs="仿宋"/>
          <w:sz w:val="32"/>
          <w:szCs w:val="32"/>
        </w:rPr>
        <w:t>提出乡镇和县直列入县委管理的领导班子调整、配备的意见和建议；</w:t>
      </w:r>
      <w:r>
        <w:rPr>
          <w:rFonts w:hint="eastAsia" w:ascii="仿宋_GB2312" w:eastAsia="仿宋_GB2312"/>
          <w:sz w:val="32"/>
          <w:szCs w:val="32"/>
        </w:rPr>
        <w:t>负责县委管理的干部的考察、任免、工资、待遇、出国（境）、军转安置、退休审批手续办理；负责全县股级干部的宏观管理、备案管理和县直机关、正科级事业单位的人事股长、政工科长、办公室主任审批；负责县、乡领导班子换届选举和届中调整有关工作；</w:t>
      </w:r>
      <w:r>
        <w:rPr>
          <w:rFonts w:hint="eastAsia" w:ascii="仿宋_GB2312" w:hAnsi="仿宋" w:eastAsia="仿宋_GB2312" w:cs="仿宋"/>
          <w:sz w:val="32"/>
          <w:szCs w:val="32"/>
        </w:rPr>
        <w:t>负责全县干部公开选拔和事业单位人员招聘工作宏观指导；承办副科级以上干部公开选拔的具体工作；拟订领导班子和领导干部队伍，特别是优秀年轻干部队伍建设规划，并组织实施；负责全县培养选拔年轻干部、后备干部、女干部、少数民族干部和党外干部的宏观指导和协调工作；指导乡镇和县直机关等部门领导班子的思想作风建设。</w:t>
      </w:r>
    </w:p>
    <w:p>
      <w:pPr>
        <w:pStyle w:val="5"/>
        <w:keepNext w:val="0"/>
        <w:keepLines w:val="0"/>
        <w:pageBreakBefore w:val="0"/>
        <w:shd w:val="clear" w:color="auto" w:fill="FFFFFF"/>
        <w:kinsoku/>
        <w:wordWrap/>
        <w:overflowPunct w:val="0"/>
        <w:topLinePunct/>
        <w:bidi w:val="0"/>
        <w:spacing w:before="0" w:beforeAutospacing="0" w:after="0" w:afterAutospacing="0" w:line="570" w:lineRule="exact"/>
        <w:ind w:left="0"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6.</w:t>
      </w:r>
      <w:r>
        <w:rPr>
          <w:rFonts w:hint="eastAsia" w:ascii="仿宋_GB2312" w:hAnsi="仿宋" w:eastAsia="仿宋_GB2312" w:cs="仿宋"/>
          <w:sz w:val="32"/>
          <w:szCs w:val="32"/>
        </w:rPr>
        <w:t>负责贯彻落实上级有关老干部工作的方针、政策、法规；监督、检查各单位落实离退休干部的政治、生活待遇情况；</w:t>
      </w:r>
      <w:r>
        <w:rPr>
          <w:rFonts w:hint="eastAsia" w:ascii="仿宋_GB2312" w:eastAsia="仿宋_GB2312"/>
          <w:sz w:val="32"/>
          <w:szCs w:val="32"/>
        </w:rPr>
        <w:t>组织指导老干部开展活动，发挥作用；依法维护老干部合法权益；</w:t>
      </w:r>
      <w:r>
        <w:rPr>
          <w:rFonts w:hint="eastAsia" w:ascii="仿宋_GB2312" w:hAnsi="仿宋" w:eastAsia="仿宋_GB2312" w:cs="仿宋"/>
          <w:sz w:val="32"/>
          <w:szCs w:val="32"/>
        </w:rPr>
        <w:t>负责离退休党工委和关心下一代工作委员会办公室工作；指导老干部服务工作。</w:t>
      </w:r>
    </w:p>
    <w:p>
      <w:pPr>
        <w:keepNext w:val="0"/>
        <w:keepLines w:val="0"/>
        <w:pageBreakBefore w:val="0"/>
        <w:kinsoku/>
        <w:wordWrap/>
        <w:overflowPunct w:val="0"/>
        <w:topLinePunct/>
        <w:bidi w:val="0"/>
        <w:spacing w:line="570" w:lineRule="exact"/>
        <w:ind w:left="0" w:firstLine="640" w:firstLineChars="200"/>
        <w:jc w:val="both"/>
        <w:rPr>
          <w:rFonts w:ascii="仿宋_GB2312" w:hAnsi="仿宋" w:eastAsia="仿宋_GB2312" w:cs="仿宋"/>
          <w:sz w:val="32"/>
          <w:szCs w:val="32"/>
        </w:rPr>
      </w:pPr>
      <w:r>
        <w:rPr>
          <w:rFonts w:hint="eastAsia" w:ascii="仿宋_GB2312" w:hAnsi="微软雅黑" w:eastAsia="仿宋_GB2312"/>
          <w:color w:val="000000"/>
          <w:sz w:val="32"/>
          <w:szCs w:val="32"/>
        </w:rPr>
        <w:t>7.</w:t>
      </w:r>
      <w:r>
        <w:rPr>
          <w:rFonts w:hint="eastAsia" w:ascii="仿宋_GB2312" w:hAnsi="仿宋" w:eastAsia="仿宋_GB2312" w:cs="仿宋"/>
          <w:sz w:val="32"/>
          <w:szCs w:val="32"/>
        </w:rPr>
        <w:t>负责全县公务员队伍建设的规划研究和宏观指导，督查公务员法律、政策法规执行情况；按管理权限组织开展全县公务员职位分类管理、职务与职级并行、聘任制公务员管理等工作；负责本县人民团体、群众团体机关和事业单位参照公务员法管理工作；统筹协调全县公务员（参公人员）考录、遴选、公开选调、转任、调任、登记、辞职、辞退工作；负责公务员考核评价工作的政策研究和宏观指导；</w:t>
      </w:r>
      <w:r>
        <w:rPr>
          <w:rFonts w:hint="eastAsia" w:ascii="仿宋_GB2312" w:eastAsia="仿宋_GB2312"/>
          <w:sz w:val="32"/>
          <w:szCs w:val="32"/>
        </w:rPr>
        <w:t>统筹机关和事业单位工资福利政策，</w:t>
      </w:r>
      <w:r>
        <w:rPr>
          <w:rFonts w:hint="eastAsia" w:ascii="仿宋_GB2312" w:hAnsi="仿宋" w:eastAsia="仿宋_GB2312" w:cs="仿宋"/>
          <w:sz w:val="32"/>
          <w:szCs w:val="32"/>
        </w:rPr>
        <w:t>组织实施公务员工资福利政策；承担以县公务员局名义开展的行政复议和行政应诉及对外交流有关工作。</w:t>
      </w:r>
    </w:p>
    <w:p>
      <w:pPr>
        <w:keepNext w:val="0"/>
        <w:keepLines w:val="0"/>
        <w:pageBreakBefore w:val="0"/>
        <w:kinsoku/>
        <w:wordWrap/>
        <w:overflowPunct w:val="0"/>
        <w:topLinePunct/>
        <w:bidi w:val="0"/>
        <w:spacing w:line="57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8.</w:t>
      </w:r>
      <w:r>
        <w:rPr>
          <w:rFonts w:hint="eastAsia" w:ascii="仿宋_GB2312" w:eastAsia="仿宋_GB2312"/>
          <w:sz w:val="32"/>
          <w:szCs w:val="32"/>
        </w:rPr>
        <w:t>负责统筹规划和组织实施本系统信息化建设；</w:t>
      </w:r>
      <w:r>
        <w:rPr>
          <w:rFonts w:hint="eastAsia" w:ascii="仿宋_GB2312" w:hAnsi="仿宋" w:eastAsia="仿宋_GB2312" w:cs="仿宋"/>
          <w:sz w:val="32"/>
          <w:szCs w:val="32"/>
        </w:rPr>
        <w:t>负责公务员管理信息化建设；负责全县干部人事档案、党内统计、干部统计工作的宏观管理和业务指导；管理县管干部和县委委托管理干部档案，承担县管干部档案查借阅、学历学位审核认证等服务工作。</w:t>
      </w:r>
    </w:p>
    <w:p>
      <w:pPr>
        <w:keepNext w:val="0"/>
        <w:keepLines w:val="0"/>
        <w:pageBreakBefore w:val="0"/>
        <w:kinsoku/>
        <w:wordWrap/>
        <w:overflowPunct w:val="0"/>
        <w:topLinePunct/>
        <w:bidi w:val="0"/>
        <w:spacing w:line="57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9.负责对贯彻执行《党政领导干部选拔任用工作条例》及有关党内法规的情况进行监督检查，及时向市委组织部和县委反映重要情况；</w:t>
      </w:r>
      <w:r>
        <w:rPr>
          <w:rFonts w:hint="eastAsia" w:ascii="仿宋_GB2312" w:hAnsi="仿宋_GB2312" w:eastAsia="仿宋_GB2312" w:cs="仿宋_GB2312"/>
          <w:sz w:val="32"/>
          <w:szCs w:val="32"/>
        </w:rPr>
        <w:t>组织实施县管干部经济责任审计、提醒、函询、诫勉等工作；</w:t>
      </w:r>
      <w:r>
        <w:rPr>
          <w:rFonts w:hint="eastAsia" w:ascii="仿宋_GB2312" w:hAnsi="仿宋" w:eastAsia="仿宋_GB2312" w:cs="仿宋"/>
          <w:sz w:val="32"/>
          <w:szCs w:val="32"/>
        </w:rPr>
        <w:t>负责对反映科级及以下领导班子和领导干部的重要问题进行调查了解和督办查处，对全县科级及以下党政领导干部和干部选拔任用工作进行监督，并研究提出有关干部监督管理的规定、制度，对有关监督制度的落实情况进行督查；依法对全县公务员实施监督；对市委、县委管理的干部的历史遗留问题进行初审和审查。</w:t>
      </w:r>
    </w:p>
    <w:p>
      <w:pPr>
        <w:keepNext w:val="0"/>
        <w:keepLines w:val="0"/>
        <w:pageBreakBefore w:val="0"/>
        <w:kinsoku/>
        <w:wordWrap/>
        <w:overflowPunct w:val="0"/>
        <w:topLinePunct/>
        <w:bidi w:val="0"/>
        <w:spacing w:line="57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10.负责拟订干部教育工作的政策、规划，协调做好干部调训工作，组织、协调县管干部和部分中青年干部的培训；指导、检查乡镇和县直单位的干部教育工作。</w:t>
      </w:r>
    </w:p>
    <w:p>
      <w:pPr>
        <w:keepNext w:val="0"/>
        <w:keepLines w:val="0"/>
        <w:pageBreakBefore w:val="0"/>
        <w:kinsoku/>
        <w:wordWrap/>
        <w:overflowPunct w:val="0"/>
        <w:topLinePunct/>
        <w:bidi w:val="0"/>
        <w:spacing w:line="57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11.牵头抓好人才资源的开发和管理，做好培养、吸引和用好各方面人才的工作；组织制定人才队伍建设规划、政策、规定，指导、协调、监督全县人才工作；指导各行业优秀专家和学者开展有关活动。</w:t>
      </w:r>
    </w:p>
    <w:p>
      <w:pPr>
        <w:keepNext w:val="0"/>
        <w:keepLines w:val="0"/>
        <w:pageBreakBefore w:val="0"/>
        <w:kinsoku/>
        <w:wordWrap/>
        <w:overflowPunct w:val="0"/>
        <w:topLinePunct/>
        <w:bidi w:val="0"/>
        <w:spacing w:line="57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12.统一管理县委机构编制委员会办公室。</w:t>
      </w:r>
    </w:p>
    <w:p>
      <w:pPr>
        <w:keepNext w:val="0"/>
        <w:keepLines w:val="0"/>
        <w:pageBreakBefore w:val="0"/>
        <w:kinsoku/>
        <w:wordWrap/>
        <w:overflowPunct w:val="0"/>
        <w:topLinePunct/>
        <w:bidi w:val="0"/>
        <w:spacing w:line="570" w:lineRule="exact"/>
        <w:ind w:left="0" w:firstLine="640" w:firstLineChars="200"/>
        <w:jc w:val="both"/>
        <w:rPr>
          <w:rFonts w:ascii="楷体_GB2312" w:eastAsia="楷体_GB2312"/>
          <w:sz w:val="32"/>
          <w:szCs w:val="32"/>
        </w:rPr>
      </w:pPr>
      <w:r>
        <w:rPr>
          <w:rFonts w:hint="eastAsia" w:ascii="仿宋_GB2312" w:hAnsi="仿宋" w:eastAsia="仿宋_GB2312" w:cs="仿宋"/>
          <w:sz w:val="32"/>
          <w:szCs w:val="32"/>
        </w:rPr>
        <w:t>13.</w:t>
      </w:r>
      <w:r>
        <w:rPr>
          <w:rFonts w:hint="eastAsia" w:ascii="仿宋_GB2312" w:eastAsia="仿宋_GB2312"/>
          <w:sz w:val="32"/>
          <w:szCs w:val="32"/>
        </w:rPr>
        <w:t>完成县委和上级组织部门交办的其他任务</w:t>
      </w:r>
      <w:r>
        <w:rPr>
          <w:rFonts w:hint="eastAsia" w:ascii="仿宋_GB2312" w:hAnsi="微软雅黑" w:eastAsia="仿宋_GB2312"/>
          <w:color w:val="000000"/>
          <w:sz w:val="32"/>
          <w:szCs w:val="32"/>
        </w:rPr>
        <w:t>。</w:t>
      </w:r>
    </w:p>
    <w:p>
      <w:pPr>
        <w:keepNext w:val="0"/>
        <w:keepLines w:val="0"/>
        <w:pageBreakBefore w:val="0"/>
        <w:kinsoku/>
        <w:wordWrap/>
        <w:overflowPunct w:val="0"/>
        <w:topLinePunct/>
        <w:bidi w:val="0"/>
        <w:spacing w:line="570" w:lineRule="exact"/>
        <w:ind w:left="0" w:firstLine="640" w:firstLineChars="200"/>
        <w:jc w:val="both"/>
        <w:rPr>
          <w:rFonts w:ascii="楷体_GB2312" w:eastAsia="楷体_GB2312"/>
          <w:sz w:val="32"/>
          <w:szCs w:val="32"/>
        </w:rPr>
      </w:pPr>
      <w:r>
        <w:rPr>
          <w:rFonts w:hint="eastAsia" w:ascii="楷体_GB2312" w:eastAsia="楷体_GB2312"/>
          <w:sz w:val="32"/>
          <w:szCs w:val="32"/>
        </w:rPr>
        <w:t>（二）机构设置</w:t>
      </w:r>
    </w:p>
    <w:p>
      <w:pPr>
        <w:keepNext w:val="0"/>
        <w:keepLines w:val="0"/>
        <w:pageBreakBefore w:val="0"/>
        <w:kinsoku/>
        <w:wordWrap/>
        <w:overflowPunct w:val="0"/>
        <w:topLinePunct/>
        <w:bidi w:val="0"/>
        <w:spacing w:line="57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根据上述职责，县委组织部</w:t>
      </w:r>
      <w:r>
        <w:rPr>
          <w:rFonts w:hint="eastAsia" w:ascii="仿宋_GB2312" w:hAnsi="微软雅黑" w:eastAsia="仿宋_GB2312"/>
          <w:color w:val="000000"/>
          <w:sz w:val="32"/>
          <w:szCs w:val="32"/>
        </w:rPr>
        <w:t>设办公室、研究室、干部组组织组、干部人才组、干部监督组</w:t>
      </w:r>
      <w:r>
        <w:rPr>
          <w:rFonts w:hint="eastAsia" w:ascii="仿宋_GB2312" w:hAnsi="仿宋_GB2312" w:eastAsia="仿宋_GB2312" w:cs="仿宋_GB2312"/>
          <w:sz w:val="32"/>
          <w:szCs w:val="32"/>
        </w:rPr>
        <w:t>（举报中心）</w:t>
      </w:r>
      <w:r>
        <w:rPr>
          <w:rFonts w:hint="eastAsia" w:ascii="仿宋_GB2312" w:hAnsi="微软雅黑" w:eastAsia="仿宋_GB2312"/>
          <w:color w:val="000000"/>
          <w:sz w:val="32"/>
          <w:szCs w:val="32"/>
        </w:rPr>
        <w:t>、干部人事档案室、</w:t>
      </w:r>
      <w:r>
        <w:rPr>
          <w:rFonts w:hint="eastAsia" w:ascii="仿宋_GB2312" w:hAnsi="仿宋_GB2312" w:eastAsia="仿宋_GB2312" w:cs="仿宋_GB2312"/>
          <w:sz w:val="32"/>
          <w:szCs w:val="32"/>
        </w:rPr>
        <w:t>老干部工作办公室、公务员管理办公室</w:t>
      </w:r>
      <w:r>
        <w:rPr>
          <w:rFonts w:hint="eastAsia" w:ascii="仿宋_GB2312" w:hAnsi="微软雅黑" w:eastAsia="仿宋_GB2312"/>
          <w:color w:val="000000"/>
          <w:sz w:val="32"/>
          <w:szCs w:val="32"/>
        </w:rPr>
        <w:t>9个</w:t>
      </w:r>
      <w:r>
        <w:rPr>
          <w:rFonts w:hint="eastAsia" w:ascii="仿宋_GB2312" w:hAnsi="仿宋_GB2312" w:eastAsia="仿宋_GB2312" w:cs="仿宋_GB2312"/>
          <w:sz w:val="32"/>
          <w:szCs w:val="32"/>
        </w:rPr>
        <w:t>内设机构</w:t>
      </w:r>
      <w:r>
        <w:rPr>
          <w:rFonts w:hint="eastAsia" w:ascii="仿宋_GB2312" w:hAnsi="微软雅黑" w:eastAsia="仿宋_GB2312"/>
          <w:color w:val="000000"/>
          <w:sz w:val="32"/>
          <w:szCs w:val="32"/>
        </w:rPr>
        <w:t>，下设党员教育中心、</w:t>
      </w:r>
      <w:r>
        <w:rPr>
          <w:rFonts w:hint="eastAsia" w:ascii="仿宋_GB2312" w:hAnsi="仿宋_GB2312" w:eastAsia="仿宋_GB2312" w:cs="仿宋_GB2312"/>
          <w:sz w:val="32"/>
          <w:szCs w:val="32"/>
        </w:rPr>
        <w:t>党代表联络工作事务中心</w:t>
      </w:r>
      <w:r>
        <w:rPr>
          <w:rFonts w:hint="eastAsia" w:ascii="仿宋_GB2312" w:hAnsi="微软雅黑" w:eastAsia="仿宋_GB2312"/>
          <w:color w:val="000000"/>
          <w:sz w:val="32"/>
          <w:szCs w:val="32"/>
        </w:rPr>
        <w:t>和</w:t>
      </w:r>
      <w:r>
        <w:rPr>
          <w:rFonts w:hint="eastAsia" w:ascii="仿宋_GB2312" w:hAnsi="仿宋_GB2312" w:eastAsia="仿宋_GB2312" w:cs="仿宋_GB2312"/>
          <w:sz w:val="32"/>
          <w:szCs w:val="32"/>
        </w:rPr>
        <w:t>组工信息中心</w:t>
      </w:r>
      <w:r>
        <w:rPr>
          <w:rFonts w:hint="eastAsia" w:ascii="仿宋_GB2312" w:hAnsi="微软雅黑" w:eastAsia="仿宋_GB2312"/>
          <w:color w:val="000000"/>
          <w:sz w:val="32"/>
          <w:szCs w:val="32"/>
        </w:rPr>
        <w:t>3个二级机构，另有基层办、“两新”工委2个县委直属归口组织部管理机构。</w:t>
      </w:r>
      <w:r>
        <w:rPr>
          <w:rFonts w:hint="eastAsia" w:ascii="仿宋_GB2312" w:hAnsi="仿宋_GB2312" w:eastAsia="仿宋_GB2312" w:cs="仿宋_GB2312"/>
          <w:sz w:val="32"/>
          <w:szCs w:val="32"/>
        </w:rPr>
        <w:t>另设县委基层办、县委两新办，下设3个二级机构：党员教育中心、党代表联络工作事务中心、组工信息中心。</w:t>
      </w:r>
      <w:r>
        <w:rPr>
          <w:rFonts w:hint="eastAsia" w:ascii="仿宋_GB2312" w:hAnsi="微软雅黑" w:eastAsia="仿宋_GB2312"/>
          <w:color w:val="000000"/>
          <w:sz w:val="32"/>
          <w:szCs w:val="32"/>
        </w:rPr>
        <w:t>部机关共有编制3</w:t>
      </w:r>
      <w:r>
        <w:rPr>
          <w:rFonts w:hint="eastAsia" w:ascii="仿宋_GB2312" w:hAnsi="微软雅黑" w:eastAsia="仿宋_GB2312"/>
          <w:color w:val="000000"/>
          <w:sz w:val="32"/>
          <w:szCs w:val="32"/>
          <w:lang w:val="en-US" w:eastAsia="zh-CN"/>
        </w:rPr>
        <w:t>8</w:t>
      </w:r>
      <w:r>
        <w:rPr>
          <w:rFonts w:hint="eastAsia" w:ascii="仿宋_GB2312" w:hAnsi="微软雅黑" w:eastAsia="仿宋_GB2312"/>
          <w:color w:val="000000"/>
          <w:sz w:val="32"/>
          <w:szCs w:val="32"/>
        </w:rPr>
        <w:t>个，其中行政编</w:t>
      </w:r>
      <w:r>
        <w:rPr>
          <w:rFonts w:hint="eastAsia" w:ascii="仿宋_GB2312" w:hAnsi="微软雅黑" w:eastAsia="仿宋_GB2312"/>
          <w:color w:val="000000"/>
          <w:sz w:val="32"/>
          <w:szCs w:val="32"/>
          <w:lang w:val="en-US" w:eastAsia="zh-CN"/>
        </w:rPr>
        <w:t>20</w:t>
      </w:r>
      <w:r>
        <w:rPr>
          <w:rFonts w:hint="eastAsia" w:ascii="仿宋_GB2312" w:hAnsi="微软雅黑" w:eastAsia="仿宋_GB2312"/>
          <w:color w:val="000000"/>
          <w:sz w:val="32"/>
          <w:szCs w:val="32"/>
        </w:rPr>
        <w:t>个，事业编制1</w:t>
      </w:r>
      <w:r>
        <w:rPr>
          <w:rFonts w:hint="eastAsia" w:ascii="仿宋_GB2312" w:hAnsi="微软雅黑" w:eastAsia="仿宋_GB2312"/>
          <w:color w:val="000000"/>
          <w:sz w:val="32"/>
          <w:szCs w:val="32"/>
          <w:lang w:val="en-US" w:eastAsia="zh-CN"/>
        </w:rPr>
        <w:t>8</w:t>
      </w:r>
      <w:r>
        <w:rPr>
          <w:rFonts w:hint="eastAsia" w:ascii="仿宋_GB2312" w:hAnsi="微软雅黑" w:eastAsia="仿宋_GB2312"/>
          <w:color w:val="000000"/>
          <w:sz w:val="32"/>
          <w:szCs w:val="32"/>
        </w:rPr>
        <w:t>个。</w:t>
      </w:r>
    </w:p>
    <w:p>
      <w:pPr>
        <w:pStyle w:val="6"/>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val="0"/>
        <w:topLinePunct/>
        <w:bidi w:val="0"/>
        <w:spacing w:line="57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实有在职人数2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人，财政供养在职2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人，退休人员3人。 </w:t>
      </w:r>
    </w:p>
    <w:p>
      <w:pPr>
        <w:spacing w:before="220" w:line="221" w:lineRule="auto"/>
        <w:ind w:firstLine="591" w:firstLineChars="200"/>
        <w:outlineLvl w:val="0"/>
        <w:rPr>
          <w:rFonts w:ascii="黑体" w:hAnsi="黑体" w:eastAsia="黑体" w:cs="黑体"/>
          <w:sz w:val="33"/>
          <w:szCs w:val="33"/>
        </w:rPr>
      </w:pPr>
      <w:r>
        <w:rPr>
          <w:rFonts w:ascii="黑体" w:hAnsi="黑体" w:eastAsia="黑体" w:cs="黑体"/>
          <w:b/>
          <w:bCs/>
          <w:spacing w:val="-18"/>
          <w:sz w:val="33"/>
          <w:szCs w:val="33"/>
        </w:rPr>
        <w:t>二、</w:t>
      </w:r>
      <w:r>
        <w:rPr>
          <w:rFonts w:ascii="黑体" w:hAnsi="黑体" w:eastAsia="黑体" w:cs="黑体"/>
          <w:spacing w:val="-96"/>
          <w:sz w:val="33"/>
          <w:szCs w:val="33"/>
        </w:rPr>
        <w:t xml:space="preserve"> </w:t>
      </w:r>
      <w:r>
        <w:rPr>
          <w:rFonts w:ascii="黑体" w:hAnsi="黑体" w:eastAsia="黑体" w:cs="黑体"/>
          <w:b/>
          <w:bCs/>
          <w:spacing w:val="-18"/>
          <w:sz w:val="33"/>
          <w:szCs w:val="33"/>
        </w:rPr>
        <w:t>预算支出及绩效情况</w:t>
      </w:r>
    </w:p>
    <w:p>
      <w:pPr>
        <w:spacing w:before="228" w:line="222" w:lineRule="auto"/>
        <w:ind w:left="581"/>
        <w:rPr>
          <w:rFonts w:ascii="仿宋" w:hAnsi="仿宋" w:eastAsia="仿宋" w:cs="仿宋"/>
          <w:sz w:val="33"/>
          <w:szCs w:val="33"/>
        </w:rPr>
      </w:pPr>
      <w:r>
        <w:rPr>
          <w:rFonts w:ascii="仿宋" w:hAnsi="仿宋" w:eastAsia="仿宋" w:cs="仿宋"/>
          <w:spacing w:val="8"/>
          <w:sz w:val="33"/>
          <w:szCs w:val="33"/>
        </w:rPr>
        <w:t>(一)部门预决算情况</w:t>
      </w:r>
    </w:p>
    <w:p>
      <w:pPr>
        <w:spacing w:before="218" w:line="222" w:lineRule="auto"/>
        <w:ind w:left="715"/>
        <w:outlineLvl w:val="0"/>
        <w:rPr>
          <w:rFonts w:ascii="仿宋" w:hAnsi="仿宋" w:eastAsia="仿宋" w:cs="仿宋"/>
          <w:sz w:val="33"/>
          <w:szCs w:val="33"/>
        </w:rPr>
      </w:pPr>
      <w:r>
        <w:rPr>
          <w:rFonts w:ascii="仿宋" w:hAnsi="仿宋" w:eastAsia="仿宋" w:cs="仿宋"/>
          <w:b/>
          <w:bCs/>
          <w:spacing w:val="-11"/>
          <w:sz w:val="33"/>
          <w:szCs w:val="33"/>
        </w:rPr>
        <w:t>1.部门预算情况</w:t>
      </w:r>
    </w:p>
    <w:p>
      <w:pPr>
        <w:spacing w:before="230" w:line="368" w:lineRule="auto"/>
        <w:ind w:left="115" w:firstLine="625"/>
        <w:jc w:val="both"/>
        <w:rPr>
          <w:rFonts w:ascii="仿宋" w:hAnsi="仿宋" w:eastAsia="仿宋" w:cs="仿宋"/>
          <w:spacing w:val="6"/>
          <w:sz w:val="31"/>
          <w:szCs w:val="31"/>
        </w:rPr>
      </w:pPr>
      <w:r>
        <w:rPr>
          <w:rFonts w:ascii="仿宋" w:hAnsi="仿宋" w:eastAsia="仿宋" w:cs="仿宋"/>
          <w:spacing w:val="6"/>
          <w:sz w:val="31"/>
          <w:szCs w:val="31"/>
        </w:rPr>
        <w:t>2022年年初预算安排收入</w:t>
      </w:r>
      <w:r>
        <w:rPr>
          <w:rFonts w:hint="eastAsia" w:ascii="仿宋" w:hAnsi="仿宋" w:eastAsia="仿宋" w:cs="仿宋"/>
          <w:spacing w:val="6"/>
          <w:sz w:val="31"/>
          <w:szCs w:val="31"/>
          <w:lang w:val="en-US" w:eastAsia="zh-CN"/>
        </w:rPr>
        <w:t>306.37</w:t>
      </w:r>
      <w:r>
        <w:rPr>
          <w:rFonts w:ascii="仿宋" w:hAnsi="仿宋" w:eastAsia="仿宋" w:cs="仿宋"/>
          <w:spacing w:val="6"/>
          <w:sz w:val="31"/>
          <w:szCs w:val="31"/>
        </w:rPr>
        <w:t>万元，其中一般公共财政拨 款</w:t>
      </w:r>
      <w:r>
        <w:rPr>
          <w:rFonts w:hint="eastAsia" w:ascii="仿宋" w:hAnsi="仿宋" w:eastAsia="仿宋" w:cs="仿宋"/>
          <w:spacing w:val="6"/>
          <w:sz w:val="31"/>
          <w:szCs w:val="31"/>
          <w:lang w:val="en-US" w:eastAsia="zh-CN"/>
        </w:rPr>
        <w:t>306.37</w:t>
      </w:r>
      <w:r>
        <w:rPr>
          <w:rFonts w:ascii="仿宋" w:hAnsi="仿宋" w:eastAsia="仿宋" w:cs="仿宋"/>
          <w:spacing w:val="6"/>
          <w:sz w:val="31"/>
          <w:szCs w:val="31"/>
        </w:rPr>
        <w:t>万元；2022年年初预算安排支出</w:t>
      </w:r>
      <w:r>
        <w:rPr>
          <w:rFonts w:hint="eastAsia" w:ascii="仿宋" w:hAnsi="仿宋" w:eastAsia="仿宋" w:cs="仿宋"/>
          <w:spacing w:val="6"/>
          <w:sz w:val="31"/>
          <w:szCs w:val="31"/>
          <w:lang w:val="en-US" w:eastAsia="zh-CN"/>
        </w:rPr>
        <w:t>306.37</w:t>
      </w:r>
      <w:r>
        <w:rPr>
          <w:rFonts w:ascii="仿宋" w:hAnsi="仿宋" w:eastAsia="仿宋" w:cs="仿宋"/>
          <w:spacing w:val="6"/>
          <w:sz w:val="31"/>
          <w:szCs w:val="31"/>
        </w:rPr>
        <w:t>万元，其中：基本支出</w:t>
      </w:r>
      <w:r>
        <w:rPr>
          <w:rFonts w:hint="eastAsia" w:ascii="仿宋" w:hAnsi="仿宋" w:eastAsia="仿宋" w:cs="仿宋"/>
          <w:spacing w:val="6"/>
          <w:sz w:val="31"/>
          <w:szCs w:val="31"/>
          <w:lang w:val="en-US" w:eastAsia="zh-CN"/>
        </w:rPr>
        <w:t>282.37</w:t>
      </w:r>
      <w:r>
        <w:rPr>
          <w:rFonts w:ascii="仿宋" w:hAnsi="仿宋" w:eastAsia="仿宋" w:cs="仿宋"/>
          <w:spacing w:val="6"/>
          <w:sz w:val="31"/>
          <w:szCs w:val="31"/>
        </w:rPr>
        <w:t>万元，项目支出</w:t>
      </w:r>
      <w:r>
        <w:rPr>
          <w:rFonts w:hint="eastAsia" w:ascii="仿宋" w:hAnsi="仿宋" w:eastAsia="仿宋" w:cs="仿宋"/>
          <w:spacing w:val="6"/>
          <w:sz w:val="31"/>
          <w:szCs w:val="31"/>
          <w:lang w:val="en-US" w:eastAsia="zh-CN"/>
        </w:rPr>
        <w:t>24</w:t>
      </w:r>
      <w:r>
        <w:rPr>
          <w:rFonts w:ascii="仿宋" w:hAnsi="仿宋" w:eastAsia="仿宋" w:cs="仿宋"/>
          <w:spacing w:val="6"/>
          <w:sz w:val="31"/>
          <w:szCs w:val="31"/>
        </w:rPr>
        <w:t>万元。</w:t>
      </w:r>
    </w:p>
    <w:p>
      <w:pPr>
        <w:spacing w:before="232" w:line="222" w:lineRule="auto"/>
        <w:ind w:left="715"/>
        <w:outlineLvl w:val="0"/>
        <w:rPr>
          <w:rFonts w:ascii="仿宋" w:hAnsi="仿宋" w:eastAsia="仿宋" w:cs="仿宋"/>
          <w:sz w:val="33"/>
          <w:szCs w:val="33"/>
        </w:rPr>
      </w:pPr>
      <w:r>
        <w:rPr>
          <w:rFonts w:ascii="仿宋" w:hAnsi="仿宋" w:eastAsia="仿宋" w:cs="仿宋"/>
          <w:b/>
          <w:bCs/>
          <w:spacing w:val="-2"/>
          <w:sz w:val="33"/>
          <w:szCs w:val="33"/>
        </w:rPr>
        <w:t>2.部门决算情况(含年中预算追加情况)</w:t>
      </w:r>
    </w:p>
    <w:p>
      <w:pPr>
        <w:spacing w:before="230" w:line="368" w:lineRule="auto"/>
        <w:ind w:left="115" w:firstLine="625"/>
        <w:jc w:val="both"/>
        <w:rPr>
          <w:rFonts w:ascii="仿宋" w:hAnsi="仿宋" w:eastAsia="仿宋" w:cs="仿宋"/>
          <w:spacing w:val="6"/>
          <w:sz w:val="31"/>
          <w:szCs w:val="31"/>
        </w:rPr>
      </w:pPr>
      <w:r>
        <w:rPr>
          <w:rFonts w:ascii="仿宋" w:hAnsi="仿宋" w:eastAsia="仿宋" w:cs="仿宋"/>
          <w:spacing w:val="6"/>
          <w:sz w:val="31"/>
          <w:szCs w:val="31"/>
        </w:rPr>
        <w:t>2022年决算总收入</w:t>
      </w:r>
      <w:r>
        <w:rPr>
          <w:rFonts w:hint="eastAsia" w:ascii="仿宋" w:hAnsi="仿宋" w:eastAsia="仿宋" w:cs="仿宋"/>
          <w:spacing w:val="6"/>
          <w:sz w:val="31"/>
          <w:szCs w:val="31"/>
          <w:lang w:val="en-US" w:eastAsia="zh-CN"/>
        </w:rPr>
        <w:t>584.83</w:t>
      </w:r>
      <w:r>
        <w:rPr>
          <w:rFonts w:ascii="仿宋" w:hAnsi="仿宋" w:eastAsia="仿宋" w:cs="仿宋"/>
          <w:spacing w:val="6"/>
          <w:sz w:val="31"/>
          <w:szCs w:val="31"/>
        </w:rPr>
        <w:t>万元，较预算增加</w:t>
      </w:r>
      <w:r>
        <w:rPr>
          <w:rFonts w:hint="eastAsia" w:ascii="仿宋" w:hAnsi="仿宋" w:eastAsia="仿宋" w:cs="仿宋"/>
          <w:spacing w:val="6"/>
          <w:sz w:val="31"/>
          <w:szCs w:val="31"/>
          <w:lang w:val="en-US" w:eastAsia="zh-CN"/>
        </w:rPr>
        <w:t>278.46</w:t>
      </w:r>
      <w:r>
        <w:rPr>
          <w:rFonts w:ascii="仿宋" w:hAnsi="仿宋" w:eastAsia="仿宋" w:cs="仿宋"/>
          <w:spacing w:val="6"/>
          <w:sz w:val="31"/>
          <w:szCs w:val="31"/>
        </w:rPr>
        <w:t xml:space="preserve">万元，总支出 </w:t>
      </w:r>
      <w:r>
        <w:rPr>
          <w:rFonts w:hint="eastAsia" w:ascii="仿宋" w:hAnsi="仿宋" w:eastAsia="仿宋" w:cs="仿宋"/>
          <w:spacing w:val="6"/>
          <w:sz w:val="31"/>
          <w:szCs w:val="31"/>
          <w:lang w:val="en-US" w:eastAsia="zh-CN"/>
        </w:rPr>
        <w:t>581.42</w:t>
      </w:r>
      <w:r>
        <w:rPr>
          <w:rFonts w:ascii="仿宋" w:hAnsi="仿宋" w:eastAsia="仿宋" w:cs="仿宋"/>
          <w:spacing w:val="6"/>
          <w:sz w:val="31"/>
          <w:szCs w:val="31"/>
        </w:rPr>
        <w:t>万元，其中：基本支出</w:t>
      </w:r>
      <w:r>
        <w:rPr>
          <w:rFonts w:hint="eastAsia" w:ascii="仿宋" w:hAnsi="仿宋" w:eastAsia="仿宋" w:cs="仿宋"/>
          <w:spacing w:val="6"/>
          <w:sz w:val="31"/>
          <w:szCs w:val="31"/>
          <w:lang w:val="en-US" w:eastAsia="zh-CN"/>
        </w:rPr>
        <w:t>301.4</w:t>
      </w:r>
      <w:r>
        <w:rPr>
          <w:rFonts w:ascii="仿宋" w:hAnsi="仿宋" w:eastAsia="仿宋" w:cs="仿宋"/>
          <w:spacing w:val="6"/>
          <w:sz w:val="31"/>
          <w:szCs w:val="31"/>
        </w:rPr>
        <w:t>万元，占总支出的</w:t>
      </w:r>
      <w:r>
        <w:rPr>
          <w:rFonts w:hint="eastAsia" w:ascii="仿宋" w:hAnsi="仿宋" w:eastAsia="仿宋" w:cs="仿宋"/>
          <w:spacing w:val="6"/>
          <w:sz w:val="31"/>
          <w:szCs w:val="31"/>
          <w:lang w:val="en-US" w:eastAsia="zh-CN"/>
        </w:rPr>
        <w:t>51.84</w:t>
      </w:r>
      <w:r>
        <w:rPr>
          <w:rFonts w:ascii="仿宋" w:hAnsi="仿宋" w:eastAsia="仿宋" w:cs="仿宋"/>
          <w:spacing w:val="6"/>
          <w:sz w:val="31"/>
          <w:szCs w:val="31"/>
        </w:rPr>
        <w:t>%;项目支出</w:t>
      </w:r>
      <w:r>
        <w:rPr>
          <w:rFonts w:hint="eastAsia" w:ascii="仿宋" w:hAnsi="仿宋" w:eastAsia="仿宋" w:cs="仿宋"/>
          <w:spacing w:val="6"/>
          <w:sz w:val="31"/>
          <w:szCs w:val="31"/>
          <w:lang w:val="en-US" w:eastAsia="zh-CN"/>
        </w:rPr>
        <w:t>280.02</w:t>
      </w:r>
      <w:r>
        <w:rPr>
          <w:rFonts w:ascii="仿宋" w:hAnsi="仿宋" w:eastAsia="仿宋" w:cs="仿宋"/>
          <w:spacing w:val="6"/>
          <w:sz w:val="31"/>
          <w:szCs w:val="31"/>
        </w:rPr>
        <w:t>万元，占总支出的</w:t>
      </w:r>
      <w:r>
        <w:rPr>
          <w:rFonts w:hint="eastAsia" w:ascii="仿宋" w:hAnsi="仿宋" w:eastAsia="仿宋" w:cs="仿宋"/>
          <w:spacing w:val="6"/>
          <w:sz w:val="31"/>
          <w:szCs w:val="31"/>
          <w:lang w:val="en-US" w:eastAsia="zh-CN"/>
        </w:rPr>
        <w:t>48.16</w:t>
      </w:r>
      <w:r>
        <w:rPr>
          <w:rFonts w:ascii="仿宋" w:hAnsi="仿宋" w:eastAsia="仿宋" w:cs="仿宋"/>
          <w:spacing w:val="6"/>
          <w:sz w:val="31"/>
          <w:szCs w:val="31"/>
        </w:rPr>
        <w:t>%。差异产生的主要原因是</w:t>
      </w:r>
      <w:r>
        <w:rPr>
          <w:rFonts w:hint="eastAsia" w:ascii="仿宋" w:hAnsi="仿宋" w:eastAsia="仿宋" w:cs="仿宋"/>
          <w:spacing w:val="6"/>
          <w:sz w:val="31"/>
          <w:szCs w:val="31"/>
          <w:lang w:eastAsia="zh-CN"/>
        </w:rPr>
        <w:t>项目预算弥补行政经费不足</w:t>
      </w:r>
      <w:r>
        <w:rPr>
          <w:rFonts w:ascii="仿宋" w:hAnsi="仿宋" w:eastAsia="仿宋" w:cs="仿宋"/>
          <w:spacing w:val="6"/>
          <w:sz w:val="31"/>
          <w:szCs w:val="31"/>
        </w:rPr>
        <w:t>。</w:t>
      </w:r>
    </w:p>
    <w:p>
      <w:pPr>
        <w:spacing w:before="220" w:line="221" w:lineRule="auto"/>
        <w:ind w:left="715"/>
        <w:outlineLvl w:val="0"/>
        <w:rPr>
          <w:rFonts w:ascii="仿宋" w:hAnsi="仿宋" w:eastAsia="仿宋" w:cs="仿宋"/>
          <w:sz w:val="33"/>
          <w:szCs w:val="33"/>
        </w:rPr>
      </w:pPr>
      <w:r>
        <w:rPr>
          <w:rFonts w:ascii="仿宋" w:hAnsi="仿宋" w:eastAsia="仿宋" w:cs="仿宋"/>
          <w:b/>
          <w:bCs/>
          <w:spacing w:val="2"/>
          <w:sz w:val="33"/>
          <w:szCs w:val="33"/>
        </w:rPr>
        <w:t>3."三公"经费执行情况</w:t>
      </w:r>
    </w:p>
    <w:p>
      <w:pPr>
        <w:spacing w:before="229" w:line="369" w:lineRule="auto"/>
        <w:ind w:left="90" w:right="24" w:firstLine="620"/>
        <w:jc w:val="both"/>
        <w:rPr>
          <w:rFonts w:hint="eastAsia" w:ascii="仿宋" w:hAnsi="仿宋" w:eastAsia="仿宋" w:cs="仿宋"/>
          <w:spacing w:val="-11"/>
          <w:sz w:val="33"/>
          <w:szCs w:val="33"/>
          <w:lang w:eastAsia="zh-CN"/>
        </w:rPr>
      </w:pPr>
      <w:r>
        <w:rPr>
          <w:rFonts w:ascii="仿宋" w:hAnsi="仿宋" w:eastAsia="仿宋" w:cs="仿宋"/>
          <w:spacing w:val="-11"/>
          <w:sz w:val="33"/>
          <w:szCs w:val="33"/>
        </w:rPr>
        <w:t>2022年"三公"经费预算数</w:t>
      </w:r>
      <w:r>
        <w:rPr>
          <w:rFonts w:hint="eastAsia" w:ascii="仿宋" w:hAnsi="仿宋" w:eastAsia="仿宋" w:cs="仿宋"/>
          <w:spacing w:val="-11"/>
          <w:sz w:val="33"/>
          <w:szCs w:val="33"/>
          <w:lang w:val="en-US" w:eastAsia="zh-CN"/>
        </w:rPr>
        <w:t>1.50</w:t>
      </w:r>
      <w:r>
        <w:rPr>
          <w:rFonts w:ascii="仿宋" w:hAnsi="仿宋" w:eastAsia="仿宋" w:cs="仿宋"/>
          <w:spacing w:val="-11"/>
          <w:sz w:val="33"/>
          <w:szCs w:val="33"/>
        </w:rPr>
        <w:t>万元，其中：因公出国(境) 费</w:t>
      </w:r>
      <w:r>
        <w:rPr>
          <w:rFonts w:hint="eastAsia" w:ascii="仿宋" w:hAnsi="仿宋" w:eastAsia="仿宋" w:cs="仿宋"/>
          <w:spacing w:val="-11"/>
          <w:sz w:val="33"/>
          <w:szCs w:val="33"/>
          <w:lang w:val="en-US" w:eastAsia="zh-CN"/>
        </w:rPr>
        <w:t>0</w:t>
      </w:r>
      <w:r>
        <w:rPr>
          <w:rFonts w:ascii="仿宋" w:hAnsi="仿宋" w:eastAsia="仿宋" w:cs="仿宋"/>
          <w:spacing w:val="-11"/>
          <w:sz w:val="33"/>
          <w:szCs w:val="33"/>
        </w:rPr>
        <w:t>万元，公务用车购置及运行维护费</w:t>
      </w:r>
      <w:r>
        <w:rPr>
          <w:rFonts w:hint="eastAsia" w:ascii="仿宋" w:hAnsi="仿宋" w:eastAsia="仿宋" w:cs="仿宋"/>
          <w:spacing w:val="-11"/>
          <w:sz w:val="33"/>
          <w:szCs w:val="33"/>
          <w:lang w:val="en-US" w:eastAsia="zh-CN"/>
        </w:rPr>
        <w:t>1.0</w:t>
      </w:r>
      <w:r>
        <w:rPr>
          <w:rFonts w:ascii="仿宋" w:hAnsi="仿宋" w:eastAsia="仿宋" w:cs="仿宋"/>
          <w:spacing w:val="-11"/>
          <w:sz w:val="33"/>
          <w:szCs w:val="33"/>
        </w:rPr>
        <w:t>万元，公务接待费</w:t>
      </w:r>
      <w:r>
        <w:rPr>
          <w:rFonts w:hint="eastAsia" w:ascii="仿宋" w:hAnsi="仿宋" w:eastAsia="仿宋" w:cs="仿宋"/>
          <w:spacing w:val="-11"/>
          <w:sz w:val="33"/>
          <w:szCs w:val="33"/>
          <w:lang w:val="en-US" w:eastAsia="zh-CN"/>
        </w:rPr>
        <w:t>0.31</w:t>
      </w:r>
      <w:r>
        <w:rPr>
          <w:rFonts w:ascii="仿宋" w:hAnsi="仿宋" w:eastAsia="仿宋" w:cs="仿宋"/>
          <w:spacing w:val="-11"/>
          <w:sz w:val="33"/>
          <w:szCs w:val="33"/>
        </w:rPr>
        <w:t>万元。 "三公"经费决算数</w:t>
      </w:r>
      <w:r>
        <w:rPr>
          <w:rFonts w:hint="eastAsia" w:ascii="仿宋" w:hAnsi="仿宋" w:eastAsia="仿宋" w:cs="仿宋"/>
          <w:spacing w:val="-11"/>
          <w:sz w:val="33"/>
          <w:szCs w:val="33"/>
          <w:lang w:val="en-US" w:eastAsia="zh-CN"/>
        </w:rPr>
        <w:t>1.31</w:t>
      </w:r>
      <w:r>
        <w:rPr>
          <w:rFonts w:ascii="仿宋" w:hAnsi="仿宋" w:eastAsia="仿宋" w:cs="仿宋"/>
          <w:spacing w:val="-11"/>
          <w:sz w:val="33"/>
          <w:szCs w:val="33"/>
        </w:rPr>
        <w:t>元</w:t>
      </w:r>
      <w:r>
        <w:rPr>
          <w:rFonts w:hint="eastAsia" w:ascii="仿宋" w:hAnsi="仿宋" w:eastAsia="仿宋" w:cs="仿宋"/>
          <w:spacing w:val="-11"/>
          <w:sz w:val="33"/>
          <w:szCs w:val="33"/>
          <w:lang w:eastAsia="zh-CN"/>
        </w:rPr>
        <w:t>。</w:t>
      </w:r>
    </w:p>
    <w:p>
      <w:pPr>
        <w:numPr>
          <w:ilvl w:val="0"/>
          <w:numId w:val="1"/>
        </w:numPr>
        <w:spacing w:before="249" w:line="221" w:lineRule="auto"/>
        <w:ind w:left="745"/>
        <w:outlineLvl w:val="0"/>
        <w:rPr>
          <w:rFonts w:ascii="仿宋" w:hAnsi="仿宋" w:eastAsia="仿宋" w:cs="仿宋"/>
          <w:b/>
          <w:bCs/>
          <w:spacing w:val="8"/>
          <w:sz w:val="31"/>
          <w:szCs w:val="31"/>
        </w:rPr>
      </w:pPr>
      <w:r>
        <w:rPr>
          <w:rFonts w:ascii="仿宋" w:hAnsi="仿宋" w:eastAsia="仿宋" w:cs="仿宋"/>
          <w:b/>
          <w:bCs/>
          <w:spacing w:val="8"/>
          <w:sz w:val="31"/>
          <w:szCs w:val="31"/>
        </w:rPr>
        <w:t>政府采购执行情况</w:t>
      </w:r>
    </w:p>
    <w:p>
      <w:pPr>
        <w:numPr>
          <w:numId w:val="0"/>
        </w:numPr>
        <w:spacing w:before="249" w:line="221" w:lineRule="auto"/>
        <w:ind w:firstLine="644" w:firstLineChars="200"/>
        <w:outlineLvl w:val="0"/>
        <w:rPr>
          <w:rFonts w:ascii="仿宋" w:hAnsi="仿宋" w:eastAsia="仿宋" w:cs="仿宋"/>
          <w:spacing w:val="6"/>
          <w:sz w:val="31"/>
          <w:szCs w:val="31"/>
        </w:rPr>
      </w:pPr>
      <w:r>
        <w:rPr>
          <w:rFonts w:ascii="仿宋" w:hAnsi="仿宋" w:eastAsia="仿宋" w:cs="仿宋"/>
          <w:spacing w:val="6"/>
          <w:sz w:val="31"/>
          <w:szCs w:val="31"/>
        </w:rPr>
        <w:t>2022年度政府采购支出</w:t>
      </w:r>
      <w:r>
        <w:rPr>
          <w:rFonts w:hint="eastAsia" w:ascii="仿宋" w:hAnsi="仿宋" w:eastAsia="仿宋" w:cs="仿宋"/>
          <w:spacing w:val="6"/>
          <w:sz w:val="31"/>
          <w:szCs w:val="31"/>
          <w:lang w:val="en-US" w:eastAsia="zh-CN"/>
        </w:rPr>
        <w:t>0</w:t>
      </w:r>
      <w:r>
        <w:rPr>
          <w:rFonts w:ascii="仿宋" w:hAnsi="仿宋" w:eastAsia="仿宋" w:cs="仿宋"/>
          <w:spacing w:val="6"/>
          <w:sz w:val="31"/>
          <w:szCs w:val="31"/>
        </w:rPr>
        <w:t>万元，其中：货物</w:t>
      </w:r>
      <w:r>
        <w:rPr>
          <w:rFonts w:hint="eastAsia" w:ascii="仿宋" w:hAnsi="仿宋" w:eastAsia="仿宋" w:cs="仿宋"/>
          <w:spacing w:val="6"/>
          <w:sz w:val="31"/>
          <w:szCs w:val="31"/>
          <w:lang w:val="en-US" w:eastAsia="zh-CN"/>
        </w:rPr>
        <w:t>0</w:t>
      </w:r>
      <w:r>
        <w:rPr>
          <w:rFonts w:ascii="仿宋" w:hAnsi="仿宋" w:eastAsia="仿宋" w:cs="仿宋"/>
          <w:spacing w:val="6"/>
          <w:sz w:val="31"/>
          <w:szCs w:val="31"/>
        </w:rPr>
        <w:t>元，工程</w:t>
      </w:r>
      <w:r>
        <w:rPr>
          <w:rFonts w:hint="eastAsia" w:ascii="仿宋" w:hAnsi="仿宋" w:eastAsia="仿宋" w:cs="仿宋"/>
          <w:spacing w:val="6"/>
          <w:sz w:val="31"/>
          <w:szCs w:val="31"/>
          <w:lang w:val="en-US" w:eastAsia="zh-CN"/>
        </w:rPr>
        <w:t>0</w:t>
      </w:r>
      <w:r>
        <w:rPr>
          <w:rFonts w:ascii="仿宋" w:hAnsi="仿宋" w:eastAsia="仿宋" w:cs="仿宋"/>
          <w:spacing w:val="6"/>
          <w:sz w:val="31"/>
          <w:szCs w:val="31"/>
        </w:rPr>
        <w:t>万元，服务</w:t>
      </w:r>
      <w:r>
        <w:rPr>
          <w:rFonts w:hint="eastAsia" w:ascii="仿宋" w:hAnsi="仿宋" w:eastAsia="仿宋" w:cs="仿宋"/>
          <w:spacing w:val="6"/>
          <w:sz w:val="31"/>
          <w:szCs w:val="31"/>
          <w:lang w:val="en-US" w:eastAsia="zh-CN"/>
        </w:rPr>
        <w:t>0</w:t>
      </w:r>
      <w:r>
        <w:rPr>
          <w:rFonts w:ascii="仿宋" w:hAnsi="仿宋" w:eastAsia="仿宋" w:cs="仿宋"/>
          <w:spacing w:val="6"/>
          <w:sz w:val="31"/>
          <w:szCs w:val="31"/>
        </w:rPr>
        <w:t>万元。</w:t>
      </w:r>
    </w:p>
    <w:p>
      <w:pPr>
        <w:spacing w:before="252" w:line="222" w:lineRule="auto"/>
        <w:ind w:left="745"/>
        <w:outlineLvl w:val="0"/>
        <w:rPr>
          <w:rFonts w:ascii="仿宋" w:hAnsi="仿宋" w:eastAsia="仿宋" w:cs="仿宋"/>
          <w:sz w:val="31"/>
          <w:szCs w:val="31"/>
        </w:rPr>
      </w:pPr>
      <w:r>
        <w:rPr>
          <w:rFonts w:ascii="仿宋" w:hAnsi="仿宋" w:eastAsia="仿宋" w:cs="仿宋"/>
          <w:b/>
          <w:bCs/>
          <w:spacing w:val="8"/>
          <w:sz w:val="31"/>
          <w:szCs w:val="31"/>
        </w:rPr>
        <w:t>5.资产管理情况</w:t>
      </w:r>
    </w:p>
    <w:p>
      <w:pPr>
        <w:spacing w:before="230" w:line="368" w:lineRule="auto"/>
        <w:ind w:left="115" w:firstLine="625"/>
        <w:jc w:val="both"/>
        <w:rPr>
          <w:rFonts w:ascii="仿宋" w:hAnsi="仿宋" w:eastAsia="仿宋" w:cs="仿宋"/>
          <w:sz w:val="31"/>
          <w:szCs w:val="31"/>
        </w:rPr>
      </w:pPr>
      <w:r>
        <w:rPr>
          <w:rFonts w:ascii="仿宋" w:hAnsi="仿宋" w:eastAsia="仿宋" w:cs="仿宋"/>
          <w:spacing w:val="6"/>
          <w:sz w:val="31"/>
          <w:szCs w:val="31"/>
        </w:rPr>
        <w:t>2022年年末资产总额</w:t>
      </w:r>
      <w:r>
        <w:rPr>
          <w:rFonts w:hint="eastAsia" w:ascii="仿宋" w:hAnsi="仿宋" w:eastAsia="仿宋" w:cs="仿宋"/>
          <w:spacing w:val="6"/>
          <w:sz w:val="31"/>
          <w:szCs w:val="31"/>
          <w:lang w:val="en-US" w:eastAsia="zh-CN"/>
        </w:rPr>
        <w:t>162.43</w:t>
      </w:r>
      <w:r>
        <w:rPr>
          <w:rFonts w:ascii="仿宋" w:hAnsi="仿宋" w:eastAsia="仿宋" w:cs="仿宋"/>
          <w:spacing w:val="6"/>
          <w:sz w:val="31"/>
          <w:szCs w:val="31"/>
        </w:rPr>
        <w:t>万元，负债总额</w:t>
      </w:r>
      <w:r>
        <w:rPr>
          <w:rFonts w:hint="eastAsia" w:ascii="仿宋" w:hAnsi="仿宋" w:eastAsia="仿宋" w:cs="仿宋"/>
          <w:spacing w:val="6"/>
          <w:sz w:val="31"/>
          <w:szCs w:val="31"/>
          <w:lang w:val="en-US" w:eastAsia="zh-CN"/>
        </w:rPr>
        <w:t>0</w:t>
      </w:r>
      <w:r>
        <w:rPr>
          <w:rFonts w:ascii="仿宋" w:hAnsi="仿宋" w:eastAsia="仿宋" w:cs="仿宋"/>
          <w:spacing w:val="6"/>
          <w:sz w:val="31"/>
          <w:szCs w:val="31"/>
        </w:rPr>
        <w:t xml:space="preserve">万元，净资产 </w:t>
      </w:r>
      <w:r>
        <w:rPr>
          <w:rFonts w:hint="eastAsia" w:ascii="仿宋" w:hAnsi="仿宋" w:eastAsia="仿宋" w:cs="仿宋"/>
          <w:spacing w:val="6"/>
          <w:sz w:val="31"/>
          <w:szCs w:val="31"/>
          <w:lang w:val="en-US" w:eastAsia="zh-CN"/>
        </w:rPr>
        <w:t>154.29</w:t>
      </w:r>
      <w:r>
        <w:rPr>
          <w:rFonts w:ascii="仿宋" w:hAnsi="仿宋" w:eastAsia="仿宋" w:cs="仿宋"/>
          <w:spacing w:val="6"/>
          <w:sz w:val="31"/>
          <w:szCs w:val="31"/>
        </w:rPr>
        <w:t>万元。截至2022年12月31日，固定资产账面原值</w:t>
      </w:r>
      <w:r>
        <w:rPr>
          <w:rFonts w:hint="eastAsia" w:ascii="仿宋" w:hAnsi="仿宋" w:eastAsia="仿宋" w:cs="仿宋"/>
          <w:spacing w:val="6"/>
          <w:sz w:val="31"/>
          <w:szCs w:val="31"/>
          <w:lang w:val="en-US" w:eastAsia="zh-CN"/>
        </w:rPr>
        <w:t>156.83</w:t>
      </w:r>
      <w:r>
        <w:rPr>
          <w:rFonts w:ascii="仿宋" w:hAnsi="仿宋" w:eastAsia="仿宋" w:cs="仿宋"/>
          <w:spacing w:val="6"/>
          <w:sz w:val="31"/>
          <w:szCs w:val="31"/>
        </w:rPr>
        <w:t>万元，在用资产</w:t>
      </w:r>
      <w:r>
        <w:rPr>
          <w:rFonts w:hint="eastAsia" w:ascii="仿宋" w:hAnsi="仿宋" w:eastAsia="仿宋" w:cs="仿宋"/>
          <w:spacing w:val="6"/>
          <w:sz w:val="31"/>
          <w:szCs w:val="31"/>
          <w:lang w:val="en-US" w:eastAsia="zh-CN"/>
        </w:rPr>
        <w:t>156.83</w:t>
      </w:r>
      <w:r>
        <w:rPr>
          <w:rFonts w:ascii="仿宋" w:hAnsi="仿宋" w:eastAsia="仿宋" w:cs="仿宋"/>
          <w:spacing w:val="6"/>
          <w:sz w:val="31"/>
          <w:szCs w:val="31"/>
        </w:rPr>
        <w:t>万元，资产使用率</w:t>
      </w:r>
      <w:r>
        <w:rPr>
          <w:rFonts w:hint="eastAsia" w:ascii="仿宋" w:hAnsi="仿宋" w:eastAsia="仿宋" w:cs="仿宋"/>
          <w:spacing w:val="6"/>
          <w:sz w:val="31"/>
          <w:szCs w:val="31"/>
          <w:lang w:val="en-US" w:eastAsia="zh-CN"/>
        </w:rPr>
        <w:t>100</w:t>
      </w:r>
      <w:r>
        <w:rPr>
          <w:rFonts w:ascii="仿宋" w:hAnsi="仿宋" w:eastAsia="仿宋" w:cs="仿宋"/>
          <w:spacing w:val="6"/>
          <w:sz w:val="31"/>
          <w:szCs w:val="31"/>
        </w:rPr>
        <w:t>%。</w:t>
      </w:r>
    </w:p>
    <w:p>
      <w:pPr>
        <w:spacing w:before="220" w:line="221" w:lineRule="auto"/>
        <w:ind w:firstLine="591" w:firstLineChars="200"/>
        <w:outlineLvl w:val="0"/>
        <w:rPr>
          <w:rFonts w:ascii="黑体" w:hAnsi="黑体" w:eastAsia="黑体" w:cs="黑体"/>
          <w:b/>
          <w:bCs/>
          <w:spacing w:val="-18"/>
          <w:sz w:val="33"/>
          <w:szCs w:val="33"/>
        </w:rPr>
      </w:pPr>
      <w:r>
        <w:rPr>
          <w:rFonts w:hint="eastAsia" w:ascii="黑体" w:hAnsi="黑体" w:eastAsia="黑体" w:cs="黑体"/>
          <w:b/>
          <w:bCs/>
          <w:spacing w:val="-18"/>
          <w:sz w:val="33"/>
          <w:szCs w:val="33"/>
          <w:lang w:eastAsia="zh-CN"/>
        </w:rPr>
        <w:t>三、</w:t>
      </w:r>
      <w:r>
        <w:rPr>
          <w:rFonts w:ascii="黑体" w:hAnsi="黑体" w:eastAsia="黑体" w:cs="黑体"/>
          <w:b/>
          <w:bCs/>
          <w:spacing w:val="-18"/>
          <w:sz w:val="33"/>
          <w:szCs w:val="33"/>
        </w:rPr>
        <w:t>资金使用及绩效情况</w:t>
      </w:r>
    </w:p>
    <w:p>
      <w:pPr>
        <w:spacing w:before="230" w:line="368" w:lineRule="auto"/>
        <w:ind w:left="115" w:firstLine="625"/>
        <w:jc w:val="both"/>
        <w:rPr>
          <w:rFonts w:ascii="仿宋" w:hAnsi="仿宋" w:eastAsia="仿宋" w:cs="仿宋"/>
          <w:spacing w:val="6"/>
          <w:sz w:val="31"/>
          <w:szCs w:val="31"/>
        </w:rPr>
      </w:pPr>
      <w:r>
        <w:rPr>
          <w:rFonts w:ascii="仿宋" w:hAnsi="仿宋" w:eastAsia="仿宋" w:cs="仿宋"/>
          <w:b/>
          <w:bCs/>
          <w:spacing w:val="6"/>
          <w:sz w:val="31"/>
          <w:szCs w:val="31"/>
        </w:rPr>
        <w:t>1.整体绩效目标完成情况</w:t>
      </w:r>
      <w:r>
        <w:rPr>
          <w:rFonts w:hint="eastAsia" w:ascii="仿宋" w:hAnsi="仿宋" w:eastAsia="仿宋" w:cs="仿宋"/>
          <w:b/>
          <w:bCs/>
          <w:spacing w:val="6"/>
          <w:sz w:val="31"/>
          <w:szCs w:val="31"/>
          <w:lang w:eastAsia="zh-CN"/>
        </w:rPr>
        <w:t>。</w:t>
      </w:r>
      <w:r>
        <w:rPr>
          <w:rFonts w:hint="eastAsia" w:ascii="仿宋" w:hAnsi="仿宋" w:eastAsia="仿宋" w:cs="仿宋"/>
          <w:spacing w:val="6"/>
          <w:sz w:val="31"/>
          <w:szCs w:val="31"/>
        </w:rPr>
        <w:t>完成既定绩效目标</w:t>
      </w:r>
      <w:r>
        <w:rPr>
          <w:rFonts w:ascii="仿宋" w:hAnsi="仿宋" w:eastAsia="仿宋" w:cs="仿宋"/>
          <w:spacing w:val="6"/>
          <w:sz w:val="31"/>
          <w:szCs w:val="31"/>
        </w:rPr>
        <w:t>。</w:t>
      </w:r>
      <w:r>
        <w:rPr>
          <w:rFonts w:hint="eastAsia" w:ascii="仿宋" w:hAnsi="仿宋" w:eastAsia="仿宋" w:cs="仿宋"/>
          <w:spacing w:val="6"/>
          <w:sz w:val="31"/>
          <w:szCs w:val="31"/>
        </w:rPr>
        <w:t>全年支出</w:t>
      </w:r>
      <w:r>
        <w:rPr>
          <w:rFonts w:hint="eastAsia" w:ascii="仿宋" w:hAnsi="仿宋" w:eastAsia="仿宋" w:cs="仿宋"/>
          <w:spacing w:val="6"/>
          <w:sz w:val="31"/>
          <w:szCs w:val="31"/>
          <w:lang w:val="en-US" w:eastAsia="zh-CN"/>
        </w:rPr>
        <w:t>581.42</w:t>
      </w:r>
      <w:r>
        <w:rPr>
          <w:rFonts w:hint="eastAsia" w:ascii="仿宋" w:hAnsi="仿宋" w:eastAsia="仿宋" w:cs="仿宋"/>
          <w:spacing w:val="6"/>
          <w:sz w:val="31"/>
          <w:szCs w:val="31"/>
        </w:rPr>
        <w:t>万元，</w:t>
      </w:r>
      <w:r>
        <w:rPr>
          <w:rFonts w:ascii="仿宋" w:hAnsi="仿宋" w:eastAsia="仿宋" w:cs="仿宋"/>
          <w:spacing w:val="6"/>
          <w:sz w:val="31"/>
          <w:szCs w:val="31"/>
        </w:rPr>
        <w:t>保障各项工作正常运转</w:t>
      </w:r>
      <w:r>
        <w:rPr>
          <w:rFonts w:hint="eastAsia" w:ascii="仿宋" w:hAnsi="仿宋" w:eastAsia="仿宋" w:cs="仿宋"/>
          <w:spacing w:val="6"/>
          <w:sz w:val="31"/>
          <w:szCs w:val="31"/>
        </w:rPr>
        <w:t>，</w:t>
      </w:r>
      <w:r>
        <w:rPr>
          <w:rFonts w:ascii="仿宋" w:hAnsi="仿宋" w:eastAsia="仿宋" w:cs="仿宋"/>
          <w:spacing w:val="6"/>
          <w:sz w:val="31"/>
          <w:szCs w:val="31"/>
        </w:rPr>
        <w:t>强化财务、人事、资产管理</w:t>
      </w:r>
      <w:r>
        <w:rPr>
          <w:rFonts w:hint="eastAsia" w:ascii="仿宋" w:hAnsi="仿宋" w:eastAsia="仿宋" w:cs="仿宋"/>
          <w:spacing w:val="6"/>
          <w:sz w:val="31"/>
          <w:szCs w:val="31"/>
        </w:rPr>
        <w:t>，</w:t>
      </w:r>
      <w:r>
        <w:rPr>
          <w:rFonts w:ascii="仿宋" w:hAnsi="仿宋" w:eastAsia="仿宋" w:cs="仿宋"/>
          <w:spacing w:val="6"/>
          <w:sz w:val="31"/>
          <w:szCs w:val="31"/>
        </w:rPr>
        <w:t>加强车辆管理，工作用车严格按派车制度。建立办公室车辆管理制度，对办公室车辆实行集中管理、定点维修，办理公务加油卡，建立“一车一卡”制，加强对驾驶员的交通安全管理，全年行车零事故。</w:t>
      </w:r>
      <w:r>
        <w:rPr>
          <w:rFonts w:hint="eastAsia" w:ascii="仿宋" w:hAnsi="仿宋" w:eastAsia="仿宋" w:cs="仿宋"/>
          <w:spacing w:val="6"/>
          <w:sz w:val="31"/>
          <w:szCs w:val="31"/>
        </w:rPr>
        <w:t>其他项目资金严格控制在年初预算内，</w:t>
      </w:r>
      <w:r>
        <w:rPr>
          <w:rFonts w:ascii="仿宋" w:hAnsi="仿宋" w:eastAsia="仿宋" w:cs="仿宋"/>
          <w:spacing w:val="6"/>
          <w:sz w:val="31"/>
          <w:szCs w:val="31"/>
        </w:rPr>
        <w:t>坚持节俭原则，</w:t>
      </w:r>
      <w:r>
        <w:rPr>
          <w:rFonts w:hint="eastAsia" w:ascii="仿宋" w:hAnsi="仿宋" w:eastAsia="仿宋" w:cs="仿宋"/>
          <w:spacing w:val="6"/>
          <w:sz w:val="31"/>
          <w:szCs w:val="31"/>
          <w:lang w:eastAsia="zh-CN"/>
        </w:rPr>
        <w:t>规范财务制度，</w:t>
      </w:r>
      <w:r>
        <w:rPr>
          <w:rFonts w:ascii="仿宋" w:hAnsi="仿宋" w:eastAsia="仿宋" w:cs="仿宋"/>
          <w:spacing w:val="6"/>
          <w:sz w:val="31"/>
          <w:szCs w:val="31"/>
        </w:rPr>
        <w:t>严格</w:t>
      </w:r>
      <w:r>
        <w:rPr>
          <w:rFonts w:hint="eastAsia" w:ascii="仿宋" w:hAnsi="仿宋" w:eastAsia="仿宋" w:cs="仿宋"/>
          <w:spacing w:val="6"/>
          <w:sz w:val="31"/>
          <w:szCs w:val="31"/>
          <w:lang w:eastAsia="zh-CN"/>
        </w:rPr>
        <w:t>审批流程</w:t>
      </w:r>
      <w:r>
        <w:rPr>
          <w:rFonts w:ascii="仿宋" w:hAnsi="仿宋" w:eastAsia="仿宋" w:cs="仿宋"/>
          <w:spacing w:val="6"/>
          <w:sz w:val="31"/>
          <w:szCs w:val="31"/>
        </w:rPr>
        <w:t>，严格执行财务报销制度。认真做好日常管理及公共设施的维修等后勤保障工作，做好水、电等维修工作，确保</w:t>
      </w:r>
      <w:r>
        <w:rPr>
          <w:rFonts w:hint="eastAsia" w:ascii="仿宋" w:hAnsi="仿宋" w:eastAsia="仿宋" w:cs="仿宋"/>
          <w:spacing w:val="6"/>
          <w:sz w:val="31"/>
          <w:szCs w:val="31"/>
        </w:rPr>
        <w:t>单位</w:t>
      </w:r>
      <w:r>
        <w:rPr>
          <w:rFonts w:ascii="仿宋" w:hAnsi="仿宋" w:eastAsia="仿宋" w:cs="仿宋"/>
          <w:spacing w:val="6"/>
          <w:sz w:val="31"/>
          <w:szCs w:val="31"/>
        </w:rPr>
        <w:t>正常运转。</w:t>
      </w:r>
    </w:p>
    <w:p>
      <w:pPr>
        <w:spacing w:before="230" w:line="368" w:lineRule="auto"/>
        <w:ind w:left="115" w:firstLine="625"/>
        <w:jc w:val="both"/>
        <w:rPr>
          <w:rFonts w:ascii="仿宋" w:hAnsi="仿宋" w:eastAsia="仿宋" w:cs="仿宋"/>
          <w:b/>
          <w:bCs/>
          <w:spacing w:val="17"/>
          <w:position w:val="21"/>
          <w:sz w:val="31"/>
          <w:szCs w:val="31"/>
        </w:rPr>
      </w:pPr>
      <w:r>
        <w:rPr>
          <w:rFonts w:ascii="仿宋" w:hAnsi="仿宋" w:eastAsia="仿宋" w:cs="仿宋"/>
          <w:b/>
          <w:bCs/>
          <w:spacing w:val="17"/>
          <w:position w:val="21"/>
          <w:sz w:val="31"/>
          <w:szCs w:val="31"/>
        </w:rPr>
        <w:t>2.项目绩效目标完成情况(仅对50万元以上的项目资金进行分项说明)</w:t>
      </w:r>
    </w:p>
    <w:p>
      <w:pPr>
        <w:spacing w:before="230" w:line="368" w:lineRule="auto"/>
        <w:ind w:left="115" w:firstLine="625"/>
        <w:jc w:val="both"/>
        <w:rPr>
          <w:rFonts w:hint="default" w:ascii="仿宋" w:hAnsi="仿宋" w:eastAsia="仿宋" w:cs="仿宋"/>
          <w:spacing w:val="6"/>
          <w:sz w:val="31"/>
          <w:szCs w:val="31"/>
          <w:lang w:val="en-US" w:eastAsia="zh-CN"/>
        </w:rPr>
      </w:pPr>
      <w:r>
        <w:rPr>
          <w:rFonts w:hint="eastAsia" w:ascii="仿宋" w:hAnsi="仿宋" w:eastAsia="仿宋" w:cs="仿宋"/>
          <w:spacing w:val="6"/>
          <w:sz w:val="31"/>
          <w:szCs w:val="31"/>
          <w:lang w:eastAsia="zh-CN"/>
        </w:rPr>
        <w:t>无</w:t>
      </w:r>
      <w:r>
        <w:rPr>
          <w:rFonts w:hint="eastAsia" w:ascii="仿宋" w:hAnsi="仿宋" w:eastAsia="仿宋" w:cs="仿宋"/>
          <w:spacing w:val="6"/>
          <w:sz w:val="31"/>
          <w:szCs w:val="31"/>
          <w:lang w:val="en-US" w:eastAsia="zh-CN"/>
        </w:rPr>
        <w:t>50万元以上的项目</w:t>
      </w:r>
    </w:p>
    <w:p>
      <w:pPr>
        <w:ind w:firstLine="618" w:firstLineChars="200"/>
        <w:rPr>
          <w:rFonts w:ascii="黑体" w:hAnsi="黑体" w:eastAsia="黑体" w:cs="黑体"/>
          <w:b/>
          <w:bCs/>
          <w:spacing w:val="-1"/>
          <w:sz w:val="31"/>
          <w:szCs w:val="31"/>
        </w:rPr>
      </w:pPr>
      <w:r>
        <w:rPr>
          <w:rFonts w:hint="eastAsia" w:ascii="黑体" w:hAnsi="黑体" w:eastAsia="黑体" w:cs="黑体"/>
          <w:b/>
          <w:bCs/>
          <w:spacing w:val="-1"/>
          <w:sz w:val="31"/>
          <w:szCs w:val="31"/>
          <w:lang w:eastAsia="zh-CN"/>
        </w:rPr>
        <w:t>四、</w:t>
      </w:r>
      <w:r>
        <w:rPr>
          <w:rFonts w:ascii="黑体" w:hAnsi="黑体" w:eastAsia="黑体" w:cs="黑体"/>
          <w:b/>
          <w:bCs/>
          <w:spacing w:val="-1"/>
          <w:sz w:val="31"/>
          <w:szCs w:val="31"/>
        </w:rPr>
        <w:t>存在的问题及改进措施</w:t>
      </w:r>
    </w:p>
    <w:p>
      <w:pPr>
        <w:keepNext w:val="0"/>
        <w:keepLines w:val="0"/>
        <w:pageBreakBefore w:val="0"/>
        <w:kinsoku/>
        <w:wordWrap/>
        <w:overflowPunct w:val="0"/>
        <w:topLinePunct/>
        <w:bidi w:val="0"/>
        <w:spacing w:line="570" w:lineRule="exact"/>
        <w:ind w:left="0" w:firstLine="640" w:firstLineChars="200"/>
        <w:jc w:val="both"/>
        <w:rPr>
          <w:rFonts w:hint="eastAsia" w:ascii="仿宋_GB2312" w:hAnsi="仿宋" w:eastAsia="仿宋_GB2312" w:cs="仿宋"/>
          <w:sz w:val="32"/>
          <w:szCs w:val="32"/>
          <w:lang w:val="zh-CN"/>
        </w:rPr>
      </w:pPr>
      <w:r>
        <w:rPr>
          <w:rFonts w:hint="eastAsia" w:ascii="仿宋_GB2312" w:hAnsi="仿宋" w:eastAsia="仿宋_GB2312" w:cs="仿宋"/>
          <w:sz w:val="32"/>
          <w:szCs w:val="32"/>
        </w:rPr>
        <w:t>存在的问题：一是由于每年预算下达不及时，导致前期经费支出难以保证专款专用，后期工作中将尽量做到专款专用。二是政府采购年初预算有时会因人事变动、工作需要等问题而无法预料，后期工作中将尽量做到充分计划，广泛征求各股室意见，并及时与上级沟通，尽可能使预算与支出更加完美。</w:t>
      </w:r>
    </w:p>
    <w:p>
      <w:pPr>
        <w:keepNext w:val="0"/>
        <w:keepLines w:val="0"/>
        <w:pageBreakBefore w:val="0"/>
        <w:kinsoku/>
        <w:wordWrap/>
        <w:overflowPunct w:val="0"/>
        <w:topLinePunct/>
        <w:bidi w:val="0"/>
        <w:spacing w:line="570" w:lineRule="exact"/>
        <w:ind w:left="0"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lang w:val="zh-CN"/>
        </w:rPr>
        <w:t>县委组织部将秉着厉行节约的精神，认真贯彻落实</w:t>
      </w:r>
      <w:r>
        <w:rPr>
          <w:rFonts w:hint="eastAsia" w:ascii="仿宋_GB2312" w:hAnsi="仿宋" w:eastAsia="仿宋_GB2312" w:cs="仿宋"/>
          <w:sz w:val="32"/>
          <w:szCs w:val="32"/>
        </w:rPr>
        <w:t>《衡山县党政机关厉行节约严格财政支出管理实施意见》，严格财务支出管理，采取以下主要措施：</w:t>
      </w:r>
    </w:p>
    <w:p>
      <w:pPr>
        <w:keepNext w:val="0"/>
        <w:keepLines w:val="0"/>
        <w:pageBreakBefore w:val="0"/>
        <w:kinsoku/>
        <w:wordWrap/>
        <w:overflowPunct w:val="0"/>
        <w:topLinePunct/>
        <w:bidi w:val="0"/>
        <w:spacing w:line="570" w:lineRule="exact"/>
        <w:ind w:left="0"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一是要严格遵守财经法规和执行各项财务制度，完善财务管理制度，提高财务管理水平，从严从实做好财务工作；</w:t>
      </w:r>
    </w:p>
    <w:p>
      <w:pPr>
        <w:keepNext w:val="0"/>
        <w:keepLines w:val="0"/>
        <w:pageBreakBefore w:val="0"/>
        <w:kinsoku/>
        <w:wordWrap/>
        <w:overflowPunct w:val="0"/>
        <w:topLinePunct/>
        <w:bidi w:val="0"/>
        <w:spacing w:line="570" w:lineRule="exact"/>
        <w:ind w:left="0"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二是要强化预算刚性约束，坚持“先有预算后有支出，没有预算不得支出”的原则、不得无预算或超预算支出，不得擅自改变预算资金支出用途。要进一步加强预算绩效管理，建立“预算有编制有目标、预算执行有监控、预算完成有评价”预算管理机制；</w:t>
      </w:r>
      <w:bookmarkStart w:id="0" w:name="_GoBack"/>
      <w:bookmarkEnd w:id="0"/>
    </w:p>
    <w:p>
      <w:pPr>
        <w:keepNext w:val="0"/>
        <w:keepLines w:val="0"/>
        <w:pageBreakBefore w:val="0"/>
        <w:kinsoku/>
        <w:wordWrap/>
        <w:overflowPunct w:val="0"/>
        <w:topLinePunct/>
        <w:bidi w:val="0"/>
        <w:spacing w:line="570" w:lineRule="exact"/>
        <w:ind w:left="0"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三是加强财务支出管理，严肃财经纪律。规范费用报销审核制度，严格开支范围和开支标准，确保支出行为合规、票据真实有效、审批手续和附件齐备。</w:t>
      </w:r>
    </w:p>
    <w:p>
      <w:pPr>
        <w:numPr>
          <w:numId w:val="0"/>
        </w:numPr>
        <w:spacing w:line="600" w:lineRule="exact"/>
        <w:ind w:firstLine="618" w:firstLineChars="200"/>
        <w:rPr>
          <w:rFonts w:hint="eastAsia" w:ascii="仿宋" w:hAnsi="仿宋" w:eastAsia="仿宋" w:cs="仿宋"/>
          <w:sz w:val="32"/>
          <w:szCs w:val="32"/>
        </w:rPr>
      </w:pPr>
      <w:r>
        <w:rPr>
          <w:rFonts w:hint="eastAsia" w:ascii="黑体" w:hAnsi="黑体" w:eastAsia="黑体" w:cs="黑体"/>
          <w:b/>
          <w:bCs/>
          <w:spacing w:val="-1"/>
          <w:sz w:val="31"/>
          <w:szCs w:val="31"/>
          <w:lang w:eastAsia="zh-CN"/>
        </w:rPr>
        <w:t>五、绩效自评结果拟应用和公开情况</w:t>
      </w:r>
    </w:p>
    <w:p>
      <w:pPr>
        <w:spacing w:before="230" w:line="368" w:lineRule="auto"/>
        <w:ind w:left="115" w:firstLine="625"/>
        <w:jc w:val="both"/>
        <w:rPr>
          <w:rFonts w:hint="eastAsia" w:ascii="仿宋" w:hAnsi="仿宋" w:eastAsia="仿宋" w:cs="仿宋"/>
          <w:spacing w:val="6"/>
          <w:sz w:val="31"/>
          <w:szCs w:val="31"/>
        </w:rPr>
      </w:pPr>
      <w:r>
        <w:rPr>
          <w:rFonts w:hint="eastAsia" w:ascii="仿宋" w:hAnsi="仿宋" w:eastAsia="仿宋" w:cs="仿宋"/>
          <w:spacing w:val="6"/>
          <w:sz w:val="31"/>
          <w:szCs w:val="31"/>
        </w:rPr>
        <w:t>本单位将部门支出绩效自评结果在本单位的门户网站公开，接收社会监督</w:t>
      </w:r>
    </w:p>
    <w:p>
      <w:pPr>
        <w:numPr>
          <w:ilvl w:val="0"/>
          <w:numId w:val="0"/>
        </w:numPr>
        <w:spacing w:line="600" w:lineRule="exact"/>
        <w:ind w:firstLine="618" w:firstLineChars="200"/>
        <w:rPr>
          <w:rFonts w:hint="eastAsia" w:ascii="黑体" w:hAnsi="黑体" w:eastAsia="黑体" w:cs="黑体"/>
          <w:b/>
          <w:bCs/>
          <w:spacing w:val="-1"/>
          <w:sz w:val="31"/>
          <w:szCs w:val="31"/>
          <w:lang w:eastAsia="zh-CN"/>
        </w:rPr>
      </w:pPr>
      <w:r>
        <w:rPr>
          <w:rFonts w:hint="eastAsia" w:ascii="黑体" w:hAnsi="黑体" w:eastAsia="黑体" w:cs="黑体"/>
          <w:b/>
          <w:bCs/>
          <w:spacing w:val="-1"/>
          <w:sz w:val="31"/>
          <w:szCs w:val="31"/>
          <w:lang w:eastAsia="zh-CN"/>
        </w:rPr>
        <w:t>六、其他需要说明的情况</w:t>
      </w:r>
    </w:p>
    <w:p>
      <w:pPr>
        <w:spacing w:before="303" w:line="219"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hint="eastAsia" w:ascii="仿宋" w:hAnsi="仿宋" w:eastAsia="仿宋" w:cs="仿宋"/>
          <w:sz w:val="32"/>
          <w:szCs w:val="32"/>
          <w:lang w:eastAsia="zh-CN"/>
        </w:rPr>
      </w:pPr>
    </w:p>
    <w:p>
      <w:pPr>
        <w:spacing w:before="303" w:line="219" w:lineRule="auto"/>
        <w:ind w:left="2659"/>
        <w:rPr>
          <w:rFonts w:ascii="宋体" w:hAnsi="宋体" w:eastAsia="宋体" w:cs="宋体"/>
          <w:sz w:val="34"/>
          <w:szCs w:val="34"/>
        </w:rPr>
      </w:pPr>
      <w:r>
        <w:rPr>
          <w:rFonts w:ascii="宋体" w:hAnsi="宋体" w:eastAsia="宋体" w:cs="宋体"/>
          <w:b/>
          <w:bCs/>
          <w:spacing w:val="11"/>
          <w:sz w:val="34"/>
          <w:szCs w:val="34"/>
        </w:rPr>
        <w:t>2022年度预算支出绩效自评表</w:t>
      </w:r>
    </w:p>
    <w:p>
      <w:pPr>
        <w:spacing w:line="72" w:lineRule="exact"/>
      </w:pPr>
    </w:p>
    <w:tbl>
      <w:tblPr>
        <w:tblStyle w:val="4"/>
        <w:tblW w:w="9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989"/>
        <w:gridCol w:w="1268"/>
        <w:gridCol w:w="1209"/>
        <w:gridCol w:w="1119"/>
        <w:gridCol w:w="1109"/>
        <w:gridCol w:w="819"/>
        <w:gridCol w:w="859"/>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134" w:type="dxa"/>
            <w:vAlign w:val="top"/>
          </w:tcPr>
          <w:p>
            <w:pPr>
              <w:spacing w:before="94" w:line="301" w:lineRule="exact"/>
              <w:ind w:left="245"/>
              <w:rPr>
                <w:rFonts w:ascii="宋体" w:hAnsi="宋体" w:eastAsia="宋体" w:cs="宋体"/>
                <w:sz w:val="21"/>
                <w:szCs w:val="21"/>
              </w:rPr>
            </w:pPr>
            <w:r>
              <w:rPr>
                <w:rFonts w:ascii="宋体" w:hAnsi="宋体" w:eastAsia="宋体" w:cs="宋体"/>
                <w:spacing w:val="3"/>
                <w:position w:val="6"/>
                <w:sz w:val="21"/>
                <w:szCs w:val="21"/>
              </w:rPr>
              <w:t>项目支</w:t>
            </w:r>
          </w:p>
          <w:p>
            <w:pPr>
              <w:spacing w:line="221" w:lineRule="auto"/>
              <w:ind w:left="245"/>
              <w:rPr>
                <w:rFonts w:ascii="宋体" w:hAnsi="宋体" w:eastAsia="宋体" w:cs="宋体"/>
                <w:sz w:val="21"/>
                <w:szCs w:val="21"/>
              </w:rPr>
            </w:pPr>
            <w:r>
              <w:rPr>
                <w:rFonts w:ascii="宋体" w:hAnsi="宋体" w:eastAsia="宋体" w:cs="宋体"/>
                <w:spacing w:val="3"/>
                <w:sz w:val="21"/>
                <w:szCs w:val="21"/>
              </w:rPr>
              <w:t>出名称</w:t>
            </w:r>
          </w:p>
        </w:tc>
        <w:tc>
          <w:tcPr>
            <w:tcW w:w="8745" w:type="dxa"/>
            <w:gridSpan w:val="8"/>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Align w:val="top"/>
          </w:tcPr>
          <w:p>
            <w:pPr>
              <w:spacing w:before="69" w:line="219" w:lineRule="auto"/>
              <w:ind w:left="134"/>
              <w:rPr>
                <w:rFonts w:ascii="宋体" w:hAnsi="宋体" w:eastAsia="宋体" w:cs="宋体"/>
                <w:sz w:val="21"/>
                <w:szCs w:val="21"/>
              </w:rPr>
            </w:pPr>
            <w:r>
              <w:rPr>
                <w:rFonts w:ascii="宋体" w:hAnsi="宋体" w:eastAsia="宋体" w:cs="宋体"/>
                <w:spacing w:val="5"/>
                <w:sz w:val="21"/>
                <w:szCs w:val="21"/>
              </w:rPr>
              <w:t>主管部门</w:t>
            </w:r>
          </w:p>
        </w:tc>
        <w:tc>
          <w:tcPr>
            <w:tcW w:w="4585" w:type="dxa"/>
            <w:gridSpan w:val="4"/>
            <w:vAlign w:val="top"/>
          </w:tcPr>
          <w:p>
            <w:pPr>
              <w:rPr>
                <w:rFonts w:ascii="Arial"/>
                <w:sz w:val="21"/>
              </w:rPr>
            </w:pPr>
          </w:p>
        </w:tc>
        <w:tc>
          <w:tcPr>
            <w:tcW w:w="1109" w:type="dxa"/>
            <w:vAlign w:val="top"/>
          </w:tcPr>
          <w:p>
            <w:pPr>
              <w:spacing w:before="70" w:line="220" w:lineRule="auto"/>
              <w:ind w:left="125"/>
              <w:rPr>
                <w:rFonts w:ascii="宋体" w:hAnsi="宋体" w:eastAsia="宋体" w:cs="宋体"/>
                <w:sz w:val="21"/>
                <w:szCs w:val="21"/>
              </w:rPr>
            </w:pPr>
            <w:r>
              <w:rPr>
                <w:rFonts w:ascii="宋体" w:hAnsi="宋体" w:eastAsia="宋体" w:cs="宋体"/>
                <w:spacing w:val="2"/>
                <w:sz w:val="21"/>
                <w:szCs w:val="21"/>
              </w:rPr>
              <w:t>实施单位</w:t>
            </w:r>
          </w:p>
        </w:tc>
        <w:tc>
          <w:tcPr>
            <w:tcW w:w="3051"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restart"/>
            <w:tcBorders>
              <w:bottom w:val="nil"/>
            </w:tcBorders>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68" w:line="220" w:lineRule="auto"/>
              <w:ind w:left="134"/>
              <w:rPr>
                <w:rFonts w:ascii="宋体" w:hAnsi="宋体" w:eastAsia="宋体" w:cs="宋体"/>
                <w:sz w:val="21"/>
                <w:szCs w:val="21"/>
              </w:rPr>
            </w:pPr>
            <w:r>
              <w:rPr>
                <w:rFonts w:ascii="宋体" w:hAnsi="宋体" w:eastAsia="宋体" w:cs="宋体"/>
                <w:spacing w:val="2"/>
                <w:sz w:val="21"/>
                <w:szCs w:val="21"/>
              </w:rPr>
              <w:t>项目资金</w:t>
            </w:r>
          </w:p>
          <w:p>
            <w:pPr>
              <w:spacing w:before="69" w:line="220" w:lineRule="auto"/>
              <w:ind w:left="245"/>
              <w:rPr>
                <w:rFonts w:ascii="宋体" w:hAnsi="宋体" w:eastAsia="宋体" w:cs="宋体"/>
                <w:sz w:val="21"/>
                <w:szCs w:val="21"/>
              </w:rPr>
            </w:pPr>
            <w:r>
              <w:rPr>
                <w:rFonts w:ascii="宋体" w:hAnsi="宋体" w:eastAsia="宋体" w:cs="宋体"/>
                <w:spacing w:val="11"/>
                <w:sz w:val="21"/>
                <w:szCs w:val="21"/>
              </w:rPr>
              <w:t>(万元)</w:t>
            </w:r>
          </w:p>
        </w:tc>
        <w:tc>
          <w:tcPr>
            <w:tcW w:w="2257" w:type="dxa"/>
            <w:gridSpan w:val="2"/>
            <w:vAlign w:val="top"/>
          </w:tcPr>
          <w:p>
            <w:pPr>
              <w:rPr>
                <w:rFonts w:ascii="Arial"/>
                <w:sz w:val="21"/>
              </w:rPr>
            </w:pPr>
          </w:p>
        </w:tc>
        <w:tc>
          <w:tcPr>
            <w:tcW w:w="1209" w:type="dxa"/>
            <w:vAlign w:val="top"/>
          </w:tcPr>
          <w:p>
            <w:pPr>
              <w:spacing w:before="9" w:line="219" w:lineRule="auto"/>
              <w:ind w:left="13"/>
              <w:rPr>
                <w:rFonts w:ascii="宋体" w:hAnsi="宋体" w:eastAsia="宋体" w:cs="宋体"/>
                <w:sz w:val="21"/>
                <w:szCs w:val="21"/>
              </w:rPr>
            </w:pPr>
            <w:r>
              <w:rPr>
                <w:rFonts w:ascii="宋体" w:hAnsi="宋体" w:eastAsia="宋体" w:cs="宋体"/>
                <w:spacing w:val="-2"/>
                <w:sz w:val="21"/>
                <w:szCs w:val="21"/>
              </w:rPr>
              <w:t>年初预算数</w:t>
            </w:r>
          </w:p>
        </w:tc>
        <w:tc>
          <w:tcPr>
            <w:tcW w:w="1119" w:type="dxa"/>
            <w:vAlign w:val="top"/>
          </w:tcPr>
          <w:p>
            <w:pPr>
              <w:spacing w:before="59" w:line="219" w:lineRule="auto"/>
              <w:ind w:left="25"/>
              <w:rPr>
                <w:rFonts w:ascii="宋体" w:hAnsi="宋体" w:eastAsia="宋体" w:cs="宋体"/>
                <w:sz w:val="21"/>
                <w:szCs w:val="21"/>
              </w:rPr>
            </w:pPr>
            <w:r>
              <w:rPr>
                <w:rFonts w:ascii="宋体" w:hAnsi="宋体" w:eastAsia="宋体" w:cs="宋体"/>
                <w:spacing w:val="-2"/>
                <w:sz w:val="21"/>
                <w:szCs w:val="21"/>
              </w:rPr>
              <w:t>全年预算数</w:t>
            </w:r>
          </w:p>
        </w:tc>
        <w:tc>
          <w:tcPr>
            <w:tcW w:w="1109" w:type="dxa"/>
            <w:vAlign w:val="top"/>
          </w:tcPr>
          <w:p>
            <w:pPr>
              <w:spacing w:before="59" w:line="219" w:lineRule="auto"/>
              <w:ind w:left="25"/>
              <w:rPr>
                <w:rFonts w:ascii="宋体" w:hAnsi="宋体" w:eastAsia="宋体" w:cs="宋体"/>
                <w:sz w:val="21"/>
                <w:szCs w:val="21"/>
              </w:rPr>
            </w:pPr>
            <w:r>
              <w:rPr>
                <w:rFonts w:ascii="宋体" w:hAnsi="宋体" w:eastAsia="宋体" w:cs="宋体"/>
                <w:spacing w:val="-2"/>
                <w:sz w:val="21"/>
                <w:szCs w:val="21"/>
              </w:rPr>
              <w:t>全年执行数</w:t>
            </w:r>
          </w:p>
        </w:tc>
        <w:tc>
          <w:tcPr>
            <w:tcW w:w="819" w:type="dxa"/>
            <w:vAlign w:val="top"/>
          </w:tcPr>
          <w:p>
            <w:pPr>
              <w:spacing w:before="9" w:line="219" w:lineRule="auto"/>
              <w:ind w:left="137"/>
              <w:rPr>
                <w:rFonts w:ascii="宋体" w:hAnsi="宋体" w:eastAsia="宋体" w:cs="宋体"/>
                <w:sz w:val="21"/>
                <w:szCs w:val="21"/>
              </w:rPr>
            </w:pPr>
            <w:r>
              <w:rPr>
                <w:rFonts w:ascii="宋体" w:hAnsi="宋体" w:eastAsia="宋体" w:cs="宋体"/>
                <w:spacing w:val="-3"/>
                <w:sz w:val="21"/>
                <w:szCs w:val="21"/>
              </w:rPr>
              <w:t>分值</w:t>
            </w:r>
          </w:p>
        </w:tc>
        <w:tc>
          <w:tcPr>
            <w:tcW w:w="859" w:type="dxa"/>
            <w:vAlign w:val="top"/>
          </w:tcPr>
          <w:p>
            <w:pPr>
              <w:spacing w:before="19" w:line="219" w:lineRule="auto"/>
              <w:ind w:left="107"/>
              <w:rPr>
                <w:rFonts w:ascii="宋体" w:hAnsi="宋体" w:eastAsia="宋体" w:cs="宋体"/>
                <w:sz w:val="21"/>
                <w:szCs w:val="21"/>
              </w:rPr>
            </w:pPr>
            <w:r>
              <w:rPr>
                <w:rFonts w:ascii="宋体" w:hAnsi="宋体" w:eastAsia="宋体" w:cs="宋体"/>
                <w:spacing w:val="-2"/>
                <w:sz w:val="21"/>
                <w:szCs w:val="21"/>
              </w:rPr>
              <w:t>执行率</w:t>
            </w:r>
          </w:p>
        </w:tc>
        <w:tc>
          <w:tcPr>
            <w:tcW w:w="1373" w:type="dxa"/>
            <w:vAlign w:val="top"/>
          </w:tcPr>
          <w:p>
            <w:pPr>
              <w:spacing w:before="9" w:line="219" w:lineRule="auto"/>
              <w:ind w:left="469"/>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79" w:line="219" w:lineRule="auto"/>
              <w:ind w:left="121"/>
              <w:rPr>
                <w:rFonts w:ascii="宋体" w:hAnsi="宋体" w:eastAsia="宋体" w:cs="宋体"/>
                <w:sz w:val="21"/>
                <w:szCs w:val="21"/>
              </w:rPr>
            </w:pPr>
            <w:r>
              <w:rPr>
                <w:rFonts w:ascii="宋体" w:hAnsi="宋体" w:eastAsia="宋体" w:cs="宋体"/>
                <w:spacing w:val="-2"/>
                <w:sz w:val="21"/>
                <w:szCs w:val="21"/>
              </w:rPr>
              <w:t>年度资金总额</w:t>
            </w:r>
          </w:p>
        </w:tc>
        <w:tc>
          <w:tcPr>
            <w:tcW w:w="1209" w:type="dxa"/>
            <w:vAlign w:val="center"/>
          </w:tcPr>
          <w:p>
            <w:pPr>
              <w:jc w:val="center"/>
              <w:rPr>
                <w:rFonts w:hint="default" w:ascii="Arial" w:hAnsi="Arial" w:eastAsia="宋体" w:cs="Arial"/>
                <w:snapToGrid w:val="0"/>
                <w:color w:val="000000"/>
                <w:kern w:val="0"/>
                <w:sz w:val="21"/>
                <w:szCs w:val="21"/>
                <w:lang w:val="en-US" w:eastAsia="zh-CN"/>
              </w:rPr>
            </w:pPr>
            <w:r>
              <w:rPr>
                <w:rFonts w:hint="eastAsia" w:ascii="Arial"/>
                <w:sz w:val="21"/>
                <w:lang w:val="en-US" w:eastAsia="zh-CN"/>
              </w:rPr>
              <w:t>2</w:t>
            </w:r>
            <w:r>
              <w:rPr>
                <w:rFonts w:hint="eastAsia"/>
                <w:sz w:val="21"/>
                <w:lang w:val="en-US" w:eastAsia="zh-CN"/>
              </w:rPr>
              <w:t>4</w:t>
            </w:r>
          </w:p>
        </w:tc>
        <w:tc>
          <w:tcPr>
            <w:tcW w:w="1119" w:type="dxa"/>
            <w:vAlign w:val="center"/>
          </w:tcPr>
          <w:p>
            <w:pPr>
              <w:jc w:val="center"/>
              <w:rPr>
                <w:rFonts w:ascii="Arial" w:hAnsi="Arial" w:eastAsia="Arial" w:cs="Arial"/>
                <w:snapToGrid w:val="0"/>
                <w:color w:val="000000"/>
                <w:kern w:val="0"/>
                <w:sz w:val="21"/>
                <w:szCs w:val="21"/>
              </w:rPr>
            </w:pPr>
          </w:p>
        </w:tc>
        <w:tc>
          <w:tcPr>
            <w:tcW w:w="1109" w:type="dxa"/>
            <w:vAlign w:val="center"/>
          </w:tcPr>
          <w:p>
            <w:pPr>
              <w:jc w:val="center"/>
              <w:rPr>
                <w:rFonts w:hint="default" w:ascii="Arial" w:hAnsi="Arial" w:eastAsia="宋体" w:cs="Arial"/>
                <w:snapToGrid w:val="0"/>
                <w:color w:val="000000"/>
                <w:kern w:val="0"/>
                <w:sz w:val="21"/>
                <w:szCs w:val="21"/>
                <w:lang w:val="en-US" w:eastAsia="zh-CN"/>
              </w:rPr>
            </w:pPr>
            <w:r>
              <w:rPr>
                <w:rFonts w:hint="eastAsia" w:ascii="Arial"/>
                <w:sz w:val="21"/>
                <w:lang w:val="en-US" w:eastAsia="zh-CN"/>
              </w:rPr>
              <w:t>2</w:t>
            </w:r>
            <w:r>
              <w:rPr>
                <w:rFonts w:hint="eastAsia"/>
                <w:sz w:val="21"/>
                <w:lang w:val="en-US" w:eastAsia="zh-CN"/>
              </w:rPr>
              <w:t>80.02</w:t>
            </w:r>
          </w:p>
        </w:tc>
        <w:tc>
          <w:tcPr>
            <w:tcW w:w="819" w:type="dxa"/>
            <w:vAlign w:val="center"/>
          </w:tcPr>
          <w:p>
            <w:pPr>
              <w:spacing w:before="163" w:line="173" w:lineRule="auto"/>
              <w:jc w:val="center"/>
              <w:rPr>
                <w:rFonts w:hint="default" w:ascii="宋体" w:hAnsi="宋体" w:eastAsia="宋体" w:cs="宋体"/>
                <w:snapToGrid w:val="0"/>
                <w:color w:val="000000"/>
                <w:kern w:val="0"/>
                <w:sz w:val="21"/>
                <w:szCs w:val="21"/>
                <w:lang w:val="en-US" w:eastAsia="zh-CN"/>
              </w:rPr>
            </w:pPr>
            <w:r>
              <w:rPr>
                <w:rFonts w:hint="eastAsia" w:ascii="宋体" w:hAnsi="宋体" w:cs="宋体"/>
                <w:sz w:val="21"/>
                <w:szCs w:val="21"/>
                <w:lang w:val="en-US" w:eastAsia="zh-CN"/>
              </w:rPr>
              <w:t>10</w:t>
            </w:r>
          </w:p>
        </w:tc>
        <w:tc>
          <w:tcPr>
            <w:tcW w:w="859" w:type="dxa"/>
            <w:vAlign w:val="center"/>
          </w:tcPr>
          <w:p>
            <w:pPr>
              <w:jc w:val="center"/>
              <w:rPr>
                <w:rFonts w:ascii="Arial" w:hAnsi="Arial" w:eastAsia="Arial" w:cs="Arial"/>
                <w:snapToGrid w:val="0"/>
                <w:color w:val="000000"/>
                <w:kern w:val="0"/>
                <w:sz w:val="21"/>
                <w:szCs w:val="21"/>
              </w:rPr>
            </w:pPr>
          </w:p>
        </w:tc>
        <w:tc>
          <w:tcPr>
            <w:tcW w:w="1373" w:type="dxa"/>
            <w:vAlign w:val="center"/>
          </w:tcPr>
          <w:p>
            <w:pPr>
              <w:jc w:val="center"/>
              <w:rPr>
                <w:rFonts w:hint="default" w:ascii="Arial" w:hAnsi="Arial" w:eastAsia="宋体" w:cs="Arial"/>
                <w:snapToGrid w:val="0"/>
                <w:color w:val="000000"/>
                <w:kern w:val="0"/>
                <w:sz w:val="21"/>
                <w:szCs w:val="21"/>
                <w:lang w:val="en-US" w:eastAsia="zh-CN"/>
              </w:rPr>
            </w:pPr>
            <w:r>
              <w:rPr>
                <w:rFonts w:hint="eastAsia" w:ascii="宋体" w:hAnsi="宋体" w:cs="宋体"/>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69" w:line="219" w:lineRule="auto"/>
              <w:ind w:left="121"/>
              <w:rPr>
                <w:rFonts w:ascii="宋体" w:hAnsi="宋体" w:eastAsia="宋体" w:cs="宋体"/>
                <w:sz w:val="21"/>
                <w:szCs w:val="21"/>
              </w:rPr>
            </w:pPr>
            <w:r>
              <w:rPr>
                <w:rFonts w:ascii="宋体" w:hAnsi="宋体" w:eastAsia="宋体" w:cs="宋体"/>
                <w:spacing w:val="-1"/>
                <w:sz w:val="21"/>
                <w:szCs w:val="21"/>
              </w:rPr>
              <w:t>其中：当年财政拨款</w:t>
            </w:r>
          </w:p>
        </w:tc>
        <w:tc>
          <w:tcPr>
            <w:tcW w:w="1209" w:type="dxa"/>
            <w:vAlign w:val="center"/>
          </w:tcPr>
          <w:p>
            <w:pPr>
              <w:jc w:val="center"/>
              <w:rPr>
                <w:rFonts w:ascii="Arial" w:hAnsi="Arial" w:eastAsia="Arial" w:cs="Arial"/>
                <w:snapToGrid w:val="0"/>
                <w:color w:val="000000"/>
                <w:kern w:val="0"/>
                <w:sz w:val="21"/>
                <w:szCs w:val="21"/>
              </w:rPr>
            </w:pPr>
          </w:p>
        </w:tc>
        <w:tc>
          <w:tcPr>
            <w:tcW w:w="1119" w:type="dxa"/>
            <w:vAlign w:val="center"/>
          </w:tcPr>
          <w:p>
            <w:pPr>
              <w:jc w:val="center"/>
              <w:rPr>
                <w:rFonts w:ascii="Arial" w:hAnsi="Arial" w:eastAsia="Arial" w:cs="Arial"/>
                <w:snapToGrid w:val="0"/>
                <w:color w:val="000000"/>
                <w:kern w:val="0"/>
                <w:sz w:val="21"/>
                <w:szCs w:val="21"/>
              </w:rPr>
            </w:pPr>
          </w:p>
        </w:tc>
        <w:tc>
          <w:tcPr>
            <w:tcW w:w="1109" w:type="dxa"/>
            <w:vAlign w:val="center"/>
          </w:tcPr>
          <w:p>
            <w:pPr>
              <w:jc w:val="center"/>
              <w:rPr>
                <w:rFonts w:hint="default" w:ascii="Arial" w:hAnsi="Arial" w:eastAsia="宋体" w:cs="Arial"/>
                <w:snapToGrid w:val="0"/>
                <w:color w:val="000000"/>
                <w:kern w:val="0"/>
                <w:sz w:val="21"/>
                <w:szCs w:val="21"/>
                <w:lang w:val="en-US" w:eastAsia="zh-CN"/>
              </w:rPr>
            </w:pPr>
            <w:r>
              <w:rPr>
                <w:rFonts w:hint="eastAsia"/>
                <w:sz w:val="21"/>
                <w:lang w:val="en-US" w:eastAsia="zh-CN"/>
              </w:rPr>
              <w:t>280.02</w:t>
            </w:r>
          </w:p>
        </w:tc>
        <w:tc>
          <w:tcPr>
            <w:tcW w:w="819" w:type="dxa"/>
            <w:vAlign w:val="center"/>
          </w:tcPr>
          <w:p>
            <w:pPr>
              <w:jc w:val="center"/>
              <w:rPr>
                <w:rFonts w:ascii="Arial" w:hAnsi="Arial" w:eastAsia="Arial" w:cs="Arial"/>
                <w:snapToGrid w:val="0"/>
                <w:color w:val="000000"/>
                <w:kern w:val="0"/>
                <w:sz w:val="21"/>
                <w:szCs w:val="21"/>
              </w:rPr>
            </w:pPr>
          </w:p>
        </w:tc>
        <w:tc>
          <w:tcPr>
            <w:tcW w:w="859" w:type="dxa"/>
            <w:vAlign w:val="center"/>
          </w:tcPr>
          <w:p>
            <w:pPr>
              <w:jc w:val="center"/>
              <w:rPr>
                <w:rFonts w:ascii="Arial" w:hAnsi="Arial" w:eastAsia="Arial" w:cs="Arial"/>
                <w:snapToGrid w:val="0"/>
                <w:color w:val="000000"/>
                <w:kern w:val="0"/>
                <w:sz w:val="21"/>
                <w:szCs w:val="21"/>
              </w:rPr>
            </w:pPr>
          </w:p>
        </w:tc>
        <w:tc>
          <w:tcPr>
            <w:tcW w:w="1373" w:type="dxa"/>
            <w:vAlign w:val="center"/>
          </w:tcPr>
          <w:p>
            <w:pPr>
              <w:jc w:val="cente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69" w:line="219" w:lineRule="auto"/>
              <w:ind w:left="730"/>
              <w:rPr>
                <w:rFonts w:ascii="宋体" w:hAnsi="宋体" w:eastAsia="宋体" w:cs="宋体"/>
                <w:sz w:val="21"/>
                <w:szCs w:val="21"/>
              </w:rPr>
            </w:pPr>
            <w:r>
              <w:rPr>
                <w:rFonts w:ascii="宋体" w:hAnsi="宋体" w:eastAsia="宋体" w:cs="宋体"/>
                <w:spacing w:val="-2"/>
                <w:sz w:val="21"/>
                <w:szCs w:val="21"/>
              </w:rPr>
              <w:t>上年结转资金</w:t>
            </w:r>
          </w:p>
        </w:tc>
        <w:tc>
          <w:tcPr>
            <w:tcW w:w="1209" w:type="dxa"/>
            <w:vAlign w:val="center"/>
          </w:tcPr>
          <w:p>
            <w:pPr>
              <w:jc w:val="center"/>
              <w:rPr>
                <w:rFonts w:ascii="Arial" w:hAnsi="Arial" w:eastAsia="Arial" w:cs="Arial"/>
                <w:snapToGrid w:val="0"/>
                <w:color w:val="000000"/>
                <w:kern w:val="0"/>
                <w:sz w:val="21"/>
                <w:szCs w:val="21"/>
              </w:rPr>
            </w:pPr>
          </w:p>
        </w:tc>
        <w:tc>
          <w:tcPr>
            <w:tcW w:w="1119" w:type="dxa"/>
            <w:vAlign w:val="center"/>
          </w:tcPr>
          <w:p>
            <w:pPr>
              <w:jc w:val="center"/>
              <w:rPr>
                <w:rFonts w:ascii="Arial" w:hAnsi="Arial" w:eastAsia="Arial" w:cs="Arial"/>
                <w:snapToGrid w:val="0"/>
                <w:color w:val="000000"/>
                <w:kern w:val="0"/>
                <w:sz w:val="21"/>
                <w:szCs w:val="21"/>
              </w:rPr>
            </w:pPr>
          </w:p>
        </w:tc>
        <w:tc>
          <w:tcPr>
            <w:tcW w:w="1109" w:type="dxa"/>
            <w:vAlign w:val="center"/>
          </w:tcPr>
          <w:p>
            <w:pPr>
              <w:jc w:val="center"/>
              <w:rPr>
                <w:rFonts w:ascii="Arial" w:hAnsi="Arial" w:eastAsia="Arial" w:cs="Arial"/>
                <w:snapToGrid w:val="0"/>
                <w:color w:val="000000"/>
                <w:kern w:val="0"/>
                <w:sz w:val="21"/>
                <w:szCs w:val="21"/>
              </w:rPr>
            </w:pPr>
          </w:p>
        </w:tc>
        <w:tc>
          <w:tcPr>
            <w:tcW w:w="819" w:type="dxa"/>
            <w:vAlign w:val="center"/>
          </w:tcPr>
          <w:p>
            <w:pPr>
              <w:jc w:val="center"/>
              <w:rPr>
                <w:rFonts w:ascii="Arial" w:hAnsi="Arial" w:eastAsia="Arial" w:cs="Arial"/>
                <w:snapToGrid w:val="0"/>
                <w:color w:val="000000"/>
                <w:kern w:val="0"/>
                <w:sz w:val="21"/>
                <w:szCs w:val="21"/>
              </w:rPr>
            </w:pPr>
          </w:p>
        </w:tc>
        <w:tc>
          <w:tcPr>
            <w:tcW w:w="859" w:type="dxa"/>
            <w:vAlign w:val="center"/>
          </w:tcPr>
          <w:p>
            <w:pPr>
              <w:jc w:val="center"/>
              <w:rPr>
                <w:rFonts w:ascii="Arial" w:hAnsi="Arial" w:eastAsia="Arial" w:cs="Arial"/>
                <w:snapToGrid w:val="0"/>
                <w:color w:val="000000"/>
                <w:kern w:val="0"/>
                <w:sz w:val="21"/>
                <w:szCs w:val="21"/>
              </w:rPr>
            </w:pPr>
          </w:p>
        </w:tc>
        <w:tc>
          <w:tcPr>
            <w:tcW w:w="1373" w:type="dxa"/>
            <w:vAlign w:val="center"/>
          </w:tcPr>
          <w:p>
            <w:pPr>
              <w:jc w:val="cente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tcBorders>
            <w:vAlign w:val="top"/>
          </w:tcPr>
          <w:p>
            <w:pPr>
              <w:rPr>
                <w:rFonts w:ascii="Arial"/>
                <w:sz w:val="21"/>
              </w:rPr>
            </w:pPr>
          </w:p>
        </w:tc>
        <w:tc>
          <w:tcPr>
            <w:tcW w:w="2257" w:type="dxa"/>
            <w:gridSpan w:val="2"/>
            <w:vAlign w:val="top"/>
          </w:tcPr>
          <w:p>
            <w:pPr>
              <w:spacing w:before="70" w:line="220" w:lineRule="auto"/>
              <w:ind w:left="730"/>
              <w:rPr>
                <w:rFonts w:ascii="宋体" w:hAnsi="宋体" w:eastAsia="宋体" w:cs="宋体"/>
                <w:sz w:val="21"/>
                <w:szCs w:val="21"/>
              </w:rPr>
            </w:pPr>
            <w:r>
              <w:rPr>
                <w:rFonts w:ascii="宋体" w:hAnsi="宋体" w:eastAsia="宋体" w:cs="宋体"/>
                <w:spacing w:val="-2"/>
                <w:sz w:val="21"/>
                <w:szCs w:val="21"/>
              </w:rPr>
              <w:t>其他资金</w:t>
            </w:r>
          </w:p>
        </w:tc>
        <w:tc>
          <w:tcPr>
            <w:tcW w:w="1209" w:type="dxa"/>
            <w:vAlign w:val="top"/>
          </w:tcPr>
          <w:p>
            <w:pPr>
              <w:rPr>
                <w:rFonts w:ascii="Arial" w:hAnsi="Arial" w:eastAsia="Arial" w:cs="Arial"/>
                <w:snapToGrid w:val="0"/>
                <w:color w:val="000000"/>
                <w:kern w:val="0"/>
                <w:sz w:val="21"/>
                <w:szCs w:val="21"/>
              </w:rPr>
            </w:pPr>
          </w:p>
        </w:tc>
        <w:tc>
          <w:tcPr>
            <w:tcW w:w="1119" w:type="dxa"/>
            <w:vAlign w:val="top"/>
          </w:tcPr>
          <w:p>
            <w:pPr>
              <w:rPr>
                <w:rFonts w:ascii="Arial" w:hAnsi="Arial" w:eastAsia="Arial" w:cs="Arial"/>
                <w:snapToGrid w:val="0"/>
                <w:color w:val="000000"/>
                <w:kern w:val="0"/>
                <w:sz w:val="21"/>
                <w:szCs w:val="21"/>
              </w:rPr>
            </w:pPr>
          </w:p>
        </w:tc>
        <w:tc>
          <w:tcPr>
            <w:tcW w:w="1109" w:type="dxa"/>
            <w:vAlign w:val="top"/>
          </w:tcPr>
          <w:p>
            <w:pPr>
              <w:rPr>
                <w:rFonts w:ascii="Arial" w:hAnsi="Arial" w:eastAsia="Arial" w:cs="Arial"/>
                <w:snapToGrid w:val="0"/>
                <w:color w:val="000000"/>
                <w:kern w:val="0"/>
                <w:sz w:val="21"/>
                <w:szCs w:val="21"/>
              </w:rPr>
            </w:pPr>
          </w:p>
        </w:tc>
        <w:tc>
          <w:tcPr>
            <w:tcW w:w="819" w:type="dxa"/>
            <w:vAlign w:val="top"/>
          </w:tcPr>
          <w:p>
            <w:pPr>
              <w:rPr>
                <w:rFonts w:ascii="Arial" w:hAnsi="Arial" w:eastAsia="Arial" w:cs="Arial"/>
                <w:snapToGrid w:val="0"/>
                <w:color w:val="000000"/>
                <w:kern w:val="0"/>
                <w:sz w:val="21"/>
                <w:szCs w:val="21"/>
              </w:rPr>
            </w:pPr>
          </w:p>
        </w:tc>
        <w:tc>
          <w:tcPr>
            <w:tcW w:w="859" w:type="dxa"/>
            <w:vAlign w:val="top"/>
          </w:tcPr>
          <w:p>
            <w:pPr>
              <w:rPr>
                <w:rFonts w:ascii="Arial" w:hAnsi="Arial" w:eastAsia="Arial" w:cs="Arial"/>
                <w:snapToGrid w:val="0"/>
                <w:color w:val="000000"/>
                <w:kern w:val="0"/>
                <w:sz w:val="21"/>
                <w:szCs w:val="21"/>
              </w:rPr>
            </w:pPr>
          </w:p>
        </w:tc>
        <w:tc>
          <w:tcPr>
            <w:tcW w:w="1373" w:type="dxa"/>
            <w:vAlign w:val="top"/>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34" w:type="dxa"/>
            <w:vMerge w:val="restart"/>
            <w:tcBorders>
              <w:bottom w:val="nil"/>
            </w:tcBorders>
            <w:vAlign w:val="top"/>
          </w:tcPr>
          <w:p>
            <w:pPr>
              <w:spacing w:line="279" w:lineRule="auto"/>
              <w:rPr>
                <w:rFonts w:ascii="Arial"/>
                <w:sz w:val="21"/>
              </w:rPr>
            </w:pPr>
          </w:p>
          <w:p>
            <w:pPr>
              <w:spacing w:before="68" w:line="321" w:lineRule="exact"/>
              <w:ind w:left="245"/>
              <w:rPr>
                <w:rFonts w:ascii="宋体" w:hAnsi="宋体" w:eastAsia="宋体" w:cs="宋体"/>
                <w:sz w:val="21"/>
                <w:szCs w:val="21"/>
              </w:rPr>
            </w:pPr>
            <w:r>
              <w:rPr>
                <w:rFonts w:ascii="宋体" w:hAnsi="宋体" w:eastAsia="宋体" w:cs="宋体"/>
                <w:spacing w:val="6"/>
                <w:position w:val="8"/>
                <w:sz w:val="21"/>
                <w:szCs w:val="21"/>
              </w:rPr>
              <w:t>年度总</w:t>
            </w:r>
          </w:p>
          <w:p>
            <w:pPr>
              <w:spacing w:line="220" w:lineRule="auto"/>
              <w:ind w:left="245"/>
              <w:rPr>
                <w:rFonts w:ascii="宋体" w:hAnsi="宋体" w:eastAsia="宋体" w:cs="宋体"/>
                <w:sz w:val="21"/>
                <w:szCs w:val="21"/>
              </w:rPr>
            </w:pPr>
            <w:r>
              <w:rPr>
                <w:rFonts w:ascii="宋体" w:hAnsi="宋体" w:eastAsia="宋体" w:cs="宋体"/>
                <w:spacing w:val="-2"/>
                <w:sz w:val="21"/>
                <w:szCs w:val="21"/>
              </w:rPr>
              <w:t>体目标</w:t>
            </w:r>
          </w:p>
        </w:tc>
        <w:tc>
          <w:tcPr>
            <w:tcW w:w="4585" w:type="dxa"/>
            <w:gridSpan w:val="4"/>
            <w:vAlign w:val="top"/>
          </w:tcPr>
          <w:p>
            <w:pPr>
              <w:spacing w:before="70" w:line="220" w:lineRule="auto"/>
              <w:ind w:left="1860"/>
              <w:rPr>
                <w:rFonts w:ascii="宋体" w:hAnsi="宋体" w:eastAsia="宋体" w:cs="宋体"/>
                <w:sz w:val="21"/>
                <w:szCs w:val="21"/>
              </w:rPr>
            </w:pPr>
            <w:r>
              <w:rPr>
                <w:rFonts w:ascii="宋体" w:hAnsi="宋体" w:eastAsia="宋体" w:cs="宋体"/>
                <w:spacing w:val="-2"/>
                <w:sz w:val="21"/>
                <w:szCs w:val="21"/>
              </w:rPr>
              <w:t>预期目标</w:t>
            </w:r>
          </w:p>
        </w:tc>
        <w:tc>
          <w:tcPr>
            <w:tcW w:w="4160" w:type="dxa"/>
            <w:gridSpan w:val="4"/>
            <w:vAlign w:val="top"/>
          </w:tcPr>
          <w:p>
            <w:pPr>
              <w:spacing w:before="69" w:line="219" w:lineRule="auto"/>
              <w:ind w:left="1445"/>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134" w:type="dxa"/>
            <w:vMerge w:val="continue"/>
            <w:tcBorders>
              <w:top w:val="nil"/>
            </w:tcBorders>
            <w:vAlign w:val="top"/>
          </w:tcPr>
          <w:p>
            <w:pPr>
              <w:rPr>
                <w:rFonts w:ascii="Arial"/>
                <w:sz w:val="21"/>
              </w:rPr>
            </w:pPr>
          </w:p>
        </w:tc>
        <w:tc>
          <w:tcPr>
            <w:tcW w:w="4585" w:type="dxa"/>
            <w:gridSpan w:val="4"/>
            <w:vAlign w:val="top"/>
          </w:tcPr>
          <w:p>
            <w:pPr>
              <w:rPr>
                <w:rFonts w:ascii="Arial"/>
                <w:sz w:val="21"/>
              </w:rPr>
            </w:pPr>
          </w:p>
        </w:tc>
        <w:tc>
          <w:tcPr>
            <w:tcW w:w="4160"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1134" w:type="dxa"/>
            <w:vMerge w:val="restart"/>
            <w:tcBorders>
              <w:bottom w:val="nil"/>
            </w:tcBorders>
            <w:textDirection w:val="tbRlV"/>
            <w:vAlign w:val="top"/>
          </w:tcPr>
          <w:p>
            <w:pPr>
              <w:spacing w:line="376" w:lineRule="auto"/>
              <w:rPr>
                <w:rFonts w:ascii="Arial"/>
                <w:sz w:val="21"/>
              </w:rPr>
            </w:pPr>
          </w:p>
          <w:p>
            <w:pPr>
              <w:spacing w:before="71" w:line="217" w:lineRule="auto"/>
              <w:ind w:left="3762"/>
              <w:rPr>
                <w:rFonts w:ascii="宋体" w:hAnsi="宋体" w:eastAsia="宋体" w:cs="宋体"/>
                <w:sz w:val="21"/>
                <w:szCs w:val="21"/>
              </w:rPr>
            </w:pPr>
            <w:r>
              <w:rPr>
                <w:rFonts w:ascii="宋体" w:hAnsi="宋体" w:eastAsia="宋体" w:cs="宋体"/>
                <w:sz w:val="21"/>
                <w:szCs w:val="21"/>
              </w:rPr>
              <w:t>绩</w:t>
            </w:r>
            <w:r>
              <w:rPr>
                <w:rFonts w:ascii="宋体" w:hAnsi="宋体" w:eastAsia="宋体" w:cs="宋体"/>
                <w:spacing w:val="-6"/>
                <w:sz w:val="21"/>
                <w:szCs w:val="21"/>
              </w:rPr>
              <w:t xml:space="preserve"> </w:t>
            </w:r>
            <w:r>
              <w:rPr>
                <w:rFonts w:ascii="宋体" w:hAnsi="宋体" w:eastAsia="宋体" w:cs="宋体"/>
                <w:sz w:val="21"/>
                <w:szCs w:val="21"/>
              </w:rPr>
              <w:t>效</w:t>
            </w:r>
            <w:r>
              <w:rPr>
                <w:rFonts w:ascii="宋体" w:hAnsi="宋体" w:eastAsia="宋体" w:cs="宋体"/>
                <w:spacing w:val="4"/>
                <w:sz w:val="21"/>
                <w:szCs w:val="21"/>
              </w:rPr>
              <w:t xml:space="preserve"> </w:t>
            </w:r>
            <w:r>
              <w:rPr>
                <w:rFonts w:ascii="宋体" w:hAnsi="宋体" w:eastAsia="宋体" w:cs="宋体"/>
                <w:sz w:val="21"/>
                <w:szCs w:val="21"/>
              </w:rPr>
              <w:t>指</w:t>
            </w:r>
            <w:r>
              <w:rPr>
                <w:rFonts w:ascii="宋体" w:hAnsi="宋体" w:eastAsia="宋体" w:cs="宋体"/>
                <w:spacing w:val="-4"/>
                <w:sz w:val="21"/>
                <w:szCs w:val="21"/>
              </w:rPr>
              <w:t xml:space="preserve"> </w:t>
            </w:r>
            <w:r>
              <w:rPr>
                <w:rFonts w:ascii="宋体" w:hAnsi="宋体" w:eastAsia="宋体" w:cs="宋体"/>
                <w:sz w:val="21"/>
                <w:szCs w:val="21"/>
              </w:rPr>
              <w:t>标</w:t>
            </w:r>
          </w:p>
        </w:tc>
        <w:tc>
          <w:tcPr>
            <w:tcW w:w="989" w:type="dxa"/>
            <w:vAlign w:val="top"/>
          </w:tcPr>
          <w:p>
            <w:pPr>
              <w:spacing w:line="283" w:lineRule="auto"/>
              <w:rPr>
                <w:rFonts w:ascii="Arial"/>
                <w:sz w:val="21"/>
              </w:rPr>
            </w:pPr>
          </w:p>
          <w:p>
            <w:pPr>
              <w:spacing w:before="69" w:line="250" w:lineRule="auto"/>
              <w:ind w:left="380" w:right="164" w:hanging="209"/>
              <w:rPr>
                <w:rFonts w:ascii="宋体" w:hAnsi="宋体" w:eastAsia="宋体" w:cs="宋体"/>
                <w:sz w:val="21"/>
                <w:szCs w:val="21"/>
              </w:rPr>
            </w:pPr>
            <w:r>
              <w:rPr>
                <w:rFonts w:ascii="宋体" w:hAnsi="宋体" w:eastAsia="宋体" w:cs="宋体"/>
                <w:spacing w:val="4"/>
                <w:sz w:val="21"/>
                <w:szCs w:val="21"/>
              </w:rPr>
              <w:t>一级指</w:t>
            </w:r>
            <w:r>
              <w:rPr>
                <w:rFonts w:ascii="宋体" w:hAnsi="宋体" w:eastAsia="宋体" w:cs="宋体"/>
                <w:sz w:val="21"/>
                <w:szCs w:val="21"/>
              </w:rPr>
              <w:t xml:space="preserve"> 标</w:t>
            </w:r>
          </w:p>
        </w:tc>
        <w:tc>
          <w:tcPr>
            <w:tcW w:w="1268" w:type="dxa"/>
            <w:vAlign w:val="top"/>
          </w:tcPr>
          <w:p>
            <w:pPr>
              <w:spacing w:line="341" w:lineRule="auto"/>
              <w:rPr>
                <w:rFonts w:ascii="Arial"/>
                <w:sz w:val="21"/>
              </w:rPr>
            </w:pPr>
          </w:p>
          <w:p>
            <w:pPr>
              <w:spacing w:before="69" w:line="220" w:lineRule="auto"/>
              <w:ind w:left="202"/>
              <w:rPr>
                <w:rFonts w:ascii="宋体" w:hAnsi="宋体" w:eastAsia="宋体" w:cs="宋体"/>
                <w:sz w:val="21"/>
                <w:szCs w:val="21"/>
              </w:rPr>
            </w:pPr>
            <w:r>
              <w:rPr>
                <w:rFonts w:ascii="宋体" w:hAnsi="宋体" w:eastAsia="宋体" w:cs="宋体"/>
                <w:spacing w:val="-3"/>
                <w:sz w:val="21"/>
                <w:szCs w:val="21"/>
              </w:rPr>
              <w:t>二级指标</w:t>
            </w:r>
          </w:p>
        </w:tc>
        <w:tc>
          <w:tcPr>
            <w:tcW w:w="1209" w:type="dxa"/>
            <w:vAlign w:val="top"/>
          </w:tcPr>
          <w:p>
            <w:pPr>
              <w:spacing w:line="341" w:lineRule="auto"/>
              <w:rPr>
                <w:rFonts w:ascii="Arial"/>
                <w:sz w:val="21"/>
              </w:rPr>
            </w:pPr>
          </w:p>
          <w:p>
            <w:pPr>
              <w:spacing w:before="69" w:line="220" w:lineRule="auto"/>
              <w:ind w:left="224"/>
              <w:rPr>
                <w:rFonts w:ascii="宋体" w:hAnsi="宋体" w:eastAsia="宋体" w:cs="宋体"/>
                <w:sz w:val="21"/>
                <w:szCs w:val="21"/>
              </w:rPr>
            </w:pPr>
            <w:r>
              <w:rPr>
                <w:rFonts w:ascii="宋体" w:hAnsi="宋体" w:eastAsia="宋体" w:cs="宋体"/>
                <w:spacing w:val="-2"/>
                <w:sz w:val="21"/>
                <w:szCs w:val="21"/>
              </w:rPr>
              <w:t>三级指标</w:t>
            </w:r>
          </w:p>
        </w:tc>
        <w:tc>
          <w:tcPr>
            <w:tcW w:w="1119" w:type="dxa"/>
            <w:vAlign w:val="top"/>
          </w:tcPr>
          <w:p>
            <w:pPr>
              <w:spacing w:line="271" w:lineRule="auto"/>
              <w:rPr>
                <w:rFonts w:ascii="Arial"/>
                <w:sz w:val="21"/>
              </w:rPr>
            </w:pPr>
          </w:p>
          <w:p>
            <w:pPr>
              <w:spacing w:before="68" w:line="330" w:lineRule="exact"/>
              <w:ind w:left="345"/>
              <w:rPr>
                <w:rFonts w:ascii="宋体" w:hAnsi="宋体" w:eastAsia="宋体" w:cs="宋体"/>
                <w:sz w:val="21"/>
                <w:szCs w:val="21"/>
              </w:rPr>
            </w:pPr>
            <w:r>
              <w:rPr>
                <w:rFonts w:ascii="宋体" w:hAnsi="宋体" w:eastAsia="宋体" w:cs="宋体"/>
                <w:spacing w:val="6"/>
                <w:position w:val="8"/>
                <w:sz w:val="21"/>
                <w:szCs w:val="21"/>
              </w:rPr>
              <w:t>年度</w:t>
            </w:r>
          </w:p>
          <w:p>
            <w:pPr>
              <w:spacing w:line="219" w:lineRule="auto"/>
              <w:ind w:left="234"/>
              <w:rPr>
                <w:rFonts w:ascii="宋体" w:hAnsi="宋体" w:eastAsia="宋体" w:cs="宋体"/>
                <w:sz w:val="21"/>
                <w:szCs w:val="21"/>
              </w:rPr>
            </w:pPr>
            <w:r>
              <w:rPr>
                <w:rFonts w:ascii="宋体" w:hAnsi="宋体" w:eastAsia="宋体" w:cs="宋体"/>
                <w:spacing w:val="-3"/>
                <w:sz w:val="21"/>
                <w:szCs w:val="21"/>
              </w:rPr>
              <w:t>指标值</w:t>
            </w:r>
          </w:p>
        </w:tc>
        <w:tc>
          <w:tcPr>
            <w:tcW w:w="1109" w:type="dxa"/>
            <w:vAlign w:val="top"/>
          </w:tcPr>
          <w:p>
            <w:pPr>
              <w:spacing w:line="282" w:lineRule="auto"/>
              <w:rPr>
                <w:rFonts w:ascii="Arial"/>
                <w:sz w:val="21"/>
              </w:rPr>
            </w:pPr>
          </w:p>
          <w:p>
            <w:pPr>
              <w:spacing w:before="68" w:line="329" w:lineRule="exact"/>
              <w:ind w:left="335"/>
              <w:rPr>
                <w:rFonts w:ascii="宋体" w:hAnsi="宋体" w:eastAsia="宋体" w:cs="宋体"/>
                <w:sz w:val="21"/>
                <w:szCs w:val="21"/>
              </w:rPr>
            </w:pPr>
            <w:r>
              <w:rPr>
                <w:rFonts w:ascii="宋体" w:hAnsi="宋体" w:eastAsia="宋体" w:cs="宋体"/>
                <w:spacing w:val="4"/>
                <w:position w:val="8"/>
                <w:sz w:val="21"/>
                <w:szCs w:val="21"/>
              </w:rPr>
              <w:t>实际</w:t>
            </w:r>
          </w:p>
          <w:p>
            <w:pPr>
              <w:spacing w:line="219" w:lineRule="auto"/>
              <w:ind w:left="236"/>
              <w:rPr>
                <w:rFonts w:ascii="宋体" w:hAnsi="宋体" w:eastAsia="宋体" w:cs="宋体"/>
                <w:sz w:val="21"/>
                <w:szCs w:val="21"/>
              </w:rPr>
            </w:pPr>
            <w:r>
              <w:rPr>
                <w:rFonts w:ascii="宋体" w:hAnsi="宋体" w:eastAsia="宋体" w:cs="宋体"/>
                <w:spacing w:val="-3"/>
                <w:sz w:val="21"/>
                <w:szCs w:val="21"/>
              </w:rPr>
              <w:t>完成值</w:t>
            </w:r>
          </w:p>
        </w:tc>
        <w:tc>
          <w:tcPr>
            <w:tcW w:w="819" w:type="dxa"/>
            <w:vAlign w:val="top"/>
          </w:tcPr>
          <w:p>
            <w:pPr>
              <w:spacing w:line="341" w:lineRule="auto"/>
              <w:rPr>
                <w:rFonts w:ascii="Arial"/>
                <w:sz w:val="21"/>
              </w:rPr>
            </w:pPr>
          </w:p>
          <w:p>
            <w:pPr>
              <w:spacing w:before="68" w:line="219" w:lineRule="auto"/>
              <w:ind w:left="137"/>
              <w:rPr>
                <w:rFonts w:ascii="宋体" w:hAnsi="宋体" w:eastAsia="宋体" w:cs="宋体"/>
                <w:sz w:val="21"/>
                <w:szCs w:val="21"/>
              </w:rPr>
            </w:pPr>
            <w:r>
              <w:rPr>
                <w:rFonts w:ascii="宋体" w:hAnsi="宋体" w:eastAsia="宋体" w:cs="宋体"/>
                <w:spacing w:val="-3"/>
                <w:sz w:val="21"/>
                <w:szCs w:val="21"/>
              </w:rPr>
              <w:t>分值</w:t>
            </w:r>
          </w:p>
        </w:tc>
        <w:tc>
          <w:tcPr>
            <w:tcW w:w="859" w:type="dxa"/>
            <w:vAlign w:val="top"/>
          </w:tcPr>
          <w:p>
            <w:pPr>
              <w:spacing w:line="341" w:lineRule="auto"/>
              <w:rPr>
                <w:rFonts w:ascii="Arial"/>
                <w:sz w:val="21"/>
              </w:rPr>
            </w:pPr>
          </w:p>
          <w:p>
            <w:pPr>
              <w:spacing w:before="68" w:line="219" w:lineRule="auto"/>
              <w:ind w:left="217"/>
              <w:rPr>
                <w:rFonts w:ascii="宋体" w:hAnsi="宋体" w:eastAsia="宋体" w:cs="宋体"/>
                <w:sz w:val="21"/>
                <w:szCs w:val="21"/>
              </w:rPr>
            </w:pPr>
            <w:r>
              <w:rPr>
                <w:rFonts w:ascii="宋体" w:hAnsi="宋体" w:eastAsia="宋体" w:cs="宋体"/>
                <w:spacing w:val="-3"/>
                <w:sz w:val="21"/>
                <w:szCs w:val="21"/>
              </w:rPr>
              <w:t>得分</w:t>
            </w:r>
          </w:p>
        </w:tc>
        <w:tc>
          <w:tcPr>
            <w:tcW w:w="1373" w:type="dxa"/>
            <w:vAlign w:val="top"/>
          </w:tcPr>
          <w:p>
            <w:pPr>
              <w:spacing w:before="131" w:line="219" w:lineRule="auto"/>
              <w:ind w:left="258"/>
              <w:rPr>
                <w:rFonts w:ascii="宋体" w:hAnsi="宋体" w:eastAsia="宋体" w:cs="宋体"/>
                <w:sz w:val="21"/>
                <w:szCs w:val="21"/>
              </w:rPr>
            </w:pPr>
            <w:r>
              <w:rPr>
                <w:rFonts w:ascii="宋体" w:hAnsi="宋体" w:eastAsia="宋体" w:cs="宋体"/>
                <w:spacing w:val="5"/>
                <w:sz w:val="21"/>
                <w:szCs w:val="21"/>
              </w:rPr>
              <w:t>偏差原因</w:t>
            </w:r>
          </w:p>
          <w:p>
            <w:pPr>
              <w:spacing w:before="61" w:line="220" w:lineRule="auto"/>
              <w:ind w:left="368"/>
              <w:rPr>
                <w:rFonts w:ascii="宋体" w:hAnsi="宋体" w:eastAsia="宋体" w:cs="宋体"/>
                <w:sz w:val="21"/>
                <w:szCs w:val="21"/>
              </w:rPr>
            </w:pPr>
            <w:r>
              <w:rPr>
                <w:rFonts w:ascii="宋体" w:hAnsi="宋体" w:eastAsia="宋体" w:cs="宋体"/>
                <w:spacing w:val="3"/>
                <w:sz w:val="21"/>
                <w:szCs w:val="21"/>
              </w:rPr>
              <w:t>分析及</w:t>
            </w:r>
          </w:p>
          <w:p>
            <w:pPr>
              <w:spacing w:before="59" w:line="219" w:lineRule="auto"/>
              <w:ind w:left="258"/>
              <w:rPr>
                <w:rFonts w:ascii="宋体" w:hAnsi="宋体" w:eastAsia="宋体" w:cs="宋体"/>
                <w:sz w:val="21"/>
                <w:szCs w:val="21"/>
              </w:rPr>
            </w:pPr>
            <w:r>
              <w:rPr>
                <w:rFonts w:ascii="宋体" w:hAnsi="宋体" w:eastAsia="宋体" w:cs="宋体"/>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69" w:line="219" w:lineRule="auto"/>
              <w:ind w:left="271"/>
              <w:rPr>
                <w:rFonts w:ascii="宋体" w:hAnsi="宋体" w:eastAsia="宋体" w:cs="宋体"/>
                <w:sz w:val="21"/>
                <w:szCs w:val="21"/>
              </w:rPr>
            </w:pPr>
            <w:r>
              <w:rPr>
                <w:rFonts w:ascii="宋体" w:hAnsi="宋体" w:eastAsia="宋体" w:cs="宋体"/>
                <w:spacing w:val="12"/>
                <w:sz w:val="21"/>
                <w:szCs w:val="21"/>
              </w:rPr>
              <w:t>产出</w:t>
            </w:r>
          </w:p>
          <w:p>
            <w:pPr>
              <w:spacing w:before="81" w:line="630" w:lineRule="exact"/>
              <w:ind w:left="271"/>
              <w:rPr>
                <w:rFonts w:ascii="宋体" w:hAnsi="宋体" w:eastAsia="宋体" w:cs="宋体"/>
                <w:sz w:val="21"/>
                <w:szCs w:val="21"/>
              </w:rPr>
            </w:pPr>
            <w:r>
              <w:rPr>
                <w:rFonts w:ascii="宋体" w:hAnsi="宋体" w:eastAsia="宋体" w:cs="宋体"/>
                <w:spacing w:val="-3"/>
                <w:position w:val="32"/>
                <w:sz w:val="21"/>
                <w:szCs w:val="21"/>
              </w:rPr>
              <w:t>指标</w:t>
            </w:r>
          </w:p>
          <w:p>
            <w:pPr>
              <w:spacing w:line="220" w:lineRule="auto"/>
              <w:ind w:left="171"/>
              <w:rPr>
                <w:rFonts w:ascii="宋体" w:hAnsi="宋体" w:eastAsia="宋体" w:cs="宋体"/>
                <w:sz w:val="21"/>
                <w:szCs w:val="21"/>
              </w:rPr>
            </w:pPr>
            <w:r>
              <w:rPr>
                <w:rFonts w:ascii="宋体" w:hAnsi="宋体" w:eastAsia="宋体" w:cs="宋体"/>
                <w:spacing w:val="9"/>
                <w:sz w:val="21"/>
                <w:szCs w:val="21"/>
              </w:rPr>
              <w:t>(50分)</w:t>
            </w:r>
          </w:p>
        </w:tc>
        <w:tc>
          <w:tcPr>
            <w:tcW w:w="1268" w:type="dxa"/>
            <w:vMerge w:val="restart"/>
            <w:tcBorders>
              <w:bottom w:val="nil"/>
            </w:tcBorders>
            <w:vAlign w:val="top"/>
          </w:tcPr>
          <w:p>
            <w:pPr>
              <w:spacing w:line="282" w:lineRule="auto"/>
              <w:rPr>
                <w:rFonts w:ascii="Arial"/>
                <w:sz w:val="21"/>
              </w:rPr>
            </w:pPr>
          </w:p>
          <w:p>
            <w:pPr>
              <w:spacing w:before="68" w:line="219" w:lineRule="auto"/>
              <w:ind w:left="202"/>
              <w:rPr>
                <w:rFonts w:ascii="宋体" w:hAnsi="宋体" w:eastAsia="宋体" w:cs="宋体"/>
                <w:sz w:val="21"/>
                <w:szCs w:val="21"/>
              </w:rPr>
            </w:pPr>
            <w:r>
              <w:rPr>
                <w:rFonts w:ascii="宋体" w:hAnsi="宋体" w:eastAsia="宋体" w:cs="宋体"/>
                <w:spacing w:val="-2"/>
                <w:sz w:val="21"/>
                <w:szCs w:val="21"/>
              </w:rPr>
              <w:t>数量指标</w:t>
            </w:r>
          </w:p>
        </w:tc>
        <w:tc>
          <w:tcPr>
            <w:tcW w:w="1209" w:type="dxa"/>
            <w:vAlign w:val="top"/>
          </w:tcPr>
          <w:p>
            <w:pPr>
              <w:rPr>
                <w:rFonts w:hint="eastAsia" w:ascii="Arial" w:eastAsia="宋体"/>
                <w:sz w:val="21"/>
                <w:lang w:eastAsia="zh-CN"/>
              </w:rPr>
            </w:pPr>
            <w:r>
              <w:rPr>
                <w:rFonts w:hint="eastAsia" w:eastAsia="宋体"/>
                <w:sz w:val="21"/>
                <w:lang w:eastAsia="zh-CN"/>
              </w:rPr>
              <w:t>组织工作组织</w:t>
            </w:r>
          </w:p>
        </w:tc>
        <w:tc>
          <w:tcPr>
            <w:tcW w:w="1119" w:type="dxa"/>
            <w:vAlign w:val="center"/>
          </w:tcPr>
          <w:p>
            <w:pPr>
              <w:jc w:val="center"/>
              <w:rPr>
                <w:rFonts w:ascii="Arial"/>
                <w:sz w:val="21"/>
              </w:rPr>
            </w:pPr>
            <w:r>
              <w:rPr>
                <w:rFonts w:hint="eastAsia" w:ascii="Arial"/>
                <w:sz w:val="21"/>
              </w:rPr>
              <w:t>≥</w:t>
            </w:r>
            <w:r>
              <w:rPr>
                <w:rFonts w:hint="eastAsia" w:ascii="Arial"/>
                <w:sz w:val="21"/>
                <w:lang w:val="en-US" w:eastAsia="zh-CN"/>
              </w:rPr>
              <w:t>3</w:t>
            </w:r>
          </w:p>
        </w:tc>
        <w:tc>
          <w:tcPr>
            <w:tcW w:w="1109" w:type="dxa"/>
            <w:vAlign w:val="center"/>
          </w:tcPr>
          <w:p>
            <w:pPr>
              <w:jc w:val="center"/>
              <w:rPr>
                <w:rFonts w:ascii="Arial"/>
                <w:sz w:val="21"/>
              </w:rPr>
            </w:pPr>
            <w:r>
              <w:rPr>
                <w:rFonts w:hint="eastAsia" w:ascii="Arial"/>
                <w:sz w:val="21"/>
              </w:rPr>
              <w:t>≥</w:t>
            </w:r>
            <w:r>
              <w:rPr>
                <w:rFonts w:hint="eastAsia" w:ascii="Arial"/>
                <w:sz w:val="21"/>
                <w:lang w:val="en-US" w:eastAsia="zh-CN"/>
              </w:rPr>
              <w:t>3</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hint="default" w:ascii="Arial"/>
                <w:sz w:val="21"/>
                <w:lang w:val="en-US"/>
              </w:rPr>
            </w:pPr>
            <w:r>
              <w:rPr>
                <w:rFonts w:hint="eastAsia" w:ascii="Arial"/>
                <w:sz w:val="21"/>
                <w:lang w:val="en-US" w:eastAsia="zh-CN"/>
              </w:rPr>
              <w:t>1</w:t>
            </w:r>
            <w:r>
              <w:rPr>
                <w:rFonts w:hint="eastAsia"/>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21"/>
              </w:rPr>
            </w:pPr>
            <w:r>
              <w:rPr>
                <w:rFonts w:hint="eastAsia" w:ascii="Arial"/>
                <w:sz w:val="21"/>
                <w:lang w:eastAsia="zh-CN"/>
              </w:rPr>
              <w:t>质量达标率</w:t>
            </w:r>
          </w:p>
        </w:tc>
        <w:tc>
          <w:tcPr>
            <w:tcW w:w="1119" w:type="dxa"/>
            <w:vAlign w:val="center"/>
          </w:tcPr>
          <w:p>
            <w:pPr>
              <w:jc w:val="center"/>
              <w:rPr>
                <w:rFonts w:ascii="Arial"/>
                <w:sz w:val="21"/>
              </w:rPr>
            </w:pPr>
            <w:r>
              <w:rPr>
                <w:rFonts w:hint="eastAsia" w:ascii="Arial"/>
                <w:sz w:val="21"/>
                <w:lang w:eastAsia="zh-CN"/>
              </w:rPr>
              <w:t>达标</w:t>
            </w:r>
          </w:p>
        </w:tc>
        <w:tc>
          <w:tcPr>
            <w:tcW w:w="1109" w:type="dxa"/>
            <w:vAlign w:val="center"/>
          </w:tcPr>
          <w:p>
            <w:pPr>
              <w:jc w:val="center"/>
              <w:rPr>
                <w:rFonts w:ascii="Arial"/>
                <w:sz w:val="21"/>
              </w:rPr>
            </w:pPr>
            <w:r>
              <w:rPr>
                <w:rFonts w:hint="eastAsia" w:ascii="Arial"/>
                <w:sz w:val="21"/>
                <w:lang w:eastAsia="zh-CN"/>
              </w:rPr>
              <w:t>达标</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line="294" w:lineRule="auto"/>
              <w:rPr>
                <w:rFonts w:ascii="Arial"/>
                <w:sz w:val="21"/>
              </w:rPr>
            </w:pPr>
          </w:p>
          <w:p>
            <w:pPr>
              <w:spacing w:before="68" w:line="220" w:lineRule="auto"/>
              <w:ind w:left="202"/>
              <w:rPr>
                <w:rFonts w:ascii="宋体" w:hAnsi="宋体" w:eastAsia="宋体" w:cs="宋体"/>
                <w:sz w:val="21"/>
                <w:szCs w:val="21"/>
              </w:rPr>
            </w:pPr>
            <w:r>
              <w:rPr>
                <w:rFonts w:ascii="宋体" w:hAnsi="宋体" w:eastAsia="宋体" w:cs="宋体"/>
                <w:spacing w:val="-2"/>
                <w:sz w:val="21"/>
                <w:szCs w:val="21"/>
              </w:rPr>
              <w:t>质量指标</w:t>
            </w:r>
          </w:p>
        </w:tc>
        <w:tc>
          <w:tcPr>
            <w:tcW w:w="1209" w:type="dxa"/>
            <w:vAlign w:val="top"/>
          </w:tcPr>
          <w:p>
            <w:pPr>
              <w:rPr>
                <w:rFonts w:ascii="Arial"/>
                <w:sz w:val="21"/>
              </w:rPr>
            </w:pPr>
            <w:r>
              <w:rPr>
                <w:rFonts w:hint="eastAsia" w:ascii="Arial"/>
                <w:sz w:val="21"/>
              </w:rPr>
              <w:t>督促贯彻落实</w:t>
            </w:r>
            <w:r>
              <w:rPr>
                <w:rFonts w:hint="eastAsia" w:ascii="Arial"/>
                <w:sz w:val="21"/>
                <w:lang w:eastAsia="zh-CN"/>
              </w:rPr>
              <w:t>进度完成</w:t>
            </w:r>
            <w:r>
              <w:rPr>
                <w:rFonts w:hint="eastAsia" w:ascii="Arial"/>
                <w:sz w:val="21"/>
              </w:rPr>
              <w:t>率</w:t>
            </w:r>
          </w:p>
        </w:tc>
        <w:tc>
          <w:tcPr>
            <w:tcW w:w="111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110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21"/>
              </w:rPr>
            </w:pPr>
            <w:r>
              <w:rPr>
                <w:rFonts w:hint="eastAsia" w:ascii="Arial"/>
                <w:sz w:val="21"/>
                <w:lang w:eastAsia="zh-CN"/>
              </w:rPr>
              <w:t>公共服务所需成本</w:t>
            </w:r>
          </w:p>
        </w:tc>
        <w:tc>
          <w:tcPr>
            <w:tcW w:w="1119" w:type="dxa"/>
            <w:vAlign w:val="center"/>
          </w:tcPr>
          <w:p>
            <w:pPr>
              <w:jc w:val="center"/>
              <w:rPr>
                <w:rFonts w:ascii="Arial"/>
                <w:sz w:val="21"/>
              </w:rPr>
            </w:pPr>
            <w:r>
              <w:rPr>
                <w:rFonts w:hint="eastAsia" w:ascii="Arial"/>
                <w:sz w:val="21"/>
                <w:lang w:eastAsia="zh-CN"/>
              </w:rPr>
              <w:t>按实</w:t>
            </w:r>
          </w:p>
        </w:tc>
        <w:tc>
          <w:tcPr>
            <w:tcW w:w="1109" w:type="dxa"/>
            <w:vAlign w:val="center"/>
          </w:tcPr>
          <w:p>
            <w:pPr>
              <w:jc w:val="center"/>
              <w:rPr>
                <w:rFonts w:ascii="Arial"/>
                <w:sz w:val="21"/>
              </w:rPr>
            </w:pPr>
            <w:r>
              <w:rPr>
                <w:rFonts w:hint="eastAsia" w:ascii="Arial"/>
                <w:sz w:val="21"/>
                <w:lang w:eastAsia="zh-CN"/>
              </w:rPr>
              <w:t>按实</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line="275" w:lineRule="auto"/>
              <w:rPr>
                <w:rFonts w:ascii="Arial"/>
                <w:sz w:val="21"/>
              </w:rPr>
            </w:pPr>
          </w:p>
          <w:p>
            <w:pPr>
              <w:spacing w:before="68" w:line="220" w:lineRule="auto"/>
              <w:ind w:left="202"/>
              <w:rPr>
                <w:rFonts w:ascii="宋体" w:hAnsi="宋体" w:eastAsia="宋体" w:cs="宋体"/>
                <w:sz w:val="21"/>
                <w:szCs w:val="21"/>
              </w:rPr>
            </w:pPr>
            <w:r>
              <w:rPr>
                <w:rFonts w:ascii="宋体" w:hAnsi="宋体" w:eastAsia="宋体" w:cs="宋体"/>
                <w:spacing w:val="2"/>
                <w:sz w:val="21"/>
                <w:szCs w:val="21"/>
              </w:rPr>
              <w:t>时效指标</w:t>
            </w:r>
          </w:p>
        </w:tc>
        <w:tc>
          <w:tcPr>
            <w:tcW w:w="1209" w:type="dxa"/>
            <w:vAlign w:val="top"/>
          </w:tcPr>
          <w:p>
            <w:pPr>
              <w:rPr>
                <w:rFonts w:ascii="Arial"/>
                <w:sz w:val="21"/>
              </w:rPr>
            </w:pPr>
            <w:r>
              <w:rPr>
                <w:rFonts w:hint="eastAsia" w:eastAsia="宋体"/>
                <w:sz w:val="21"/>
                <w:lang w:eastAsia="zh-CN"/>
              </w:rPr>
              <w:t>组织</w:t>
            </w:r>
            <w:r>
              <w:rPr>
                <w:rFonts w:hint="eastAsia" w:ascii="Arial"/>
                <w:sz w:val="21"/>
              </w:rPr>
              <w:t>工作作出全局性部署，并督促贯彻落实</w:t>
            </w:r>
          </w:p>
        </w:tc>
        <w:tc>
          <w:tcPr>
            <w:tcW w:w="1119" w:type="dxa"/>
            <w:vAlign w:val="center"/>
          </w:tcPr>
          <w:p>
            <w:pPr>
              <w:jc w:val="center"/>
              <w:rPr>
                <w:rFonts w:ascii="Arial"/>
                <w:sz w:val="21"/>
              </w:rPr>
            </w:pPr>
            <w:r>
              <w:rPr>
                <w:rFonts w:hint="eastAsia" w:ascii="Arial"/>
                <w:sz w:val="21"/>
                <w:lang w:eastAsia="zh-CN"/>
              </w:rPr>
              <w:t>达标</w:t>
            </w:r>
          </w:p>
        </w:tc>
        <w:tc>
          <w:tcPr>
            <w:tcW w:w="1109" w:type="dxa"/>
            <w:vAlign w:val="center"/>
          </w:tcPr>
          <w:p>
            <w:pPr>
              <w:jc w:val="center"/>
              <w:rPr>
                <w:rFonts w:ascii="Arial"/>
                <w:sz w:val="21"/>
              </w:rPr>
            </w:pPr>
            <w:r>
              <w:rPr>
                <w:rFonts w:hint="eastAsia" w:ascii="Arial"/>
                <w:sz w:val="21"/>
              </w:rPr>
              <w:t>达标</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21"/>
              </w:rPr>
            </w:pPr>
            <w:r>
              <w:rPr>
                <w:rFonts w:hint="eastAsia" w:ascii="Arial"/>
                <w:sz w:val="21"/>
              </w:rPr>
              <w:t>社会满意度</w:t>
            </w:r>
          </w:p>
        </w:tc>
        <w:tc>
          <w:tcPr>
            <w:tcW w:w="111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1109" w:type="dxa"/>
            <w:vAlign w:val="center"/>
          </w:tcPr>
          <w:p>
            <w:pPr>
              <w:jc w:val="center"/>
              <w:rPr>
                <w:rFonts w:ascii="Arial"/>
                <w:sz w:val="21"/>
              </w:rPr>
            </w:pP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line="293" w:lineRule="auto"/>
              <w:rPr>
                <w:rFonts w:ascii="Arial"/>
                <w:sz w:val="21"/>
              </w:rPr>
            </w:pPr>
          </w:p>
          <w:p>
            <w:pPr>
              <w:spacing w:before="68" w:line="219" w:lineRule="auto"/>
              <w:ind w:left="202"/>
              <w:rPr>
                <w:rFonts w:ascii="宋体" w:hAnsi="宋体" w:eastAsia="宋体" w:cs="宋体"/>
                <w:sz w:val="21"/>
                <w:szCs w:val="21"/>
              </w:rPr>
            </w:pPr>
            <w:r>
              <w:rPr>
                <w:rFonts w:ascii="宋体" w:hAnsi="宋体" w:eastAsia="宋体" w:cs="宋体"/>
                <w:spacing w:val="-2"/>
                <w:sz w:val="21"/>
                <w:szCs w:val="21"/>
              </w:rPr>
              <w:t>成本指标</w:t>
            </w:r>
          </w:p>
        </w:tc>
        <w:tc>
          <w:tcPr>
            <w:tcW w:w="1209" w:type="dxa"/>
            <w:vAlign w:val="top"/>
          </w:tcPr>
          <w:p>
            <w:pPr>
              <w:rPr>
                <w:rFonts w:ascii="Arial"/>
                <w:sz w:val="21"/>
              </w:rPr>
            </w:pPr>
            <w:r>
              <w:rPr>
                <w:rFonts w:hint="eastAsia" w:ascii="Arial"/>
                <w:sz w:val="21"/>
                <w:lang w:eastAsia="zh-CN"/>
              </w:rPr>
              <w:t>无污染</w:t>
            </w:r>
          </w:p>
        </w:tc>
        <w:tc>
          <w:tcPr>
            <w:tcW w:w="1119" w:type="dxa"/>
            <w:vAlign w:val="center"/>
          </w:tcPr>
          <w:p>
            <w:pPr>
              <w:jc w:val="center"/>
              <w:rPr>
                <w:rFonts w:ascii="Arial"/>
                <w:sz w:val="21"/>
              </w:rPr>
            </w:pPr>
          </w:p>
        </w:tc>
        <w:tc>
          <w:tcPr>
            <w:tcW w:w="1109" w:type="dxa"/>
            <w:vAlign w:val="center"/>
          </w:tcPr>
          <w:p>
            <w:pPr>
              <w:jc w:val="center"/>
              <w:rPr>
                <w:rFonts w:ascii="Arial"/>
                <w:sz w:val="21"/>
              </w:rPr>
            </w:pP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keepNext w:val="0"/>
              <w:keepLines w:val="0"/>
              <w:widowControl/>
              <w:suppressLineNumbers w:val="0"/>
              <w:jc w:val="left"/>
              <w:rPr>
                <w:sz w:val="21"/>
                <w:szCs w:val="21"/>
              </w:rPr>
            </w:pPr>
            <w:r>
              <w:rPr>
                <w:rFonts w:hint="eastAsia" w:ascii="宋体" w:hAnsi="宋体" w:eastAsia="宋体" w:cs="宋体"/>
                <w:color w:val="000000"/>
                <w:kern w:val="0"/>
                <w:sz w:val="21"/>
                <w:szCs w:val="21"/>
                <w:lang w:val="en-US" w:eastAsia="zh-CN" w:bidi="ar"/>
              </w:rPr>
              <w:t>实现提质增效</w:t>
            </w:r>
          </w:p>
          <w:p>
            <w:pPr>
              <w:rPr>
                <w:rFonts w:ascii="Arial"/>
                <w:sz w:val="21"/>
              </w:rPr>
            </w:pPr>
          </w:p>
        </w:tc>
        <w:tc>
          <w:tcPr>
            <w:tcW w:w="1119" w:type="dxa"/>
            <w:vAlign w:val="center"/>
          </w:tcPr>
          <w:p>
            <w:pPr>
              <w:jc w:val="center"/>
              <w:rPr>
                <w:rFonts w:ascii="Arial"/>
                <w:sz w:val="21"/>
              </w:rPr>
            </w:pPr>
          </w:p>
        </w:tc>
        <w:tc>
          <w:tcPr>
            <w:tcW w:w="1109" w:type="dxa"/>
            <w:vAlign w:val="center"/>
          </w:tcPr>
          <w:p>
            <w:pPr>
              <w:jc w:val="center"/>
              <w:rPr>
                <w:rFonts w:ascii="Arial"/>
                <w:sz w:val="21"/>
              </w:rPr>
            </w:pP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spacing w:before="68" w:line="220" w:lineRule="auto"/>
              <w:ind w:left="271"/>
              <w:rPr>
                <w:rFonts w:ascii="宋体" w:hAnsi="宋体" w:eastAsia="宋体" w:cs="宋体"/>
                <w:sz w:val="21"/>
                <w:szCs w:val="21"/>
              </w:rPr>
            </w:pPr>
            <w:r>
              <w:rPr>
                <w:rFonts w:ascii="宋体" w:hAnsi="宋体" w:eastAsia="宋体" w:cs="宋体"/>
                <w:spacing w:val="4"/>
                <w:sz w:val="21"/>
                <w:szCs w:val="21"/>
              </w:rPr>
              <w:t>效益</w:t>
            </w:r>
          </w:p>
          <w:p>
            <w:pPr>
              <w:spacing w:before="79" w:line="610" w:lineRule="exact"/>
              <w:ind w:left="271"/>
              <w:rPr>
                <w:rFonts w:ascii="宋体" w:hAnsi="宋体" w:eastAsia="宋体" w:cs="宋体"/>
                <w:sz w:val="21"/>
                <w:szCs w:val="21"/>
              </w:rPr>
            </w:pPr>
            <w:r>
              <w:rPr>
                <w:rFonts w:ascii="宋体" w:hAnsi="宋体" w:eastAsia="宋体" w:cs="宋体"/>
                <w:spacing w:val="-3"/>
                <w:position w:val="31"/>
                <w:sz w:val="21"/>
                <w:szCs w:val="21"/>
              </w:rPr>
              <w:t>指标</w:t>
            </w:r>
          </w:p>
          <w:p>
            <w:pPr>
              <w:spacing w:line="220" w:lineRule="auto"/>
              <w:ind w:left="171"/>
              <w:rPr>
                <w:rFonts w:ascii="宋体" w:hAnsi="宋体" w:eastAsia="宋体" w:cs="宋体"/>
                <w:sz w:val="21"/>
                <w:szCs w:val="21"/>
              </w:rPr>
            </w:pPr>
            <w:r>
              <w:rPr>
                <w:rFonts w:ascii="宋体" w:hAnsi="宋体" w:eastAsia="宋体" w:cs="宋体"/>
                <w:spacing w:val="9"/>
                <w:sz w:val="21"/>
                <w:szCs w:val="21"/>
              </w:rPr>
              <w:t>(30分)</w:t>
            </w:r>
          </w:p>
        </w:tc>
        <w:tc>
          <w:tcPr>
            <w:tcW w:w="1268" w:type="dxa"/>
            <w:vMerge w:val="restart"/>
            <w:tcBorders>
              <w:bottom w:val="nil"/>
            </w:tcBorders>
            <w:vAlign w:val="top"/>
          </w:tcPr>
          <w:p>
            <w:pPr>
              <w:spacing w:before="116" w:line="300" w:lineRule="exact"/>
              <w:ind w:left="311"/>
              <w:rPr>
                <w:rFonts w:ascii="宋体" w:hAnsi="宋体" w:eastAsia="宋体" w:cs="宋体"/>
                <w:sz w:val="21"/>
                <w:szCs w:val="21"/>
              </w:rPr>
            </w:pPr>
            <w:r>
              <w:rPr>
                <w:rFonts w:ascii="宋体" w:hAnsi="宋体" w:eastAsia="宋体" w:cs="宋体"/>
                <w:spacing w:val="-3"/>
                <w:position w:val="6"/>
                <w:sz w:val="21"/>
                <w:szCs w:val="21"/>
              </w:rPr>
              <w:t>经济效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ascii="Arial"/>
                <w:sz w:val="21"/>
              </w:rPr>
            </w:pPr>
            <w:r>
              <w:rPr>
                <w:rFonts w:hint="eastAsia" w:eastAsia="宋体"/>
                <w:sz w:val="21"/>
                <w:lang w:eastAsia="zh-CN"/>
              </w:rPr>
              <w:t>组织</w:t>
            </w:r>
            <w:r>
              <w:rPr>
                <w:rFonts w:hint="eastAsia" w:ascii="Arial"/>
                <w:sz w:val="21"/>
              </w:rPr>
              <w:t>工作组织</w:t>
            </w:r>
          </w:p>
        </w:tc>
        <w:tc>
          <w:tcPr>
            <w:tcW w:w="1119" w:type="dxa"/>
            <w:vAlign w:val="center"/>
          </w:tcPr>
          <w:p>
            <w:pPr>
              <w:jc w:val="center"/>
              <w:rPr>
                <w:rFonts w:ascii="Arial"/>
                <w:sz w:val="21"/>
              </w:rPr>
            </w:pPr>
            <w:r>
              <w:rPr>
                <w:rFonts w:hint="eastAsia" w:ascii="Arial"/>
                <w:sz w:val="21"/>
              </w:rPr>
              <w:t>≥</w:t>
            </w:r>
            <w:r>
              <w:rPr>
                <w:rFonts w:hint="eastAsia" w:ascii="Arial"/>
                <w:sz w:val="21"/>
                <w:lang w:val="en-US" w:eastAsia="zh-CN"/>
              </w:rPr>
              <w:t>3</w:t>
            </w:r>
          </w:p>
        </w:tc>
        <w:tc>
          <w:tcPr>
            <w:tcW w:w="1109" w:type="dxa"/>
            <w:vAlign w:val="center"/>
          </w:tcPr>
          <w:p>
            <w:pPr>
              <w:jc w:val="center"/>
              <w:rPr>
                <w:rFonts w:ascii="Arial"/>
                <w:sz w:val="21"/>
              </w:rPr>
            </w:pPr>
            <w:r>
              <w:rPr>
                <w:rFonts w:hint="eastAsia" w:ascii="Arial"/>
                <w:sz w:val="21"/>
              </w:rPr>
              <w:t>≥</w:t>
            </w:r>
            <w:r>
              <w:rPr>
                <w:rFonts w:hint="eastAsia" w:ascii="Arial"/>
                <w:sz w:val="21"/>
                <w:lang w:val="en-US" w:eastAsia="zh-CN"/>
              </w:rPr>
              <w:t>3</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hint="default" w:ascii="Arial"/>
                <w:sz w:val="21"/>
                <w:lang w:val="en-US"/>
              </w:rPr>
            </w:pPr>
            <w:r>
              <w:rPr>
                <w:rFonts w:hint="eastAsia" w:ascii="Arial"/>
                <w:sz w:val="21"/>
                <w:lang w:val="en-US" w:eastAsia="zh-CN"/>
              </w:rPr>
              <w:t>1</w:t>
            </w:r>
            <w:r>
              <w:rPr>
                <w:rFonts w:hint="eastAsia"/>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21"/>
              </w:rPr>
            </w:pPr>
            <w:r>
              <w:rPr>
                <w:rFonts w:hint="eastAsia" w:ascii="Arial"/>
                <w:sz w:val="21"/>
                <w:lang w:eastAsia="zh-CN"/>
              </w:rPr>
              <w:t>质量达标率</w:t>
            </w:r>
          </w:p>
        </w:tc>
        <w:tc>
          <w:tcPr>
            <w:tcW w:w="1119" w:type="dxa"/>
            <w:vAlign w:val="center"/>
          </w:tcPr>
          <w:p>
            <w:pPr>
              <w:jc w:val="center"/>
              <w:rPr>
                <w:rFonts w:ascii="Arial"/>
                <w:sz w:val="21"/>
              </w:rPr>
            </w:pPr>
            <w:r>
              <w:rPr>
                <w:rFonts w:hint="eastAsia" w:ascii="Arial"/>
                <w:sz w:val="21"/>
                <w:lang w:eastAsia="zh-CN"/>
              </w:rPr>
              <w:t>达标</w:t>
            </w:r>
          </w:p>
        </w:tc>
        <w:tc>
          <w:tcPr>
            <w:tcW w:w="1109" w:type="dxa"/>
            <w:vAlign w:val="center"/>
          </w:tcPr>
          <w:p>
            <w:pPr>
              <w:jc w:val="center"/>
              <w:rPr>
                <w:rFonts w:ascii="Arial"/>
                <w:sz w:val="21"/>
              </w:rPr>
            </w:pPr>
            <w:r>
              <w:rPr>
                <w:rFonts w:hint="eastAsia" w:ascii="Arial"/>
                <w:sz w:val="21"/>
                <w:lang w:eastAsia="zh-CN"/>
              </w:rPr>
              <w:t>达标</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before="114" w:line="322" w:lineRule="exact"/>
              <w:ind w:left="311"/>
              <w:rPr>
                <w:rFonts w:ascii="宋体" w:hAnsi="宋体" w:eastAsia="宋体" w:cs="宋体"/>
                <w:sz w:val="21"/>
                <w:szCs w:val="21"/>
              </w:rPr>
            </w:pPr>
            <w:r>
              <w:rPr>
                <w:rFonts w:ascii="宋体" w:hAnsi="宋体" w:eastAsia="宋体" w:cs="宋体"/>
                <w:spacing w:val="-3"/>
                <w:position w:val="8"/>
                <w:sz w:val="21"/>
                <w:szCs w:val="21"/>
              </w:rPr>
              <w:t>社会效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ascii="Arial"/>
                <w:sz w:val="21"/>
              </w:rPr>
            </w:pPr>
            <w:r>
              <w:rPr>
                <w:rFonts w:hint="eastAsia" w:ascii="Arial"/>
                <w:sz w:val="21"/>
              </w:rPr>
              <w:t>督促贯彻落实</w:t>
            </w:r>
            <w:r>
              <w:rPr>
                <w:rFonts w:hint="eastAsia" w:ascii="Arial"/>
                <w:sz w:val="21"/>
                <w:lang w:eastAsia="zh-CN"/>
              </w:rPr>
              <w:t>进度完成</w:t>
            </w:r>
            <w:r>
              <w:rPr>
                <w:rFonts w:hint="eastAsia" w:ascii="Arial"/>
                <w:sz w:val="21"/>
              </w:rPr>
              <w:t>率</w:t>
            </w:r>
          </w:p>
        </w:tc>
        <w:tc>
          <w:tcPr>
            <w:tcW w:w="111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110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21"/>
              </w:rPr>
            </w:pPr>
            <w:r>
              <w:rPr>
                <w:rFonts w:hint="eastAsia" w:ascii="Arial"/>
                <w:sz w:val="21"/>
                <w:lang w:eastAsia="zh-CN"/>
              </w:rPr>
              <w:t>公共服务所需成本</w:t>
            </w:r>
          </w:p>
        </w:tc>
        <w:tc>
          <w:tcPr>
            <w:tcW w:w="1119" w:type="dxa"/>
            <w:vAlign w:val="center"/>
          </w:tcPr>
          <w:p>
            <w:pPr>
              <w:jc w:val="center"/>
              <w:rPr>
                <w:rFonts w:ascii="Arial"/>
                <w:sz w:val="21"/>
              </w:rPr>
            </w:pPr>
            <w:r>
              <w:rPr>
                <w:rFonts w:hint="eastAsia" w:ascii="Arial"/>
                <w:sz w:val="21"/>
                <w:lang w:eastAsia="zh-CN"/>
              </w:rPr>
              <w:t>按实</w:t>
            </w:r>
          </w:p>
        </w:tc>
        <w:tc>
          <w:tcPr>
            <w:tcW w:w="1109" w:type="dxa"/>
            <w:vAlign w:val="center"/>
          </w:tcPr>
          <w:p>
            <w:pPr>
              <w:jc w:val="center"/>
              <w:rPr>
                <w:rFonts w:ascii="Arial"/>
                <w:sz w:val="21"/>
              </w:rPr>
            </w:pPr>
            <w:r>
              <w:rPr>
                <w:rFonts w:hint="eastAsia" w:ascii="Arial"/>
                <w:sz w:val="21"/>
                <w:lang w:eastAsia="zh-CN"/>
              </w:rPr>
              <w:t>按实</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before="97" w:line="330" w:lineRule="exact"/>
              <w:ind w:left="311"/>
              <w:rPr>
                <w:rFonts w:ascii="宋体" w:hAnsi="宋体" w:eastAsia="宋体" w:cs="宋体"/>
                <w:sz w:val="21"/>
                <w:szCs w:val="21"/>
              </w:rPr>
            </w:pPr>
            <w:r>
              <w:rPr>
                <w:rFonts w:ascii="宋体" w:hAnsi="宋体" w:eastAsia="宋体" w:cs="宋体"/>
                <w:spacing w:val="-3"/>
                <w:position w:val="8"/>
                <w:sz w:val="21"/>
                <w:szCs w:val="21"/>
              </w:rPr>
              <w:t>生态效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ascii="Arial"/>
                <w:sz w:val="21"/>
              </w:rPr>
            </w:pPr>
            <w:r>
              <w:rPr>
                <w:rFonts w:hint="eastAsia" w:eastAsia="宋体"/>
                <w:sz w:val="21"/>
                <w:lang w:eastAsia="zh-CN"/>
              </w:rPr>
              <w:t>组织</w:t>
            </w:r>
            <w:r>
              <w:rPr>
                <w:rFonts w:hint="eastAsia" w:ascii="Arial"/>
                <w:sz w:val="21"/>
              </w:rPr>
              <w:t>工作作出全局性部署，并督促贯彻落实</w:t>
            </w:r>
          </w:p>
        </w:tc>
        <w:tc>
          <w:tcPr>
            <w:tcW w:w="1119" w:type="dxa"/>
            <w:vAlign w:val="center"/>
          </w:tcPr>
          <w:p>
            <w:pPr>
              <w:jc w:val="center"/>
              <w:rPr>
                <w:rFonts w:ascii="Arial"/>
                <w:sz w:val="21"/>
              </w:rPr>
            </w:pPr>
            <w:r>
              <w:rPr>
                <w:rFonts w:hint="eastAsia" w:ascii="Arial"/>
                <w:sz w:val="21"/>
                <w:lang w:eastAsia="zh-CN"/>
              </w:rPr>
              <w:t>达标</w:t>
            </w:r>
          </w:p>
        </w:tc>
        <w:tc>
          <w:tcPr>
            <w:tcW w:w="1109" w:type="dxa"/>
            <w:vAlign w:val="center"/>
          </w:tcPr>
          <w:p>
            <w:pPr>
              <w:jc w:val="center"/>
              <w:rPr>
                <w:rFonts w:ascii="Arial"/>
                <w:sz w:val="21"/>
              </w:rPr>
            </w:pPr>
            <w:r>
              <w:rPr>
                <w:rFonts w:hint="eastAsia" w:ascii="Arial"/>
                <w:sz w:val="21"/>
              </w:rPr>
              <w:t>达标</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top"/>
          </w:tcPr>
          <w:p>
            <w:pPr>
              <w:rPr>
                <w:rFonts w:ascii="Arial"/>
                <w:sz w:val="21"/>
              </w:rPr>
            </w:pPr>
            <w:r>
              <w:rPr>
                <w:rFonts w:hint="eastAsia" w:ascii="Arial"/>
                <w:sz w:val="21"/>
              </w:rPr>
              <w:t>社会满意度</w:t>
            </w:r>
          </w:p>
        </w:tc>
        <w:tc>
          <w:tcPr>
            <w:tcW w:w="111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1109" w:type="dxa"/>
            <w:vAlign w:val="center"/>
          </w:tcPr>
          <w:p>
            <w:pPr>
              <w:jc w:val="center"/>
              <w:rPr>
                <w:rFonts w:ascii="Arial"/>
                <w:sz w:val="21"/>
              </w:rPr>
            </w:pP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268" w:type="dxa"/>
            <w:vMerge w:val="restart"/>
            <w:tcBorders>
              <w:bottom w:val="nil"/>
            </w:tcBorders>
            <w:vAlign w:val="top"/>
          </w:tcPr>
          <w:p>
            <w:pPr>
              <w:spacing w:before="117" w:line="219" w:lineRule="auto"/>
              <w:ind w:left="202"/>
              <w:rPr>
                <w:rFonts w:ascii="宋体" w:hAnsi="宋体" w:eastAsia="宋体" w:cs="宋体"/>
                <w:sz w:val="21"/>
                <w:szCs w:val="21"/>
              </w:rPr>
            </w:pPr>
            <w:r>
              <w:rPr>
                <w:rFonts w:ascii="宋体" w:hAnsi="宋体" w:eastAsia="宋体" w:cs="宋体"/>
                <w:spacing w:val="-2"/>
                <w:sz w:val="21"/>
                <w:szCs w:val="21"/>
              </w:rPr>
              <w:t>可持续影</w:t>
            </w:r>
          </w:p>
          <w:p>
            <w:pPr>
              <w:spacing w:before="71" w:line="220" w:lineRule="auto"/>
              <w:ind w:left="311"/>
              <w:rPr>
                <w:rFonts w:ascii="宋体" w:hAnsi="宋体" w:eastAsia="宋体" w:cs="宋体"/>
                <w:sz w:val="21"/>
                <w:szCs w:val="21"/>
              </w:rPr>
            </w:pPr>
            <w:r>
              <w:rPr>
                <w:rFonts w:ascii="宋体" w:hAnsi="宋体" w:eastAsia="宋体" w:cs="宋体"/>
                <w:spacing w:val="2"/>
                <w:sz w:val="21"/>
                <w:szCs w:val="21"/>
              </w:rPr>
              <w:t>响指标</w:t>
            </w:r>
          </w:p>
        </w:tc>
        <w:tc>
          <w:tcPr>
            <w:tcW w:w="1209" w:type="dxa"/>
            <w:vAlign w:val="center"/>
          </w:tcPr>
          <w:p>
            <w:pPr>
              <w:jc w:val="center"/>
              <w:rPr>
                <w:rFonts w:ascii="Arial"/>
                <w:sz w:val="21"/>
              </w:rPr>
            </w:pPr>
            <w:r>
              <w:rPr>
                <w:rFonts w:hint="eastAsia" w:ascii="Arial"/>
                <w:sz w:val="21"/>
                <w:lang w:eastAsia="zh-CN"/>
              </w:rPr>
              <w:t>无污染</w:t>
            </w:r>
          </w:p>
        </w:tc>
        <w:tc>
          <w:tcPr>
            <w:tcW w:w="1119" w:type="dxa"/>
            <w:vAlign w:val="center"/>
          </w:tcPr>
          <w:p>
            <w:pPr>
              <w:jc w:val="center"/>
              <w:rPr>
                <w:rFonts w:ascii="Arial"/>
                <w:sz w:val="21"/>
              </w:rPr>
            </w:pPr>
          </w:p>
        </w:tc>
        <w:tc>
          <w:tcPr>
            <w:tcW w:w="1109" w:type="dxa"/>
            <w:vAlign w:val="center"/>
          </w:tcPr>
          <w:p>
            <w:pPr>
              <w:jc w:val="center"/>
              <w:rPr>
                <w:rFonts w:ascii="Arial"/>
                <w:sz w:val="21"/>
              </w:rPr>
            </w:pP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实现提质增效</w:t>
            </w:r>
          </w:p>
          <w:p>
            <w:pPr>
              <w:jc w:val="center"/>
              <w:rPr>
                <w:rFonts w:ascii="Arial"/>
                <w:sz w:val="21"/>
              </w:rPr>
            </w:pPr>
          </w:p>
        </w:tc>
        <w:tc>
          <w:tcPr>
            <w:tcW w:w="1119" w:type="dxa"/>
            <w:vAlign w:val="center"/>
          </w:tcPr>
          <w:p>
            <w:pPr>
              <w:jc w:val="center"/>
              <w:rPr>
                <w:rFonts w:ascii="Arial"/>
                <w:sz w:val="21"/>
              </w:rPr>
            </w:pPr>
          </w:p>
        </w:tc>
        <w:tc>
          <w:tcPr>
            <w:tcW w:w="1109" w:type="dxa"/>
            <w:vAlign w:val="center"/>
          </w:tcPr>
          <w:p>
            <w:pPr>
              <w:jc w:val="center"/>
              <w:rPr>
                <w:rFonts w:ascii="Arial"/>
                <w:sz w:val="21"/>
              </w:rPr>
            </w:pP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37" w:line="262" w:lineRule="auto"/>
              <w:ind w:left="171" w:right="132"/>
              <w:rPr>
                <w:rFonts w:ascii="宋体" w:hAnsi="宋体" w:eastAsia="宋体" w:cs="宋体"/>
                <w:sz w:val="20"/>
                <w:szCs w:val="20"/>
              </w:rPr>
            </w:pPr>
            <w:r>
              <w:rPr>
                <w:rFonts w:ascii="宋体" w:hAnsi="宋体" w:eastAsia="宋体" w:cs="宋体"/>
                <w:spacing w:val="14"/>
                <w:sz w:val="20"/>
                <w:szCs w:val="20"/>
              </w:rPr>
              <w:t>满意度</w:t>
            </w:r>
            <w:r>
              <w:rPr>
                <w:rFonts w:ascii="宋体" w:hAnsi="宋体" w:eastAsia="宋体" w:cs="宋体"/>
                <w:sz w:val="20"/>
                <w:szCs w:val="20"/>
              </w:rPr>
              <w:t xml:space="preserve"> </w:t>
            </w:r>
            <w:r>
              <w:rPr>
                <w:rFonts w:ascii="宋体" w:hAnsi="宋体" w:eastAsia="宋体" w:cs="宋体"/>
                <w:spacing w:val="18"/>
                <w:w w:val="118"/>
                <w:sz w:val="20"/>
                <w:szCs w:val="20"/>
              </w:rPr>
              <w:t>指标</w:t>
            </w:r>
            <w:r>
              <w:rPr>
                <w:rFonts w:ascii="宋体" w:hAnsi="宋体" w:eastAsia="宋体" w:cs="宋体"/>
                <w:sz w:val="20"/>
                <w:szCs w:val="20"/>
              </w:rPr>
              <w:t xml:space="preserve">  </w:t>
            </w:r>
            <w:r>
              <w:rPr>
                <w:rFonts w:ascii="宋体" w:hAnsi="宋体" w:eastAsia="宋体" w:cs="宋体"/>
                <w:spacing w:val="15"/>
                <w:sz w:val="20"/>
                <w:szCs w:val="20"/>
              </w:rPr>
              <w:t>(10分)</w:t>
            </w:r>
          </w:p>
        </w:tc>
        <w:tc>
          <w:tcPr>
            <w:tcW w:w="1268" w:type="dxa"/>
            <w:vMerge w:val="restart"/>
            <w:tcBorders>
              <w:bottom w:val="nil"/>
            </w:tcBorders>
            <w:vAlign w:val="top"/>
          </w:tcPr>
          <w:p>
            <w:pPr>
              <w:spacing w:before="47" w:line="219" w:lineRule="auto"/>
              <w:ind w:left="202"/>
              <w:rPr>
                <w:rFonts w:ascii="宋体" w:hAnsi="宋体" w:eastAsia="宋体" w:cs="宋体"/>
                <w:sz w:val="21"/>
                <w:szCs w:val="21"/>
              </w:rPr>
            </w:pPr>
            <w:r>
              <w:rPr>
                <w:rFonts w:ascii="宋体" w:hAnsi="宋体" w:eastAsia="宋体" w:cs="宋体"/>
                <w:spacing w:val="-2"/>
                <w:sz w:val="21"/>
                <w:szCs w:val="21"/>
              </w:rPr>
              <w:t>服务对象</w:t>
            </w:r>
          </w:p>
          <w:p>
            <w:pPr>
              <w:spacing w:before="70" w:line="219" w:lineRule="auto"/>
              <w:ind w:left="202"/>
              <w:rPr>
                <w:rFonts w:ascii="宋体" w:hAnsi="宋体" w:eastAsia="宋体" w:cs="宋体"/>
                <w:sz w:val="21"/>
                <w:szCs w:val="21"/>
              </w:rPr>
            </w:pPr>
            <w:r>
              <w:rPr>
                <w:rFonts w:ascii="宋体" w:hAnsi="宋体" w:eastAsia="宋体" w:cs="宋体"/>
                <w:spacing w:val="3"/>
                <w:sz w:val="21"/>
                <w:szCs w:val="21"/>
              </w:rPr>
              <w:t>满意度指</w:t>
            </w:r>
          </w:p>
          <w:p>
            <w:pPr>
              <w:spacing w:before="21" w:line="220" w:lineRule="auto"/>
              <w:ind w:left="501"/>
              <w:rPr>
                <w:rFonts w:ascii="宋体" w:hAnsi="宋体" w:eastAsia="宋体" w:cs="宋体"/>
                <w:sz w:val="21"/>
                <w:szCs w:val="21"/>
              </w:rPr>
            </w:pPr>
            <w:r>
              <w:rPr>
                <w:rFonts w:ascii="宋体" w:hAnsi="宋体" w:eastAsia="宋体" w:cs="宋体"/>
                <w:sz w:val="21"/>
                <w:szCs w:val="21"/>
              </w:rPr>
              <w:t>标</w:t>
            </w:r>
          </w:p>
        </w:tc>
        <w:tc>
          <w:tcPr>
            <w:tcW w:w="1209" w:type="dxa"/>
            <w:vAlign w:val="center"/>
          </w:tcPr>
          <w:p>
            <w:pPr>
              <w:jc w:val="center"/>
              <w:rPr>
                <w:rFonts w:ascii="Arial"/>
                <w:sz w:val="21"/>
              </w:rPr>
            </w:pPr>
            <w:r>
              <w:rPr>
                <w:rFonts w:hint="eastAsia" w:ascii="Arial"/>
                <w:sz w:val="21"/>
                <w:lang w:eastAsia="zh-CN"/>
              </w:rPr>
              <w:t>满意度</w:t>
            </w:r>
          </w:p>
        </w:tc>
        <w:tc>
          <w:tcPr>
            <w:tcW w:w="111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110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34" w:type="dxa"/>
            <w:vMerge w:val="continue"/>
            <w:tcBorders>
              <w:top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c>
          <w:tcPr>
            <w:tcW w:w="1209" w:type="dxa"/>
            <w:vAlign w:val="center"/>
          </w:tcPr>
          <w:p>
            <w:pPr>
              <w:jc w:val="center"/>
              <w:rPr>
                <w:rFonts w:ascii="Arial"/>
                <w:sz w:val="21"/>
              </w:rPr>
            </w:pPr>
            <w:r>
              <w:rPr>
                <w:rFonts w:hint="eastAsia" w:ascii="Arial"/>
                <w:sz w:val="21"/>
                <w:lang w:eastAsia="zh-CN"/>
              </w:rPr>
              <w:t>满意度</w:t>
            </w:r>
          </w:p>
        </w:tc>
        <w:tc>
          <w:tcPr>
            <w:tcW w:w="111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1109" w:type="dxa"/>
            <w:vAlign w:val="center"/>
          </w:tcPr>
          <w:p>
            <w:pPr>
              <w:jc w:val="center"/>
              <w:rPr>
                <w:rFonts w:ascii="Arial"/>
                <w:sz w:val="21"/>
              </w:rPr>
            </w:pPr>
            <w:r>
              <w:rPr>
                <w:rFonts w:hint="eastAsia" w:ascii="Arial"/>
                <w:sz w:val="21"/>
              </w:rPr>
              <w:t>≥</w:t>
            </w:r>
            <w:r>
              <w:rPr>
                <w:rFonts w:hint="eastAsia" w:ascii="Arial"/>
                <w:sz w:val="21"/>
                <w:lang w:val="en-US" w:eastAsia="zh-CN"/>
              </w:rPr>
              <w:t>99%</w:t>
            </w:r>
          </w:p>
        </w:tc>
        <w:tc>
          <w:tcPr>
            <w:tcW w:w="819" w:type="dxa"/>
            <w:vAlign w:val="center"/>
          </w:tcPr>
          <w:p>
            <w:pPr>
              <w:jc w:val="center"/>
              <w:rPr>
                <w:rFonts w:ascii="Arial"/>
                <w:sz w:val="21"/>
              </w:rPr>
            </w:pPr>
          </w:p>
        </w:tc>
        <w:tc>
          <w:tcPr>
            <w:tcW w:w="859" w:type="dxa"/>
            <w:vAlign w:val="center"/>
          </w:tcPr>
          <w:p>
            <w:pPr>
              <w:jc w:val="center"/>
              <w:rPr>
                <w:rFonts w:ascii="Arial"/>
                <w:sz w:val="21"/>
              </w:rPr>
            </w:pPr>
          </w:p>
        </w:tc>
        <w:tc>
          <w:tcPr>
            <w:tcW w:w="1373" w:type="dxa"/>
            <w:vAlign w:val="center"/>
          </w:tcPr>
          <w:p>
            <w:pPr>
              <w:jc w:val="center"/>
              <w:rPr>
                <w:rFonts w:ascii="Arial"/>
                <w:sz w:val="21"/>
              </w:rPr>
            </w:pPr>
            <w:r>
              <w:rPr>
                <w:rFonts w:hint="eastAsia" w:ascii="Arial"/>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828" w:type="dxa"/>
            <w:gridSpan w:val="6"/>
            <w:vAlign w:val="center"/>
          </w:tcPr>
          <w:p>
            <w:pPr>
              <w:spacing w:before="139" w:line="220" w:lineRule="auto"/>
              <w:ind w:left="2464"/>
              <w:jc w:val="center"/>
              <w:rPr>
                <w:rFonts w:ascii="宋体" w:hAnsi="宋体" w:eastAsia="宋体" w:cs="宋体"/>
                <w:sz w:val="21"/>
                <w:szCs w:val="21"/>
              </w:rPr>
            </w:pPr>
            <w:r>
              <w:rPr>
                <w:rFonts w:ascii="宋体" w:hAnsi="宋体" w:eastAsia="宋体" w:cs="宋体"/>
                <w:spacing w:val="-7"/>
                <w:sz w:val="21"/>
                <w:szCs w:val="21"/>
              </w:rPr>
              <w:t>总</w:t>
            </w:r>
            <w:r>
              <w:rPr>
                <w:rFonts w:ascii="宋体" w:hAnsi="宋体" w:eastAsia="宋体" w:cs="宋体"/>
                <w:spacing w:val="16"/>
                <w:sz w:val="21"/>
                <w:szCs w:val="21"/>
              </w:rPr>
              <w:t xml:space="preserve">  </w:t>
            </w:r>
            <w:r>
              <w:rPr>
                <w:rFonts w:ascii="宋体" w:hAnsi="宋体" w:eastAsia="宋体" w:cs="宋体"/>
                <w:spacing w:val="-7"/>
                <w:sz w:val="21"/>
                <w:szCs w:val="21"/>
              </w:rPr>
              <w:t>分</w:t>
            </w:r>
          </w:p>
        </w:tc>
        <w:tc>
          <w:tcPr>
            <w:tcW w:w="819" w:type="dxa"/>
            <w:vAlign w:val="center"/>
          </w:tcPr>
          <w:p>
            <w:pPr>
              <w:spacing w:before="191" w:line="184" w:lineRule="auto"/>
              <w:ind w:left="137"/>
              <w:jc w:val="center"/>
              <w:rPr>
                <w:rFonts w:ascii="宋体" w:hAnsi="宋体" w:eastAsia="宋体" w:cs="宋体"/>
                <w:sz w:val="21"/>
                <w:szCs w:val="21"/>
              </w:rPr>
            </w:pPr>
            <w:r>
              <w:rPr>
                <w:rFonts w:ascii="宋体" w:hAnsi="宋体" w:eastAsia="宋体" w:cs="宋体"/>
                <w:spacing w:val="-6"/>
                <w:sz w:val="21"/>
                <w:szCs w:val="21"/>
              </w:rPr>
              <w:t>100</w:t>
            </w:r>
          </w:p>
        </w:tc>
        <w:tc>
          <w:tcPr>
            <w:tcW w:w="859" w:type="dxa"/>
            <w:vAlign w:val="center"/>
          </w:tcPr>
          <w:p>
            <w:pPr>
              <w:jc w:val="center"/>
              <w:rPr>
                <w:rFonts w:ascii="Arial"/>
                <w:sz w:val="21"/>
              </w:rPr>
            </w:pPr>
          </w:p>
        </w:tc>
        <w:tc>
          <w:tcPr>
            <w:tcW w:w="1373" w:type="dxa"/>
            <w:vAlign w:val="center"/>
          </w:tcPr>
          <w:p>
            <w:pPr>
              <w:jc w:val="center"/>
              <w:rPr>
                <w:rFonts w:hint="default" w:ascii="Arial" w:eastAsia="宋体"/>
                <w:sz w:val="21"/>
                <w:lang w:val="en-US" w:eastAsia="zh-CN"/>
              </w:rPr>
            </w:pPr>
            <w:r>
              <w:rPr>
                <w:rFonts w:hint="eastAsia" w:eastAsia="宋体"/>
                <w:sz w:val="21"/>
                <w:lang w:val="en-US" w:eastAsia="zh-CN"/>
              </w:rPr>
              <w:t>92</w:t>
            </w:r>
          </w:p>
        </w:tc>
      </w:tr>
    </w:tbl>
    <w:p>
      <w:pPr>
        <w:spacing w:before="161" w:line="225" w:lineRule="auto"/>
        <w:ind w:left="635"/>
        <w:rPr>
          <w:rFonts w:ascii="仿宋" w:hAnsi="仿宋" w:eastAsia="仿宋" w:cs="仿宋"/>
          <w:sz w:val="24"/>
          <w:szCs w:val="24"/>
        </w:rPr>
      </w:pPr>
      <w:r>
        <w:rPr>
          <w:rFonts w:ascii="仿宋" w:hAnsi="仿宋" w:eastAsia="仿宋" w:cs="仿宋"/>
          <w:spacing w:val="-24"/>
          <w:position w:val="-1"/>
          <w:sz w:val="24"/>
          <w:szCs w:val="24"/>
        </w:rPr>
        <w:t>填表人：</w:t>
      </w:r>
      <w:r>
        <w:rPr>
          <w:rFonts w:ascii="仿宋" w:hAnsi="仿宋" w:eastAsia="仿宋" w:cs="仿宋"/>
          <w:spacing w:val="4"/>
          <w:position w:val="-1"/>
          <w:sz w:val="24"/>
          <w:szCs w:val="24"/>
        </w:rPr>
        <w:t xml:space="preserve">          </w:t>
      </w:r>
      <w:r>
        <w:rPr>
          <w:rFonts w:ascii="仿宋" w:hAnsi="仿宋" w:eastAsia="仿宋" w:cs="仿宋"/>
          <w:spacing w:val="-24"/>
          <w:sz w:val="24"/>
          <w:szCs w:val="24"/>
        </w:rPr>
        <w:t>填报日期：</w:t>
      </w:r>
      <w:r>
        <w:rPr>
          <w:rFonts w:ascii="仿宋" w:hAnsi="仿宋" w:eastAsia="仿宋" w:cs="仿宋"/>
          <w:spacing w:val="3"/>
          <w:sz w:val="24"/>
          <w:szCs w:val="24"/>
        </w:rPr>
        <w:t xml:space="preserve">            </w:t>
      </w:r>
      <w:r>
        <w:rPr>
          <w:rFonts w:ascii="仿宋" w:hAnsi="仿宋" w:eastAsia="仿宋" w:cs="仿宋"/>
          <w:spacing w:val="-24"/>
          <w:sz w:val="24"/>
          <w:szCs w:val="24"/>
        </w:rPr>
        <w:t>联系电话：</w:t>
      </w:r>
      <w:r>
        <w:rPr>
          <w:rFonts w:ascii="仿宋" w:hAnsi="仿宋" w:eastAsia="仿宋" w:cs="仿宋"/>
          <w:spacing w:val="18"/>
          <w:sz w:val="24"/>
          <w:szCs w:val="24"/>
        </w:rPr>
        <w:t xml:space="preserve">       </w:t>
      </w:r>
      <w:r>
        <w:rPr>
          <w:rFonts w:ascii="仿宋" w:hAnsi="仿宋" w:eastAsia="仿宋" w:cs="仿宋"/>
          <w:spacing w:val="-24"/>
          <w:position w:val="1"/>
          <w:sz w:val="24"/>
          <w:szCs w:val="24"/>
        </w:rPr>
        <w:t>单位负责人签字：</w:t>
      </w:r>
    </w:p>
    <w:p/>
    <w:sectPr>
      <w:footerReference r:id="rId5" w:type="default"/>
      <w:pgSz w:w="11860" w:h="16800"/>
      <w:pgMar w:top="1233" w:right="935" w:bottom="400" w:left="103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879D82"/>
    <w:multiLevelType w:val="singleLevel"/>
    <w:tmpl w:val="E2879D82"/>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MTQ1YTIzZTZlMGFlNjVjMjEzZGNjMzAxZjAxZmEifQ=="/>
  </w:docVars>
  <w:rsids>
    <w:rsidRoot w:val="00000000"/>
    <w:rsid w:val="00B27E97"/>
    <w:rsid w:val="013D6241"/>
    <w:rsid w:val="03A145D2"/>
    <w:rsid w:val="099435B4"/>
    <w:rsid w:val="0D7B136B"/>
    <w:rsid w:val="13492031"/>
    <w:rsid w:val="27BA7D18"/>
    <w:rsid w:val="2FDD14A7"/>
    <w:rsid w:val="34637732"/>
    <w:rsid w:val="353E2C35"/>
    <w:rsid w:val="3B31537A"/>
    <w:rsid w:val="42C159A0"/>
    <w:rsid w:val="478F5F81"/>
    <w:rsid w:val="497F234A"/>
    <w:rsid w:val="4C664853"/>
    <w:rsid w:val="51FC0699"/>
    <w:rsid w:val="60223A55"/>
    <w:rsid w:val="62342220"/>
    <w:rsid w:val="688C6FE4"/>
    <w:rsid w:val="71DC40A5"/>
    <w:rsid w:val="785E5EC2"/>
    <w:rsid w:val="7ECC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Normal]"/>
    <w:qFormat/>
    <w:uiPriority w:val="6"/>
    <w:rPr>
      <w:rFonts w:ascii="宋体" w:hAnsi="宋体" w:eastAsia="宋体" w:cs="Times New Roman"/>
      <w:sz w:val="24"/>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2023-08-25T01:21:55Z</dcterms:created>
  <dc:creator>Administrator</dc:creator>
  <cp:lastModifiedBy>唐砰砰</cp:lastModifiedBy>
  <dcterms:modified xsi:type="dcterms:W3CDTF">2023-08-25T02:52:47Z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E564E1AC5E7441D1AD171881F7A24B60_12</vt:lpwstr>
  </property>
</Properties>
</file>