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200" w:firstLineChars="500"/>
        <w:jc w:val="left"/>
        <w:rPr>
          <w:rFonts w:hint="default"/>
          <w:b/>
          <w:bCs/>
          <w:sz w:val="32"/>
          <w:szCs w:val="40"/>
          <w:lang w:val="en-US" w:eastAsia="zh-CN"/>
        </w:rPr>
      </w:pPr>
      <w:r>
        <w:rPr>
          <w:rFonts w:hint="eastAsia"/>
          <w:b w:val="0"/>
          <w:bCs w:val="0"/>
          <w:sz w:val="24"/>
          <w:szCs w:val="32"/>
          <w:lang w:val="en-US" w:eastAsia="zh-CN"/>
        </w:rPr>
        <w:t>附件1：</w:t>
      </w:r>
    </w:p>
    <w:p>
      <w:pPr>
        <w:ind w:firstLine="1446" w:firstLineChars="400"/>
        <w:rPr>
          <w:rFonts w:hint="eastAsia"/>
          <w:b/>
          <w:bCs/>
          <w:sz w:val="36"/>
          <w:szCs w:val="44"/>
          <w:lang w:val="en-US" w:eastAsia="zh-CN"/>
        </w:rPr>
      </w:pPr>
      <w:r>
        <w:rPr>
          <w:rFonts w:hint="eastAsia"/>
          <w:b/>
          <w:bCs/>
          <w:sz w:val="36"/>
          <w:szCs w:val="44"/>
          <w:lang w:val="en-US" w:eastAsia="zh-CN"/>
        </w:rPr>
        <w:t>2022年度部门整体支出绩效自评报告</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both"/>
        <w:textAlignment w:val="bottom"/>
        <w:rPr>
          <w:rFonts w:hint="eastAsia" w:ascii="仿宋" w:hAnsi="仿宋" w:eastAsia="仿宋" w:cs="仿宋"/>
          <w:sz w:val="28"/>
          <w:szCs w:val="28"/>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100" w:beforeAutospacing="0" w:after="100" w:afterAutospacing="0" w:line="590" w:lineRule="atLeast"/>
        <w:ind w:left="0" w:right="0" w:firstLine="600"/>
        <w:jc w:val="left"/>
        <w:rPr>
          <w:rFonts w:hint="eastAsia" w:ascii="仿宋" w:hAnsi="仿宋" w:eastAsia="仿宋" w:cs="仿宋"/>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单位基本情况</w:t>
      </w:r>
      <w:r>
        <w:rPr>
          <w:rFonts w:hint="eastAsia" w:ascii="仿宋" w:hAnsi="仿宋" w:eastAsia="仿宋" w:cs="仿宋"/>
          <w:color w:val="000000"/>
          <w:kern w:val="0"/>
          <w:sz w:val="28"/>
          <w:szCs w:val="28"/>
          <w:lang w:val="en-US" w:eastAsia="zh-CN" w:bidi="ar"/>
        </w:rPr>
        <w:t xml:space="preserve">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00" w:beforeAutospacing="0" w:after="100" w:afterAutospacing="0" w:line="590" w:lineRule="atLeast"/>
        <w:ind w:left="600" w:leftChars="0" w:right="0" w:rightChars="0" w:firstLine="560" w:firstLineChars="200"/>
        <w:jc w:val="left"/>
        <w:rPr>
          <w:rFonts w:hint="eastAsia" w:ascii="仿宋" w:hAnsi="仿宋" w:eastAsia="仿宋" w:cs="仿宋"/>
          <w:b/>
          <w:bCs/>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衡山县殡仪馆目前实有合同编制19人。事业编制8人，劳务派遣人员11人。负责遗体接运、遗体火化，提供殡葬礼仪服务、遗体处置、遗体冷藏、悼念厅租用、餐饮对外等延伸性服务及丧葬用品服务；在编实有车辆3辆，2台殡仪接运车，1台馆内事务用车。</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100" w:beforeAutospacing="0" w:after="100" w:afterAutospacing="0" w:line="590" w:lineRule="atLeast"/>
        <w:ind w:left="0" w:leftChars="0" w:right="0" w:rightChars="0" w:firstLine="600" w:firstLineChars="0"/>
        <w:jc w:val="left"/>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预算支出及绩效情况</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100" w:beforeAutospacing="0" w:after="100" w:afterAutospacing="0" w:line="590" w:lineRule="atLeast"/>
        <w:ind w:left="600" w:leftChars="0" w:right="0" w:rightChars="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部门预决算情况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00" w:beforeAutospacing="0" w:after="100" w:afterAutospacing="0" w:line="590" w:lineRule="atLeast"/>
        <w:ind w:right="0" w:rightChars="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       2022年年初预算安排收入70.14万元，其中一般公共财政拨款70.14万元；2022年年初预算安排支出70.14万元，即基本支出70.14万元，</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100" w:beforeAutospacing="0" w:after="100" w:afterAutospacing="0" w:line="590" w:lineRule="atLeast"/>
        <w:ind w:left="600" w:leftChars="0" w:right="0" w:rightChars="0" w:firstLine="0" w:firstLineChars="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非税收入管理</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00" w:beforeAutospacing="0" w:after="100" w:afterAutospacing="0" w:line="590" w:lineRule="atLeast"/>
        <w:ind w:left="600" w:leftChars="0" w:right="0" w:rightChars="0" w:firstLine="560" w:firstLineChars="200"/>
        <w:jc w:val="left"/>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衡山县殡仪馆为财政全额拨款事业单位，设定非税收入项目、范围、标准；非税收入全部上缴财政国库。</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100" w:beforeAutospacing="0" w:after="100" w:afterAutospacing="0" w:line="590" w:lineRule="atLeast"/>
        <w:ind w:left="600" w:leftChars="0" w:right="0" w:rightChars="0" w:firstLine="0" w:firstLineChars="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部门决算情况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00" w:beforeAutospacing="0" w:after="100" w:afterAutospacing="0" w:line="590" w:lineRule="atLeast"/>
        <w:ind w:left="600" w:leftChars="0" w:right="0" w:rightChars="0" w:firstLine="560" w:firstLineChars="20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2022年总决算收入341.03万元，较预算增加270.89万元，总支出341.03万元，为基本支出，无项目支出。差异产生的主要原因是财政只安排在编人员的工资福利等人员支出的年初预算，殡仪馆的日常运行及固定资产购置等均由非税收入按比例方式拨款来维持日常业务活动费用。</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100" w:beforeAutospacing="0" w:after="100" w:afterAutospacing="0" w:line="590" w:lineRule="atLeast"/>
        <w:ind w:left="600" w:leftChars="0" w:right="0" w:rightChars="0" w:firstLine="0" w:firstLineChars="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“三公”经费执行情况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00" w:beforeAutospacing="0" w:after="100" w:afterAutospacing="0" w:line="590" w:lineRule="atLeast"/>
        <w:ind w:right="0" w:rightChars="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       2022年“三公”经费无预算数，2022年度一般公共预算财政拨款“三公”经费支出决算数为4.13万元，其中公务用车运行维护费支出4.08万元（殡仪用车），主要用于（殡葬业务）所需车辆燃料费、维修费、过桥过路费、保险费等，占98.78%；公务接待费支出560.00元（衡南县殡仪馆交流工作），占1.22%。</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100" w:beforeAutospacing="0" w:after="100" w:afterAutospacing="0" w:line="590" w:lineRule="atLeast"/>
        <w:ind w:left="600" w:leftChars="0" w:right="0" w:rightChars="0" w:firstLine="0" w:firstLineChars="0"/>
        <w:jc w:val="left"/>
        <w:rPr>
          <w:rFonts w:hint="eastAsia" w:ascii="仿宋" w:hAnsi="仿宋" w:eastAsia="仿宋" w:cs="仿宋"/>
          <w:b w:val="0"/>
          <w:bCs w:val="0"/>
          <w:color w:val="000000"/>
          <w:kern w:val="0"/>
          <w:sz w:val="28"/>
          <w:szCs w:val="28"/>
          <w:lang w:val="en-US" w:eastAsia="zh-CN" w:bidi="ar"/>
        </w:rPr>
      </w:pPr>
      <w:r>
        <w:rPr>
          <w:rFonts w:hint="eastAsia" w:ascii="仿宋" w:hAnsi="仿宋" w:eastAsia="仿宋" w:cs="仿宋"/>
          <w:b w:val="0"/>
          <w:bCs w:val="0"/>
          <w:color w:val="000000"/>
          <w:kern w:val="0"/>
          <w:sz w:val="28"/>
          <w:szCs w:val="28"/>
          <w:lang w:val="en-US" w:eastAsia="zh-CN" w:bidi="ar"/>
        </w:rPr>
        <w:t>政府采购执行情况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00" w:beforeAutospacing="0" w:after="100" w:afterAutospacing="0" w:line="590" w:lineRule="atLeast"/>
        <w:ind w:left="600" w:leftChars="0" w:right="0" w:rightChars="0" w:firstLine="560" w:firstLineChars="20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2022年度政府采购支出按《政府采购法》执行采购程序，按要求完成填报乡村振兴“832”振兴馆 的1.5万元份额；</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100" w:beforeAutospacing="0" w:after="100" w:afterAutospacing="0" w:line="590" w:lineRule="atLeast"/>
        <w:ind w:left="600" w:leftChars="0" w:right="0" w:rightChars="0" w:firstLine="0" w:firstLineChars="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资产管理情况 </w:t>
      </w:r>
      <w:bookmarkStart w:id="0" w:name="_GoBack"/>
      <w:bookmarkEnd w:id="0"/>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00" w:beforeAutospacing="0" w:after="100" w:afterAutospacing="0" w:line="590" w:lineRule="atLeast"/>
        <w:ind w:left="600" w:leftChars="0" w:right="0" w:rightChars="0" w:firstLine="56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28"/>
          <w:szCs w:val="28"/>
          <w:lang w:val="en-US" w:eastAsia="zh-CN" w:bidi="ar"/>
        </w:rPr>
        <w:t>2022年年末资产总额53.17万元，国有资产及时登记入账，按规定进行资产清查。因衡山县殡仪馆2020年才正式运行，2020年之前筹备建设期间的房屋、道路、火化设备及办公设备的资产在衡山县殡仪馆项目帐套，由上级单位衡山县民政局管理。</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100" w:beforeAutospacing="0" w:after="100" w:afterAutospacing="0" w:line="590" w:lineRule="atLeast"/>
        <w:ind w:left="600" w:leftChars="0" w:right="0" w:rightChars="0" w:firstLine="0" w:firstLineChars="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单位暂无往来款项管理情况。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00" w:beforeAutospacing="0" w:after="100" w:afterAutospacing="0" w:line="590" w:lineRule="atLeast"/>
        <w:ind w:left="600" w:leftChars="0" w:right="0" w:rightChars="0"/>
        <w:jc w:val="left"/>
        <w:rPr>
          <w:rFonts w:hint="eastAsia" w:ascii="仿宋" w:hAnsi="仿宋" w:eastAsia="仿宋" w:cs="仿宋"/>
          <w:b/>
          <w:bCs/>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三、</w:t>
      </w:r>
      <w:r>
        <w:rPr>
          <w:rFonts w:hint="eastAsia" w:ascii="仿宋" w:hAnsi="仿宋" w:eastAsia="仿宋" w:cs="仿宋"/>
          <w:b/>
          <w:bCs/>
          <w:color w:val="000000"/>
          <w:kern w:val="0"/>
          <w:sz w:val="28"/>
          <w:szCs w:val="28"/>
          <w:lang w:val="en-US" w:eastAsia="zh-CN" w:bidi="ar"/>
        </w:rPr>
        <w:t>绩效目标完成情况分析</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100" w:beforeAutospacing="0" w:after="100" w:afterAutospacing="0" w:line="590" w:lineRule="atLeast"/>
        <w:ind w:left="600" w:leftChars="0" w:right="0" w:rightChars="0" w:firstLine="0" w:firstLineChars="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殡仪馆业务开展情况：截止2022年12月，殡仪馆共计火化遗体535具；殡仪礼厅开展治丧活动275场（一户一场），较好的完成了上级部门下达的火化指标和治丧任务，满足了群众的治丧需求。为方便群众，提升殡仪服务，我馆全年不休节假日，确保了遗体接运、治丧、火化、告别、丧葬用品配套销售、骨灰寄存、餐厅等各岗位24小时全天侯有人值班，随时为丧属提供优质服务。</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100" w:beforeAutospacing="0" w:after="100" w:afterAutospacing="0" w:line="590" w:lineRule="atLeast"/>
        <w:ind w:left="600" w:leftChars="0" w:right="0" w:rightChars="0" w:firstLine="0" w:firstLineChars="0"/>
        <w:jc w:val="left"/>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绩效指标完成情况分析</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00" w:beforeAutospacing="0" w:after="100" w:afterAutospacing="0" w:line="590" w:lineRule="atLeast"/>
        <w:ind w:left="600" w:leftChars="0" w:right="0" w:rightChars="0"/>
        <w:jc w:val="left"/>
        <w:rPr>
          <w:rFonts w:hint="eastAsia" w:ascii="仿宋" w:hAnsi="仿宋" w:eastAsia="仿宋" w:cs="仿宋"/>
          <w:color w:val="000000"/>
          <w:kern w:val="0"/>
          <w:sz w:val="28"/>
          <w:szCs w:val="28"/>
          <w:lang w:val="en-US" w:eastAsia="zh-CN" w:bidi="ar"/>
        </w:rPr>
      </w:pPr>
      <w:r>
        <w:rPr>
          <w:rFonts w:hint="default" w:ascii="Calibri" w:hAnsi="Calibri" w:eastAsia="仿宋" w:cs="Calibri"/>
          <w:color w:val="000000"/>
          <w:kern w:val="0"/>
          <w:sz w:val="28"/>
          <w:szCs w:val="28"/>
          <w:lang w:val="en-US" w:eastAsia="zh-CN" w:bidi="ar"/>
        </w:rPr>
        <w:t>①</w:t>
      </w:r>
      <w:r>
        <w:rPr>
          <w:rFonts w:hint="eastAsia" w:ascii="仿宋" w:hAnsi="仿宋" w:eastAsia="仿宋" w:cs="仿宋"/>
          <w:color w:val="000000"/>
          <w:kern w:val="0"/>
          <w:sz w:val="28"/>
          <w:szCs w:val="28"/>
          <w:lang w:val="en-US" w:eastAsia="zh-CN" w:bidi="ar"/>
        </w:rPr>
        <w:t>数量指标：处置无名尸体及灾害事故人员 4名，配合县公安局、县各医院衔接刑侦案件和突发事件 5次。免除城乡居民基本殡葬补贴416人次，计56.81万元。</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00" w:beforeAutospacing="0" w:after="100" w:afterAutospacing="0" w:line="590" w:lineRule="atLeast"/>
        <w:ind w:left="600" w:leftChars="0" w:right="0" w:rightChars="0"/>
        <w:jc w:val="left"/>
        <w:rPr>
          <w:rFonts w:hint="eastAsia" w:ascii="仿宋" w:hAnsi="仿宋" w:eastAsia="仿宋" w:cs="仿宋"/>
          <w:color w:val="000000"/>
          <w:kern w:val="0"/>
          <w:sz w:val="28"/>
          <w:szCs w:val="28"/>
          <w:lang w:val="en-US" w:eastAsia="zh-CN" w:bidi="ar"/>
        </w:rPr>
      </w:pPr>
      <w:r>
        <w:rPr>
          <w:rFonts w:hint="default" w:ascii="Calibri" w:hAnsi="Calibri" w:eastAsia="仿宋" w:cs="Calibri"/>
          <w:color w:val="000000"/>
          <w:kern w:val="0"/>
          <w:sz w:val="28"/>
          <w:szCs w:val="28"/>
          <w:lang w:val="en-US" w:eastAsia="zh-CN" w:bidi="ar"/>
        </w:rPr>
        <w:t>②</w:t>
      </w:r>
      <w:r>
        <w:rPr>
          <w:rFonts w:hint="eastAsia" w:ascii="仿宋" w:hAnsi="仿宋" w:eastAsia="仿宋" w:cs="仿宋"/>
          <w:color w:val="000000"/>
          <w:kern w:val="0"/>
          <w:sz w:val="28"/>
          <w:szCs w:val="28"/>
          <w:lang w:val="en-US" w:eastAsia="zh-CN" w:bidi="ar"/>
        </w:rPr>
        <w:t>质量指标：促进殡葬事业改革发展，改善当地民生服务，达到年初计划质量达100%。</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00" w:beforeAutospacing="0" w:after="100" w:afterAutospacing="0" w:line="590" w:lineRule="atLeast"/>
        <w:ind w:left="600" w:leftChars="0" w:right="0" w:rightChars="0"/>
        <w:jc w:val="left"/>
        <w:rPr>
          <w:rFonts w:hint="eastAsia" w:ascii="仿宋" w:hAnsi="仿宋" w:eastAsia="仿宋" w:cs="仿宋"/>
          <w:color w:val="000000"/>
          <w:kern w:val="0"/>
          <w:sz w:val="28"/>
          <w:szCs w:val="28"/>
          <w:lang w:val="en-US" w:eastAsia="zh-CN" w:bidi="ar"/>
        </w:rPr>
      </w:pPr>
      <w:r>
        <w:rPr>
          <w:rFonts w:hint="default" w:ascii="Calibri" w:hAnsi="Calibri" w:eastAsia="仿宋" w:cs="Calibri"/>
          <w:color w:val="000000"/>
          <w:kern w:val="0"/>
          <w:sz w:val="28"/>
          <w:szCs w:val="28"/>
          <w:lang w:val="en-US" w:eastAsia="zh-CN" w:bidi="ar"/>
        </w:rPr>
        <w:t>③</w:t>
      </w:r>
      <w:r>
        <w:rPr>
          <w:rFonts w:hint="eastAsia" w:ascii="仿宋" w:hAnsi="仿宋" w:eastAsia="仿宋" w:cs="仿宋"/>
          <w:color w:val="000000"/>
          <w:kern w:val="0"/>
          <w:sz w:val="28"/>
          <w:szCs w:val="28"/>
          <w:lang w:val="en-US" w:eastAsia="zh-CN" w:bidi="ar"/>
        </w:rPr>
        <w:t>成本指标：基本支出控制在预算范围内，全年完成值为100%。</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00" w:beforeAutospacing="0" w:after="100" w:afterAutospacing="0" w:line="590" w:lineRule="atLeast"/>
        <w:ind w:right="0" w:rightChars="0" w:firstLine="560" w:firstLineChars="200"/>
        <w:jc w:val="left"/>
        <w:rPr>
          <w:rFonts w:hint="eastAsia" w:ascii="仿宋" w:hAnsi="仿宋" w:eastAsia="仿宋" w:cs="仿宋"/>
          <w:color w:val="000000"/>
          <w:kern w:val="0"/>
          <w:sz w:val="28"/>
          <w:szCs w:val="28"/>
          <w:lang w:val="en-US" w:eastAsia="zh-CN" w:bidi="ar"/>
        </w:rPr>
      </w:pPr>
      <w:r>
        <w:rPr>
          <w:rFonts w:hint="eastAsia" w:ascii="微软雅黑" w:hAnsi="微软雅黑" w:eastAsia="微软雅黑" w:cs="微软雅黑"/>
          <w:color w:val="000000"/>
          <w:kern w:val="0"/>
          <w:sz w:val="28"/>
          <w:szCs w:val="28"/>
          <w:lang w:val="en-US" w:eastAsia="zh-CN" w:bidi="ar"/>
        </w:rPr>
        <w:t>④</w:t>
      </w:r>
      <w:r>
        <w:rPr>
          <w:rFonts w:hint="eastAsia" w:ascii="仿宋" w:hAnsi="仿宋" w:eastAsia="仿宋" w:cs="仿宋"/>
          <w:color w:val="000000"/>
          <w:kern w:val="0"/>
          <w:sz w:val="28"/>
          <w:szCs w:val="28"/>
          <w:lang w:val="en-US" w:eastAsia="zh-CN" w:bidi="ar"/>
        </w:rPr>
        <w:t>社会效益指标：提升殡葬服务水平，改善治丧环境，满足当地群众对殡葬服务的需求，促进社会和谐，维护社会稳定，促进殡葬改革，革除丧葬陋习。</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00" w:beforeAutospacing="0" w:after="100" w:afterAutospacing="0" w:line="590" w:lineRule="atLeast"/>
        <w:ind w:left="600" w:leftChars="0" w:right="0" w:rightChars="0"/>
        <w:jc w:val="left"/>
        <w:rPr>
          <w:rFonts w:hint="eastAsia" w:ascii="仿宋" w:hAnsi="仿宋" w:eastAsia="仿宋" w:cs="仿宋"/>
          <w:color w:val="000000"/>
          <w:kern w:val="0"/>
          <w:sz w:val="28"/>
          <w:szCs w:val="28"/>
          <w:lang w:val="en-US" w:eastAsia="zh-CN" w:bidi="ar"/>
        </w:rPr>
      </w:pPr>
      <w:r>
        <w:rPr>
          <w:rFonts w:hint="eastAsia" w:ascii="微软雅黑" w:hAnsi="微软雅黑" w:eastAsia="微软雅黑" w:cs="微软雅黑"/>
          <w:color w:val="000000"/>
          <w:kern w:val="0"/>
          <w:sz w:val="28"/>
          <w:szCs w:val="28"/>
          <w:lang w:val="en-US" w:eastAsia="zh-CN" w:bidi="ar"/>
        </w:rPr>
        <w:t>⑤</w:t>
      </w:r>
      <w:r>
        <w:rPr>
          <w:rFonts w:hint="eastAsia" w:ascii="仿宋" w:hAnsi="仿宋" w:eastAsia="仿宋" w:cs="仿宋"/>
          <w:color w:val="000000"/>
          <w:kern w:val="0"/>
          <w:sz w:val="28"/>
          <w:szCs w:val="28"/>
          <w:lang w:val="en-US" w:eastAsia="zh-CN" w:bidi="ar"/>
        </w:rPr>
        <w:t>可持续影响指标:维护殡葬行业稳健发展。</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00" w:beforeAutospacing="0" w:after="100" w:afterAutospacing="0" w:line="590" w:lineRule="atLeast"/>
        <w:ind w:right="0" w:rightChars="0" w:firstLine="560" w:firstLineChars="200"/>
        <w:jc w:val="left"/>
        <w:rPr>
          <w:rFonts w:hint="eastAsia" w:ascii="仿宋" w:hAnsi="仿宋" w:eastAsia="仿宋" w:cs="仿宋"/>
          <w:color w:val="000000"/>
          <w:kern w:val="0"/>
          <w:sz w:val="28"/>
          <w:szCs w:val="28"/>
          <w:lang w:val="en-US" w:eastAsia="zh-CN" w:bidi="ar"/>
        </w:rPr>
      </w:pPr>
      <w:r>
        <w:rPr>
          <w:rFonts w:hint="eastAsia" w:ascii="微软雅黑" w:hAnsi="微软雅黑" w:eastAsia="微软雅黑" w:cs="微软雅黑"/>
          <w:color w:val="000000"/>
          <w:kern w:val="0"/>
          <w:sz w:val="28"/>
          <w:szCs w:val="28"/>
          <w:lang w:val="en-US" w:eastAsia="zh-CN" w:bidi="ar"/>
        </w:rPr>
        <w:t>⑥</w:t>
      </w:r>
      <w:r>
        <w:rPr>
          <w:rFonts w:hint="eastAsia" w:ascii="仿宋" w:hAnsi="仿宋" w:eastAsia="仿宋" w:cs="仿宋"/>
          <w:color w:val="000000"/>
          <w:kern w:val="0"/>
          <w:sz w:val="28"/>
          <w:szCs w:val="28"/>
          <w:lang w:val="en-US" w:eastAsia="zh-CN" w:bidi="ar"/>
        </w:rPr>
        <w:t>服务对象满意度指标：受益人群满意度95%；社会群众满意度96%。</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00" w:beforeAutospacing="0" w:after="100" w:afterAutospacing="0" w:line="590" w:lineRule="atLeast"/>
        <w:ind w:left="600" w:leftChars="0" w:right="0" w:rightChars="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四、评价结果</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100" w:beforeAutospacing="0" w:after="100" w:afterAutospacing="0" w:line="590" w:lineRule="atLeast"/>
        <w:ind w:left="600" w:leftChars="0" w:right="0" w:rightChars="0" w:firstLine="0" w:firstLineChars="0"/>
        <w:jc w:val="left"/>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我单位自评得分91分，已达到预期绩效目标。</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100" w:beforeAutospacing="0" w:after="100" w:afterAutospacing="0" w:line="590" w:lineRule="atLeast"/>
        <w:ind w:left="600" w:leftChars="0" w:right="0" w:rightChars="0" w:firstLine="0" w:firstLineChars="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衡山县殡仪馆于2020年开始试营业，至2022年才三个年头，工作当中还有许多有待完善和改进的薄弱环节，只有认真贯彻落实党和国家的路线、方针、政策、法律、法规，宣传殡葬改革政策，引导群众树立科学、文明、健康的丧葬习俗。在具体工作实践中严格按照政府规定规范工作流程，及时改正工作中的不足之处，随时接受财政及社会公众的监督。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00" w:beforeAutospacing="0" w:after="100" w:afterAutospacing="0" w:line="590" w:lineRule="atLeast"/>
        <w:ind w:right="0" w:rightChars="0"/>
        <w:jc w:val="left"/>
        <w:rPr>
          <w:rFonts w:hint="eastAsia" w:ascii="仿宋" w:hAnsi="仿宋" w:eastAsia="仿宋" w:cs="仿宋"/>
          <w:color w:val="000000"/>
          <w:kern w:val="0"/>
          <w:sz w:val="28"/>
          <w:szCs w:val="28"/>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00" w:beforeAutospacing="0" w:after="100" w:afterAutospacing="0" w:line="590" w:lineRule="atLeast"/>
        <w:ind w:right="0" w:rightChars="0"/>
        <w:jc w:val="left"/>
        <w:rPr>
          <w:rFonts w:hint="eastAsia" w:ascii="仿宋" w:hAnsi="仿宋" w:eastAsia="仿宋" w:cs="仿宋"/>
          <w:color w:val="000000"/>
          <w:kern w:val="0"/>
          <w:sz w:val="28"/>
          <w:szCs w:val="28"/>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00" w:beforeAutospacing="0" w:after="100" w:afterAutospacing="0" w:line="590" w:lineRule="atLeast"/>
        <w:ind w:right="0" w:rightChars="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28"/>
          <w:szCs w:val="28"/>
          <w:lang w:val="en-US" w:eastAsia="zh-CN" w:bidi="ar"/>
        </w:rPr>
        <w:t xml:space="preserve">                                             </w:t>
      </w:r>
      <w:r>
        <w:rPr>
          <w:rFonts w:hint="eastAsia" w:ascii="仿宋" w:hAnsi="仿宋" w:eastAsia="仿宋" w:cs="仿宋"/>
          <w:color w:val="000000"/>
          <w:kern w:val="0"/>
          <w:sz w:val="32"/>
          <w:szCs w:val="32"/>
          <w:lang w:val="en-US" w:eastAsia="zh-CN" w:bidi="ar"/>
        </w:rPr>
        <w:t>衡山县殡仪馆</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90" w:lineRule="atLeast"/>
        <w:ind w:left="0" w:right="0" w:firstLine="600"/>
        <w:jc w:val="left"/>
        <w:rPr>
          <w:b/>
          <w:bCs/>
        </w:rPr>
      </w:pPr>
      <w:r>
        <w:rPr>
          <w:rFonts w:hint="eastAsia" w:ascii="仿宋" w:hAnsi="仿宋" w:eastAsia="仿宋" w:cs="仿宋"/>
          <w:color w:val="000000"/>
          <w:kern w:val="0"/>
          <w:sz w:val="28"/>
          <w:szCs w:val="28"/>
          <w:lang w:val="en-US" w:eastAsia="zh-CN" w:bidi="ar"/>
        </w:rPr>
        <w:t xml:space="preserve">                                 </w:t>
      </w:r>
    </w:p>
    <w:p>
      <w:pPr>
        <w:tabs>
          <w:tab w:val="left" w:pos="2786"/>
          <w:tab w:val="left" w:pos="5306"/>
          <w:tab w:val="left" w:pos="7346"/>
        </w:tabs>
        <w:spacing w:before="121"/>
        <w:ind w:right="0"/>
        <w:jc w:val="left"/>
        <w:rPr>
          <w:rFonts w:hint="eastAsia" w:ascii="Times New Roman" w:eastAsia="黑体"/>
          <w:lang w:eastAsia="zh-CN"/>
        </w:rPr>
      </w:pPr>
    </w:p>
    <w:p>
      <w:pPr>
        <w:pStyle w:val="4"/>
        <w:keepNext w:val="0"/>
        <w:keepLines w:val="0"/>
        <w:pageBreakBefore w:val="0"/>
        <w:widowControl w:val="0"/>
        <w:kinsoku/>
        <w:wordWrap/>
        <w:overflowPunct/>
        <w:topLinePunct w:val="0"/>
        <w:autoSpaceDE/>
        <w:autoSpaceDN/>
        <w:bidi w:val="0"/>
        <w:adjustRightInd/>
        <w:snapToGrid/>
        <w:textAlignment w:val="auto"/>
        <w:rPr>
          <w:rFonts w:hint="eastAsia" w:ascii="Times New Roman" w:eastAsia="黑体"/>
          <w:lang w:eastAsia="zh-CN"/>
        </w:rPr>
      </w:pPr>
    </w:p>
    <w:p>
      <w:pPr>
        <w:pStyle w:val="4"/>
        <w:keepNext w:val="0"/>
        <w:keepLines w:val="0"/>
        <w:pageBreakBefore w:val="0"/>
        <w:widowControl w:val="0"/>
        <w:kinsoku/>
        <w:wordWrap/>
        <w:overflowPunct/>
        <w:topLinePunct w:val="0"/>
        <w:autoSpaceDE/>
        <w:autoSpaceDN/>
        <w:bidi w:val="0"/>
        <w:adjustRightInd/>
        <w:snapToGrid/>
        <w:textAlignment w:val="auto"/>
        <w:rPr>
          <w:rFonts w:hint="eastAsia" w:ascii="Times New Roman" w:eastAsia="黑体"/>
          <w:lang w:eastAsia="zh-CN"/>
        </w:rPr>
      </w:pPr>
    </w:p>
    <w:p>
      <w:pPr>
        <w:pStyle w:val="4"/>
        <w:keepNext w:val="0"/>
        <w:keepLines w:val="0"/>
        <w:pageBreakBefore w:val="0"/>
        <w:widowControl w:val="0"/>
        <w:kinsoku/>
        <w:wordWrap/>
        <w:overflowPunct/>
        <w:topLinePunct w:val="0"/>
        <w:autoSpaceDE/>
        <w:autoSpaceDN/>
        <w:bidi w:val="0"/>
        <w:adjustRightInd/>
        <w:snapToGrid/>
        <w:textAlignment w:val="auto"/>
        <w:rPr>
          <w:rFonts w:hint="eastAsia" w:ascii="Times New Roman" w:eastAsia="黑体"/>
          <w:lang w:eastAsia="zh-CN"/>
        </w:rPr>
      </w:pPr>
    </w:p>
    <w:p>
      <w:pPr>
        <w:pStyle w:val="4"/>
        <w:keepNext w:val="0"/>
        <w:keepLines w:val="0"/>
        <w:pageBreakBefore w:val="0"/>
        <w:widowControl w:val="0"/>
        <w:kinsoku/>
        <w:wordWrap/>
        <w:overflowPunct/>
        <w:topLinePunct w:val="0"/>
        <w:autoSpaceDE/>
        <w:autoSpaceDN/>
        <w:bidi w:val="0"/>
        <w:adjustRightInd/>
        <w:snapToGrid/>
        <w:textAlignment w:val="auto"/>
        <w:rPr>
          <w:rFonts w:hint="eastAsia" w:ascii="Times New Roman" w:eastAsia="黑体"/>
          <w:lang w:eastAsia="zh-CN"/>
        </w:rPr>
      </w:pPr>
    </w:p>
    <w:tbl>
      <w:tblPr>
        <w:tblStyle w:val="6"/>
        <w:tblpPr w:leftFromText="180" w:rightFromText="180" w:vertAnchor="text" w:tblpX="10214" w:tblpY="-104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1766" w:type="dxa"/>
          </w:tcPr>
          <w:p>
            <w:pPr>
              <w:tabs>
                <w:tab w:val="left" w:pos="2786"/>
                <w:tab w:val="left" w:pos="5306"/>
                <w:tab w:val="left" w:pos="7346"/>
              </w:tabs>
              <w:spacing w:before="121"/>
              <w:ind w:right="0"/>
              <w:jc w:val="left"/>
              <w:rPr>
                <w:sz w:val="24"/>
                <w:vertAlign w:val="baseline"/>
              </w:rPr>
            </w:pPr>
          </w:p>
        </w:tc>
      </w:tr>
    </w:tbl>
    <w:p>
      <w:pPr>
        <w:tabs>
          <w:tab w:val="left" w:pos="2786"/>
          <w:tab w:val="left" w:pos="5306"/>
          <w:tab w:val="left" w:pos="7346"/>
        </w:tabs>
        <w:spacing w:before="121"/>
        <w:ind w:right="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590" w:lineRule="atLeast"/>
        <w:ind w:left="0" w:right="0" w:firstLine="600"/>
        <w:jc w:val="left"/>
        <w:rPr>
          <w:rFonts w:hint="default" w:ascii="仿宋" w:hAnsi="仿宋" w:eastAsia="仿宋" w:cs="仿宋"/>
          <w:color w:val="000000"/>
          <w:kern w:val="0"/>
          <w:sz w:val="28"/>
          <w:szCs w:val="28"/>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5779F5"/>
    <w:multiLevelType w:val="singleLevel"/>
    <w:tmpl w:val="815779F5"/>
    <w:lvl w:ilvl="0" w:tentative="0">
      <w:start w:val="1"/>
      <w:numFmt w:val="decimal"/>
      <w:suff w:val="nothing"/>
      <w:lvlText w:val="%1、"/>
      <w:lvlJc w:val="left"/>
    </w:lvl>
  </w:abstractNum>
  <w:abstractNum w:abstractNumId="1">
    <w:nsid w:val="AC916748"/>
    <w:multiLevelType w:val="singleLevel"/>
    <w:tmpl w:val="AC916748"/>
    <w:lvl w:ilvl="0" w:tentative="0">
      <w:start w:val="1"/>
      <w:numFmt w:val="decimal"/>
      <w:suff w:val="nothing"/>
      <w:lvlText w:val="%1、"/>
      <w:lvlJc w:val="left"/>
    </w:lvl>
  </w:abstractNum>
  <w:abstractNum w:abstractNumId="2">
    <w:nsid w:val="C330AB4B"/>
    <w:multiLevelType w:val="singleLevel"/>
    <w:tmpl w:val="C330AB4B"/>
    <w:lvl w:ilvl="0" w:tentative="0">
      <w:start w:val="1"/>
      <w:numFmt w:val="chineseCounting"/>
      <w:suff w:val="nothing"/>
      <w:lvlText w:val="%1、"/>
      <w:lvlJc w:val="left"/>
      <w:rPr>
        <w:rFonts w:hint="eastAsia"/>
      </w:rPr>
    </w:lvl>
  </w:abstractNum>
  <w:abstractNum w:abstractNumId="3">
    <w:nsid w:val="2393258B"/>
    <w:multiLevelType w:val="singleLevel"/>
    <w:tmpl w:val="2393258B"/>
    <w:lvl w:ilvl="0" w:tentative="0">
      <w:start w:val="1"/>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3ZDkwZTZmZWYwZWEzMTkxOWE3NmFhOTFkODQyNGMifQ=="/>
  </w:docVars>
  <w:rsids>
    <w:rsidRoot w:val="5917697F"/>
    <w:rsid w:val="0FC660CC"/>
    <w:rsid w:val="1CAE4EF3"/>
    <w:rsid w:val="210D3AE1"/>
    <w:rsid w:val="362E5D2D"/>
    <w:rsid w:val="444E5AE1"/>
    <w:rsid w:val="4DAE58F6"/>
    <w:rsid w:val="546B6EBC"/>
    <w:rsid w:val="5917697F"/>
    <w:rsid w:val="5AA906AD"/>
    <w:rsid w:val="5C51512F"/>
    <w:rsid w:val="6FBD48B6"/>
    <w:rsid w:val="76B8045E"/>
    <w:rsid w:val="7C5A7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1"/>
    <w:pPr>
      <w:spacing w:before="47"/>
      <w:ind w:right="14"/>
      <w:jc w:val="center"/>
      <w:outlineLvl w:val="0"/>
    </w:pPr>
    <w:rPr>
      <w:rFonts w:ascii="宋体" w:hAnsi="宋体" w:eastAsia="宋体" w:cs="宋体"/>
      <w:sz w:val="36"/>
      <w:szCs w:val="36"/>
      <w:lang w:val="zh-CN" w:eastAsia="zh-CN" w:bidi="zh-CN"/>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Text1I"/>
    <w:basedOn w:val="1"/>
    <w:qFormat/>
    <w:uiPriority w:val="99"/>
    <w:pPr>
      <w:snapToGrid w:val="0"/>
      <w:spacing w:line="360" w:lineRule="auto"/>
      <w:ind w:firstLine="420" w:firstLineChars="100"/>
    </w:pPr>
    <w:rPr>
      <w:sz w:val="28"/>
      <w:szCs w:val="20"/>
    </w:rPr>
  </w:style>
  <w:style w:type="paragraph" w:styleId="4">
    <w:name w:val="Body Text"/>
    <w:basedOn w:val="1"/>
    <w:qFormat/>
    <w:uiPriority w:val="1"/>
    <w:rPr>
      <w:rFonts w:ascii="仿宋_GB2312" w:hAnsi="仿宋_GB2312" w:eastAsia="仿宋_GB2312" w:cs="仿宋_GB2312"/>
      <w:sz w:val="32"/>
      <w:szCs w:val="32"/>
      <w:lang w:val="zh-CN" w:eastAsia="zh-CN" w:bidi="zh-CN"/>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1332</Words>
  <Characters>1463</Characters>
  <Lines>0</Lines>
  <Paragraphs>0</Paragraphs>
  <TotalTime>195</TotalTime>
  <ScaleCrop>false</ScaleCrop>
  <LinksUpToDate>false</LinksUpToDate>
  <CharactersWithSpaces>1584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2022-06-07T08:25:00Z</dcterms:created>
  <dc:creator>Administrator</dc:creator>
  <cp:lastModifiedBy>[爱心]淼</cp:lastModifiedBy>
  <cp:lastPrinted>2023-08-03T01:46:00Z</cp:lastPrinted>
  <dcterms:modified xsi:type="dcterms:W3CDTF">2023-08-22T08:46:37Z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E15607F3F6FA4DC6893B2B465EEBF042</vt:lpwstr>
  </property>
</Properties>
</file>