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/>
          <w:sz w:val="48"/>
          <w:szCs w:val="48"/>
        </w:rPr>
        <w:t>20</w:t>
      </w:r>
      <w:r>
        <w:rPr>
          <w:rFonts w:hint="eastAsia" w:ascii="方正小标宋_GBK" w:eastAsia="方正小标宋_GBK"/>
          <w:sz w:val="48"/>
          <w:szCs w:val="48"/>
        </w:rPr>
        <w:t>2</w:t>
      </w:r>
      <w:r>
        <w:rPr>
          <w:rFonts w:hint="eastAsia" w:ascii="方正小标宋_GBK" w:eastAsia="方正小标宋_GBK"/>
          <w:sz w:val="48"/>
          <w:szCs w:val="48"/>
          <w:lang w:val="en-US" w:eastAsia="zh-CN"/>
        </w:rPr>
        <w:t>2</w:t>
      </w:r>
      <w:r>
        <w:rPr>
          <w:rFonts w:hint="eastAsia" w:ascii="方正小标宋_GBK" w:eastAsia="方正小标宋_GBK"/>
          <w:sz w:val="48"/>
          <w:szCs w:val="48"/>
        </w:rPr>
        <w:t>年度部门整体支出绩效自评报告</w:t>
      </w:r>
    </w:p>
    <w:p>
      <w:pPr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ascii="宋体" w:eastAsia="宋体" w:cs="宋体"/>
          <w:b/>
          <w:color w:val="000000"/>
          <w:kern w:val="0"/>
          <w:sz w:val="44"/>
          <w:szCs w:val="44"/>
        </w:rPr>
        <w:t>衡山县花鼓戏剧团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（此页为封面）</w:t>
      </w:r>
    </w:p>
    <w:p>
      <w:pPr>
        <w:pStyle w:val="12"/>
        <w:widowControl/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p>
      <w:pPr>
        <w:pStyle w:val="12"/>
        <w:widowControl/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p>
      <w:pPr>
        <w:pStyle w:val="12"/>
        <w:widowControl/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p>
      <w:pPr>
        <w:pStyle w:val="12"/>
        <w:widowControl/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p>
      <w:pPr>
        <w:ind w:firstLine="582" w:firstLineChars="200"/>
        <w:rPr>
          <w:rFonts w:ascii="黑体" w:hAnsi="黑体" w:eastAsia="黑体" w:cs="黑体"/>
          <w:b/>
          <w:bCs/>
          <w:sz w:val="30"/>
          <w:szCs w:val="32"/>
        </w:rPr>
      </w:pPr>
      <w:r>
        <w:rPr>
          <w:rFonts w:hint="eastAsia" w:ascii="黑体" w:hAnsi="黑体" w:eastAsia="黑体" w:cs="黑体"/>
          <w:b/>
          <w:bCs/>
          <w:sz w:val="30"/>
          <w:szCs w:val="32"/>
        </w:rPr>
        <w:t>一、部门、单位基本情况</w:t>
      </w:r>
    </w:p>
    <w:p>
      <w:pPr>
        <w:adjustRightInd w:val="0"/>
        <w:spacing w:line="620" w:lineRule="exact"/>
        <w:ind w:firstLine="582" w:firstLineChars="200"/>
        <w:rPr>
          <w:rFonts w:ascii="楷体" w:hAnsi="楷体" w:eastAsia="仿宋" w:cs="SimSun-Identity-H"/>
          <w:b/>
          <w:bCs/>
          <w:color w:val="000000"/>
          <w:kern w:val="0"/>
          <w:sz w:val="30"/>
          <w:szCs w:val="28"/>
        </w:rPr>
      </w:pPr>
      <w:r>
        <w:rPr>
          <w:rFonts w:hint="eastAsia" w:ascii="楷体" w:hAnsi="楷体" w:eastAsia="仿宋" w:cs="SimSun-Identity-H"/>
          <w:b/>
          <w:bCs/>
          <w:color w:val="000000"/>
          <w:kern w:val="0"/>
          <w:sz w:val="30"/>
          <w:szCs w:val="28"/>
        </w:rPr>
        <w:t>（一）单位主要职责</w:t>
      </w:r>
    </w:p>
    <w:p>
      <w:pPr>
        <w:spacing w:line="570" w:lineRule="atLeast"/>
        <w:ind w:firstLine="622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FUNCRESP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创作生产多姿多彩的剧（节）目,丰富群众文化生活、陶冶观众情操、宣传国家文化方针政策和社会主义精神文明建设；参加全县社区、广场、企业、校园、乡村等各种文化下乡演出活动；传统花鼓灯艺术整理与保护艺术作品；普及戏曲艺术及推广艺术创作表演人才培养，传承戏曲文化；衡山剧院承接县委、县政府各种重要会议接待，承接各外团院校的各类演出工作。</w:t>
      </w:r>
      <w:bookmarkEnd w:id="0"/>
    </w:p>
    <w:p>
      <w:pPr>
        <w:adjustRightInd w:val="0"/>
        <w:spacing w:line="620" w:lineRule="exact"/>
        <w:ind w:firstLine="582" w:firstLineChars="200"/>
        <w:rPr>
          <w:rFonts w:ascii="楷体" w:hAnsi="楷体" w:eastAsia="仿宋" w:cs="SimSun-Identity-H"/>
          <w:b/>
          <w:bCs/>
          <w:color w:val="000000"/>
          <w:kern w:val="0"/>
          <w:sz w:val="30"/>
          <w:szCs w:val="28"/>
        </w:rPr>
      </w:pPr>
      <w:r>
        <w:rPr>
          <w:rFonts w:hint="eastAsia" w:ascii="楷体" w:hAnsi="楷体" w:eastAsia="仿宋" w:cs="SimSun-Identity-H"/>
          <w:b/>
          <w:bCs/>
          <w:color w:val="000000"/>
          <w:kern w:val="0"/>
          <w:sz w:val="30"/>
          <w:szCs w:val="28"/>
        </w:rPr>
        <w:t>（二）机构设置及人员情况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firstLine="62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1" w:name="AGENCY_NAME_TITLE2"/>
      <w:bookmarkStart w:id="2" w:name="ORG_SET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衡山县花鼓戏剧团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为正股级公益类事业单位，差额拨款事业编制15名，设团长1名，副团长2名。</w:t>
      </w:r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现有在职在岗在编职工</w:t>
      </w:r>
      <w:bookmarkStart w:id="3" w:name="JBQK_XYZGZBZGR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14</w:t>
      </w:r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人，离退休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人，临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聘人员7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582" w:firstLineChars="20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  <w:t>预算支出及绩效情况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2" w:firstLineChars="200"/>
        <w:jc w:val="both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一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部门预决算情况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2" w:firstLineChars="200"/>
        <w:jc w:val="both"/>
        <w:outlineLvl w:val="0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3"/>
          <w:szCs w:val="33"/>
        </w:rPr>
        <w:t>1.部门预算情况</w:t>
      </w:r>
    </w:p>
    <w:p>
      <w:pPr>
        <w:widowControl/>
        <w:shd w:val="clear" w:color="auto" w:fill="FFFFFF"/>
        <w:spacing w:line="420" w:lineRule="atLeast"/>
        <w:ind w:firstLine="582" w:firstLineChars="200"/>
        <w:jc w:val="left"/>
        <w:textAlignment w:val="bottom"/>
        <w:rPr>
          <w:rFonts w:hint="eastAsia" w:ascii="仿宋" w:hAnsi="仿宋" w:eastAsia="仿宋" w:cs="Calibri"/>
          <w:color w:val="000000"/>
          <w:kern w:val="0"/>
          <w:sz w:val="3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衡山县花鼓戏剧团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部门202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2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年收入预算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204.51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万元，其中：一般公共预算财政拨款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204.51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万元，纳入预算管理的非税收入拨款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0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万元。全年支出预算总计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204.51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万元，其中基本支出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100.51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万元（工资福利支出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94.51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万元、一般商品和服务支出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0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万元、对个人和家庭的补助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6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万元）、项目支出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  <w:lang w:val="en-US" w:eastAsia="zh-CN"/>
        </w:rPr>
        <w:t>104</w:t>
      </w:r>
      <w:r>
        <w:rPr>
          <w:rFonts w:hint="eastAsia" w:ascii="仿宋" w:hAnsi="仿宋" w:eastAsia="仿宋" w:cs="Calibri"/>
          <w:color w:val="000000"/>
          <w:kern w:val="0"/>
          <w:sz w:val="30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2" w:firstLineChars="200"/>
        <w:jc w:val="both"/>
        <w:outlineLvl w:val="0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3"/>
          <w:szCs w:val="33"/>
        </w:rPr>
        <w:t>2.部门决算情况</w:t>
      </w: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3"/>
          <w:szCs w:val="33"/>
        </w:rPr>
        <w:t>含年中预算追加情况</w:t>
      </w: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3"/>
          <w:szCs w:val="33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2" w:firstLineChars="200"/>
        <w:jc w:val="both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2022年决算总收入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305.25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万元，较预算增加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100.74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万元，总支出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304.24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万元，其中：基本支出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148.12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万元，占总支出的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49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%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；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项目支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出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156.12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万元，占总支出的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51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%。差异产生的主要原因是</w:t>
      </w:r>
      <w:r>
        <w:rPr>
          <w:rFonts w:hint="eastAsia" w:eastAsia="仿宋" w:cs="Times New Roman"/>
          <w:spacing w:val="0"/>
          <w:position w:val="0"/>
          <w:sz w:val="33"/>
          <w:szCs w:val="33"/>
          <w:lang w:eastAsia="zh-CN"/>
        </w:rPr>
        <w:t>年中增加项目预算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2" w:firstLineChars="200"/>
        <w:jc w:val="both"/>
        <w:outlineLvl w:val="0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3"/>
          <w:szCs w:val="33"/>
        </w:rPr>
        <w:t>3.</w:t>
      </w: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3"/>
          <w:szCs w:val="33"/>
        </w:rPr>
        <w:t>三公</w:t>
      </w: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3"/>
          <w:szCs w:val="33"/>
        </w:rPr>
        <w:t>经费执行情况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2" w:firstLineChars="200"/>
        <w:jc w:val="both"/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2022年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三公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经费预算数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万元，其中：因公出国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境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费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万元，公务用车购置及运行维护费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万元，公务接待费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万元。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三公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经费决算数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元，其中：因公出国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境</w:t>
      </w:r>
      <w:r>
        <w:rPr>
          <w:rFonts w:hint="eastAsia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费</w:t>
      </w:r>
      <w:r>
        <w:rPr>
          <w:rFonts w:hint="eastAsia" w:eastAsia="仿宋" w:cs="Times New Roman"/>
          <w:spacing w:val="0"/>
          <w:position w:val="0"/>
          <w:sz w:val="33"/>
          <w:szCs w:val="33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万元，公务用车运行维护费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万元，公务接待费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outlineLvl w:val="0"/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1"/>
          <w:szCs w:val="31"/>
        </w:rPr>
        <w:t>4.政府采购执行情况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2022年度政府采购支出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38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万元，其中：货物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万元，工程</w:t>
      </w:r>
      <w:r>
        <w:rPr>
          <w:rFonts w:hint="eastAsia" w:eastAsia="仿宋" w:cs="Times New Roman"/>
          <w:b w:val="0"/>
          <w:bCs w:val="0"/>
          <w:spacing w:val="0"/>
          <w:position w:val="0"/>
          <w:sz w:val="31"/>
          <w:szCs w:val="31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万元，服务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17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outlineLvl w:val="0"/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1"/>
          <w:szCs w:val="31"/>
        </w:rPr>
        <w:t>5.资产管理情况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2022年年末资产总额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174.89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万元，负债总额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万元，净资产</w:t>
      </w:r>
      <w:r>
        <w:rPr>
          <w:rFonts w:hint="eastAsia" w:eastAsia="仿宋" w:cs="Times New Roman"/>
          <w:b w:val="0"/>
          <w:bCs w:val="0"/>
          <w:spacing w:val="0"/>
          <w:position w:val="0"/>
          <w:sz w:val="31"/>
          <w:szCs w:val="31"/>
          <w:lang w:val="en-US" w:eastAsia="zh-CN"/>
        </w:rPr>
        <w:t>174.89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万元。截至2022年12月31日，固定资产账面原值170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68万元，在用资产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170.68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万元，资产使用率</w:t>
      </w:r>
      <w:r>
        <w:rPr>
          <w:rFonts w:hint="eastAsia" w:eastAsia="仿宋" w:cs="Times New Roman"/>
          <w:spacing w:val="0"/>
          <w:position w:val="0"/>
          <w:sz w:val="31"/>
          <w:szCs w:val="31"/>
          <w:lang w:val="en-US" w:eastAsia="zh-CN"/>
        </w:rPr>
        <w:t>100</w:t>
      </w:r>
      <w:r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</w:pP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1"/>
          <w:szCs w:val="31"/>
        </w:rPr>
        <w:t>二</w:t>
      </w: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1"/>
          <w:szCs w:val="31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1"/>
          <w:szCs w:val="31"/>
        </w:rPr>
        <w:t>资金使用及绩效情况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rPr>
          <w:rFonts w:hint="default" w:ascii="Times New Roman" w:hAnsi="Times New Roman" w:eastAsia="仿宋" w:cs="Times New Roman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1"/>
          <w:szCs w:val="31"/>
        </w:rPr>
        <w:t>1.整体绩效目标完成情况</w:t>
      </w:r>
    </w:p>
    <w:p>
      <w:pPr>
        <w:pStyle w:val="8"/>
        <w:rPr>
          <w:rFonts w:hint="eastAsia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我</w:t>
      </w:r>
      <w:r>
        <w:rPr>
          <w:rFonts w:hint="eastAsia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团</w:t>
      </w:r>
      <w:r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积极履职，强化管理，较好的完成了年度工作目标。通过加强预算收支管理，不断建立健全内部管理制度，梳理内部管理流程，部门整体支出管理水平得到提升。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02" w:firstLineChars="200"/>
        <w:jc w:val="both"/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1"/>
          <w:szCs w:val="3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1"/>
          <w:szCs w:val="31"/>
        </w:rPr>
        <w:t>2.项目绩效目标完成情况</w:t>
      </w: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spacing w:val="0"/>
          <w:position w:val="0"/>
          <w:sz w:val="31"/>
          <w:szCs w:val="31"/>
        </w:rPr>
        <w:t>仅对50万元以上的项目资金进行分项说明</w:t>
      </w:r>
      <w:r>
        <w:rPr>
          <w:rFonts w:hint="eastAsia" w:ascii="Times New Roman" w:hAnsi="Times New Roman" w:eastAsia="仿宋" w:cs="Times New Roman"/>
          <w:b/>
          <w:bCs/>
          <w:spacing w:val="0"/>
          <w:position w:val="0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rPr>
          <w:rFonts w:hint="eastAsia" w:eastAsia="仿宋" w:cs="Times New Roman"/>
          <w:b/>
          <w:bCs/>
          <w:spacing w:val="0"/>
          <w:position w:val="0"/>
          <w:sz w:val="31"/>
          <w:szCs w:val="31"/>
          <w:lang w:eastAsia="zh-CN"/>
        </w:rPr>
      </w:pPr>
      <w:r>
        <w:rPr>
          <w:rFonts w:hint="eastAsia" w:eastAsia="仿宋" w:cs="Times New Roman"/>
          <w:b/>
          <w:bCs/>
          <w:spacing w:val="0"/>
          <w:position w:val="0"/>
          <w:sz w:val="31"/>
          <w:szCs w:val="31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1"/>
          <w:szCs w:val="31"/>
        </w:rPr>
        <w:t>存在的问题及改进措施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2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1、</w:t>
      </w:r>
      <w:r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细化预算编制工作，认真做好预算的编制。进一步加强单位内部机构各股室的预算管理意识，严格按照预算编制的相关制度和要求进行预算编制。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2" w:firstLineChars="200"/>
        <w:jc w:val="both"/>
        <w:textAlignment w:val="auto"/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2、</w:t>
      </w:r>
      <w:r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560"/>
        <w:jc w:val="both"/>
        <w:textAlignment w:val="auto"/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3、完善资产管理，抓好“三公”经费控制。严格编制政府采购年初预算和计划，规范各类资产的购置审批制度、资产出租出借和收入管理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560"/>
        <w:jc w:val="both"/>
        <w:textAlignment w:val="auto"/>
        <w:rPr>
          <w:rFonts w:hint="eastAsia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4、对相关人员加强培训，特别是针对《预算法》、《行政事业单位会计制度》等学习培训，规范部门预算收支核算，切实提高部门预算收支管理水平</w:t>
      </w:r>
      <w:r>
        <w:rPr>
          <w:rFonts w:hint="eastAsia" w:ascii="Times New Roman" w:hAnsi="Times New Roman" w:eastAsia="仿宋" w:cs="Times New Roman"/>
          <w:spacing w:val="0"/>
          <w:kern w:val="2"/>
          <w:position w:val="0"/>
          <w:sz w:val="31"/>
          <w:szCs w:val="3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02" w:firstLineChars="20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1"/>
          <w:szCs w:val="31"/>
        </w:rPr>
        <w:t>四、其他需要说明的情况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62" w:firstLineChars="200"/>
        <w:jc w:val="both"/>
        <w:rPr>
          <w:rFonts w:hint="eastAsia" w:eastAsia="黑体" w:cs="Times New Roman"/>
          <w:b/>
          <w:bCs/>
          <w:spacing w:val="0"/>
          <w:position w:val="0"/>
          <w:sz w:val="34"/>
          <w:szCs w:val="34"/>
          <w:lang w:eastAsia="zh-CN"/>
        </w:rPr>
      </w:pPr>
      <w:r>
        <w:rPr>
          <w:rFonts w:hint="eastAsia" w:eastAsia="黑体" w:cs="Times New Roman"/>
          <w:b/>
          <w:bCs/>
          <w:spacing w:val="0"/>
          <w:position w:val="0"/>
          <w:sz w:val="34"/>
          <w:szCs w:val="34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62" w:firstLineChars="200"/>
        <w:jc w:val="both"/>
        <w:rPr>
          <w:rFonts w:hint="eastAsia" w:eastAsia="黑体" w:cs="Times New Roman"/>
          <w:b/>
          <w:bCs/>
          <w:spacing w:val="0"/>
          <w:position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right="0" w:rightChars="0" w:firstLine="1359" w:firstLineChars="30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</w:rPr>
        <w:t>2022年度预算支出绩效自评表</w:t>
      </w:r>
    </w:p>
    <w:p>
      <w:pPr>
        <w:spacing w:line="72" w:lineRule="exact"/>
        <w:rPr>
          <w:rFonts w:hint="default" w:ascii="Times New Roman" w:hAnsi="Times New Roman" w:cs="Times New Roman"/>
        </w:rPr>
      </w:pPr>
    </w:p>
    <w:tbl>
      <w:tblPr>
        <w:tblStyle w:val="14"/>
        <w:tblW w:w="98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89"/>
        <w:gridCol w:w="1268"/>
        <w:gridCol w:w="1419"/>
        <w:gridCol w:w="909"/>
        <w:gridCol w:w="1109"/>
        <w:gridCol w:w="819"/>
        <w:gridCol w:w="85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项目支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出名称</w:t>
            </w:r>
          </w:p>
        </w:tc>
        <w:tc>
          <w:tcPr>
            <w:tcW w:w="8745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单位专项业务工作经费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主管部门</w:t>
            </w:r>
          </w:p>
        </w:tc>
        <w:tc>
          <w:tcPr>
            <w:tcW w:w="4585" w:type="dxa"/>
            <w:gridSpan w:val="4"/>
            <w:vAlign w:val="center"/>
          </w:tcPr>
          <w:p>
            <w:pPr>
              <w:tabs>
                <w:tab w:val="left" w:pos="659"/>
              </w:tabs>
              <w:jc w:val="left"/>
              <w:rPr>
                <w:rFonts w:hint="eastAsia" w:ascii="Times New Roman" w:hAnsi="Times New Roman" w:eastAsia="仿宋" w:cs="Times New Roman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衡山县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文化旅游广电体育局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实施单位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衡山县花鼓戏剧团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项目资金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</w:rPr>
              <w:t>万元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）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年初预算数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全年预算数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全年执行数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分值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执行率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年度资金总额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104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104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156.12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150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%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其中：当年财政拨款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104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104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156.12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150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%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</w:rPr>
              <w:t>上年结转资金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</w:rPr>
              <w:t>其他资金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年度总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体目标</w:t>
            </w:r>
          </w:p>
        </w:tc>
        <w:tc>
          <w:tcPr>
            <w:tcW w:w="458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预期目标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585" w:type="dxa"/>
            <w:gridSpan w:val="4"/>
            <w:vAlign w:val="center"/>
          </w:tcPr>
          <w:p>
            <w:pPr>
              <w:pStyle w:val="12"/>
              <w:widowControl/>
              <w:numPr>
                <w:ilvl w:val="0"/>
                <w:numId w:val="2"/>
              </w:numPr>
              <w:ind w:leftChars="0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复排剧目不少于1个</w:t>
            </w:r>
          </w:p>
          <w:p>
            <w:pPr>
              <w:tabs>
                <w:tab w:val="left" w:pos="506"/>
                <w:tab w:val="center" w:pos="2347"/>
              </w:tabs>
              <w:ind w:firstLine="402" w:firstLineChars="200"/>
              <w:jc w:val="left"/>
              <w:rPr>
                <w:rFonts w:hint="default" w:ascii="仿宋_GB2312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完成“演艺惠民送戏下乡”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任务100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200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复排剧目两个：《贤淑女》、《兰寄子扳砖》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02" w:firstLineChars="200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惠民活动方面，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共完成“演艺惠民送戏下乡”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任务100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广及县内12个乡镇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3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绩效指标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一级指标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二级指标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三级指标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指标值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实际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完成值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分值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得分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偏差原因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分析及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产出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指标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</w:rPr>
              <w:t>50分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）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数量指标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复排剧目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送戏下乡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质量指标</w:t>
            </w:r>
          </w:p>
        </w:tc>
        <w:tc>
          <w:tcPr>
            <w:tcW w:w="1419" w:type="dxa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按质按量完成</w:t>
            </w:r>
          </w:p>
        </w:tc>
        <w:tc>
          <w:tcPr>
            <w:tcW w:w="909" w:type="dxa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1109" w:type="dxa"/>
            <w:vAlign w:val="bottom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100%</w:t>
            </w:r>
          </w:p>
        </w:tc>
        <w:tc>
          <w:tcPr>
            <w:tcW w:w="819" w:type="dxa"/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时效指标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全年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365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365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成本指标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财政预算资金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90%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效益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指标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</w:rPr>
              <w:t>30分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）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经济效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益指标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流动资金周转率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90%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社会效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益指标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保护及修缮文物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生态效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益指标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无污染物排放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可持续影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响指标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无可持续影响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满意度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指标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</w:rPr>
              <w:t>10分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）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服务对象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满意度指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群众满意度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82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总</w:t>
            </w:r>
            <w:r>
              <w:rPr>
                <w:rFonts w:hint="default" w:ascii="Times New Roman" w:hAnsi="Times New Roman" w:eastAsia="仿宋" w:cs="Times New Roman"/>
                <w:b/>
                <w:bCs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</w:rPr>
              <w:t>分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100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lang w:val="en-US" w:eastAsia="zh-CN"/>
              </w:rPr>
              <w:t>9</w:t>
            </w:r>
            <w:r>
              <w:rPr>
                <w:rFonts w:hint="eastAsia" w:eastAsia="仿宋" w:cs="Times New Roman"/>
                <w:b/>
                <w:bCs/>
                <w:lang w:val="en-US" w:eastAsia="zh-CN"/>
              </w:rPr>
              <w:t>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24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填表人：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default"/>
          <w:sz w:val="28"/>
          <w:szCs w:val="28"/>
        </w:rPr>
        <w:t>填报日期：</w:t>
      </w:r>
      <w:r>
        <w:rPr>
          <w:rFonts w:hint="eastAsia"/>
          <w:sz w:val="28"/>
          <w:szCs w:val="28"/>
          <w:lang w:val="en-US" w:eastAsia="zh-CN"/>
        </w:rPr>
        <w:t xml:space="preserve">2023年8月7日                         </w:t>
      </w:r>
      <w:r>
        <w:rPr>
          <w:rFonts w:hint="default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default"/>
          <w:sz w:val="28"/>
          <w:szCs w:val="28"/>
        </w:rPr>
        <w:t>单位负责人签字：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425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12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B99EE"/>
    <w:multiLevelType w:val="singleLevel"/>
    <w:tmpl w:val="8DBB99E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D8B2367"/>
    <w:multiLevelType w:val="singleLevel"/>
    <w:tmpl w:val="DD8B23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NmI3NDg4NDM4OWZmODA3ZDYzMmE1YjlhYjg1MTAifQ=="/>
  </w:docVars>
  <w:rsids>
    <w:rsidRoot w:val="76CA2446"/>
    <w:rsid w:val="00022D25"/>
    <w:rsid w:val="00060F2F"/>
    <w:rsid w:val="0006737B"/>
    <w:rsid w:val="000A5542"/>
    <w:rsid w:val="000B4A69"/>
    <w:rsid w:val="000D3CE1"/>
    <w:rsid w:val="000E6B8C"/>
    <w:rsid w:val="00135F14"/>
    <w:rsid w:val="001651B7"/>
    <w:rsid w:val="001A03F7"/>
    <w:rsid w:val="001A627D"/>
    <w:rsid w:val="001C4444"/>
    <w:rsid w:val="00220759"/>
    <w:rsid w:val="00223DBD"/>
    <w:rsid w:val="0023676C"/>
    <w:rsid w:val="0027014E"/>
    <w:rsid w:val="00286A0E"/>
    <w:rsid w:val="00296904"/>
    <w:rsid w:val="00310C50"/>
    <w:rsid w:val="003872A3"/>
    <w:rsid w:val="003C48BD"/>
    <w:rsid w:val="00440310"/>
    <w:rsid w:val="00483CA9"/>
    <w:rsid w:val="004B21B2"/>
    <w:rsid w:val="004B56CB"/>
    <w:rsid w:val="004F1787"/>
    <w:rsid w:val="00524F6E"/>
    <w:rsid w:val="00527B92"/>
    <w:rsid w:val="00541081"/>
    <w:rsid w:val="0055589A"/>
    <w:rsid w:val="00566410"/>
    <w:rsid w:val="00580C0E"/>
    <w:rsid w:val="006004E5"/>
    <w:rsid w:val="0066181F"/>
    <w:rsid w:val="00667C76"/>
    <w:rsid w:val="00674811"/>
    <w:rsid w:val="007E05B3"/>
    <w:rsid w:val="008222BA"/>
    <w:rsid w:val="0083351F"/>
    <w:rsid w:val="00856095"/>
    <w:rsid w:val="008568EE"/>
    <w:rsid w:val="00860D04"/>
    <w:rsid w:val="00894F28"/>
    <w:rsid w:val="008B1005"/>
    <w:rsid w:val="008F51F5"/>
    <w:rsid w:val="00902C2A"/>
    <w:rsid w:val="0097553A"/>
    <w:rsid w:val="00982D8A"/>
    <w:rsid w:val="00A12869"/>
    <w:rsid w:val="00A424C4"/>
    <w:rsid w:val="00A5400C"/>
    <w:rsid w:val="00A86759"/>
    <w:rsid w:val="00A8716A"/>
    <w:rsid w:val="00B26D88"/>
    <w:rsid w:val="00B66E3E"/>
    <w:rsid w:val="00BA6B0F"/>
    <w:rsid w:val="00BC320E"/>
    <w:rsid w:val="00C26F20"/>
    <w:rsid w:val="00C27722"/>
    <w:rsid w:val="00C667B3"/>
    <w:rsid w:val="00C76C37"/>
    <w:rsid w:val="00CD4190"/>
    <w:rsid w:val="00CF7B2A"/>
    <w:rsid w:val="00DA054B"/>
    <w:rsid w:val="00E31312"/>
    <w:rsid w:val="00E90B7D"/>
    <w:rsid w:val="00EB4475"/>
    <w:rsid w:val="00ED6745"/>
    <w:rsid w:val="00F0408F"/>
    <w:rsid w:val="00F2616D"/>
    <w:rsid w:val="00F47AFE"/>
    <w:rsid w:val="00F63D80"/>
    <w:rsid w:val="00FD1F6B"/>
    <w:rsid w:val="09BC05EC"/>
    <w:rsid w:val="0D21776C"/>
    <w:rsid w:val="0F706BF2"/>
    <w:rsid w:val="193E6884"/>
    <w:rsid w:val="1CC63637"/>
    <w:rsid w:val="1E6F53A1"/>
    <w:rsid w:val="2064408E"/>
    <w:rsid w:val="2B9E594C"/>
    <w:rsid w:val="2FAF5D60"/>
    <w:rsid w:val="34A719CD"/>
    <w:rsid w:val="3D3710B0"/>
    <w:rsid w:val="3E295686"/>
    <w:rsid w:val="407F75B0"/>
    <w:rsid w:val="459C6ADE"/>
    <w:rsid w:val="4FD232EB"/>
    <w:rsid w:val="558D6683"/>
    <w:rsid w:val="593221FB"/>
    <w:rsid w:val="597D202A"/>
    <w:rsid w:val="5CB928FB"/>
    <w:rsid w:val="67CB360E"/>
    <w:rsid w:val="6BBA3B00"/>
    <w:rsid w:val="6BBB094C"/>
    <w:rsid w:val="750D60CF"/>
    <w:rsid w:val="76CA2446"/>
    <w:rsid w:val="7739614C"/>
    <w:rsid w:val="7B5B26D2"/>
    <w:rsid w:val="7B8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99"/>
    <w:pPr>
      <w:spacing w:after="120"/>
      <w:ind w:left="420"/>
    </w:p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rFonts w:hint="eastAsia" w:ascii="微软雅黑" w:hAnsi="微软雅黑" w:eastAsia="微软雅黑"/>
      <w:kern w:val="0"/>
      <w:sz w:val="24"/>
    </w:rPr>
  </w:style>
  <w:style w:type="paragraph" w:styleId="8">
    <w:name w:val="Body Text First Indent"/>
    <w:basedOn w:val="3"/>
    <w:next w:val="6"/>
    <w:qFormat/>
    <w:uiPriority w:val="99"/>
    <w:pPr>
      <w:ind w:firstLine="420" w:firstLineChars="100"/>
    </w:pPr>
  </w:style>
  <w:style w:type="character" w:styleId="11">
    <w:name w:val="page number"/>
    <w:basedOn w:val="10"/>
    <w:qFormat/>
    <w:uiPriority w:val="99"/>
    <w:rPr>
      <w:rFonts w:cs="Times New Roman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table" w:customStyle="1" w:styleId="1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4031</Words>
  <Characters>4336</Characters>
  <Lines>55</Lines>
  <Paragraphs>15</Paragraphs>
  <TotalTime>1</TotalTime>
  <ScaleCrop>false</ScaleCrop>
  <LinksUpToDate>false</LinksUpToDate>
  <CharactersWithSpaces>4792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2021-03-30T02:48:00Z</dcterms:created>
  <dc:creator>Administrator</dc:creator>
  <cp:lastModifiedBy>Administrator</cp:lastModifiedBy>
  <dcterms:modified xsi:type="dcterms:W3CDTF">2023-08-11T09:32:23Z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8A0609DB43824354BFCB5AE626B99E4B_13</vt:lpwstr>
  </property>
</Properties>
</file>