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方正小标宋_GBK" w:eastAsia="方正小标宋_GBK"/>
          <w:sz w:val="48"/>
          <w:szCs w:val="48"/>
        </w:rPr>
      </w:pPr>
      <w:r>
        <w:rPr>
          <w:rFonts w:ascii="方正小标宋_GBK" w:eastAsia="方正小标宋_GBK"/>
          <w:sz w:val="48"/>
          <w:szCs w:val="48"/>
        </w:rPr>
        <w:t>20</w:t>
      </w:r>
      <w:r>
        <w:rPr>
          <w:rFonts w:hint="eastAsia" w:ascii="方正小标宋_GBK" w:eastAsia="方正小标宋_GBK"/>
          <w:sz w:val="48"/>
          <w:szCs w:val="48"/>
        </w:rPr>
        <w:t>2</w:t>
      </w:r>
      <w:r>
        <w:rPr>
          <w:rFonts w:hint="eastAsia" w:ascii="方正小标宋_GBK" w:eastAsia="方正小标宋_GBK"/>
          <w:sz w:val="48"/>
          <w:szCs w:val="48"/>
          <w:lang w:val="en-US" w:eastAsia="zh-CN"/>
        </w:rPr>
        <w:t>2</w:t>
      </w:r>
      <w:r>
        <w:rPr>
          <w:rFonts w:hint="eastAsia" w:ascii="方正小标宋_GBK" w:eastAsia="方正小标宋_GBK"/>
          <w:sz w:val="48"/>
          <w:szCs w:val="48"/>
        </w:rPr>
        <w:t>年度部门整体支出绩效自评报告</w:t>
      </w:r>
    </w:p>
    <w:p>
      <w:pPr>
        <w:rPr>
          <w:rFonts w:ascii="楷体_GB2312" w:eastAsia="楷体_GB2312"/>
          <w:b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ascii="宋体" w:eastAsia="宋体" w:cs="宋体"/>
          <w:b/>
          <w:color w:val="000000"/>
          <w:kern w:val="0"/>
          <w:sz w:val="44"/>
          <w:szCs w:val="44"/>
        </w:rPr>
        <w:t>衡山县花鼓戏剧团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（此页为封面）</w:t>
      </w:r>
    </w:p>
    <w:p>
      <w:pPr>
        <w:pStyle w:val="12"/>
        <w:widowControl/>
        <w:spacing w:line="600" w:lineRule="exact"/>
        <w:ind w:firstLine="620"/>
        <w:rPr>
          <w:rFonts w:ascii="黑体" w:hAnsi="黑体" w:eastAsia="黑体"/>
          <w:sz w:val="32"/>
          <w:szCs w:val="32"/>
        </w:rPr>
      </w:pPr>
    </w:p>
    <w:p>
      <w:pPr>
        <w:pStyle w:val="12"/>
        <w:widowControl/>
        <w:spacing w:line="600" w:lineRule="exact"/>
        <w:ind w:firstLine="620"/>
        <w:rPr>
          <w:rFonts w:ascii="黑体" w:hAnsi="黑体" w:eastAsia="黑体"/>
          <w:sz w:val="32"/>
          <w:szCs w:val="32"/>
        </w:rPr>
      </w:pPr>
    </w:p>
    <w:p>
      <w:pPr>
        <w:pStyle w:val="12"/>
        <w:widowControl/>
        <w:spacing w:line="600" w:lineRule="exact"/>
        <w:ind w:firstLine="620"/>
        <w:rPr>
          <w:rFonts w:ascii="黑体" w:hAnsi="黑体" w:eastAsia="黑体"/>
          <w:sz w:val="32"/>
          <w:szCs w:val="32"/>
        </w:rPr>
      </w:pPr>
    </w:p>
    <w:p>
      <w:pPr>
        <w:pStyle w:val="12"/>
        <w:widowControl/>
        <w:spacing w:line="600" w:lineRule="exact"/>
        <w:ind w:firstLine="620"/>
        <w:rPr>
          <w:rFonts w:ascii="黑体" w:hAnsi="黑体" w:eastAsia="黑体"/>
          <w:sz w:val="32"/>
          <w:szCs w:val="32"/>
        </w:rPr>
      </w:pPr>
    </w:p>
    <w:p>
      <w:pPr>
        <w:ind w:firstLine="582" w:firstLineChars="200"/>
        <w:rPr>
          <w:rFonts w:ascii="黑体" w:hAnsi="黑体" w:eastAsia="黑体" w:cs="黑体"/>
          <w:b/>
          <w:bCs/>
          <w:sz w:val="30"/>
          <w:szCs w:val="32"/>
        </w:rPr>
      </w:pPr>
      <w:r>
        <w:rPr>
          <w:rFonts w:hint="eastAsia" w:ascii="黑体" w:hAnsi="黑体" w:eastAsia="黑体" w:cs="黑体"/>
          <w:b/>
          <w:bCs/>
          <w:sz w:val="30"/>
          <w:szCs w:val="32"/>
        </w:rPr>
        <w:t>一、部门、单位基本情况</w:t>
      </w:r>
    </w:p>
    <w:p>
      <w:pPr>
        <w:adjustRightInd w:val="0"/>
        <w:spacing w:line="620" w:lineRule="exact"/>
        <w:ind w:firstLine="582" w:firstLineChars="200"/>
        <w:rPr>
          <w:rFonts w:ascii="楷体" w:hAnsi="楷体" w:eastAsia="仿宋" w:cs="SimSun-Identity-H"/>
          <w:b/>
          <w:bCs/>
          <w:color w:val="000000"/>
          <w:kern w:val="0"/>
          <w:sz w:val="30"/>
          <w:szCs w:val="28"/>
        </w:rPr>
      </w:pPr>
      <w:r>
        <w:rPr>
          <w:rFonts w:hint="eastAsia" w:ascii="楷体" w:hAnsi="楷体" w:eastAsia="仿宋" w:cs="SimSun-Identity-H"/>
          <w:b/>
          <w:bCs/>
          <w:color w:val="000000"/>
          <w:kern w:val="0"/>
          <w:sz w:val="30"/>
          <w:szCs w:val="28"/>
        </w:rPr>
        <w:t>（一）单位主要职责</w:t>
      </w:r>
    </w:p>
    <w:p>
      <w:pPr>
        <w:spacing w:line="570" w:lineRule="atLeast"/>
        <w:ind w:firstLine="622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0" w:name="FUNCRESP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创作生产多姿多彩的剧（节）目,丰富群众文化生活、陶冶观众情操、宣传国家文化方针政策和社会主义精神文明建设；参加全县社区、广场、企业、校园、乡村等各种文化下乡演出活动；传统花鼓灯艺术整理与保护艺术作品；普及戏曲艺术及推广艺术创作表演人才培养，传承戏曲文化；衡山剧院承接县委、县政府各种重要会议接待，承接各外团院校的各类演出工作。</w:t>
      </w:r>
      <w:bookmarkEnd w:id="0"/>
    </w:p>
    <w:p>
      <w:pPr>
        <w:adjustRightInd w:val="0"/>
        <w:spacing w:line="620" w:lineRule="exact"/>
        <w:ind w:firstLine="582" w:firstLineChars="200"/>
        <w:rPr>
          <w:rFonts w:ascii="楷体" w:hAnsi="楷体" w:eastAsia="仿宋" w:cs="SimSun-Identity-H"/>
          <w:b/>
          <w:bCs/>
          <w:color w:val="000000"/>
          <w:kern w:val="0"/>
          <w:sz w:val="30"/>
          <w:szCs w:val="28"/>
        </w:rPr>
      </w:pPr>
      <w:r>
        <w:rPr>
          <w:rFonts w:hint="eastAsia" w:ascii="楷体" w:hAnsi="楷体" w:eastAsia="仿宋" w:cs="SimSun-Identity-H"/>
          <w:b/>
          <w:bCs/>
          <w:color w:val="000000"/>
          <w:kern w:val="0"/>
          <w:sz w:val="30"/>
          <w:szCs w:val="28"/>
        </w:rPr>
        <w:t>（二）机构设置及人员情况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2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1" w:name="AGENCY_NAME_TITLE2"/>
      <w:bookmarkStart w:id="2" w:name="ORG_SE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衡山县花鼓戏剧团</w:t>
      </w:r>
      <w:bookmarkEnd w:id="1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为正股级公益类事业单位，差额拨款事业编制15名，设团长1名，副团长2名。</w:t>
      </w:r>
      <w:bookmarkEnd w:id="2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现有在职在岗在编职工</w:t>
      </w:r>
      <w:bookmarkStart w:id="3" w:name="JBQK_XYZGZBZGRS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14</w:t>
      </w:r>
      <w:bookmarkEnd w:id="3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人，离退休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人，临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聘人员7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582" w:firstLineChars="200"/>
        <w:jc w:val="both"/>
        <w:outlineLvl w:val="0"/>
        <w:rPr>
          <w:rFonts w:hint="default" w:ascii="Times New Roman" w:hAnsi="Times New Roman" w:eastAsia="黑体" w:cs="Times New Roman"/>
          <w:b w:val="0"/>
          <w:bCs w:val="0"/>
          <w:spacing w:val="0"/>
          <w:position w:val="0"/>
          <w:sz w:val="33"/>
          <w:szCs w:val="33"/>
        </w:rPr>
      </w:pPr>
      <w:r>
        <w:rPr>
          <w:rFonts w:hint="eastAsia" w:ascii="黑体" w:hAnsi="黑体" w:eastAsia="黑体"/>
          <w:sz w:val="30"/>
          <w:szCs w:val="30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position w:val="0"/>
          <w:sz w:val="33"/>
          <w:szCs w:val="33"/>
        </w:rPr>
        <w:t>预算支出及绩效情况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2" w:firstLineChars="200"/>
        <w:jc w:val="both"/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</w:pPr>
      <w:r>
        <w:rPr>
          <w:rFonts w:hint="eastAsia" w:ascii="Times New Roman" w:hAnsi="Times New Roman" w:eastAsia="仿宋" w:cs="Times New Roman"/>
          <w:spacing w:val="0"/>
          <w:position w:val="0"/>
          <w:sz w:val="33"/>
          <w:szCs w:val="33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一</w:t>
      </w:r>
      <w:r>
        <w:rPr>
          <w:rFonts w:hint="eastAsia" w:ascii="Times New Roman" w:hAnsi="Times New Roman" w:eastAsia="仿宋" w:cs="Times New Roman"/>
          <w:spacing w:val="0"/>
          <w:position w:val="0"/>
          <w:sz w:val="33"/>
          <w:szCs w:val="33"/>
          <w:lang w:eastAsia="zh-CN"/>
        </w:rPr>
        <w:t>）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部门预决算情况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2" w:firstLineChars="200"/>
        <w:jc w:val="both"/>
        <w:outlineLvl w:val="0"/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</w:pPr>
      <w:r>
        <w:rPr>
          <w:rFonts w:hint="default" w:ascii="Times New Roman" w:hAnsi="Times New Roman" w:eastAsia="仿宋" w:cs="Times New Roman"/>
          <w:b/>
          <w:bCs/>
          <w:spacing w:val="0"/>
          <w:position w:val="0"/>
          <w:sz w:val="33"/>
          <w:szCs w:val="33"/>
        </w:rPr>
        <w:t>1.部门预算情况</w:t>
      </w:r>
    </w:p>
    <w:p>
      <w:pPr>
        <w:widowControl/>
        <w:shd w:val="clear" w:color="auto" w:fill="FFFFFF"/>
        <w:spacing w:line="420" w:lineRule="atLeast"/>
        <w:ind w:firstLine="582" w:firstLineChars="200"/>
        <w:jc w:val="left"/>
        <w:textAlignment w:val="bottom"/>
        <w:rPr>
          <w:rFonts w:hint="eastAsia" w:ascii="仿宋" w:hAnsi="仿宋" w:eastAsia="仿宋" w:cs="Calibri"/>
          <w:color w:val="000000"/>
          <w:kern w:val="0"/>
          <w:sz w:val="3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  <w:t>衡山县花鼓戏剧团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</w:rPr>
        <w:t>部门202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  <w:lang w:val="en-US" w:eastAsia="zh-CN"/>
        </w:rPr>
        <w:t>2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</w:rPr>
        <w:t>年收入预算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  <w:lang w:val="en-US" w:eastAsia="zh-CN"/>
        </w:rPr>
        <w:t>204.51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</w:rPr>
        <w:t>万元，其中：一般公共预算财政拨款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  <w:lang w:val="en-US" w:eastAsia="zh-CN"/>
        </w:rPr>
        <w:t>204.51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</w:rPr>
        <w:t>万元，纳入预算管理的非税收入拨款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  <w:lang w:val="en-US" w:eastAsia="zh-CN"/>
        </w:rPr>
        <w:t>0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</w:rPr>
        <w:t>万元。全年支出预算总计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  <w:lang w:val="en-US" w:eastAsia="zh-CN"/>
        </w:rPr>
        <w:t>204.51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</w:rPr>
        <w:t>万元，其中基本支出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  <w:lang w:val="en-US" w:eastAsia="zh-CN"/>
        </w:rPr>
        <w:t>100.51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</w:rPr>
        <w:t>万元（工资福利支出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  <w:lang w:val="en-US" w:eastAsia="zh-CN"/>
        </w:rPr>
        <w:t>94.51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</w:rPr>
        <w:t>万元、一般商品和服务支出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  <w:lang w:val="en-US" w:eastAsia="zh-CN"/>
        </w:rPr>
        <w:t>0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</w:rPr>
        <w:t>万元、对个人和家庭的补助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  <w:lang w:val="en-US" w:eastAsia="zh-CN"/>
        </w:rPr>
        <w:t>6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</w:rPr>
        <w:t>万元）、项目支出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  <w:lang w:val="en-US" w:eastAsia="zh-CN"/>
        </w:rPr>
        <w:t>104</w:t>
      </w:r>
      <w:r>
        <w:rPr>
          <w:rFonts w:hint="eastAsia" w:ascii="仿宋" w:hAnsi="仿宋" w:eastAsia="仿宋" w:cs="Calibri"/>
          <w:color w:val="000000"/>
          <w:kern w:val="0"/>
          <w:sz w:val="30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2" w:firstLineChars="200"/>
        <w:jc w:val="both"/>
        <w:outlineLvl w:val="0"/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</w:pPr>
      <w:r>
        <w:rPr>
          <w:rFonts w:hint="default" w:ascii="Times New Roman" w:hAnsi="Times New Roman" w:eastAsia="仿宋" w:cs="Times New Roman"/>
          <w:b/>
          <w:bCs/>
          <w:spacing w:val="0"/>
          <w:position w:val="0"/>
          <w:sz w:val="33"/>
          <w:szCs w:val="33"/>
        </w:rPr>
        <w:t>2.部门决算情况</w:t>
      </w:r>
      <w:r>
        <w:rPr>
          <w:rFonts w:hint="eastAsia" w:ascii="Times New Roman" w:hAnsi="Times New Roman" w:eastAsia="仿宋" w:cs="Times New Roman"/>
          <w:b/>
          <w:bCs/>
          <w:spacing w:val="0"/>
          <w:position w:val="0"/>
          <w:sz w:val="33"/>
          <w:szCs w:val="33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spacing w:val="0"/>
          <w:position w:val="0"/>
          <w:sz w:val="33"/>
          <w:szCs w:val="33"/>
        </w:rPr>
        <w:t>含年中预算追加情况</w:t>
      </w:r>
      <w:r>
        <w:rPr>
          <w:rFonts w:hint="eastAsia" w:ascii="Times New Roman" w:hAnsi="Times New Roman" w:eastAsia="仿宋" w:cs="Times New Roman"/>
          <w:b/>
          <w:bCs/>
          <w:spacing w:val="0"/>
          <w:position w:val="0"/>
          <w:sz w:val="33"/>
          <w:szCs w:val="33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2" w:firstLineChars="200"/>
        <w:jc w:val="both"/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</w:pP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2022年决算总收入</w:t>
      </w:r>
      <w:r>
        <w:rPr>
          <w:rFonts w:hint="eastAsia" w:eastAsia="仿宋" w:cs="Times New Roman"/>
          <w:spacing w:val="0"/>
          <w:position w:val="0"/>
          <w:sz w:val="33"/>
          <w:szCs w:val="33"/>
          <w:lang w:val="en-US" w:eastAsia="zh-CN"/>
        </w:rPr>
        <w:t>305.25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万元，较预算增加</w:t>
      </w:r>
      <w:r>
        <w:rPr>
          <w:rFonts w:hint="eastAsia" w:eastAsia="仿宋" w:cs="Times New Roman"/>
          <w:spacing w:val="0"/>
          <w:position w:val="0"/>
          <w:sz w:val="33"/>
          <w:szCs w:val="33"/>
          <w:lang w:val="en-US" w:eastAsia="zh-CN"/>
        </w:rPr>
        <w:t>100.74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万元，总支出</w:t>
      </w:r>
      <w:r>
        <w:rPr>
          <w:rFonts w:hint="eastAsia" w:eastAsia="仿宋" w:cs="Times New Roman"/>
          <w:spacing w:val="0"/>
          <w:position w:val="0"/>
          <w:sz w:val="33"/>
          <w:szCs w:val="33"/>
          <w:lang w:val="en-US" w:eastAsia="zh-CN"/>
        </w:rPr>
        <w:t>304.24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万元，其中：基本支出</w:t>
      </w:r>
      <w:r>
        <w:rPr>
          <w:rFonts w:hint="eastAsia" w:eastAsia="仿宋" w:cs="Times New Roman"/>
          <w:spacing w:val="0"/>
          <w:position w:val="0"/>
          <w:sz w:val="33"/>
          <w:szCs w:val="33"/>
          <w:lang w:val="en-US" w:eastAsia="zh-CN"/>
        </w:rPr>
        <w:t>148.12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万元，占总支出的</w:t>
      </w:r>
      <w:r>
        <w:rPr>
          <w:rFonts w:hint="eastAsia" w:eastAsia="仿宋" w:cs="Times New Roman"/>
          <w:spacing w:val="0"/>
          <w:position w:val="0"/>
          <w:sz w:val="33"/>
          <w:szCs w:val="33"/>
          <w:lang w:val="en-US" w:eastAsia="zh-CN"/>
        </w:rPr>
        <w:t>49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%</w:t>
      </w:r>
      <w:r>
        <w:rPr>
          <w:rFonts w:hint="eastAsia" w:ascii="Times New Roman" w:hAnsi="Times New Roman" w:eastAsia="仿宋" w:cs="Times New Roman"/>
          <w:spacing w:val="0"/>
          <w:position w:val="0"/>
          <w:sz w:val="33"/>
          <w:szCs w:val="33"/>
          <w:lang w:eastAsia="zh-CN"/>
        </w:rPr>
        <w:t>；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项目支</w:t>
      </w:r>
      <w:r>
        <w:rPr>
          <w:rFonts w:hint="eastAsia" w:ascii="Times New Roman" w:hAnsi="Times New Roman" w:eastAsia="仿宋" w:cs="Times New Roman"/>
          <w:spacing w:val="0"/>
          <w:position w:val="0"/>
          <w:sz w:val="33"/>
          <w:szCs w:val="33"/>
          <w:lang w:eastAsia="zh-CN"/>
        </w:rPr>
        <w:t>出</w:t>
      </w:r>
      <w:r>
        <w:rPr>
          <w:rFonts w:hint="eastAsia" w:eastAsia="仿宋" w:cs="Times New Roman"/>
          <w:spacing w:val="0"/>
          <w:position w:val="0"/>
          <w:sz w:val="33"/>
          <w:szCs w:val="33"/>
          <w:lang w:val="en-US" w:eastAsia="zh-CN"/>
        </w:rPr>
        <w:t>156.12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万元，占总支出的</w:t>
      </w:r>
      <w:r>
        <w:rPr>
          <w:rFonts w:hint="eastAsia" w:eastAsia="仿宋" w:cs="Times New Roman"/>
          <w:spacing w:val="0"/>
          <w:position w:val="0"/>
          <w:sz w:val="33"/>
          <w:szCs w:val="33"/>
          <w:lang w:val="en-US" w:eastAsia="zh-CN"/>
        </w:rPr>
        <w:t>51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%。差异产生的主要原因是</w:t>
      </w:r>
      <w:r>
        <w:rPr>
          <w:rFonts w:hint="eastAsia" w:eastAsia="仿宋" w:cs="Times New Roman"/>
          <w:spacing w:val="0"/>
          <w:position w:val="0"/>
          <w:sz w:val="33"/>
          <w:szCs w:val="33"/>
          <w:lang w:eastAsia="zh-CN"/>
        </w:rPr>
        <w:t>年中增加项目预算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2" w:firstLineChars="200"/>
        <w:jc w:val="both"/>
        <w:outlineLvl w:val="0"/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</w:pPr>
      <w:r>
        <w:rPr>
          <w:rFonts w:hint="default" w:ascii="Times New Roman" w:hAnsi="Times New Roman" w:eastAsia="仿宋" w:cs="Times New Roman"/>
          <w:b/>
          <w:bCs/>
          <w:spacing w:val="0"/>
          <w:position w:val="0"/>
          <w:sz w:val="33"/>
          <w:szCs w:val="33"/>
        </w:rPr>
        <w:t>3.</w:t>
      </w:r>
      <w:r>
        <w:rPr>
          <w:rFonts w:hint="eastAsia" w:ascii="Times New Roman" w:hAnsi="Times New Roman" w:eastAsia="仿宋" w:cs="Times New Roman"/>
          <w:b/>
          <w:bCs/>
          <w:spacing w:val="0"/>
          <w:position w:val="0"/>
          <w:sz w:val="33"/>
          <w:szCs w:val="33"/>
          <w:lang w:eastAsia="zh-CN"/>
        </w:rPr>
        <w:t>“</w:t>
      </w:r>
      <w:r>
        <w:rPr>
          <w:rFonts w:hint="default" w:ascii="Times New Roman" w:hAnsi="Times New Roman" w:eastAsia="仿宋" w:cs="Times New Roman"/>
          <w:b/>
          <w:bCs/>
          <w:spacing w:val="0"/>
          <w:position w:val="0"/>
          <w:sz w:val="33"/>
          <w:szCs w:val="33"/>
        </w:rPr>
        <w:t>三公</w:t>
      </w:r>
      <w:r>
        <w:rPr>
          <w:rFonts w:hint="eastAsia" w:ascii="Times New Roman" w:hAnsi="Times New Roman" w:eastAsia="仿宋" w:cs="Times New Roman"/>
          <w:b/>
          <w:bCs/>
          <w:spacing w:val="0"/>
          <w:position w:val="0"/>
          <w:sz w:val="33"/>
          <w:szCs w:val="33"/>
          <w:lang w:eastAsia="zh-CN"/>
        </w:rPr>
        <w:t>”</w:t>
      </w:r>
      <w:r>
        <w:rPr>
          <w:rFonts w:hint="default" w:ascii="Times New Roman" w:hAnsi="Times New Roman" w:eastAsia="仿宋" w:cs="Times New Roman"/>
          <w:b/>
          <w:bCs/>
          <w:spacing w:val="0"/>
          <w:position w:val="0"/>
          <w:sz w:val="33"/>
          <w:szCs w:val="33"/>
        </w:rPr>
        <w:t>经费执行情况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42" w:firstLineChars="200"/>
        <w:jc w:val="both"/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2022年</w:t>
      </w:r>
      <w:r>
        <w:rPr>
          <w:rFonts w:hint="eastAsia" w:ascii="Times New Roman" w:hAnsi="Times New Roman" w:eastAsia="仿宋" w:cs="Times New Roman"/>
          <w:spacing w:val="0"/>
          <w:position w:val="0"/>
          <w:sz w:val="33"/>
          <w:szCs w:val="33"/>
          <w:lang w:eastAsia="zh-CN"/>
        </w:rPr>
        <w:t>“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三公</w:t>
      </w:r>
      <w:r>
        <w:rPr>
          <w:rFonts w:hint="eastAsia" w:ascii="Times New Roman" w:hAnsi="Times New Roman" w:eastAsia="仿宋" w:cs="Times New Roman"/>
          <w:spacing w:val="0"/>
          <w:position w:val="0"/>
          <w:sz w:val="33"/>
          <w:szCs w:val="33"/>
          <w:lang w:eastAsia="zh-CN"/>
        </w:rPr>
        <w:t>”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经费预算数</w:t>
      </w:r>
      <w:r>
        <w:rPr>
          <w:rFonts w:hint="eastAsia" w:eastAsia="仿宋" w:cs="Times New Roman"/>
          <w:spacing w:val="0"/>
          <w:position w:val="0"/>
          <w:sz w:val="33"/>
          <w:szCs w:val="33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万元，其中：因公出国</w:t>
      </w:r>
      <w:r>
        <w:rPr>
          <w:rFonts w:hint="eastAsia" w:ascii="Times New Roman" w:hAnsi="Times New Roman" w:eastAsia="仿宋" w:cs="Times New Roman"/>
          <w:spacing w:val="0"/>
          <w:position w:val="0"/>
          <w:sz w:val="33"/>
          <w:szCs w:val="33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境</w:t>
      </w:r>
      <w:r>
        <w:rPr>
          <w:rFonts w:hint="eastAsia" w:ascii="Times New Roman" w:hAnsi="Times New Roman" w:eastAsia="仿宋" w:cs="Times New Roman"/>
          <w:spacing w:val="0"/>
          <w:position w:val="0"/>
          <w:sz w:val="33"/>
          <w:szCs w:val="33"/>
          <w:lang w:eastAsia="zh-CN"/>
        </w:rPr>
        <w:t>）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费</w:t>
      </w:r>
      <w:r>
        <w:rPr>
          <w:rFonts w:hint="eastAsia" w:eastAsia="仿宋" w:cs="Times New Roman"/>
          <w:spacing w:val="0"/>
          <w:position w:val="0"/>
          <w:sz w:val="33"/>
          <w:szCs w:val="33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万元，公务用车购置及运行维护费</w:t>
      </w:r>
      <w:r>
        <w:rPr>
          <w:rFonts w:hint="eastAsia" w:eastAsia="仿宋" w:cs="Times New Roman"/>
          <w:spacing w:val="0"/>
          <w:position w:val="0"/>
          <w:sz w:val="33"/>
          <w:szCs w:val="33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万元，公务接待费</w:t>
      </w:r>
      <w:r>
        <w:rPr>
          <w:rFonts w:hint="eastAsia" w:eastAsia="仿宋" w:cs="Times New Roman"/>
          <w:spacing w:val="0"/>
          <w:position w:val="0"/>
          <w:sz w:val="33"/>
          <w:szCs w:val="33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万元。</w:t>
      </w:r>
      <w:r>
        <w:rPr>
          <w:rFonts w:hint="eastAsia" w:ascii="Times New Roman" w:hAnsi="Times New Roman" w:eastAsia="仿宋" w:cs="Times New Roman"/>
          <w:spacing w:val="0"/>
          <w:position w:val="0"/>
          <w:sz w:val="33"/>
          <w:szCs w:val="33"/>
          <w:lang w:eastAsia="zh-CN"/>
        </w:rPr>
        <w:t>“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三公</w:t>
      </w:r>
      <w:r>
        <w:rPr>
          <w:rFonts w:hint="eastAsia" w:ascii="Times New Roman" w:hAnsi="Times New Roman" w:eastAsia="仿宋" w:cs="Times New Roman"/>
          <w:spacing w:val="0"/>
          <w:position w:val="0"/>
          <w:sz w:val="33"/>
          <w:szCs w:val="33"/>
          <w:lang w:eastAsia="zh-CN"/>
        </w:rPr>
        <w:t>”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经费决算数</w:t>
      </w:r>
      <w:r>
        <w:rPr>
          <w:rFonts w:hint="eastAsia" w:eastAsia="仿宋" w:cs="Times New Roman"/>
          <w:spacing w:val="0"/>
          <w:position w:val="0"/>
          <w:sz w:val="33"/>
          <w:szCs w:val="33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元，其中：因公出国</w:t>
      </w:r>
      <w:r>
        <w:rPr>
          <w:rFonts w:hint="eastAsia" w:ascii="Times New Roman" w:hAnsi="Times New Roman" w:eastAsia="仿宋" w:cs="Times New Roman"/>
          <w:spacing w:val="0"/>
          <w:position w:val="0"/>
          <w:sz w:val="33"/>
          <w:szCs w:val="33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境</w:t>
      </w:r>
      <w:r>
        <w:rPr>
          <w:rFonts w:hint="eastAsia" w:ascii="Times New Roman" w:hAnsi="Times New Roman" w:eastAsia="仿宋" w:cs="Times New Roman"/>
          <w:spacing w:val="0"/>
          <w:position w:val="0"/>
          <w:sz w:val="33"/>
          <w:szCs w:val="33"/>
          <w:lang w:eastAsia="zh-CN"/>
        </w:rPr>
        <w:t>）</w:t>
      </w:r>
      <w:r>
        <w:rPr>
          <w:rFonts w:hint="default" w:ascii="Times New Roman" w:hAnsi="Times New Roman" w:eastAsia="仿宋" w:cs="Times New Roman"/>
          <w:spacing w:val="0"/>
          <w:position w:val="0"/>
          <w:sz w:val="33"/>
          <w:szCs w:val="33"/>
        </w:rPr>
        <w:t>费</w:t>
      </w:r>
      <w:r>
        <w:rPr>
          <w:rFonts w:hint="eastAsia" w:eastAsia="仿宋" w:cs="Times New Roman"/>
          <w:spacing w:val="0"/>
          <w:position w:val="0"/>
          <w:sz w:val="33"/>
          <w:szCs w:val="33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万元，公务用车运行维护费</w:t>
      </w:r>
      <w:r>
        <w:rPr>
          <w:rFonts w:hint="eastAsia" w:eastAsia="仿宋" w:cs="Times New Roman"/>
          <w:spacing w:val="0"/>
          <w:position w:val="0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万元，公务接待费</w:t>
      </w:r>
      <w:r>
        <w:rPr>
          <w:rFonts w:hint="eastAsia" w:eastAsia="仿宋" w:cs="Times New Roman"/>
          <w:spacing w:val="0"/>
          <w:position w:val="0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02" w:firstLineChars="200"/>
        <w:jc w:val="both"/>
        <w:outlineLvl w:val="0"/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</w:pPr>
      <w:r>
        <w:rPr>
          <w:rFonts w:hint="default" w:ascii="Times New Roman" w:hAnsi="Times New Roman" w:eastAsia="仿宋" w:cs="Times New Roman"/>
          <w:b/>
          <w:bCs/>
          <w:spacing w:val="0"/>
          <w:position w:val="0"/>
          <w:sz w:val="31"/>
          <w:szCs w:val="31"/>
        </w:rPr>
        <w:t>4.政府采购执行情况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02" w:firstLineChars="200"/>
        <w:jc w:val="both"/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2022年度政府采购支出</w:t>
      </w:r>
      <w:r>
        <w:rPr>
          <w:rFonts w:hint="eastAsia" w:eastAsia="仿宋" w:cs="Times New Roman"/>
          <w:spacing w:val="0"/>
          <w:position w:val="0"/>
          <w:sz w:val="31"/>
          <w:szCs w:val="31"/>
          <w:lang w:val="en-US" w:eastAsia="zh-CN"/>
        </w:rPr>
        <w:t>38</w:t>
      </w: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万元，其中：货物</w:t>
      </w:r>
      <w:r>
        <w:rPr>
          <w:rFonts w:hint="eastAsia" w:eastAsia="仿宋" w:cs="Times New Roman"/>
          <w:spacing w:val="0"/>
          <w:position w:val="0"/>
          <w:sz w:val="31"/>
          <w:szCs w:val="31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万元，工程</w:t>
      </w:r>
      <w:r>
        <w:rPr>
          <w:rFonts w:hint="eastAsia" w:eastAsia="仿宋" w:cs="Times New Roman"/>
          <w:b w:val="0"/>
          <w:bCs w:val="0"/>
          <w:spacing w:val="0"/>
          <w:position w:val="0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万元，服务</w:t>
      </w:r>
      <w:r>
        <w:rPr>
          <w:rFonts w:hint="eastAsia" w:eastAsia="仿宋" w:cs="Times New Roman"/>
          <w:spacing w:val="0"/>
          <w:position w:val="0"/>
          <w:sz w:val="31"/>
          <w:szCs w:val="31"/>
          <w:lang w:val="en-US" w:eastAsia="zh-CN"/>
        </w:rPr>
        <w:t>17</w:t>
      </w: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万元。</w:t>
      </w:r>
      <w:bookmarkStart w:id="4" w:name="_GoBack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02" w:firstLineChars="200"/>
        <w:jc w:val="both"/>
        <w:outlineLvl w:val="0"/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</w:pPr>
      <w:r>
        <w:rPr>
          <w:rFonts w:hint="default" w:ascii="Times New Roman" w:hAnsi="Times New Roman" w:eastAsia="仿宋" w:cs="Times New Roman"/>
          <w:b/>
          <w:bCs/>
          <w:spacing w:val="0"/>
          <w:position w:val="0"/>
          <w:sz w:val="31"/>
          <w:szCs w:val="31"/>
        </w:rPr>
        <w:t>5.资产管理情况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02" w:firstLineChars="200"/>
        <w:jc w:val="both"/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2022年年末资产总额</w:t>
      </w:r>
      <w:r>
        <w:rPr>
          <w:rFonts w:hint="eastAsia" w:eastAsia="仿宋" w:cs="Times New Roman"/>
          <w:spacing w:val="0"/>
          <w:position w:val="0"/>
          <w:sz w:val="31"/>
          <w:szCs w:val="31"/>
          <w:lang w:val="en-US" w:eastAsia="zh-CN"/>
        </w:rPr>
        <w:t>174.89</w:t>
      </w: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万元，负债总额</w:t>
      </w:r>
      <w:r>
        <w:rPr>
          <w:rFonts w:hint="eastAsia" w:eastAsia="仿宋" w:cs="Times New Roman"/>
          <w:spacing w:val="0"/>
          <w:position w:val="0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万元，净资产</w:t>
      </w:r>
      <w:r>
        <w:rPr>
          <w:rFonts w:hint="eastAsia" w:eastAsia="仿宋" w:cs="Times New Roman"/>
          <w:b w:val="0"/>
          <w:bCs w:val="0"/>
          <w:spacing w:val="0"/>
          <w:position w:val="0"/>
          <w:sz w:val="31"/>
          <w:szCs w:val="31"/>
          <w:lang w:val="en-US" w:eastAsia="zh-CN"/>
        </w:rPr>
        <w:t>174.89</w:t>
      </w: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万元。截至2022年12月31日，固定资产账面原值170</w:t>
      </w:r>
      <w:r>
        <w:rPr>
          <w:rFonts w:hint="eastAsia" w:eastAsia="仿宋" w:cs="Times New Roman"/>
          <w:spacing w:val="0"/>
          <w:position w:val="0"/>
          <w:sz w:val="31"/>
          <w:szCs w:val="31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68万元，在用资产</w:t>
      </w:r>
      <w:r>
        <w:rPr>
          <w:rFonts w:hint="eastAsia" w:eastAsia="仿宋" w:cs="Times New Roman"/>
          <w:spacing w:val="0"/>
          <w:position w:val="0"/>
          <w:sz w:val="31"/>
          <w:szCs w:val="31"/>
          <w:lang w:val="en-US" w:eastAsia="zh-CN"/>
        </w:rPr>
        <w:t>170.68</w:t>
      </w: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万元，资产使用率</w:t>
      </w:r>
      <w:r>
        <w:rPr>
          <w:rFonts w:hint="eastAsia" w:eastAsia="仿宋" w:cs="Times New Roman"/>
          <w:spacing w:val="0"/>
          <w:position w:val="0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02" w:firstLineChars="200"/>
        <w:jc w:val="both"/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</w:pPr>
      <w:r>
        <w:rPr>
          <w:rFonts w:hint="eastAsia" w:ascii="Times New Roman" w:hAnsi="Times New Roman" w:eastAsia="仿宋" w:cs="Times New Roman"/>
          <w:b/>
          <w:bCs/>
          <w:spacing w:val="0"/>
          <w:position w:val="0"/>
          <w:sz w:val="31"/>
          <w:szCs w:val="31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spacing w:val="0"/>
          <w:position w:val="0"/>
          <w:sz w:val="31"/>
          <w:szCs w:val="31"/>
        </w:rPr>
        <w:t>二</w:t>
      </w:r>
      <w:r>
        <w:rPr>
          <w:rFonts w:hint="eastAsia" w:ascii="Times New Roman" w:hAnsi="Times New Roman" w:eastAsia="仿宋" w:cs="Times New Roman"/>
          <w:b/>
          <w:bCs/>
          <w:spacing w:val="0"/>
          <w:position w:val="0"/>
          <w:sz w:val="31"/>
          <w:szCs w:val="31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spacing w:val="0"/>
          <w:position w:val="0"/>
          <w:sz w:val="31"/>
          <w:szCs w:val="31"/>
        </w:rPr>
        <w:t>资金使用及绩效情况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02" w:firstLineChars="200"/>
        <w:jc w:val="both"/>
        <w:rPr>
          <w:rFonts w:hint="default" w:ascii="Times New Roman" w:hAnsi="Times New Roman" w:eastAsia="仿宋" w:cs="Times New Roman"/>
          <w:spacing w:val="0"/>
          <w:position w:val="0"/>
          <w:sz w:val="31"/>
          <w:szCs w:val="31"/>
        </w:rPr>
      </w:pPr>
      <w:r>
        <w:rPr>
          <w:rFonts w:hint="default" w:ascii="Times New Roman" w:hAnsi="Times New Roman" w:eastAsia="仿宋" w:cs="Times New Roman"/>
          <w:b/>
          <w:bCs/>
          <w:spacing w:val="0"/>
          <w:position w:val="0"/>
          <w:sz w:val="31"/>
          <w:szCs w:val="31"/>
        </w:rPr>
        <w:t>1.整体绩效目标完成情况</w:t>
      </w:r>
    </w:p>
    <w:p>
      <w:pPr>
        <w:pStyle w:val="8"/>
        <w:rPr>
          <w:rFonts w:hint="eastAsia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  <w:t>我</w:t>
      </w:r>
      <w:r>
        <w:rPr>
          <w:rFonts w:hint="eastAsia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  <w:t>团</w:t>
      </w:r>
      <w:r>
        <w:rPr>
          <w:rFonts w:hint="default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  <w:t>积极履职，强化管理，较好的完成了年度工作目标。通过加强预算收支管理，不断建立健全内部管理制度，梳理内部管理流程，部门整体支出管理水平得到提升。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02" w:firstLineChars="200"/>
        <w:jc w:val="both"/>
        <w:rPr>
          <w:rFonts w:hint="eastAsia" w:ascii="Times New Roman" w:hAnsi="Times New Roman" w:eastAsia="仿宋" w:cs="Times New Roman"/>
          <w:b/>
          <w:bCs/>
          <w:spacing w:val="0"/>
          <w:position w:val="0"/>
          <w:sz w:val="31"/>
          <w:szCs w:val="31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pacing w:val="0"/>
          <w:position w:val="0"/>
          <w:sz w:val="31"/>
          <w:szCs w:val="31"/>
        </w:rPr>
        <w:t>2.项目绩效目标完成情况</w:t>
      </w:r>
      <w:r>
        <w:rPr>
          <w:rFonts w:hint="eastAsia" w:ascii="Times New Roman" w:hAnsi="Times New Roman" w:eastAsia="仿宋" w:cs="Times New Roman"/>
          <w:b/>
          <w:bCs/>
          <w:spacing w:val="0"/>
          <w:position w:val="0"/>
          <w:sz w:val="31"/>
          <w:szCs w:val="31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spacing w:val="0"/>
          <w:position w:val="0"/>
          <w:sz w:val="31"/>
          <w:szCs w:val="31"/>
        </w:rPr>
        <w:t>仅对50万元以上的项目资金进行分项说明</w:t>
      </w:r>
      <w:r>
        <w:rPr>
          <w:rFonts w:hint="eastAsia" w:ascii="Times New Roman" w:hAnsi="Times New Roman" w:eastAsia="仿宋" w:cs="Times New Roman"/>
          <w:b/>
          <w:bCs/>
          <w:spacing w:val="0"/>
          <w:position w:val="0"/>
          <w:sz w:val="31"/>
          <w:szCs w:val="3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02" w:firstLineChars="200"/>
        <w:jc w:val="both"/>
        <w:rPr>
          <w:rFonts w:hint="eastAsia" w:eastAsia="仿宋" w:cs="Times New Roman"/>
          <w:b/>
          <w:bCs/>
          <w:spacing w:val="0"/>
          <w:position w:val="0"/>
          <w:sz w:val="31"/>
          <w:szCs w:val="31"/>
          <w:lang w:eastAsia="zh-CN"/>
        </w:rPr>
      </w:pPr>
      <w:r>
        <w:rPr>
          <w:rFonts w:hint="eastAsia" w:eastAsia="仿宋" w:cs="Times New Roman"/>
          <w:b/>
          <w:bCs/>
          <w:spacing w:val="0"/>
          <w:position w:val="0"/>
          <w:sz w:val="31"/>
          <w:szCs w:val="31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02" w:firstLineChars="200"/>
        <w:jc w:val="both"/>
        <w:rPr>
          <w:rFonts w:hint="default" w:ascii="Times New Roman" w:hAnsi="Times New Roman" w:eastAsia="黑体" w:cs="Times New Roman"/>
          <w:b w:val="0"/>
          <w:bCs w:val="0"/>
          <w:spacing w:val="0"/>
          <w:position w:val="0"/>
          <w:sz w:val="31"/>
          <w:szCs w:val="31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position w:val="0"/>
          <w:sz w:val="31"/>
          <w:szCs w:val="31"/>
        </w:rPr>
        <w:t>存在的问题及改进措施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2" w:firstLineChars="200"/>
        <w:jc w:val="left"/>
        <w:textAlignment w:val="auto"/>
        <w:rPr>
          <w:rFonts w:hint="default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  <w:t>1、</w:t>
      </w:r>
      <w:r>
        <w:rPr>
          <w:rFonts w:hint="default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  <w:t>细化预算编制工作，认真做好预算的编制。进一步加强单位内部机构各股室的预算管理意识，严格按照预算编制的相关制度和要求进行预算编制。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2" w:firstLineChars="200"/>
        <w:jc w:val="both"/>
        <w:textAlignment w:val="auto"/>
        <w:rPr>
          <w:rFonts w:hint="default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  <w:t>2、</w:t>
      </w:r>
      <w:r>
        <w:rPr>
          <w:rFonts w:hint="default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  <w:t>加强财务管理，严格财务审核。加强单位财务管理，健全单位财务管理制度体系，规范单位财务行为。在费用报账支付时，按照预算规定的费用项目和用途进行资金使用审核、列报支付、财务核算，杜绝超支现象的发生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560"/>
        <w:jc w:val="both"/>
        <w:textAlignment w:val="auto"/>
        <w:rPr>
          <w:rFonts w:hint="default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  <w:t>3、完善资产管理，抓好“三公”经费控制。严格编制政府采购年初预算和计划，规范各类资产的购置审批制度、资产出租出借和收入管理制度、资产采购制度、使用管理制度、资产处置和报废审批制度、资产管理岗位职责制度等，加强单位内部的资产管理工作。严格控制“三公”经费的规模和比例，把关“三公”经费支出的审核、审批，杜绝挪用和挤占其他预算资金行为；进一步细化“三公”经费的管理，合理压缩“三公”经费支出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560"/>
        <w:jc w:val="both"/>
        <w:textAlignment w:val="auto"/>
        <w:rPr>
          <w:rFonts w:hint="eastAsia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  <w:t>4、对相关人员加强培训，特别是针对《预算法》、《行政事业单位会计制度》等学习培训，规范部门预算收支核算，切实提高部门预算收支管理水平</w:t>
      </w:r>
      <w:r>
        <w:rPr>
          <w:rFonts w:hint="eastAsia" w:ascii="Times New Roman" w:hAnsi="Times New Roman" w:eastAsia="仿宋" w:cs="Times New Roman"/>
          <w:spacing w:val="0"/>
          <w:kern w:val="2"/>
          <w:position w:val="0"/>
          <w:sz w:val="31"/>
          <w:szCs w:val="31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02" w:firstLineChars="200"/>
        <w:jc w:val="both"/>
        <w:outlineLvl w:val="0"/>
        <w:rPr>
          <w:rFonts w:hint="default" w:ascii="Times New Roman" w:hAnsi="Times New Roman" w:eastAsia="黑体" w:cs="Times New Roman"/>
          <w:b w:val="0"/>
          <w:bCs w:val="0"/>
          <w:spacing w:val="0"/>
          <w:position w:val="0"/>
          <w:sz w:val="31"/>
          <w:szCs w:val="31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position w:val="0"/>
          <w:sz w:val="31"/>
          <w:szCs w:val="31"/>
        </w:rPr>
        <w:t>四、其他需要说明的情况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62" w:firstLineChars="200"/>
        <w:jc w:val="both"/>
        <w:rPr>
          <w:rFonts w:hint="eastAsia" w:eastAsia="黑体" w:cs="Times New Roman"/>
          <w:b/>
          <w:bCs/>
          <w:spacing w:val="0"/>
          <w:position w:val="0"/>
          <w:sz w:val="34"/>
          <w:szCs w:val="34"/>
          <w:lang w:eastAsia="zh-CN"/>
        </w:rPr>
      </w:pPr>
      <w:r>
        <w:rPr>
          <w:rFonts w:hint="eastAsia" w:eastAsia="黑体" w:cs="Times New Roman"/>
          <w:b/>
          <w:bCs/>
          <w:spacing w:val="0"/>
          <w:position w:val="0"/>
          <w:sz w:val="34"/>
          <w:szCs w:val="34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62" w:firstLineChars="200"/>
        <w:jc w:val="both"/>
        <w:rPr>
          <w:rFonts w:hint="eastAsia" w:eastAsia="黑体" w:cs="Times New Roman"/>
          <w:b/>
          <w:bCs/>
          <w:spacing w:val="0"/>
          <w:position w:val="0"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ind w:right="0" w:rightChars="0" w:firstLine="1359" w:firstLineChars="300"/>
        <w:jc w:val="both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</w:rPr>
        <w:t>2022年度预算支出绩效自评表</w:t>
      </w:r>
    </w:p>
    <w:p>
      <w:pPr>
        <w:spacing w:line="72" w:lineRule="exact"/>
        <w:rPr>
          <w:rFonts w:hint="default" w:ascii="Times New Roman" w:hAnsi="Times New Roman" w:cs="Times New Roman"/>
        </w:rPr>
      </w:pPr>
    </w:p>
    <w:tbl>
      <w:tblPr>
        <w:tblStyle w:val="14"/>
        <w:tblW w:w="98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989"/>
        <w:gridCol w:w="1268"/>
        <w:gridCol w:w="1419"/>
        <w:gridCol w:w="909"/>
        <w:gridCol w:w="1109"/>
        <w:gridCol w:w="819"/>
        <w:gridCol w:w="859"/>
        <w:gridCol w:w="1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项目支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出名称</w:t>
            </w:r>
          </w:p>
        </w:tc>
        <w:tc>
          <w:tcPr>
            <w:tcW w:w="8745" w:type="dxa"/>
            <w:gridSpan w:val="8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单位专项业务工作经费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主管部门</w:t>
            </w:r>
          </w:p>
        </w:tc>
        <w:tc>
          <w:tcPr>
            <w:tcW w:w="4585" w:type="dxa"/>
            <w:gridSpan w:val="4"/>
            <w:vAlign w:val="center"/>
          </w:tcPr>
          <w:p>
            <w:pPr>
              <w:tabs>
                <w:tab w:val="left" w:pos="659"/>
              </w:tabs>
              <w:jc w:val="left"/>
              <w:rPr>
                <w:rFonts w:hint="eastAsia" w:ascii="Times New Roman" w:hAnsi="Times New Roman" w:eastAsia="仿宋" w:cs="Times New Roman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lang w:eastAsia="zh-CN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衡山县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文化旅游广电体育局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实施单位</w:t>
            </w:r>
          </w:p>
        </w:tc>
        <w:tc>
          <w:tcPr>
            <w:tcW w:w="305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衡山县花鼓戏剧团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项目资金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</w:rPr>
              <w:t>万元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）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年初预算数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全年预算数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全年执行数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分值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执行率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年度资金总额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104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104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156.12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10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eastAsia="仿宋" w:cs="Times New Roman"/>
                <w:lang w:val="en-US" w:eastAsia="zh-CN"/>
              </w:rPr>
              <w:t>150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%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eastAsia="仿宋" w:cs="Times New Roman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其中：当年财政拨款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104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104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156.12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10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eastAsia="仿宋" w:cs="Times New Roman"/>
                <w:lang w:val="en-US" w:eastAsia="zh-CN"/>
              </w:rPr>
              <w:t>150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%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eastAsia="仿宋" w:cs="Times New Roman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" w:cs="Times New Roman"/>
              </w:rPr>
              <w:t>上年结转资金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0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0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0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13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</w:rPr>
              <w:t>其他资金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0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0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0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年度总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体目标</w:t>
            </w:r>
          </w:p>
        </w:tc>
        <w:tc>
          <w:tcPr>
            <w:tcW w:w="458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预期目标</w:t>
            </w:r>
          </w:p>
        </w:tc>
        <w:tc>
          <w:tcPr>
            <w:tcW w:w="416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13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4585" w:type="dxa"/>
            <w:gridSpan w:val="4"/>
            <w:vAlign w:val="center"/>
          </w:tcPr>
          <w:p>
            <w:pPr>
              <w:pStyle w:val="12"/>
              <w:widowControl/>
              <w:numPr>
                <w:ilvl w:val="0"/>
                <w:numId w:val="2"/>
              </w:numPr>
              <w:ind w:leftChars="0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复排剧目不少于1个</w:t>
            </w:r>
          </w:p>
          <w:p>
            <w:pPr>
              <w:tabs>
                <w:tab w:val="left" w:pos="506"/>
                <w:tab w:val="center" w:pos="2347"/>
              </w:tabs>
              <w:ind w:firstLine="402" w:firstLineChars="200"/>
              <w:jc w:val="left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_GB2312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完成“演艺惠民送戏下乡”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任务100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场</w:t>
            </w:r>
          </w:p>
        </w:tc>
        <w:tc>
          <w:tcPr>
            <w:tcW w:w="4160" w:type="dxa"/>
            <w:gridSpan w:val="4"/>
            <w:vAlign w:val="center"/>
          </w:tcPr>
          <w:p>
            <w:pPr>
              <w:pStyle w:val="12"/>
              <w:widowControl/>
              <w:numPr>
                <w:ilvl w:val="0"/>
                <w:numId w:val="0"/>
              </w:numPr>
              <w:ind w:leftChars="200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复排剧目两个：《贤淑女》、《兰寄子扳砖》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02" w:firstLineChars="200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惠民活动方面，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共完成“演艺惠民送戏下乡”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任务100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场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广及县内12个乡镇</w:t>
            </w:r>
          </w:p>
          <w:p>
            <w:pPr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134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绩效指标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一级指标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二级指标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三级指标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年度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指标值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实际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完成值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分值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得分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偏差原因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分析及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8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产出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指标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</w:rPr>
              <w:t>50分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）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数量指标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复排剧目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eastAsia="仿宋" w:cs="Times New Roman"/>
                <w:lang w:val="en-US" w:eastAsia="zh-CN"/>
              </w:rPr>
              <w:t>2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10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eastAsia="仿宋" w:cs="Times New Roman"/>
                <w:lang w:val="en-US" w:eastAsia="zh-CN"/>
              </w:rPr>
              <w:t>10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eastAsia="zh-CN"/>
              </w:rPr>
            </w:pPr>
          </w:p>
        </w:tc>
        <w:tc>
          <w:tcPr>
            <w:tcW w:w="1268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送戏下乡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eastAsia="仿宋" w:cs="Times New Roman"/>
                <w:lang w:val="en-US" w:eastAsia="zh-CN"/>
              </w:rPr>
            </w:pPr>
            <w:r>
              <w:rPr>
                <w:rFonts w:hint="eastAsia" w:eastAsia="仿宋" w:cs="Times New Roman"/>
                <w:lang w:val="en-US" w:eastAsia="zh-CN"/>
              </w:rPr>
              <w:t>100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eastAsia="仿宋" w:cs="Times New Roman"/>
                <w:lang w:val="en-US" w:eastAsia="zh-CN"/>
              </w:rPr>
              <w:t>10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eastAsia="仿宋" w:cs="Times New Roman"/>
                <w:lang w:val="en-US" w:eastAsia="zh-CN"/>
              </w:rPr>
            </w:pPr>
            <w:r>
              <w:rPr>
                <w:rFonts w:hint="eastAsia" w:eastAsia="仿宋" w:cs="Times New Roman"/>
                <w:lang w:val="en-US" w:eastAsia="zh-CN"/>
              </w:rPr>
              <w:t>10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26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质量指标</w:t>
            </w:r>
          </w:p>
        </w:tc>
        <w:tc>
          <w:tcPr>
            <w:tcW w:w="1419" w:type="dxa"/>
            <w:vAlign w:val="bottom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按质按量完成</w:t>
            </w:r>
          </w:p>
        </w:tc>
        <w:tc>
          <w:tcPr>
            <w:tcW w:w="909" w:type="dxa"/>
            <w:vAlign w:val="bottom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100%</w:t>
            </w:r>
          </w:p>
        </w:tc>
        <w:tc>
          <w:tcPr>
            <w:tcW w:w="1109" w:type="dxa"/>
            <w:vAlign w:val="bottom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100%</w:t>
            </w:r>
          </w:p>
        </w:tc>
        <w:tc>
          <w:tcPr>
            <w:tcW w:w="819" w:type="dxa"/>
            <w:vAlign w:val="bottom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10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26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时效指标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全年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365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365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kern w:val="2"/>
                <w:sz w:val="21"/>
                <w:szCs w:val="24"/>
                <w:lang w:val="en-US" w:eastAsia="zh-CN" w:bidi="ar-SA"/>
              </w:rPr>
              <w:t>10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eastAsia="仿宋" w:cs="Times New Roman"/>
                <w:lang w:val="en-US" w:eastAsia="zh-CN"/>
              </w:rPr>
              <w:t>10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26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成本指标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财政预算资金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90%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10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9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8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效益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指标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</w:rPr>
              <w:t>30分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）</w:t>
            </w:r>
          </w:p>
        </w:tc>
        <w:tc>
          <w:tcPr>
            <w:tcW w:w="126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经济效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益指标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流动资金周转率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90%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10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9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26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社会效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益指标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保护及修缮文物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10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26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生态效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益指标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无污染物排放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10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26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可持续影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响指标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无可持续影响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10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8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满意度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指标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</w:rPr>
              <w:t>10分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）</w:t>
            </w:r>
          </w:p>
        </w:tc>
        <w:tc>
          <w:tcPr>
            <w:tcW w:w="126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服务对象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满意度指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标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群众满意度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95%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95%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10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82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总</w:t>
            </w:r>
            <w:r>
              <w:rPr>
                <w:rFonts w:hint="default" w:ascii="Times New Roman" w:hAnsi="Times New Roman" w:eastAsia="仿宋" w:cs="Times New Roman"/>
                <w:b/>
                <w:bCs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b/>
                <w:bCs/>
              </w:rPr>
              <w:t>分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100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lang w:val="en-US" w:eastAsia="zh-CN"/>
              </w:rPr>
              <w:t>9</w:t>
            </w:r>
            <w:r>
              <w:rPr>
                <w:rFonts w:hint="eastAsia" w:eastAsia="仿宋" w:cs="Times New Roman"/>
                <w:b/>
                <w:bCs/>
                <w:lang w:val="en-US" w:eastAsia="zh-CN"/>
              </w:rPr>
              <w:t>8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240" w:lineRule="auto"/>
        <w:ind w:left="0" w:leftChars="0" w:right="0" w:rightChars="0" w:firstLine="0" w:firstLineChars="0"/>
        <w:jc w:val="left"/>
        <w:textAlignment w:val="baseline"/>
        <w:outlineLvl w:val="9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填表人：</w:t>
      </w:r>
      <w:r>
        <w:rPr>
          <w:rFonts w:hint="eastAsia"/>
          <w:sz w:val="28"/>
          <w:szCs w:val="28"/>
          <w:lang w:val="en-US" w:eastAsia="zh-CN"/>
        </w:rPr>
        <w:t xml:space="preserve">                        </w:t>
      </w:r>
      <w:r>
        <w:rPr>
          <w:rFonts w:hint="default"/>
          <w:sz w:val="28"/>
          <w:szCs w:val="28"/>
        </w:rPr>
        <w:t>填报日期：</w:t>
      </w:r>
      <w:r>
        <w:rPr>
          <w:rFonts w:hint="eastAsia"/>
          <w:sz w:val="28"/>
          <w:szCs w:val="28"/>
          <w:lang w:val="en-US" w:eastAsia="zh-CN"/>
        </w:rPr>
        <w:t xml:space="preserve">2023年8月7日                         </w:t>
      </w:r>
      <w:r>
        <w:rPr>
          <w:rFonts w:hint="default"/>
          <w:sz w:val="28"/>
          <w:szCs w:val="28"/>
        </w:rPr>
        <w:t>联系电话：</w:t>
      </w:r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  <w:r>
        <w:rPr>
          <w:rFonts w:hint="default"/>
          <w:sz w:val="28"/>
          <w:szCs w:val="28"/>
        </w:rPr>
        <w:t>单位负责人签字：</w:t>
      </w:r>
    </w:p>
    <w:p>
      <w:pPr>
        <w:widowControl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</w:p>
    <w:p/>
    <w:sectPr>
      <w:footerReference r:id="rId3" w:type="default"/>
      <w:footerReference r:id="rId4" w:type="even"/>
      <w:pgSz w:w="11906" w:h="16838"/>
      <w:pgMar w:top="1559" w:right="1287" w:bottom="1440" w:left="1622" w:header="851" w:footer="1021" w:gutter="0"/>
      <w:cols w:space="425" w:num="1"/>
      <w:docGrid w:type="linesAndChars" w:linePitch="312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12</w:t>
    </w:r>
    <w:r>
      <w:rPr>
        <w:rStyle w:val="11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BB99EE"/>
    <w:multiLevelType w:val="singleLevel"/>
    <w:tmpl w:val="8DBB99E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D8B2367"/>
    <w:multiLevelType w:val="singleLevel"/>
    <w:tmpl w:val="DD8B236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NmI3NDg4NDM4OWZmODA3ZDYzMmE1YjlhYjg1MTAifQ=="/>
  </w:docVars>
  <w:rsids>
    <w:rsidRoot w:val="76CA2446"/>
    <w:rsid w:val="00022D25"/>
    <w:rsid w:val="00060F2F"/>
    <w:rsid w:val="0006737B"/>
    <w:rsid w:val="000A5542"/>
    <w:rsid w:val="000B4A69"/>
    <w:rsid w:val="000D3CE1"/>
    <w:rsid w:val="000E6B8C"/>
    <w:rsid w:val="00135F14"/>
    <w:rsid w:val="001651B7"/>
    <w:rsid w:val="001A03F7"/>
    <w:rsid w:val="001A627D"/>
    <w:rsid w:val="001C4444"/>
    <w:rsid w:val="00220759"/>
    <w:rsid w:val="00223DBD"/>
    <w:rsid w:val="0023676C"/>
    <w:rsid w:val="0027014E"/>
    <w:rsid w:val="00286A0E"/>
    <w:rsid w:val="00296904"/>
    <w:rsid w:val="00310C50"/>
    <w:rsid w:val="003872A3"/>
    <w:rsid w:val="003C48BD"/>
    <w:rsid w:val="00440310"/>
    <w:rsid w:val="00483CA9"/>
    <w:rsid w:val="004B21B2"/>
    <w:rsid w:val="004B56CB"/>
    <w:rsid w:val="004F1787"/>
    <w:rsid w:val="00524F6E"/>
    <w:rsid w:val="00527B92"/>
    <w:rsid w:val="00541081"/>
    <w:rsid w:val="0055589A"/>
    <w:rsid w:val="00566410"/>
    <w:rsid w:val="00580C0E"/>
    <w:rsid w:val="006004E5"/>
    <w:rsid w:val="0066181F"/>
    <w:rsid w:val="00667C76"/>
    <w:rsid w:val="00674811"/>
    <w:rsid w:val="007E05B3"/>
    <w:rsid w:val="008222BA"/>
    <w:rsid w:val="0083351F"/>
    <w:rsid w:val="00856095"/>
    <w:rsid w:val="008568EE"/>
    <w:rsid w:val="00860D04"/>
    <w:rsid w:val="00894F28"/>
    <w:rsid w:val="008B1005"/>
    <w:rsid w:val="008F51F5"/>
    <w:rsid w:val="00902C2A"/>
    <w:rsid w:val="0097553A"/>
    <w:rsid w:val="00982D8A"/>
    <w:rsid w:val="00A12869"/>
    <w:rsid w:val="00A424C4"/>
    <w:rsid w:val="00A5400C"/>
    <w:rsid w:val="00A86759"/>
    <w:rsid w:val="00A8716A"/>
    <w:rsid w:val="00B26D88"/>
    <w:rsid w:val="00B66E3E"/>
    <w:rsid w:val="00BA6B0F"/>
    <w:rsid w:val="00BC320E"/>
    <w:rsid w:val="00C26F20"/>
    <w:rsid w:val="00C27722"/>
    <w:rsid w:val="00C667B3"/>
    <w:rsid w:val="00C76C37"/>
    <w:rsid w:val="00CD4190"/>
    <w:rsid w:val="00CF7B2A"/>
    <w:rsid w:val="00DA054B"/>
    <w:rsid w:val="00E31312"/>
    <w:rsid w:val="00E90B7D"/>
    <w:rsid w:val="00EB4475"/>
    <w:rsid w:val="00ED6745"/>
    <w:rsid w:val="00F0408F"/>
    <w:rsid w:val="00F2616D"/>
    <w:rsid w:val="00F47AFE"/>
    <w:rsid w:val="00F63D80"/>
    <w:rsid w:val="00FD1F6B"/>
    <w:rsid w:val="09BC05EC"/>
    <w:rsid w:val="0D21776C"/>
    <w:rsid w:val="0F706BF2"/>
    <w:rsid w:val="193E6884"/>
    <w:rsid w:val="1CC63637"/>
    <w:rsid w:val="1E6F53A1"/>
    <w:rsid w:val="2064408E"/>
    <w:rsid w:val="2B9E594C"/>
    <w:rsid w:val="2FAF5D60"/>
    <w:rsid w:val="34A719CD"/>
    <w:rsid w:val="3D3710B0"/>
    <w:rsid w:val="3E295686"/>
    <w:rsid w:val="407F75B0"/>
    <w:rsid w:val="459C6ADE"/>
    <w:rsid w:val="4FD232EB"/>
    <w:rsid w:val="558D6683"/>
    <w:rsid w:val="593221FB"/>
    <w:rsid w:val="597D202A"/>
    <w:rsid w:val="5CB928FB"/>
    <w:rsid w:val="67CB360E"/>
    <w:rsid w:val="6BBA3B00"/>
    <w:rsid w:val="6BBB094C"/>
    <w:rsid w:val="750D60CF"/>
    <w:rsid w:val="76CA2446"/>
    <w:rsid w:val="7739614C"/>
    <w:rsid w:val="7B5B26D2"/>
    <w:rsid w:val="7B8C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qFormat/>
    <w:uiPriority w:val="99"/>
    <w:pPr>
      <w:spacing w:after="120"/>
      <w:ind w:left="420"/>
    </w:pPr>
  </w:style>
  <w:style w:type="paragraph" w:styleId="7">
    <w:name w:val="Normal (Web)"/>
    <w:basedOn w:val="1"/>
    <w:semiHidden/>
    <w:unhideWhenUsed/>
    <w:qFormat/>
    <w:uiPriority w:val="99"/>
    <w:pPr>
      <w:jc w:val="left"/>
    </w:pPr>
    <w:rPr>
      <w:rFonts w:hint="eastAsia" w:ascii="微软雅黑" w:hAnsi="微软雅黑" w:eastAsia="微软雅黑"/>
      <w:kern w:val="0"/>
      <w:sz w:val="24"/>
    </w:rPr>
  </w:style>
  <w:style w:type="paragraph" w:styleId="8">
    <w:name w:val="Body Text First Indent"/>
    <w:basedOn w:val="3"/>
    <w:next w:val="6"/>
    <w:qFormat/>
    <w:uiPriority w:val="99"/>
    <w:pPr>
      <w:ind w:firstLine="420" w:firstLineChars="100"/>
    </w:pPr>
  </w:style>
  <w:style w:type="character" w:styleId="11">
    <w:name w:val="page number"/>
    <w:basedOn w:val="10"/>
    <w:qFormat/>
    <w:uiPriority w:val="99"/>
    <w:rPr>
      <w:rFonts w:cs="Times New Roman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10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table" w:customStyle="1" w:styleId="1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4031</Words>
  <Characters>4336</Characters>
  <Lines>55</Lines>
  <Paragraphs>15</Paragraphs>
  <TotalTime>1</TotalTime>
  <ScaleCrop>false</ScaleCrop>
  <LinksUpToDate>false</LinksUpToDate>
  <CharactersWithSpaces>4792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2021-03-30T02:48:00Z</dcterms:created>
  <dc:creator>Administrator</dc:creator>
  <cp:lastModifiedBy>Administrator</cp:lastModifiedBy>
  <dcterms:modified xsi:type="dcterms:W3CDTF">2023-08-11T09:32:23Z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8A0609DB43824354BFCB5AE626B99E4B_13</vt:lpwstr>
  </property>
</Properties>
</file>