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77227B">
      <w:pPr>
        <w:spacing w:before="140" w:line="360" w:lineRule="auto"/>
        <w:jc w:val="center"/>
        <w:rPr>
          <w:rFonts w:ascii="仿宋" w:hAnsi="仿宋" w:eastAsia="仿宋" w:cs="黑体"/>
          <w:color w:val="auto"/>
          <w:spacing w:val="8"/>
          <w:sz w:val="32"/>
          <w:szCs w:val="32"/>
        </w:rPr>
      </w:pPr>
      <w:bookmarkStart w:id="5" w:name="_GoBack"/>
      <w:bookmarkEnd w:id="5"/>
    </w:p>
    <w:p w14:paraId="7972999A">
      <w:pPr>
        <w:spacing w:line="360" w:lineRule="auto"/>
        <w:jc w:val="center"/>
        <w:rPr>
          <w:rFonts w:ascii="黑体" w:hAnsi="黑体" w:eastAsia="黑体"/>
          <w:sz w:val="48"/>
          <w:szCs w:val="48"/>
        </w:rPr>
      </w:pPr>
      <w:r>
        <w:rPr>
          <w:rFonts w:ascii="黑体" w:hAnsi="黑体" w:eastAsia="黑体"/>
          <w:sz w:val="48"/>
          <w:szCs w:val="48"/>
        </w:rPr>
        <w:t>20</w:t>
      </w:r>
      <w:r>
        <w:rPr>
          <w:rFonts w:hint="eastAsia" w:ascii="黑体" w:hAnsi="黑体" w:eastAsia="黑体"/>
          <w:sz w:val="48"/>
          <w:szCs w:val="48"/>
        </w:rPr>
        <w:t>2</w:t>
      </w:r>
      <w:r>
        <w:rPr>
          <w:rFonts w:ascii="黑体" w:hAnsi="黑体" w:eastAsia="黑体"/>
          <w:sz w:val="48"/>
          <w:szCs w:val="48"/>
        </w:rPr>
        <w:t>2</w:t>
      </w:r>
      <w:r>
        <w:rPr>
          <w:rFonts w:hint="eastAsia" w:ascii="黑体" w:hAnsi="黑体" w:eastAsia="黑体"/>
          <w:sz w:val="48"/>
          <w:szCs w:val="48"/>
        </w:rPr>
        <w:t>年度部门整体支出绩效自评报告</w:t>
      </w:r>
    </w:p>
    <w:p w14:paraId="3C7BAFBE">
      <w:pPr>
        <w:spacing w:line="360" w:lineRule="auto"/>
        <w:jc w:val="center"/>
        <w:rPr>
          <w:rFonts w:ascii="仿宋" w:hAnsi="仿宋" w:eastAsia="仿宋"/>
          <w:sz w:val="32"/>
          <w:szCs w:val="32"/>
        </w:rPr>
      </w:pPr>
    </w:p>
    <w:p w14:paraId="7011DD2B">
      <w:pPr>
        <w:spacing w:line="360" w:lineRule="auto"/>
        <w:jc w:val="center"/>
        <w:rPr>
          <w:rFonts w:ascii="仿宋" w:hAnsi="仿宋" w:eastAsia="仿宋"/>
          <w:sz w:val="32"/>
          <w:szCs w:val="32"/>
        </w:rPr>
      </w:pPr>
    </w:p>
    <w:p w14:paraId="785EAFF5">
      <w:pPr>
        <w:spacing w:line="360" w:lineRule="auto"/>
        <w:jc w:val="center"/>
        <w:rPr>
          <w:rFonts w:ascii="仿宋" w:hAnsi="仿宋" w:eastAsia="仿宋"/>
          <w:sz w:val="32"/>
          <w:szCs w:val="32"/>
        </w:rPr>
      </w:pPr>
    </w:p>
    <w:p w14:paraId="63913539">
      <w:pPr>
        <w:spacing w:line="360" w:lineRule="auto"/>
        <w:jc w:val="center"/>
        <w:rPr>
          <w:rFonts w:ascii="仿宋" w:hAnsi="仿宋" w:eastAsia="仿宋"/>
          <w:sz w:val="32"/>
          <w:szCs w:val="32"/>
        </w:rPr>
      </w:pPr>
    </w:p>
    <w:p w14:paraId="54B3C936">
      <w:pPr>
        <w:spacing w:line="360" w:lineRule="auto"/>
        <w:jc w:val="center"/>
        <w:rPr>
          <w:rFonts w:ascii="仿宋" w:hAnsi="仿宋" w:eastAsia="仿宋"/>
          <w:sz w:val="32"/>
          <w:szCs w:val="32"/>
        </w:rPr>
      </w:pPr>
    </w:p>
    <w:p w14:paraId="103AFFFA">
      <w:pPr>
        <w:spacing w:line="360" w:lineRule="auto"/>
        <w:jc w:val="center"/>
        <w:rPr>
          <w:rFonts w:ascii="仿宋" w:hAnsi="仿宋" w:eastAsia="仿宋"/>
          <w:sz w:val="32"/>
          <w:szCs w:val="32"/>
        </w:rPr>
      </w:pPr>
    </w:p>
    <w:p w14:paraId="276F1E2D">
      <w:pPr>
        <w:spacing w:line="360" w:lineRule="auto"/>
        <w:jc w:val="center"/>
        <w:rPr>
          <w:rFonts w:ascii="仿宋" w:hAnsi="仿宋" w:eastAsia="仿宋"/>
          <w:sz w:val="32"/>
          <w:szCs w:val="32"/>
        </w:rPr>
      </w:pPr>
    </w:p>
    <w:p w14:paraId="3A607209">
      <w:pPr>
        <w:spacing w:line="360" w:lineRule="auto"/>
        <w:jc w:val="center"/>
        <w:rPr>
          <w:rFonts w:ascii="仿宋" w:hAnsi="仿宋" w:eastAsia="仿宋"/>
          <w:sz w:val="32"/>
          <w:szCs w:val="32"/>
        </w:rPr>
      </w:pPr>
    </w:p>
    <w:p w14:paraId="1F3F746B">
      <w:pPr>
        <w:spacing w:line="360" w:lineRule="auto"/>
        <w:jc w:val="center"/>
        <w:rPr>
          <w:rFonts w:ascii="仿宋" w:hAnsi="仿宋" w:eastAsia="仿宋"/>
          <w:sz w:val="32"/>
          <w:szCs w:val="32"/>
        </w:rPr>
      </w:pPr>
    </w:p>
    <w:p w14:paraId="2AD94F1A">
      <w:pPr>
        <w:spacing w:line="360" w:lineRule="auto"/>
        <w:jc w:val="center"/>
        <w:rPr>
          <w:rFonts w:ascii="仿宋" w:hAnsi="仿宋" w:eastAsia="仿宋"/>
          <w:sz w:val="32"/>
          <w:szCs w:val="32"/>
        </w:rPr>
      </w:pPr>
    </w:p>
    <w:p w14:paraId="06E3D3E2">
      <w:pPr>
        <w:spacing w:line="360" w:lineRule="auto"/>
        <w:jc w:val="center"/>
        <w:rPr>
          <w:rFonts w:ascii="仿宋" w:hAnsi="仿宋" w:eastAsia="仿宋"/>
          <w:sz w:val="32"/>
          <w:szCs w:val="32"/>
        </w:rPr>
      </w:pPr>
    </w:p>
    <w:p w14:paraId="6CCB3C7B">
      <w:pPr>
        <w:spacing w:line="360" w:lineRule="auto"/>
        <w:jc w:val="center"/>
        <w:rPr>
          <w:rFonts w:ascii="仿宋" w:hAnsi="仿宋" w:eastAsia="仿宋"/>
          <w:sz w:val="32"/>
          <w:szCs w:val="32"/>
        </w:rPr>
      </w:pPr>
    </w:p>
    <w:p w14:paraId="427AC7C0">
      <w:pPr>
        <w:spacing w:line="360" w:lineRule="auto"/>
        <w:rPr>
          <w:rFonts w:ascii="仿宋" w:hAnsi="仿宋" w:eastAsia="仿宋"/>
          <w:sz w:val="32"/>
          <w:szCs w:val="32"/>
        </w:rPr>
      </w:pPr>
    </w:p>
    <w:p w14:paraId="7B4DF7D9">
      <w:pPr>
        <w:spacing w:line="360" w:lineRule="auto"/>
        <w:rPr>
          <w:rFonts w:ascii="仿宋" w:hAnsi="仿宋" w:eastAsia="仿宋"/>
          <w:sz w:val="32"/>
          <w:szCs w:val="32"/>
        </w:rPr>
      </w:pPr>
    </w:p>
    <w:p w14:paraId="05969BD7">
      <w:pPr>
        <w:spacing w:line="360" w:lineRule="auto"/>
        <w:rPr>
          <w:rFonts w:ascii="仿宋" w:hAnsi="仿宋" w:eastAsia="仿宋"/>
          <w:sz w:val="32"/>
          <w:szCs w:val="32"/>
        </w:rPr>
      </w:pPr>
    </w:p>
    <w:p w14:paraId="6ADD24DC">
      <w:pPr>
        <w:spacing w:line="360" w:lineRule="auto"/>
        <w:rPr>
          <w:rFonts w:ascii="仿宋" w:hAnsi="仿宋" w:eastAsia="仿宋"/>
          <w:sz w:val="32"/>
          <w:szCs w:val="32"/>
        </w:rPr>
      </w:pPr>
    </w:p>
    <w:p w14:paraId="792A3DA2">
      <w:pPr>
        <w:spacing w:line="360" w:lineRule="auto"/>
        <w:jc w:val="center"/>
        <w:rPr>
          <w:rFonts w:ascii="仿宋" w:hAnsi="仿宋" w:eastAsia="仿宋"/>
          <w:sz w:val="32"/>
          <w:szCs w:val="32"/>
        </w:rPr>
      </w:pPr>
    </w:p>
    <w:p w14:paraId="1976048F">
      <w:pPr>
        <w:spacing w:line="360" w:lineRule="auto"/>
        <w:jc w:val="center"/>
        <w:rPr>
          <w:rFonts w:ascii="仿宋" w:hAnsi="仿宋" w:eastAsia="仿宋"/>
          <w:sz w:val="32"/>
          <w:szCs w:val="32"/>
        </w:rPr>
      </w:pPr>
      <w:r>
        <w:rPr>
          <w:rFonts w:hint="eastAsia" w:ascii="仿宋" w:hAnsi="仿宋" w:eastAsia="仿宋"/>
          <w:sz w:val="32"/>
          <w:szCs w:val="32"/>
        </w:rPr>
        <w:t>单位名称（盖章）：衡山县水利局</w:t>
      </w:r>
    </w:p>
    <w:p w14:paraId="21134BB4">
      <w:pPr>
        <w:spacing w:line="360" w:lineRule="auto"/>
        <w:rPr>
          <w:rFonts w:ascii="仿宋" w:hAnsi="仿宋" w:eastAsia="仿宋"/>
          <w:sz w:val="32"/>
          <w:szCs w:val="32"/>
        </w:rPr>
      </w:pPr>
    </w:p>
    <w:p w14:paraId="7C4BEF29">
      <w:pPr>
        <w:widowControl w:val="0"/>
        <w:kinsoku/>
        <w:adjustRightInd/>
        <w:snapToGrid/>
        <w:spacing w:line="360" w:lineRule="auto"/>
        <w:ind w:firstLine="643" w:firstLineChars="200"/>
        <w:jc w:val="both"/>
        <w:outlineLvl w:val="0"/>
        <w:rPr>
          <w:rFonts w:ascii="仿宋" w:hAnsi="仿宋" w:eastAsia="仿宋" w:cs="黑体"/>
          <w:snapToGrid/>
          <w:color w:val="auto"/>
          <w:kern w:val="21"/>
          <w:sz w:val="32"/>
          <w:szCs w:val="32"/>
        </w:rPr>
      </w:pPr>
      <w:r>
        <w:rPr>
          <w:rFonts w:hint="eastAsia" w:ascii="仿宋" w:hAnsi="仿宋" w:eastAsia="仿宋" w:cs="黑体"/>
          <w:b/>
          <w:bCs/>
          <w:snapToGrid/>
          <w:color w:val="auto"/>
          <w:kern w:val="21"/>
          <w:sz w:val="32"/>
          <w:szCs w:val="32"/>
        </w:rPr>
        <w:t>一、单位基本情况</w:t>
      </w:r>
    </w:p>
    <w:p w14:paraId="0822EFA2">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(一)部门主要职责</w:t>
      </w:r>
    </w:p>
    <w:p w14:paraId="3F4FD785">
      <w:pPr>
        <w:widowControl w:val="0"/>
        <w:kinsoku/>
        <w:adjustRightInd/>
        <w:snapToGrid/>
        <w:spacing w:line="360" w:lineRule="auto"/>
        <w:ind w:firstLine="643" w:firstLineChars="200"/>
        <w:jc w:val="both"/>
        <w:rPr>
          <w:rFonts w:ascii="仿宋" w:hAnsi="仿宋" w:eastAsia="仿宋"/>
          <w:b/>
          <w:snapToGrid/>
          <w:color w:val="auto"/>
          <w:kern w:val="21"/>
          <w:sz w:val="32"/>
          <w:szCs w:val="32"/>
        </w:rPr>
      </w:pPr>
      <w:r>
        <w:rPr>
          <w:rFonts w:hint="eastAsia" w:ascii="仿宋" w:hAnsi="仿宋" w:eastAsia="仿宋"/>
          <w:b/>
          <w:snapToGrid/>
          <w:color w:val="auto"/>
          <w:kern w:val="21"/>
          <w:sz w:val="32"/>
          <w:szCs w:val="32"/>
        </w:rPr>
        <w:t>1、机构情况：</w:t>
      </w:r>
    </w:p>
    <w:p w14:paraId="750BCF99">
      <w:pPr>
        <w:spacing w:line="360" w:lineRule="auto"/>
        <w:ind w:firstLine="594"/>
        <w:rPr>
          <w:rFonts w:ascii="仿宋" w:hAnsi="仿宋" w:eastAsia="仿宋"/>
          <w:sz w:val="32"/>
          <w:szCs w:val="32"/>
        </w:rPr>
      </w:pPr>
      <w:r>
        <w:rPr>
          <w:rFonts w:hint="eastAsia" w:ascii="仿宋" w:hAnsi="仿宋" w:eastAsia="仿宋"/>
          <w:sz w:val="32"/>
          <w:szCs w:val="32"/>
        </w:rPr>
        <w:t>衡山县水利局为参照公务员管理正科级公益一类全额拨款行政事业单位，负责人：罗光辉，机构地址：衡山县开云镇滨江南路8号，统一社会信用代11430423006278425L。</w:t>
      </w:r>
    </w:p>
    <w:p w14:paraId="612808F5">
      <w:pPr>
        <w:spacing w:line="360" w:lineRule="auto"/>
        <w:ind w:firstLine="660"/>
        <w:rPr>
          <w:rFonts w:ascii="仿宋" w:hAnsi="仿宋" w:eastAsia="仿宋" w:cs="仿宋_GB2312"/>
          <w:sz w:val="32"/>
          <w:szCs w:val="32"/>
        </w:rPr>
      </w:pPr>
      <w:r>
        <w:rPr>
          <w:rFonts w:hint="eastAsia" w:ascii="仿宋" w:hAnsi="仿宋" w:eastAsia="仿宋" w:cs="仿宋_GB2312"/>
          <w:sz w:val="32"/>
          <w:szCs w:val="32"/>
        </w:rPr>
        <w:t>县水利局机关行政编制</w:t>
      </w:r>
      <w:r>
        <w:rPr>
          <w:rFonts w:ascii="仿宋" w:hAnsi="仿宋" w:eastAsia="仿宋" w:cs="仿宋_GB2312"/>
          <w:sz w:val="32"/>
          <w:szCs w:val="32"/>
        </w:rPr>
        <w:t>1</w:t>
      </w:r>
      <w:r>
        <w:rPr>
          <w:rFonts w:hint="eastAsia" w:ascii="仿宋" w:hAnsi="仿宋" w:eastAsia="仿宋" w:cs="仿宋_GB2312"/>
          <w:sz w:val="32"/>
          <w:szCs w:val="32"/>
        </w:rPr>
        <w:t>7名。设局长</w:t>
      </w:r>
      <w:r>
        <w:rPr>
          <w:rFonts w:ascii="仿宋" w:hAnsi="仿宋" w:eastAsia="仿宋" w:cs="仿宋_GB2312"/>
          <w:sz w:val="32"/>
          <w:szCs w:val="32"/>
        </w:rPr>
        <w:t>1</w:t>
      </w:r>
      <w:r>
        <w:rPr>
          <w:rFonts w:hint="eastAsia" w:ascii="仿宋" w:hAnsi="仿宋" w:eastAsia="仿宋" w:cs="仿宋_GB2312"/>
          <w:sz w:val="32"/>
          <w:szCs w:val="32"/>
        </w:rPr>
        <w:t>名，副局长3名，</w:t>
      </w:r>
      <w:r>
        <w:rPr>
          <w:rFonts w:hint="eastAsia" w:ascii="仿宋" w:hAnsi="仿宋" w:eastAsia="仿宋"/>
          <w:sz w:val="32"/>
          <w:szCs w:val="32"/>
        </w:rPr>
        <w:t>总工程师</w:t>
      </w:r>
      <w:r>
        <w:rPr>
          <w:rFonts w:ascii="仿宋" w:hAnsi="仿宋" w:eastAsia="仿宋"/>
          <w:sz w:val="32"/>
          <w:szCs w:val="32"/>
        </w:rPr>
        <w:t>1</w:t>
      </w:r>
      <w:r>
        <w:rPr>
          <w:rFonts w:hint="eastAsia" w:ascii="仿宋" w:hAnsi="仿宋" w:eastAsia="仿宋"/>
          <w:sz w:val="32"/>
          <w:szCs w:val="32"/>
        </w:rPr>
        <w:t>名，股（室）负责人</w:t>
      </w:r>
      <w:r>
        <w:rPr>
          <w:rFonts w:ascii="仿宋" w:hAnsi="仿宋" w:eastAsia="仿宋"/>
          <w:sz w:val="32"/>
          <w:szCs w:val="32"/>
        </w:rPr>
        <w:t>9</w:t>
      </w:r>
      <w:r>
        <w:rPr>
          <w:rFonts w:hint="eastAsia" w:ascii="仿宋" w:hAnsi="仿宋" w:eastAsia="仿宋"/>
          <w:sz w:val="32"/>
          <w:szCs w:val="32"/>
        </w:rPr>
        <w:t>名。</w:t>
      </w:r>
    </w:p>
    <w:p w14:paraId="57EC79E4">
      <w:pPr>
        <w:spacing w:line="360" w:lineRule="auto"/>
        <w:ind w:firstLine="312" w:firstLineChars="100"/>
        <w:rPr>
          <w:rFonts w:ascii="仿宋" w:hAnsi="仿宋" w:eastAsia="仿宋"/>
          <w:sz w:val="32"/>
          <w:szCs w:val="32"/>
        </w:rPr>
      </w:pPr>
      <w:r>
        <w:rPr>
          <w:rFonts w:hint="eastAsia" w:ascii="仿宋" w:hAnsi="仿宋" w:eastAsia="仿宋" w:cs="仿宋_GB2312"/>
          <w:spacing w:val="-4"/>
          <w:sz w:val="32"/>
          <w:szCs w:val="32"/>
        </w:rPr>
        <w:t xml:space="preserve">  </w:t>
      </w:r>
      <w:r>
        <w:rPr>
          <w:rFonts w:hint="eastAsia" w:ascii="仿宋" w:hAnsi="仿宋" w:eastAsia="仿宋"/>
          <w:sz w:val="32"/>
          <w:szCs w:val="32"/>
        </w:rPr>
        <w:t>1、办公室。负责文电、机要、档案等机关日常运转工作；承担政务信息、</w:t>
      </w:r>
      <w:r>
        <w:rPr>
          <w:rFonts w:hint="eastAsia" w:ascii="仿宋" w:hAnsi="仿宋" w:eastAsia="仿宋"/>
          <w:spacing w:val="-2"/>
          <w:sz w:val="32"/>
          <w:szCs w:val="32"/>
        </w:rPr>
        <w:t>保密、信访、县人大代表建议与县政协委员提案的办理工作；负责机关内部规章制度建设；负责局机关行政后勤管理和社会综合治理工作；负责水利水电综合统计工作；协助水旱灾害防御中心做好相关日常工作。</w:t>
      </w:r>
    </w:p>
    <w:p w14:paraId="260D0655">
      <w:pPr>
        <w:spacing w:line="360" w:lineRule="auto"/>
        <w:ind w:firstLine="640" w:firstLineChars="200"/>
        <w:rPr>
          <w:rFonts w:ascii="仿宋" w:hAnsi="仿宋" w:eastAsia="仿宋"/>
          <w:sz w:val="32"/>
          <w:szCs w:val="32"/>
        </w:rPr>
      </w:pPr>
      <w:r>
        <w:rPr>
          <w:rFonts w:hint="eastAsia" w:ascii="仿宋" w:hAnsi="仿宋" w:eastAsia="仿宋"/>
          <w:sz w:val="32"/>
          <w:szCs w:val="32"/>
        </w:rPr>
        <w:t>2、计划财务股。负责指导全县水利行业的财务、会计管理工作；编制水利部门预算；研究提出有关水利的价格、信贷、财务等经济调节意见；</w:t>
      </w:r>
      <w:r>
        <w:rPr>
          <w:rFonts w:hint="eastAsia" w:ascii="仿宋" w:hAnsi="仿宋" w:eastAsia="仿宋"/>
          <w:spacing w:val="-2"/>
          <w:sz w:val="32"/>
          <w:szCs w:val="32"/>
        </w:rPr>
        <w:t>承担县水利资金的监督管理工作；负责移民扶助金的拨付与管理工作；归口管理局系统国有资产；负责局机关财务工作，指导和监管局属单位的财务内审工作；负责局行政事业性收费统一管理；负责编制年度预算计划和财务决算报表。</w:t>
      </w:r>
    </w:p>
    <w:p w14:paraId="5CB8B0EF">
      <w:pPr>
        <w:spacing w:line="360" w:lineRule="auto"/>
        <w:ind w:firstLine="640" w:firstLineChars="200"/>
        <w:rPr>
          <w:rFonts w:ascii="仿宋" w:hAnsi="仿宋" w:eastAsia="仿宋"/>
          <w:sz w:val="32"/>
          <w:szCs w:val="32"/>
        </w:rPr>
      </w:pPr>
      <w:r>
        <w:rPr>
          <w:rFonts w:hint="eastAsia" w:ascii="仿宋" w:hAnsi="仿宋" w:eastAsia="仿宋"/>
          <w:sz w:val="32"/>
          <w:szCs w:val="32"/>
        </w:rPr>
        <w:t>3、人事科教股。负责局机关及下属单位的机构编制、人事、劳动工资、离退休人员、计生、保险福利工作；负责局机关和局属单位的工人技术等级考核有关工作；协助上级有关部门做好干部考察、晋升工作；负责水利行业有关的职业技能鉴定；负责局机关及下属单位职工教育工作。负责全县水利科技工作；组织实施全县水利科学技术发展规划；组织全县本行业职工教育培训；承办水利科学研究与技术推广应用工作，归口管理全县水利科技项目的立项审查工作，负责科技成果的审查、申报与评奖工作；负责水利科技资料管理；指导、承办全县水利系统专业技术干部的职称评聘和继续培训工作；指导全县水利队伍建设。</w:t>
      </w:r>
    </w:p>
    <w:p w14:paraId="3468BAA9">
      <w:pPr>
        <w:spacing w:line="360" w:lineRule="auto"/>
        <w:ind w:firstLine="608" w:firstLineChars="200"/>
        <w:rPr>
          <w:rFonts w:ascii="仿宋" w:hAnsi="仿宋" w:eastAsia="仿宋"/>
          <w:sz w:val="32"/>
          <w:szCs w:val="32"/>
        </w:rPr>
      </w:pPr>
      <w:r>
        <w:rPr>
          <w:rFonts w:hint="eastAsia" w:ascii="仿宋" w:hAnsi="仿宋" w:eastAsia="仿宋"/>
          <w:spacing w:val="-8"/>
          <w:sz w:val="32"/>
          <w:szCs w:val="32"/>
        </w:rPr>
        <w:t>4、政策法规股（加挂水资源股和衡山县节约用水办公室牌子）。</w:t>
      </w:r>
      <w:r>
        <w:rPr>
          <w:rFonts w:hint="eastAsia" w:ascii="仿宋" w:hAnsi="仿宋" w:eastAsia="仿宋"/>
          <w:sz w:val="32"/>
          <w:szCs w:val="32"/>
        </w:rPr>
        <w:t>负责水利法律、法规和条例的贯彻实施；拟订水利法制建设规划；负责全县水资源统一管理和保护；负责全县水政监察和水行政执法工作；协调跨乡（镇）间水事纠纷；承办水利局行政诉讼、行政复议和行业普法宣传教育工作；承担实施最严格水资源管理制度相关工作，组织实施取水许可、水资源论证等制度，指导开展水资源有偿使用工作；指导水量分配工作并监督实施，指导河道、水库等生态流量水量管理；组织编制水资源保护规划，指导饮用水水源保护有关工作；按规定组织开展水资源调查、评价和水资源承载能力监测预警有关工作，组织编制并发布县级水资源公报。拟订节约用水政策，组织编制并协调实施节约用水规划，组织指导计划用水、节约用水工作；组织实施用水总量控制、用水效率控制、计划用水和定额管理制度。指导和推动节水型社会建设工作；指导水资源调度工作并监督实施；负责河道采砂的统一管理和监督，根据河道采砂规划、河势稳定和堤防安全要求，确定禁采区和禁采期，并予以公告。</w:t>
      </w:r>
    </w:p>
    <w:p w14:paraId="30CDA635">
      <w:pPr>
        <w:spacing w:line="360" w:lineRule="auto"/>
        <w:ind w:firstLine="640" w:firstLineChars="200"/>
        <w:rPr>
          <w:rFonts w:ascii="仿宋" w:hAnsi="仿宋" w:eastAsia="仿宋"/>
          <w:sz w:val="32"/>
          <w:szCs w:val="32"/>
        </w:rPr>
      </w:pPr>
      <w:r>
        <w:rPr>
          <w:rFonts w:hint="eastAsia" w:ascii="仿宋" w:hAnsi="仿宋" w:eastAsia="仿宋"/>
          <w:sz w:val="32"/>
          <w:szCs w:val="32"/>
        </w:rPr>
        <w:t>5、工程股。负责提出全县水利中、长期发展规划、年度投资建议计划，组织编制重大水利综合规划、专业规划和专项规划，指导全县水利规划编制工作；负责小型水利工程的项目建议书、可行性研究报告、初步设计、开工报告的审批和中型水利工程除险加固项目的初步设计初审上报工作；负责全县水利综合统计工作，水利工程建设、运行管理业务指导工作；负责全县水利工程建设规范管理；指导实施水利工程建设质量工作，组织参与重大水利安全事故的调查处理工作。</w:t>
      </w:r>
    </w:p>
    <w:p w14:paraId="5C6E1DAA">
      <w:pPr>
        <w:spacing w:line="360" w:lineRule="auto"/>
        <w:ind w:firstLine="640" w:firstLineChars="200"/>
        <w:rPr>
          <w:rFonts w:ascii="仿宋" w:hAnsi="仿宋" w:eastAsia="仿宋"/>
          <w:sz w:val="32"/>
          <w:szCs w:val="32"/>
        </w:rPr>
      </w:pPr>
      <w:r>
        <w:rPr>
          <w:rFonts w:hint="eastAsia" w:ascii="仿宋" w:hAnsi="仿宋" w:eastAsia="仿宋"/>
          <w:sz w:val="32"/>
          <w:szCs w:val="32"/>
        </w:rPr>
        <w:t>6、安全生产股。负责指导全县水利行业安全生产工作，组织水利安全生产宣传教育培训工作，负责全县水利系统安全生产监管工作；拟订水利安全生产工作的有关政策和措施；组织开展安全生产检查，对存在安全生产隐患的单位下达整改通知并监督落实；负责组织局属水利工程管理单位、局内设机构、直属机构以及乡镇水利站的安全生产考核工作，提出年度考核表彰奖励方案；组织或参与安全生产事故的调查处理工作。</w:t>
      </w:r>
    </w:p>
    <w:p w14:paraId="0774D781">
      <w:pPr>
        <w:spacing w:line="360" w:lineRule="auto"/>
        <w:ind w:firstLine="640" w:firstLineChars="200"/>
        <w:rPr>
          <w:rFonts w:ascii="仿宋" w:hAnsi="仿宋" w:eastAsia="仿宋"/>
          <w:sz w:val="32"/>
          <w:szCs w:val="32"/>
        </w:rPr>
      </w:pPr>
      <w:r>
        <w:rPr>
          <w:rFonts w:hint="eastAsia" w:ascii="仿宋" w:hAnsi="仿宋" w:eastAsia="仿宋"/>
          <w:sz w:val="32"/>
          <w:szCs w:val="32"/>
        </w:rPr>
        <w:t>7、工程质量监督股。负责指导全县水利工程质量监督工作，负责水利系统工程建设项目的质量监督；负责组织开展水利工程建设稽察工作，承担县水利工程建设稽察办公室的日常工作；参与水利工程建设项目和水利建设市场的监督管理工作，承担水利建设市场主体信用信息系统建设及管理工作；指导县级水利建设市场信用平台的工作；承担水利工程造价管理工作。</w:t>
      </w:r>
    </w:p>
    <w:p w14:paraId="287C340D">
      <w:pPr>
        <w:spacing w:line="360" w:lineRule="auto"/>
        <w:ind w:firstLine="640" w:firstLineChars="200"/>
        <w:rPr>
          <w:rFonts w:ascii="仿宋" w:hAnsi="仿宋" w:eastAsia="仿宋"/>
          <w:sz w:val="32"/>
          <w:szCs w:val="32"/>
        </w:rPr>
      </w:pPr>
      <w:r>
        <w:rPr>
          <w:rFonts w:hint="eastAsia" w:ascii="仿宋" w:hAnsi="仿宋" w:eastAsia="仿宋"/>
          <w:sz w:val="32"/>
          <w:szCs w:val="32"/>
        </w:rPr>
        <w:t>8、行政审批服务股。负责本单位对企业和个人办理行政许可、行政确认、行政征收、行政给付、其他职权（核准、备案、年检）等行政审批和管理服务事项的受理、审核或审批和送达；负责组织协调行政审批和管理服务事项的调研论证；负责有关行政审批和管理服务事项的政策咨询、政务公开工作；负责与本单位承担行政审批和管理服务事项事中事后监管职能股室的沟通协调，并做到信息共享；负责行政审批和管理服务事项办理资料归档和信息统计工作；负责与县行政审批服务局的协调联络，接受县行政审批服务局的监督指导。</w:t>
      </w:r>
    </w:p>
    <w:p w14:paraId="3FE59570">
      <w:pPr>
        <w:spacing w:line="360" w:lineRule="auto"/>
        <w:ind w:firstLine="640" w:firstLineChars="200"/>
        <w:rPr>
          <w:rFonts w:ascii="仿宋" w:hAnsi="仿宋" w:eastAsia="仿宋"/>
          <w:sz w:val="32"/>
          <w:szCs w:val="32"/>
        </w:rPr>
      </w:pPr>
      <w:r>
        <w:rPr>
          <w:rFonts w:hint="eastAsia" w:ascii="仿宋" w:hAnsi="仿宋" w:eastAsia="仿宋"/>
          <w:sz w:val="32"/>
          <w:szCs w:val="32"/>
        </w:rPr>
        <w:t>9、水库移民管理股。贯彻执行国家、省、市移民工作方针、政策，负责审核全县移民工作措施，经批准后组织实施；适应现行经济和社会需要，抓好开发性移民工作；按照管理权限参与编制移民安置发展规划，组织实施年度安置、开发计划，按规定做好工程项目监管工作；拟订移民资金管理办法；负责移民开发有关的统计工作；负责协调处理三峡库区迁入移民有关工作，指导其生活安置、生产和开发工作；协助乡镇人民政府做好库区、移民安置区的社会稳定工作；负责县直有关部门和乡镇人民政府有关移民工作协调，会同县直有关部门做好移民对口帮扶工作。</w:t>
      </w:r>
    </w:p>
    <w:p w14:paraId="65A2C4CC">
      <w:pPr>
        <w:widowControl w:val="0"/>
        <w:kinsoku/>
        <w:adjustRightInd/>
        <w:snapToGrid/>
        <w:spacing w:line="360" w:lineRule="auto"/>
        <w:ind w:firstLine="643" w:firstLineChars="200"/>
        <w:jc w:val="both"/>
        <w:rPr>
          <w:rFonts w:ascii="仿宋" w:hAnsi="仿宋" w:eastAsia="仿宋"/>
          <w:b/>
          <w:snapToGrid/>
          <w:color w:val="auto"/>
          <w:kern w:val="21"/>
          <w:sz w:val="32"/>
          <w:szCs w:val="32"/>
        </w:rPr>
      </w:pPr>
      <w:r>
        <w:rPr>
          <w:rFonts w:hint="eastAsia" w:ascii="仿宋" w:hAnsi="仿宋" w:eastAsia="仿宋"/>
          <w:b/>
          <w:snapToGrid/>
          <w:color w:val="auto"/>
          <w:kern w:val="21"/>
          <w:sz w:val="32"/>
          <w:szCs w:val="32"/>
        </w:rPr>
        <w:t>2、主要职能</w:t>
      </w:r>
    </w:p>
    <w:p w14:paraId="3064C184">
      <w:pPr>
        <w:widowControl w:val="0"/>
        <w:kinsoku/>
        <w:adjustRightInd/>
        <w:snapToGrid/>
        <w:spacing w:line="360" w:lineRule="auto"/>
        <w:ind w:firstLine="640" w:firstLineChars="200"/>
        <w:jc w:val="both"/>
        <w:rPr>
          <w:rFonts w:ascii="仿宋" w:hAnsi="仿宋" w:eastAsia="仿宋"/>
          <w:b/>
          <w:snapToGrid/>
          <w:color w:val="auto"/>
          <w:kern w:val="21"/>
          <w:sz w:val="32"/>
          <w:szCs w:val="32"/>
        </w:rPr>
      </w:pPr>
      <w:r>
        <w:rPr>
          <w:rFonts w:hint="eastAsia" w:ascii="仿宋" w:hAnsi="仿宋" w:eastAsia="仿宋"/>
          <w:sz w:val="32"/>
          <w:szCs w:val="32"/>
        </w:rPr>
        <w:t>（一）负责保障全县水资源的合理开发利用，拟订县级水利政策和规划；组织编制县级水资源规划、县确定的重要江河流域综合规划、防洪规划等重大水利规划。</w:t>
      </w:r>
    </w:p>
    <w:p w14:paraId="2460C503">
      <w:pPr>
        <w:spacing w:line="360" w:lineRule="auto"/>
        <w:ind w:firstLine="640"/>
        <w:rPr>
          <w:rFonts w:ascii="仿宋" w:hAnsi="仿宋" w:eastAsia="仿宋"/>
          <w:sz w:val="32"/>
          <w:szCs w:val="32"/>
        </w:rPr>
      </w:pPr>
      <w:r>
        <w:rPr>
          <w:rFonts w:hint="eastAsia" w:ascii="仿宋" w:hAnsi="仿宋" w:eastAsia="仿宋"/>
          <w:sz w:val="32"/>
          <w:szCs w:val="32"/>
        </w:rPr>
        <w:t>（二）负责生活、生产经营和生态环境用水的统筹和保障。组织实施最严格水资源管理制度，实施水资源的统一监督管理，拟订全县水中长期供求规划、水量分配方案并监督实施。负责全县流域、区域的水资源调度，组织实施取水许可、水资源论证和防洪论证制度，指导开展水资源有偿使用工作，指导全县水利行业供水和乡镇供水工作。</w:t>
      </w:r>
    </w:p>
    <w:p w14:paraId="2F72D8AF">
      <w:pPr>
        <w:spacing w:line="360" w:lineRule="auto"/>
        <w:ind w:firstLine="640" w:firstLineChars="200"/>
        <w:rPr>
          <w:rFonts w:ascii="仿宋" w:hAnsi="仿宋" w:eastAsia="仿宋"/>
          <w:sz w:val="32"/>
          <w:szCs w:val="32"/>
        </w:rPr>
      </w:pPr>
      <w:r>
        <w:rPr>
          <w:rFonts w:hint="eastAsia" w:ascii="仿宋" w:hAnsi="仿宋" w:eastAsia="仿宋"/>
          <w:sz w:val="32"/>
          <w:szCs w:val="32"/>
        </w:rPr>
        <w:t>（三）按规定制定水利工程建设和运行管理有关制度并组织实施，负责提出水利固定资产投资规模、方向和县财政性资金安排的建议，按县政府规定权限审批、核准规划内和年度计划规模内固定资产投资项目，提出县水利资金安排建议并负责项目实施。</w:t>
      </w:r>
    </w:p>
    <w:p w14:paraId="63EF8E2F">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（四）负责水资源保护工作。组织编制并实施水资源保护规划，</w:t>
      </w:r>
      <w:r>
        <w:rPr>
          <w:rFonts w:hint="eastAsia" w:ascii="仿宋" w:hAnsi="仿宋" w:eastAsia="仿宋"/>
          <w:spacing w:val="-8"/>
          <w:sz w:val="32"/>
          <w:szCs w:val="32"/>
        </w:rPr>
        <w:t>指导饮用水水源保护工作，指导地下水开发利用、地下水资源管理保护。</w:t>
      </w:r>
    </w:p>
    <w:p w14:paraId="782E8E64">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（五）负责节约用水工作。拟订节约用水政策，组织编制全县节约用水规划并监督实施，组织拟订有关标准。组织实施用水总量控制等管理制度，指导和推动节水型社会建设工作。</w:t>
      </w:r>
    </w:p>
    <w:p w14:paraId="2D19930E">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（六）指导水利设施、水域及其岸线的管理、保护与综合利用。指导江河、水库及河口、滩涂的治理、开发和保护。指导河湖水生态保护与修复、河湖生态流量水量管理以及河湖水系连通工作。</w:t>
      </w:r>
    </w:p>
    <w:p w14:paraId="492B5C53">
      <w:pPr>
        <w:spacing w:line="360" w:lineRule="auto"/>
        <w:ind w:firstLine="640"/>
        <w:rPr>
          <w:rFonts w:ascii="仿宋" w:hAnsi="仿宋" w:eastAsia="仿宋"/>
          <w:sz w:val="32"/>
          <w:szCs w:val="32"/>
        </w:rPr>
      </w:pPr>
      <w:r>
        <w:rPr>
          <w:rFonts w:hint="eastAsia" w:ascii="仿宋" w:hAnsi="仿宋" w:eastAsia="仿宋"/>
          <w:sz w:val="32"/>
          <w:szCs w:val="32"/>
        </w:rPr>
        <w:t>（七）指导监督水利工程建设与运行管理。组织指导水利基础设施网络建设和运行管理。指导水利建设市场的监督管理，组织实施水利工程建设的监督。</w:t>
      </w:r>
    </w:p>
    <w:p w14:paraId="1F81A6A2">
      <w:pPr>
        <w:spacing w:line="360" w:lineRule="auto"/>
        <w:ind w:firstLine="640"/>
        <w:rPr>
          <w:rFonts w:ascii="仿宋" w:hAnsi="仿宋" w:eastAsia="仿宋"/>
          <w:sz w:val="32"/>
          <w:szCs w:val="32"/>
        </w:rPr>
      </w:pPr>
      <w:r>
        <w:rPr>
          <w:rFonts w:hint="eastAsia" w:ascii="仿宋" w:hAnsi="仿宋" w:eastAsia="仿宋"/>
          <w:sz w:val="32"/>
          <w:szCs w:val="32"/>
        </w:rPr>
        <w:t>（八）负责水土保持工作。拟订水土保持规划并监督实施，组织实施水土流失的综合防治、监测预报并定期公告，负责开发建设项目水土保持监督管理工作，指导重点水土保持建设项目的实施。</w:t>
      </w:r>
    </w:p>
    <w:p w14:paraId="4BE25D75">
      <w:pPr>
        <w:spacing w:line="360" w:lineRule="auto"/>
        <w:ind w:firstLine="640"/>
        <w:rPr>
          <w:rFonts w:ascii="仿宋" w:hAnsi="仿宋" w:eastAsia="仿宋"/>
          <w:sz w:val="32"/>
          <w:szCs w:val="32"/>
        </w:rPr>
      </w:pPr>
      <w:r>
        <w:rPr>
          <w:rFonts w:hint="eastAsia" w:ascii="仿宋" w:hAnsi="仿宋" w:eastAsia="仿宋"/>
          <w:sz w:val="32"/>
          <w:szCs w:val="32"/>
        </w:rPr>
        <w:t>（九）指导农村水利工作。组织指导中型灌排工程建设与改造，指导农村饮水安全工程建设与管理工作，指导节水灌溉有关工作，指导农村水利改革创新和社会化服务体系建设。指导农村水能资源开发、小水电改造和农村水电电气化工作。研究拟定全县农村饮水工作方针政策、发展战略、中长期规划和年度计划，拟订有关地方性管理办法并监督实施。宣传贯彻执行国家或行业的有关法律、法规和政策，宣传保护饮用水源和供水设施相关知识。</w:t>
      </w:r>
    </w:p>
    <w:p w14:paraId="46282BB8">
      <w:pPr>
        <w:spacing w:line="360" w:lineRule="auto"/>
        <w:ind w:firstLine="640" w:firstLineChars="200"/>
        <w:rPr>
          <w:rFonts w:ascii="仿宋" w:hAnsi="仿宋" w:eastAsia="仿宋"/>
          <w:sz w:val="32"/>
          <w:szCs w:val="32"/>
        </w:rPr>
      </w:pPr>
      <w:r>
        <w:rPr>
          <w:rFonts w:hint="eastAsia" w:ascii="仿宋" w:hAnsi="仿宋" w:eastAsia="仿宋"/>
          <w:sz w:val="32"/>
          <w:szCs w:val="32"/>
        </w:rPr>
        <w:t>（十）</w:t>
      </w:r>
      <w:r>
        <w:rPr>
          <w:rFonts w:hint="eastAsia" w:ascii="仿宋" w:hAnsi="仿宋" w:eastAsia="仿宋"/>
          <w:bCs/>
          <w:sz w:val="32"/>
          <w:szCs w:val="32"/>
        </w:rPr>
        <w:t>指导水利工程移民管理工作。</w:t>
      </w:r>
      <w:r>
        <w:rPr>
          <w:rFonts w:hint="eastAsia" w:ascii="仿宋" w:hAnsi="仿宋" w:eastAsia="仿宋"/>
          <w:sz w:val="32"/>
          <w:szCs w:val="32"/>
        </w:rPr>
        <w:t>拟订水利工程移民有关政策并监督实施，组织实施水利工程移民安置验收、监督评估等制度。指导监督水库移民后期扶持政策的实施，协调推动水库移民对口支援等工作。</w:t>
      </w:r>
    </w:p>
    <w:p w14:paraId="0E21FFFF">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（十一）指导县水利行业的国有资产监管工作，承担全县水利资金和下属单位国有资产的监督管理工作；指导水利经济和水利风景区建设与管理工作。</w:t>
      </w:r>
    </w:p>
    <w:p w14:paraId="49669E6C">
      <w:pPr>
        <w:spacing w:line="360" w:lineRule="auto"/>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十二）负责重大涉水违法事件的查处，协调部门间和乡（镇）间的水事纠纷，组织、指导水政监察和执法。组织指导水库、水电站大坝、农村水电站等水利工程设施的安全监管，负责对本行政区域内河道采砂的统一管理和监督，根据河道采砂规划、河势稳定和堤防安全要求，确定禁采区和禁采期，并予以公告。</w:t>
      </w:r>
    </w:p>
    <w:p w14:paraId="00D86556">
      <w:pPr>
        <w:spacing w:line="360" w:lineRule="auto"/>
        <w:ind w:firstLine="632" w:firstLineChars="200"/>
        <w:rPr>
          <w:rFonts w:ascii="仿宋" w:hAnsi="仿宋" w:eastAsia="仿宋"/>
          <w:spacing w:val="-2"/>
          <w:sz w:val="32"/>
          <w:szCs w:val="32"/>
        </w:rPr>
      </w:pPr>
      <w:r>
        <w:rPr>
          <w:rFonts w:hint="eastAsia" w:ascii="仿宋" w:hAnsi="仿宋" w:eastAsia="仿宋"/>
          <w:spacing w:val="-2"/>
          <w:sz w:val="32"/>
          <w:szCs w:val="32"/>
        </w:rPr>
        <w:t>（十三）开展水利科技工作，指导和监督实施水利行业的技术标准、规程规范并监督实施，组织开展水利行业质量监督工作。</w:t>
      </w:r>
    </w:p>
    <w:p w14:paraId="08B44E64">
      <w:pPr>
        <w:spacing w:line="360" w:lineRule="auto"/>
        <w:ind w:firstLine="640"/>
        <w:rPr>
          <w:rFonts w:ascii="仿宋" w:hAnsi="仿宋" w:eastAsia="仿宋"/>
          <w:sz w:val="32"/>
          <w:szCs w:val="32"/>
        </w:rPr>
      </w:pPr>
      <w:r>
        <w:rPr>
          <w:rFonts w:hint="eastAsia" w:ascii="仿宋" w:hAnsi="仿宋" w:eastAsia="仿宋"/>
          <w:sz w:val="32"/>
          <w:szCs w:val="32"/>
        </w:rPr>
        <w:t>（十四）负责县城防洪工程规划的编制、修订工作；负责城区防洪工程建设的管理工作。</w:t>
      </w:r>
    </w:p>
    <w:p w14:paraId="08300403">
      <w:pPr>
        <w:spacing w:line="360" w:lineRule="auto"/>
        <w:ind w:firstLine="640" w:firstLineChars="200"/>
        <w:rPr>
          <w:rFonts w:ascii="仿宋" w:hAnsi="仿宋" w:eastAsia="仿宋"/>
          <w:sz w:val="32"/>
          <w:szCs w:val="32"/>
        </w:rPr>
      </w:pPr>
      <w:r>
        <w:rPr>
          <w:rFonts w:hint="eastAsia" w:ascii="仿宋" w:hAnsi="仿宋" w:eastAsia="仿宋"/>
          <w:sz w:val="32"/>
          <w:szCs w:val="32"/>
        </w:rPr>
        <w:t>（十五）负责落实综合防灾减灾规划相关要求，组织编制洪水干旱灾害防治规划和防护标准并指导实施。承担水情旱情监测</w:t>
      </w:r>
      <w:r>
        <w:rPr>
          <w:rFonts w:hint="eastAsia" w:ascii="仿宋" w:hAnsi="仿宋" w:eastAsia="仿宋"/>
          <w:bCs/>
          <w:sz w:val="32"/>
          <w:szCs w:val="32"/>
        </w:rPr>
        <w:t>预报</w:t>
      </w:r>
      <w:r>
        <w:rPr>
          <w:rFonts w:hint="eastAsia" w:ascii="仿宋" w:hAnsi="仿宋" w:eastAsia="仿宋"/>
          <w:sz w:val="32"/>
          <w:szCs w:val="32"/>
        </w:rPr>
        <w:t>工作。组织编制重要河流、水库和重要水工程的防御洪水抗御旱灾调度及应急水量调度方案，按程序报批并组织实施。承担防御洪水应急抢险的技术支撑工作。承担台风防御期间重要水工程调度工作。</w:t>
      </w:r>
    </w:p>
    <w:p w14:paraId="3516901D">
      <w:pPr>
        <w:spacing w:line="360" w:lineRule="auto"/>
        <w:ind w:firstLine="640" w:firstLineChars="200"/>
        <w:rPr>
          <w:rFonts w:ascii="仿宋" w:hAnsi="仿宋" w:eastAsia="仿宋"/>
          <w:sz w:val="32"/>
          <w:szCs w:val="32"/>
        </w:rPr>
      </w:pPr>
      <w:r>
        <w:rPr>
          <w:rFonts w:hint="eastAsia" w:ascii="仿宋" w:hAnsi="仿宋" w:eastAsia="仿宋"/>
          <w:bCs/>
          <w:sz w:val="32"/>
          <w:szCs w:val="32"/>
        </w:rPr>
        <w:t>（十六）承担县河长制工作委员会的日常工作。</w:t>
      </w:r>
      <w:r>
        <w:rPr>
          <w:rFonts w:hint="eastAsia" w:ascii="仿宋" w:hAnsi="仿宋" w:eastAsia="仿宋"/>
          <w:sz w:val="32"/>
          <w:szCs w:val="32"/>
        </w:rPr>
        <w:t>贯彻落实国家、省、市、县关于河长制工作的决策部署，</w:t>
      </w:r>
      <w:r>
        <w:rPr>
          <w:rFonts w:hint="eastAsia" w:ascii="仿宋" w:hAnsi="仿宋" w:eastAsia="仿宋"/>
          <w:sz w:val="32"/>
          <w:szCs w:val="32"/>
          <w:shd w:val="clear" w:color="auto" w:fill="FFFFFF"/>
        </w:rPr>
        <w:t>推进水生态文明建设，恢复河道水域岸线生态功能。</w:t>
      </w:r>
      <w:r>
        <w:rPr>
          <w:rFonts w:hint="eastAsia" w:ascii="仿宋" w:hAnsi="仿宋" w:eastAsia="仿宋"/>
          <w:sz w:val="32"/>
          <w:szCs w:val="32"/>
        </w:rPr>
        <w:t>负责协调督办河长制工作委员会成员单位的工作，承担河长制工作的综合考核工作，参与统筹协调河长制工作委员会其他重大事项。指导各乡镇河长制工作。</w:t>
      </w:r>
    </w:p>
    <w:p w14:paraId="3DA38064">
      <w:pPr>
        <w:spacing w:line="360" w:lineRule="auto"/>
        <w:ind w:firstLine="640"/>
        <w:rPr>
          <w:rFonts w:ascii="仿宋" w:hAnsi="仿宋" w:eastAsia="仿宋" w:cs="宋体"/>
          <w:spacing w:val="-4"/>
          <w:sz w:val="32"/>
          <w:szCs w:val="32"/>
        </w:rPr>
      </w:pPr>
      <w:r>
        <w:rPr>
          <w:rFonts w:hint="eastAsia" w:ascii="仿宋" w:hAnsi="仿宋" w:eastAsia="仿宋"/>
          <w:sz w:val="32"/>
          <w:szCs w:val="32"/>
        </w:rPr>
        <w:t>（十七）</w:t>
      </w:r>
      <w:r>
        <w:rPr>
          <w:rFonts w:hint="eastAsia" w:ascii="仿宋" w:hAnsi="仿宋" w:eastAsia="仿宋" w:cs="宋体"/>
          <w:spacing w:val="-4"/>
          <w:sz w:val="32"/>
          <w:szCs w:val="32"/>
        </w:rPr>
        <w:t>负责本行业、领域的应急管理工作，对本行业、领域的安全生产工作实施监督管理。</w:t>
      </w:r>
    </w:p>
    <w:p w14:paraId="448141F9">
      <w:pPr>
        <w:spacing w:line="360" w:lineRule="auto"/>
        <w:ind w:firstLine="640" w:firstLineChars="200"/>
        <w:rPr>
          <w:rFonts w:ascii="仿宋" w:hAnsi="仿宋" w:eastAsia="仿宋"/>
          <w:sz w:val="32"/>
          <w:szCs w:val="32"/>
        </w:rPr>
      </w:pPr>
      <w:r>
        <w:rPr>
          <w:rFonts w:hint="eastAsia" w:ascii="仿宋" w:hAnsi="仿宋" w:eastAsia="仿宋"/>
          <w:sz w:val="32"/>
          <w:szCs w:val="32"/>
        </w:rPr>
        <w:t>（十八）完成县委、县政府交办的其他任务。</w:t>
      </w:r>
    </w:p>
    <w:p w14:paraId="2DCCD41C">
      <w:pPr>
        <w:spacing w:line="360" w:lineRule="auto"/>
        <w:ind w:firstLine="640" w:firstLineChars="200"/>
        <w:rPr>
          <w:rFonts w:ascii="仿宋" w:hAnsi="仿宋" w:eastAsia="仿宋" w:cs="仿宋_GB2312"/>
          <w:spacing w:val="-4"/>
          <w:sz w:val="32"/>
          <w:szCs w:val="32"/>
        </w:rPr>
      </w:pPr>
      <w:r>
        <w:rPr>
          <w:rFonts w:hint="eastAsia" w:ascii="仿宋" w:hAnsi="仿宋" w:eastAsia="仿宋"/>
          <w:bCs/>
          <w:sz w:val="32"/>
          <w:szCs w:val="32"/>
        </w:rPr>
        <w:t>（十九）职能转变。</w:t>
      </w:r>
      <w:r>
        <w:rPr>
          <w:rFonts w:hint="eastAsia" w:ascii="仿宋" w:hAnsi="仿宋" w:eastAsia="仿宋"/>
          <w:sz w:val="32"/>
          <w:szCs w:val="32"/>
        </w:rPr>
        <w:t>县水利局应切实加强水资源合理利用、优化配置和节约保护。坚持节水优先，从增加供给转向更加重视需求管理，严格控制用水总量和提高用水效率。坚持保护优先，加强水资源、水域和水利工程的管理保护，维护河道健康美丽。坚持统筹兼顾，保障合理用水需求和水资源的可持续利用，为经济社会发展提供水安全保障。</w:t>
      </w:r>
    </w:p>
    <w:p w14:paraId="25F20A2B">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 xml:space="preserve"> (二)人员编制情况</w:t>
      </w:r>
    </w:p>
    <w:p w14:paraId="517CDED9">
      <w:pPr>
        <w:widowControl w:val="0"/>
        <w:kinsoku/>
        <w:adjustRightInd/>
        <w:snapToGrid/>
        <w:spacing w:line="360" w:lineRule="auto"/>
        <w:ind w:firstLine="640" w:firstLineChars="200"/>
        <w:jc w:val="both"/>
        <w:outlineLvl w:val="0"/>
        <w:rPr>
          <w:rFonts w:ascii="仿宋" w:hAnsi="仿宋" w:eastAsia="仿宋"/>
          <w:sz w:val="32"/>
          <w:szCs w:val="32"/>
        </w:rPr>
      </w:pPr>
      <w:r>
        <w:rPr>
          <w:rFonts w:hint="eastAsia" w:ascii="仿宋" w:hAnsi="仿宋" w:eastAsia="仿宋"/>
          <w:sz w:val="32"/>
          <w:szCs w:val="32"/>
        </w:rPr>
        <w:t>2022年部门决算财政供养在职人员70人，其中行政人员17人，事业人员53人，离退休人员54人。</w:t>
      </w:r>
    </w:p>
    <w:p w14:paraId="3E7E12C2">
      <w:pPr>
        <w:widowControl w:val="0"/>
        <w:kinsoku/>
        <w:adjustRightInd/>
        <w:snapToGrid/>
        <w:spacing w:line="360" w:lineRule="auto"/>
        <w:ind w:firstLine="643" w:firstLineChars="200"/>
        <w:jc w:val="both"/>
        <w:outlineLvl w:val="0"/>
        <w:rPr>
          <w:rFonts w:ascii="仿宋" w:hAnsi="仿宋" w:eastAsia="仿宋" w:cs="黑体"/>
          <w:snapToGrid/>
          <w:color w:val="auto"/>
          <w:kern w:val="21"/>
          <w:sz w:val="32"/>
          <w:szCs w:val="32"/>
        </w:rPr>
      </w:pPr>
      <w:r>
        <w:rPr>
          <w:rFonts w:hint="eastAsia" w:ascii="仿宋" w:hAnsi="仿宋" w:eastAsia="仿宋" w:cs="黑体"/>
          <w:b/>
          <w:bCs/>
          <w:snapToGrid/>
          <w:color w:val="auto"/>
          <w:kern w:val="21"/>
          <w:sz w:val="32"/>
          <w:szCs w:val="32"/>
        </w:rPr>
        <w:t>二、预算支出及绩效情况</w:t>
      </w:r>
    </w:p>
    <w:p w14:paraId="05A273D9">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(一)部门预决算情况</w:t>
      </w:r>
    </w:p>
    <w:p w14:paraId="4442F75E">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1.部门预算情况</w:t>
      </w:r>
    </w:p>
    <w:p w14:paraId="58189914">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2022年年初预算安排收入1040.38万元，其中一般公共财政拨</w:t>
      </w:r>
      <w:r>
        <w:rPr>
          <w:rFonts w:hint="eastAsia" w:ascii="仿宋" w:hAnsi="仿宋" w:eastAsia="仿宋" w:cs="仿宋"/>
          <w:b/>
          <w:bCs/>
          <w:snapToGrid/>
          <w:color w:val="auto"/>
          <w:kern w:val="21"/>
          <w:sz w:val="32"/>
          <w:szCs w:val="32"/>
        </w:rPr>
        <w:t>款1040.38</w:t>
      </w:r>
      <w:r>
        <w:rPr>
          <w:rFonts w:hint="eastAsia" w:ascii="仿宋" w:hAnsi="仿宋" w:eastAsia="仿宋" w:cs="仿宋"/>
          <w:snapToGrid/>
          <w:color w:val="auto"/>
          <w:kern w:val="21"/>
          <w:sz w:val="32"/>
          <w:szCs w:val="32"/>
        </w:rPr>
        <w:t>万元；2022年年初预算安排支出1040.38万元，其中：基本支出</w:t>
      </w:r>
      <w:r>
        <w:rPr>
          <w:rFonts w:hint="eastAsia" w:ascii="仿宋" w:hAnsi="仿宋" w:eastAsia="仿宋" w:cs="仿宋"/>
          <w:b/>
          <w:bCs/>
          <w:snapToGrid/>
          <w:color w:val="auto"/>
          <w:kern w:val="21"/>
          <w:sz w:val="32"/>
          <w:szCs w:val="32"/>
        </w:rPr>
        <w:t>1003.88万</w:t>
      </w:r>
      <w:r>
        <w:rPr>
          <w:rFonts w:hint="eastAsia" w:ascii="仿宋" w:hAnsi="仿宋" w:eastAsia="仿宋" w:cs="仿宋"/>
          <w:snapToGrid/>
          <w:color w:val="auto"/>
          <w:kern w:val="21"/>
          <w:sz w:val="32"/>
          <w:szCs w:val="32"/>
        </w:rPr>
        <w:t>元，项目支出36.5万元。</w:t>
      </w:r>
    </w:p>
    <w:p w14:paraId="42B57C7E">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2.部门决算情况(含年中预算追加情况)</w:t>
      </w:r>
    </w:p>
    <w:p w14:paraId="4775BAA6">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2022年决算总收入4581.18万元，较预算增加3540.8万元，总支出4565.03万元，其中：基本支出1180.67万元，占总支出的25.86%;项目支出</w:t>
      </w:r>
      <w:r>
        <w:rPr>
          <w:rFonts w:hint="eastAsia" w:ascii="仿宋" w:hAnsi="仿宋" w:eastAsia="仿宋" w:cs="仿宋"/>
          <w:b/>
          <w:bCs/>
          <w:snapToGrid/>
          <w:color w:val="auto"/>
          <w:kern w:val="21"/>
          <w:sz w:val="32"/>
          <w:szCs w:val="32"/>
        </w:rPr>
        <w:t>3384.36</w:t>
      </w:r>
      <w:r>
        <w:rPr>
          <w:rFonts w:hint="eastAsia" w:ascii="仿宋" w:hAnsi="仿宋" w:eastAsia="仿宋" w:cs="仿宋"/>
          <w:snapToGrid/>
          <w:color w:val="auto"/>
          <w:kern w:val="21"/>
          <w:sz w:val="32"/>
          <w:szCs w:val="32"/>
        </w:rPr>
        <w:t>万元，占总支出的74.14%。差异产生的主要原因是：年初预算只针对部门日常支出未含部门重点项目支出。</w:t>
      </w:r>
    </w:p>
    <w:p w14:paraId="0A865A15">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3."三公"经费执行情况</w:t>
      </w:r>
    </w:p>
    <w:p w14:paraId="5F3AA10F">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2022年"三公"经费预算数26.78万元，其中：因公出国(境)费0万元，公务用车购置及运行维护费9万元，公务接待费17.78万元。"三公"经费决算数12.5元，其中：因公出国(境)费0万元，公务用车运行维护费8.24万元，公务接待费4.26万元。</w:t>
      </w:r>
    </w:p>
    <w:p w14:paraId="67419696">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4.政府采购执行情况</w:t>
      </w:r>
    </w:p>
    <w:p w14:paraId="5A3AE609">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2022年度政府采购支出</w:t>
      </w:r>
      <w:r>
        <w:rPr>
          <w:rFonts w:ascii="仿宋" w:hAnsi="仿宋" w:eastAsia="仿宋" w:cs="仿宋"/>
          <w:snapToGrid/>
          <w:color w:val="auto"/>
          <w:kern w:val="21"/>
          <w:sz w:val="32"/>
          <w:szCs w:val="32"/>
        </w:rPr>
        <w:t>274.88</w:t>
      </w:r>
      <w:r>
        <w:rPr>
          <w:rFonts w:hint="eastAsia" w:ascii="仿宋" w:hAnsi="仿宋" w:eastAsia="仿宋" w:cs="仿宋"/>
          <w:snapToGrid/>
          <w:color w:val="auto"/>
          <w:kern w:val="21"/>
          <w:sz w:val="32"/>
          <w:szCs w:val="32"/>
        </w:rPr>
        <w:t>万元，其中：货物0万元，工程</w:t>
      </w:r>
      <w:r>
        <w:rPr>
          <w:rFonts w:ascii="仿宋" w:hAnsi="仿宋" w:eastAsia="仿宋" w:cs="仿宋"/>
          <w:b/>
          <w:bCs/>
          <w:snapToGrid/>
          <w:color w:val="auto"/>
          <w:kern w:val="21"/>
          <w:sz w:val="32"/>
          <w:szCs w:val="32"/>
        </w:rPr>
        <w:t>274.88</w:t>
      </w:r>
      <w:r>
        <w:rPr>
          <w:rFonts w:hint="eastAsia" w:ascii="仿宋" w:hAnsi="仿宋" w:eastAsia="仿宋" w:cs="仿宋"/>
          <w:snapToGrid/>
          <w:color w:val="auto"/>
          <w:kern w:val="21"/>
          <w:sz w:val="32"/>
          <w:szCs w:val="32"/>
        </w:rPr>
        <w:t>万元，服务0万元。</w:t>
      </w:r>
    </w:p>
    <w:p w14:paraId="2097D68A">
      <w:pPr>
        <w:widowControl w:val="0"/>
        <w:kinsoku/>
        <w:adjustRightInd/>
        <w:snapToGrid/>
        <w:spacing w:line="360" w:lineRule="auto"/>
        <w:ind w:firstLine="643" w:firstLineChars="200"/>
        <w:jc w:val="both"/>
        <w:outlineLvl w:val="0"/>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5.资产管理情况</w:t>
      </w:r>
    </w:p>
    <w:p w14:paraId="7C0E3BDA">
      <w:pPr>
        <w:widowControl w:val="0"/>
        <w:kinsoku/>
        <w:adjustRightInd/>
        <w:snapToGrid/>
        <w:spacing w:line="360" w:lineRule="auto"/>
        <w:ind w:firstLine="640" w:firstLineChars="200"/>
        <w:jc w:val="both"/>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2022年年末资产总额5814.99万元，负债总额516.46万元，净资产5298.53万元。截至2022年12月31日，固定资产账面原值764.22万元，在用资产764.22万元，资产使用率100%。</w:t>
      </w:r>
    </w:p>
    <w:p w14:paraId="491B2496">
      <w:pPr>
        <w:widowControl w:val="0"/>
        <w:kinsoku/>
        <w:adjustRightInd/>
        <w:snapToGrid/>
        <w:spacing w:line="360" w:lineRule="auto"/>
        <w:ind w:firstLine="643" w:firstLineChars="200"/>
        <w:jc w:val="both"/>
        <w:rPr>
          <w:rFonts w:ascii="仿宋" w:hAnsi="仿宋" w:eastAsia="仿宋" w:cs="仿宋"/>
          <w:snapToGrid/>
          <w:color w:val="auto"/>
          <w:kern w:val="21"/>
          <w:sz w:val="32"/>
          <w:szCs w:val="32"/>
        </w:rPr>
      </w:pPr>
      <w:r>
        <w:rPr>
          <w:rFonts w:hint="eastAsia" w:ascii="仿宋" w:hAnsi="仿宋" w:eastAsia="仿宋" w:cs="仿宋"/>
          <w:b/>
          <w:bCs/>
          <w:snapToGrid/>
          <w:color w:val="auto"/>
          <w:kern w:val="21"/>
          <w:sz w:val="32"/>
          <w:szCs w:val="32"/>
        </w:rPr>
        <w:t>(二)资金使用及绩效情况</w:t>
      </w:r>
    </w:p>
    <w:p w14:paraId="31577B37">
      <w:pPr>
        <w:widowControl w:val="0"/>
        <w:kinsoku/>
        <w:adjustRightInd/>
        <w:snapToGrid/>
        <w:spacing w:line="360" w:lineRule="auto"/>
        <w:ind w:firstLine="643" w:firstLineChars="200"/>
        <w:jc w:val="both"/>
        <w:rPr>
          <w:rFonts w:ascii="仿宋" w:hAnsi="仿宋" w:eastAsia="仿宋" w:cs="仿宋"/>
          <w:b/>
          <w:bCs/>
          <w:snapToGrid/>
          <w:color w:val="auto"/>
          <w:kern w:val="21"/>
          <w:sz w:val="32"/>
          <w:szCs w:val="32"/>
        </w:rPr>
      </w:pPr>
      <w:r>
        <w:rPr>
          <w:rFonts w:hint="eastAsia" w:ascii="仿宋" w:hAnsi="仿宋" w:eastAsia="仿宋" w:cs="仿宋"/>
          <w:b/>
          <w:bCs/>
          <w:snapToGrid/>
          <w:color w:val="auto"/>
          <w:kern w:val="21"/>
          <w:sz w:val="32"/>
          <w:szCs w:val="32"/>
        </w:rPr>
        <w:t>1.整体绩效目标完成情况</w:t>
      </w:r>
    </w:p>
    <w:p w14:paraId="041EB5F7">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2022</w:t>
      </w:r>
      <w:r>
        <w:rPr>
          <w:rFonts w:ascii="仿宋" w:hAnsi="仿宋" w:eastAsia="仿宋" w:cs="Times New Roman"/>
          <w:sz w:val="32"/>
          <w:szCs w:val="32"/>
        </w:rPr>
        <w:t>年，在</w:t>
      </w:r>
      <w:r>
        <w:rPr>
          <w:rFonts w:hint="eastAsia" w:ascii="仿宋" w:hAnsi="仿宋" w:eastAsia="仿宋" w:cs="Times New Roman"/>
          <w:sz w:val="32"/>
          <w:szCs w:val="32"/>
        </w:rPr>
        <w:t>县委、县政府</w:t>
      </w:r>
      <w:r>
        <w:rPr>
          <w:rFonts w:ascii="仿宋" w:hAnsi="仿宋" w:eastAsia="仿宋" w:cs="Times New Roman"/>
          <w:sz w:val="32"/>
          <w:szCs w:val="32"/>
        </w:rPr>
        <w:t>的坚强领导和市水利局的有力指导下，紧紧围绕年初制定的工作目标，踔厉奋发，砥砺奋进，彰显担当，展现作为，持续发扬“闯、创、干”的精神，以水利重点工程建设为抓手，统筹推进水旱灾害防御、河湖长制、水资源管理、农村</w:t>
      </w:r>
      <w:r>
        <w:rPr>
          <w:rFonts w:hint="eastAsia" w:ascii="仿宋" w:hAnsi="仿宋" w:eastAsia="仿宋" w:cs="Times New Roman"/>
          <w:sz w:val="32"/>
          <w:szCs w:val="32"/>
        </w:rPr>
        <w:t>安全饮水</w:t>
      </w:r>
      <w:r>
        <w:rPr>
          <w:rFonts w:ascii="仿宋" w:hAnsi="仿宋" w:eastAsia="仿宋" w:cs="Times New Roman"/>
          <w:sz w:val="32"/>
          <w:szCs w:val="32"/>
        </w:rPr>
        <w:t>等中心工作，不断推动新阶段水利</w:t>
      </w:r>
      <w:r>
        <w:rPr>
          <w:rFonts w:hint="eastAsia" w:ascii="仿宋" w:hAnsi="仿宋" w:eastAsia="仿宋" w:cs="Times New Roman"/>
          <w:sz w:val="32"/>
          <w:szCs w:val="32"/>
        </w:rPr>
        <w:t>工作</w:t>
      </w:r>
      <w:r>
        <w:rPr>
          <w:rFonts w:ascii="仿宋" w:hAnsi="仿宋" w:eastAsia="仿宋" w:cs="Times New Roman"/>
          <w:sz w:val="32"/>
          <w:szCs w:val="32"/>
        </w:rPr>
        <w:t>高质量发展。</w:t>
      </w:r>
    </w:p>
    <w:p w14:paraId="4F92A05B">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r>
        <w:rPr>
          <w:rFonts w:hint="eastAsia" w:ascii="仿宋" w:hAnsi="仿宋" w:eastAsia="仿宋" w:cs="宋体"/>
          <w:b/>
          <w:bCs/>
          <w:color w:val="000000" w:themeColor="text1"/>
          <w:sz w:val="32"/>
          <w:szCs w:val="32"/>
          <w:shd w:val="clear" w:color="auto" w:fill="FFFFFF"/>
          <w14:textFill>
            <w14:solidFill>
              <w14:schemeClr w14:val="tx1"/>
            </w14:solidFill>
          </w14:textFill>
        </w:rPr>
        <w:t>水旱灾害防御工作</w:t>
      </w:r>
    </w:p>
    <w:p w14:paraId="471EB014">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一是抓好汛前隐患排查及防汛检查。派出5个由班子成员带队的检查组对全县12个乡镇及3个水利工程管理单位</w:t>
      </w:r>
      <w:r>
        <w:rPr>
          <w:rFonts w:ascii="仿宋" w:hAnsi="仿宋" w:eastAsia="仿宋" w:cs="Times New Roman"/>
          <w:sz w:val="32"/>
          <w:szCs w:val="32"/>
        </w:rPr>
        <w:t>的水利工程进行拉网式排查,并针对各地自查发现的问题进行重点督查，保证了各类工程度汛安全隐患在汛前排除。</w:t>
      </w:r>
    </w:p>
    <w:p w14:paraId="7F55D41E">
      <w:pPr>
        <w:spacing w:line="360" w:lineRule="auto"/>
        <w:ind w:firstLine="640" w:firstLineChars="200"/>
        <w:rPr>
          <w:rFonts w:ascii="仿宋" w:hAnsi="仿宋" w:eastAsia="仿宋" w:cs="Times New Roman"/>
          <w:sz w:val="32"/>
          <w:szCs w:val="32"/>
        </w:rPr>
      </w:pPr>
      <w:r>
        <w:rPr>
          <w:rFonts w:ascii="仿宋" w:hAnsi="仿宋" w:eastAsia="仿宋" w:cs="Times New Roman"/>
          <w:sz w:val="32"/>
          <w:szCs w:val="32"/>
        </w:rPr>
        <w:t>二是完善方案预案及</w:t>
      </w:r>
      <w:r>
        <w:rPr>
          <w:rFonts w:hint="eastAsia" w:ascii="仿宋" w:hAnsi="仿宋" w:eastAsia="仿宋" w:cs="Times New Roman"/>
          <w:sz w:val="32"/>
          <w:szCs w:val="32"/>
        </w:rPr>
        <w:t>防汛</w:t>
      </w:r>
      <w:r>
        <w:rPr>
          <w:rFonts w:ascii="仿宋" w:hAnsi="仿宋" w:eastAsia="仿宋" w:cs="Times New Roman"/>
          <w:sz w:val="32"/>
          <w:szCs w:val="32"/>
        </w:rPr>
        <w:t>演练。</w:t>
      </w:r>
      <w:r>
        <w:rPr>
          <w:rFonts w:hint="eastAsia" w:ascii="仿宋" w:hAnsi="仿宋" w:eastAsia="仿宋" w:cs="Times New Roman"/>
          <w:sz w:val="32"/>
          <w:szCs w:val="32"/>
        </w:rPr>
        <w:t>组织做好了各类水利工程度汛方案和山洪灾害预案的修编工作，</w:t>
      </w:r>
      <w:r>
        <w:rPr>
          <w:rFonts w:ascii="仿宋" w:hAnsi="仿宋" w:eastAsia="仿宋" w:cs="Times New Roman"/>
          <w:sz w:val="32"/>
          <w:szCs w:val="32"/>
        </w:rPr>
        <w:t>5月</w:t>
      </w:r>
      <w:r>
        <w:rPr>
          <w:rFonts w:hint="eastAsia" w:ascii="仿宋" w:hAnsi="仿宋" w:eastAsia="仿宋" w:cs="Times New Roman"/>
          <w:sz w:val="32"/>
          <w:szCs w:val="32"/>
        </w:rPr>
        <w:t>27</w:t>
      </w:r>
      <w:r>
        <w:rPr>
          <w:rFonts w:ascii="仿宋" w:hAnsi="仿宋" w:eastAsia="仿宋" w:cs="Times New Roman"/>
          <w:sz w:val="32"/>
          <w:szCs w:val="32"/>
        </w:rPr>
        <w:t>日配合县防指在</w:t>
      </w:r>
      <w:r>
        <w:rPr>
          <w:rFonts w:hint="eastAsia" w:ascii="仿宋" w:hAnsi="仿宋" w:eastAsia="仿宋" w:cs="Times New Roman"/>
          <w:sz w:val="32"/>
          <w:szCs w:val="32"/>
        </w:rPr>
        <w:t>九观桥水库</w:t>
      </w:r>
      <w:r>
        <w:rPr>
          <w:rFonts w:ascii="仿宋" w:hAnsi="仿宋" w:eastAsia="仿宋" w:cs="Times New Roman"/>
          <w:sz w:val="32"/>
          <w:szCs w:val="32"/>
        </w:rPr>
        <w:t>成功举行了全县2022年防汛应急预案演练和山洪灾害防御演练</w:t>
      </w:r>
      <w:r>
        <w:rPr>
          <w:rFonts w:hint="eastAsia" w:ascii="仿宋" w:hAnsi="仿宋" w:eastAsia="仿宋" w:cs="Times New Roman"/>
          <w:sz w:val="32"/>
          <w:szCs w:val="32"/>
        </w:rPr>
        <w:t>；按省市要求完成了全县水旱灾害风险普查</w:t>
      </w:r>
      <w:r>
        <w:rPr>
          <w:rFonts w:ascii="仿宋" w:hAnsi="仿宋" w:eastAsia="仿宋" w:cs="Times New Roman"/>
          <w:sz w:val="32"/>
          <w:szCs w:val="32"/>
        </w:rPr>
        <w:t>。</w:t>
      </w:r>
    </w:p>
    <w:p w14:paraId="1AB76F79">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三是落实防汛物资储备和应急队伍。汛前对各水库等上型号水利工程管理单位防汛物资储备情况进行了查验，对各水库、堤防防汛物料及时进行补充储备，严格按照衡阳市水库大坝防汛物资储备定额标准要求落实中型水库防汛物资储备。</w:t>
      </w:r>
    </w:p>
    <w:p w14:paraId="0A3C3014">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四是严格执行防汛值班制度。</w:t>
      </w:r>
      <w:r>
        <w:rPr>
          <w:rFonts w:ascii="仿宋" w:hAnsi="仿宋" w:eastAsia="仿宋" w:cs="Times New Roman"/>
          <w:sz w:val="32"/>
          <w:szCs w:val="32"/>
        </w:rPr>
        <w:t>严格执行24小时值班制，</w:t>
      </w:r>
      <w:r>
        <w:rPr>
          <w:rFonts w:hint="eastAsia" w:ascii="仿宋" w:hAnsi="仿宋" w:eastAsia="仿宋" w:cs="Times New Roman"/>
          <w:sz w:val="32"/>
          <w:szCs w:val="32"/>
        </w:rPr>
        <w:t>在省水利厅值班室印发的26期《防御值班值守和巡查履职情况抽查通报》中，衡山县无一次被通报批评。</w:t>
      </w:r>
      <w:r>
        <w:rPr>
          <w:rFonts w:ascii="仿宋" w:hAnsi="仿宋" w:eastAsia="仿宋" w:cs="Times New Roman"/>
          <w:sz w:val="32"/>
          <w:szCs w:val="32"/>
        </w:rPr>
        <w:t>全面启动运行</w:t>
      </w:r>
      <w:r>
        <w:rPr>
          <w:rFonts w:hint="eastAsia" w:ascii="仿宋" w:hAnsi="仿宋" w:eastAsia="仿宋" w:cs="Times New Roman"/>
          <w:sz w:val="32"/>
          <w:szCs w:val="32"/>
        </w:rPr>
        <w:t>衡山县山洪灾害危险区产生山洪灾害黄色预警，</w:t>
      </w:r>
      <w:r>
        <w:rPr>
          <w:rFonts w:ascii="仿宋" w:hAnsi="仿宋" w:eastAsia="仿宋" w:cs="Times New Roman"/>
          <w:sz w:val="32"/>
          <w:szCs w:val="32"/>
        </w:rPr>
        <w:t>密切关注雨水情和灾情，做到信息畅通，通过</w:t>
      </w:r>
      <w:r>
        <w:rPr>
          <w:rFonts w:hint="eastAsia" w:ascii="仿宋" w:hAnsi="仿宋" w:eastAsia="仿宋" w:cs="Times New Roman"/>
          <w:sz w:val="32"/>
          <w:szCs w:val="32"/>
        </w:rPr>
        <w:t>预警平台，发布信息300条。</w:t>
      </w:r>
    </w:p>
    <w:p w14:paraId="420D2ECE">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五是组织业务培训，提高防御水平。今年，我局组织了全县300多名水库防汛责任人进行网上培训，举办了全县水旱灾害防御工作培训班，在全县开展学习《河南郑州“7.20”特大暴雨灾害调查报告》。</w:t>
      </w:r>
    </w:p>
    <w:p w14:paraId="0EC96FE1">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2022年，我县未发生水库溃堤、堤防溃决和人员伤亡，全面完成年度“不溃一堤、不垮一库、不死一人”的防汛总目标。</w:t>
      </w:r>
    </w:p>
    <w:p w14:paraId="60D5B273">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六是精准施策科学调度，全力以赴做好抗旱工作。在5、6月份经历7轮强降雨过后，我县开始了长期持续的高温晴热天气，给全县生产生活带来了巨大的困难和挑战。6月底7月初，在做好防汛工作的同时部署了抗旱工作，在确保水利工程安全的前提下，全面加强了蓄水保水工作。在持续干旱情况下，九观桥、新桥两个中型灌区通过合理采取轮灌、间灌、适时停灌等措施，为抗旱打下了良好的基础。抗旱服务队检修抗旱设备200台套，向乡镇借出水泵63台套，输水管道8320米，协助村组积极开展抗旱工作。8月12日，我县启动“湖南省‘千名水利干部到田间’”行动，县水利局派出5个工作组，2000多人次到田间地头协助抗旱，尽管今年发生了历史罕见持续120多天未下雨的特大，我县做到保灌保饮水，大旱之年无大灾。</w:t>
      </w:r>
    </w:p>
    <w:p w14:paraId="012BC9F6">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r>
        <w:rPr>
          <w:rFonts w:hint="eastAsia" w:ascii="仿宋" w:hAnsi="仿宋" w:eastAsia="仿宋" w:cs="宋体"/>
          <w:b/>
          <w:bCs/>
          <w:color w:val="000000" w:themeColor="text1"/>
          <w:sz w:val="32"/>
          <w:szCs w:val="32"/>
          <w:shd w:val="clear" w:color="auto" w:fill="FFFFFF"/>
          <w14:textFill>
            <w14:solidFill>
              <w14:schemeClr w14:val="tx1"/>
            </w14:solidFill>
          </w14:textFill>
        </w:rPr>
        <w:t>水利工程建设</w:t>
      </w:r>
    </w:p>
    <w:p w14:paraId="07EF903A">
      <w:pPr>
        <w:spacing w:line="360" w:lineRule="auto"/>
        <w:ind w:firstLine="640" w:firstLineChars="200"/>
        <w:rPr>
          <w:rFonts w:ascii="仿宋" w:hAnsi="仿宋" w:eastAsia="仿宋" w:cs="仿宋"/>
          <w:spacing w:val="-14"/>
          <w:sz w:val="32"/>
          <w:szCs w:val="32"/>
        </w:rPr>
      </w:pPr>
      <w:r>
        <w:rPr>
          <w:rFonts w:hint="eastAsia" w:ascii="仿宋" w:hAnsi="仿宋" w:eastAsia="仿宋" w:cs="仿宋"/>
          <w:sz w:val="32"/>
          <w:szCs w:val="32"/>
        </w:rPr>
        <w:t>一是全面推行小型水库管理标准化建设。</w:t>
      </w:r>
      <w:r>
        <w:rPr>
          <w:rFonts w:hint="eastAsia" w:ascii="仿宋" w:hAnsi="仿宋" w:eastAsia="仿宋" w:cs="仿宋"/>
          <w:spacing w:val="-14"/>
          <w:sz w:val="32"/>
          <w:szCs w:val="32"/>
        </w:rPr>
        <w:t>2022年9月，衡山县获得衡阳市小型水库安全运行管理工作县市组第三名。</w:t>
      </w:r>
    </w:p>
    <w:p w14:paraId="0C7CBAD8">
      <w:pPr>
        <w:spacing w:line="360" w:lineRule="auto"/>
        <w:ind w:firstLine="640" w:firstLineChars="200"/>
        <w:rPr>
          <w:rFonts w:ascii="仿宋" w:hAnsi="仿宋" w:eastAsia="仿宋" w:cs="仿宋"/>
          <w:spacing w:val="-4"/>
          <w:sz w:val="32"/>
          <w:szCs w:val="32"/>
        </w:rPr>
      </w:pPr>
      <w:r>
        <w:rPr>
          <w:rFonts w:hint="eastAsia" w:ascii="仿宋" w:hAnsi="仿宋" w:eastAsia="仿宋" w:cs="仿宋"/>
          <w:sz w:val="32"/>
          <w:szCs w:val="32"/>
        </w:rPr>
        <w:t>二是加快水利工程建设，提升水安全保障能力。衡山县主要支流重要河段治理工程和衡山县小型病险水库除险加固项目。</w:t>
      </w:r>
      <w:r>
        <w:rPr>
          <w:rFonts w:hint="eastAsia" w:ascii="仿宋" w:hAnsi="仿宋" w:eastAsia="仿宋" w:cs="仿宋"/>
          <w:spacing w:val="-4"/>
          <w:sz w:val="32"/>
          <w:szCs w:val="32"/>
        </w:rPr>
        <w:t>于2022年9月8日动工建设，目前主体工程已完工，在全市排名第一。</w:t>
      </w:r>
    </w:p>
    <w:p w14:paraId="2818B12C">
      <w:pPr>
        <w:spacing w:line="360" w:lineRule="auto"/>
        <w:ind w:firstLine="640" w:firstLineChars="200"/>
        <w:rPr>
          <w:rFonts w:ascii="仿宋" w:hAnsi="仿宋" w:eastAsia="仿宋" w:cs="仿宋"/>
          <w:spacing w:val="-4"/>
          <w:sz w:val="32"/>
          <w:szCs w:val="32"/>
        </w:rPr>
      </w:pPr>
      <w:r>
        <w:rPr>
          <w:rFonts w:hint="eastAsia" w:ascii="仿宋" w:hAnsi="仿宋" w:eastAsia="仿宋" w:cs="仿宋_GB2312"/>
          <w:sz w:val="32"/>
          <w:szCs w:val="32"/>
        </w:rPr>
        <w:t>三是</w:t>
      </w:r>
      <w:r>
        <w:rPr>
          <w:rFonts w:hint="eastAsia" w:ascii="仿宋" w:hAnsi="仿宋" w:eastAsia="仿宋" w:cs="仿宋"/>
          <w:sz w:val="32"/>
          <w:szCs w:val="32"/>
        </w:rPr>
        <w:t>完成了衡山县小型水库、水闸划界工作。</w:t>
      </w:r>
      <w:r>
        <w:rPr>
          <w:rFonts w:hint="eastAsia" w:ascii="仿宋" w:hAnsi="仿宋" w:eastAsia="仿宋" w:cs="仿宋"/>
          <w:spacing w:val="-4"/>
          <w:sz w:val="32"/>
          <w:szCs w:val="32"/>
        </w:rPr>
        <w:t>我县于2021年9月开始启动小型水库划界工作，10月底完成并通过审查；2022年衡山县人民政府正式批复，该项工作是全市第一个完成的县市区。衡山县小型水闸划界共275座，占全市小型水闸划界数量的50%，居全市第一，工作量大任务重。12月，小型水闸划界方案经审查，由县政府批复并公示，我县小型水闸划界工作全部完成。</w:t>
      </w:r>
    </w:p>
    <w:p w14:paraId="5651A5C2">
      <w:pPr>
        <w:spacing w:line="360" w:lineRule="auto"/>
        <w:ind w:firstLine="624" w:firstLineChars="200"/>
        <w:rPr>
          <w:rFonts w:ascii="仿宋" w:hAnsi="仿宋" w:eastAsia="仿宋" w:cs="仿宋"/>
          <w:spacing w:val="-4"/>
          <w:sz w:val="32"/>
          <w:szCs w:val="32"/>
        </w:rPr>
      </w:pPr>
      <w:r>
        <w:rPr>
          <w:rFonts w:hint="eastAsia" w:ascii="仿宋" w:hAnsi="仿宋" w:eastAsia="仿宋" w:cs="仿宋"/>
          <w:spacing w:val="-4"/>
          <w:sz w:val="32"/>
          <w:szCs w:val="32"/>
        </w:rPr>
        <w:t>四是衡山县开云镇山竹村“水美湘村”建设项目。我局争取水美湘村省级资金300万元，整治乌石铺河上游段河道2.1km,打造出河畅、水清、岸绿、景美、人和的山竹村老师古桥田园休闲胜地。目前该项目已于11月份开工建设，预计1月份完成主体工程。</w:t>
      </w:r>
    </w:p>
    <w:p w14:paraId="1550F196">
      <w:pPr>
        <w:spacing w:line="360" w:lineRule="auto"/>
        <w:ind w:firstLine="624" w:firstLineChars="200"/>
        <w:rPr>
          <w:rFonts w:ascii="仿宋" w:hAnsi="仿宋" w:eastAsia="仿宋" w:cs="Times New Roman"/>
          <w:sz w:val="32"/>
          <w:szCs w:val="32"/>
        </w:rPr>
      </w:pPr>
      <w:r>
        <w:rPr>
          <w:rFonts w:hint="eastAsia" w:ascii="仿宋" w:hAnsi="仿宋" w:eastAsia="仿宋" w:cs="仿宋"/>
          <w:spacing w:val="-4"/>
          <w:sz w:val="32"/>
          <w:szCs w:val="32"/>
        </w:rPr>
        <w:t>五是衡山县九观桥</w:t>
      </w:r>
      <w:r>
        <w:rPr>
          <w:rFonts w:hint="eastAsia" w:ascii="仿宋" w:hAnsi="仿宋" w:eastAsia="仿宋"/>
          <w:spacing w:val="-4"/>
          <w:sz w:val="32"/>
          <w:szCs w:val="32"/>
        </w:rPr>
        <w:t>灌区续建配套与节水改造项目。</w:t>
      </w:r>
      <w:r>
        <w:rPr>
          <w:rFonts w:ascii="仿宋" w:hAnsi="仿宋" w:eastAsia="仿宋" w:cs="Times New Roman"/>
          <w:sz w:val="32"/>
          <w:szCs w:val="32"/>
        </w:rPr>
        <w:t>本灌区节水配套改造工程总投资</w:t>
      </w:r>
      <w:r>
        <w:rPr>
          <w:rFonts w:hint="eastAsia" w:ascii="仿宋" w:hAnsi="仿宋" w:eastAsia="仿宋" w:cs="Times New Roman"/>
          <w:sz w:val="32"/>
          <w:szCs w:val="32"/>
        </w:rPr>
        <w:t>17825.79万元，项目建设可恢复灌溉面积2.27万亩，改善灌溉面积5.86万亩，九观桥灌区将建设成为一个高度信息化、标准化管理的示范灌区。项目按照重大项目立项审批流程，逐级完成县、市、发改部门、财政部门的投资审核，取得了可行性研究报告批复。目前，初步设计工作正在稳步推进。</w:t>
      </w:r>
    </w:p>
    <w:p w14:paraId="5D50CB13">
      <w:pPr>
        <w:spacing w:line="360" w:lineRule="auto"/>
        <w:ind w:firstLine="640" w:firstLineChars="200"/>
        <w:rPr>
          <w:rFonts w:ascii="仿宋" w:hAnsi="仿宋" w:eastAsia="仿宋" w:cs="仿宋"/>
          <w:sz w:val="32"/>
          <w:szCs w:val="32"/>
        </w:rPr>
      </w:pPr>
      <w:r>
        <w:rPr>
          <w:rFonts w:hint="eastAsia" w:ascii="仿宋" w:hAnsi="仿宋" w:eastAsia="仿宋" w:cs="Times New Roman"/>
          <w:sz w:val="32"/>
          <w:szCs w:val="32"/>
        </w:rPr>
        <w:t>六是加大争资跑项力度，进一步完善水利基础设施建设。</w:t>
      </w:r>
      <w:r>
        <w:rPr>
          <w:rFonts w:hint="eastAsia" w:ascii="仿宋" w:hAnsi="仿宋" w:eastAsia="仿宋" w:cs="仿宋"/>
          <w:sz w:val="32"/>
          <w:szCs w:val="32"/>
        </w:rPr>
        <w:t>争取资金5409万元，对河堤、水库等水利工程提质改造，确保水利工程惠及民生。</w:t>
      </w:r>
    </w:p>
    <w:p w14:paraId="7F8B91F5">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bookmarkStart w:id="0" w:name="_Toc29854"/>
      <w:r>
        <w:rPr>
          <w:rFonts w:hint="eastAsia" w:ascii="仿宋" w:hAnsi="仿宋" w:eastAsia="仿宋" w:cs="宋体"/>
          <w:b/>
          <w:bCs/>
          <w:color w:val="000000" w:themeColor="text1"/>
          <w:sz w:val="32"/>
          <w:szCs w:val="32"/>
          <w:shd w:val="clear" w:color="auto" w:fill="FFFFFF"/>
          <w14:textFill>
            <w14:solidFill>
              <w14:schemeClr w14:val="tx1"/>
            </w14:solidFill>
          </w14:textFill>
        </w:rPr>
        <w:t>河长制工作</w:t>
      </w:r>
      <w:bookmarkEnd w:id="0"/>
    </w:p>
    <w:p w14:paraId="286B6016">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一是在“抓”上下功夫，全员压实“责任链”。抓河长促责任上肩，通过加强督导考核、及时通报问责，压紧压实全县14名县级河长、95名乡级河长、152名村级河长责任，让所有河长知责明责、担责守责。抓协调促问题化解，发出县总河长督办函1份、河长交办函14份、县河长办督办函5份，交办并推动21个涉河涉水问题有效解决。抓保障促工作落实，足额保障河长制工作经费500万元。</w:t>
      </w:r>
    </w:p>
    <w:p w14:paraId="3A51FE0A">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二是在“管”上求突破，全面织牢“保障网”。以党建引领凝聚合力管，创新“党建+河长制”模式，成立了县级河流联合党委8个，乡镇河流联合党支部48个。以部门联动实现多元管，加强公安、检察机关与河长办的协调联动，设置河道警长156名、聘请民间河长40名，构建“河长+河道警长+民间河长”的多元管水护水体系，推动行政执法与检察监督有效衔接，移送涉河湖公益诉讼案件8件。以信息支撑落实常态管，建成湘江鳌洲采区电子围栏及河道采砂智能监控系统、防汛监控系统、智慧渔政系统，安装37处高清摄像头；探索河长公示牌改革，新推出 “互联网”+“信息化”河长公示牌，为河流换发“电子身份证”。</w:t>
      </w:r>
    </w:p>
    <w:p w14:paraId="768B9B7F">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三是在“治”上出实招，全力打好“组合拳”。以“清河净滩”整治和小微河流疏浚清淤树形象，投入资金150余万元，出动人力1480余人次、挖机55台次、割草机60台次、垃圾运输车900台次、保洁船11艘，共计清理河流62条、长度达567.9千米，清理垃圾1460余吨，完成12条“一乡一亮点”示范河建设和涓水标准化管理示范河建设，获得市河长办的好评。完成24条河流疏浚清淤任务，共疏浚清淤河流长59.5公里，完成清淤量9.09万m3,完成投资83.60万元。以“防汛保安”整治除隐患，开展妨碍河道行洪突出问题排查和防汛保安专项执法行动，共排查出妨碍河道行洪问题5个、防汛保安问题4个，全部按“一单四制”要求完成整治。以“非法捕捞”整治护生态，严厉打击非法捕捞违法犯罪，共抓获涉渔案件犯罪嫌疑人14人，有力维护生态平衡。</w:t>
      </w:r>
    </w:p>
    <w:p w14:paraId="64D95D7B">
      <w:pPr>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四是加大宣传力度，全民共治有新进步。积极开展3.22世界水日宣传，大力开展形式多样的宣传活动，在省市县新闻媒体发表河长制工作报道39篇。</w:t>
      </w:r>
    </w:p>
    <w:p w14:paraId="01E42BC0">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bookmarkStart w:id="1" w:name="_Toc4208"/>
      <w:r>
        <w:rPr>
          <w:rFonts w:hint="eastAsia" w:ascii="仿宋" w:hAnsi="仿宋" w:eastAsia="仿宋" w:cs="宋体"/>
          <w:b/>
          <w:bCs/>
          <w:color w:val="000000" w:themeColor="text1"/>
          <w:sz w:val="32"/>
          <w:szCs w:val="32"/>
          <w:shd w:val="clear" w:color="auto" w:fill="FFFFFF"/>
          <w14:textFill>
            <w14:solidFill>
              <w14:schemeClr w14:val="tx1"/>
            </w14:solidFill>
          </w14:textFill>
        </w:rPr>
        <w:t>库区移民工作</w:t>
      </w:r>
      <w:bookmarkEnd w:id="1"/>
    </w:p>
    <w:p w14:paraId="296F2617">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我县2022年共有移民10981人，其中直补移民4885人、安置移民6096人。全年上级部门共拨入我县移民后扶资金共计1840.86万元，完成申报项目计划194个。</w:t>
      </w:r>
    </w:p>
    <w:p w14:paraId="281502D2">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衡山县移民后扶实施项目共180个，后扶资金共计1580.86万元。其中：</w:t>
      </w:r>
      <w:r>
        <w:rPr>
          <w:rFonts w:hint="eastAsia" w:ascii="仿宋" w:hAnsi="仿宋" w:eastAsia="仿宋" w:cs="仿宋"/>
          <w:b/>
          <w:bCs/>
          <w:sz w:val="32"/>
          <w:szCs w:val="32"/>
        </w:rPr>
        <w:t>一是</w:t>
      </w:r>
      <w:r>
        <w:rPr>
          <w:rFonts w:hint="eastAsia" w:ascii="仿宋" w:hAnsi="仿宋" w:eastAsia="仿宋" w:cs="仿宋"/>
          <w:sz w:val="32"/>
          <w:szCs w:val="32"/>
        </w:rPr>
        <w:t>全县移民后扶基金直补到人4885人，通过“一卡通”已发放资金293.1万元，已全部发放到位；</w:t>
      </w:r>
      <w:r>
        <w:rPr>
          <w:rFonts w:hint="eastAsia" w:ascii="仿宋" w:hAnsi="仿宋" w:eastAsia="仿宋" w:cs="仿宋"/>
          <w:b/>
          <w:bCs/>
          <w:sz w:val="32"/>
          <w:szCs w:val="32"/>
        </w:rPr>
        <w:t>二是</w:t>
      </w:r>
      <w:r>
        <w:rPr>
          <w:rFonts w:hint="eastAsia" w:ascii="仿宋" w:hAnsi="仿宋" w:eastAsia="仿宋" w:cs="仿宋"/>
          <w:sz w:val="32"/>
          <w:szCs w:val="32"/>
        </w:rPr>
        <w:t>库区生产安置人口及结余人口（600元内）项目扶持资金为365.76万元，包括大源渡库区排灌站运行管理费、路灯安装、道路硬化、渠道及骨干维修塘清淤及硬化、山坪塘清淤、油茶种植产业开发及土地平整、油茶种植900亩等项目，已全部完成；</w:t>
      </w:r>
      <w:r>
        <w:rPr>
          <w:rFonts w:hint="eastAsia" w:ascii="仿宋" w:hAnsi="仿宋" w:eastAsia="仿宋" w:cs="仿宋"/>
          <w:b/>
          <w:bCs/>
          <w:sz w:val="32"/>
          <w:szCs w:val="32"/>
        </w:rPr>
        <w:t>三是</w:t>
      </w:r>
      <w:r>
        <w:rPr>
          <w:rFonts w:hint="eastAsia" w:ascii="仿宋" w:hAnsi="仿宋" w:eastAsia="仿宋" w:cs="仿宋"/>
          <w:sz w:val="32"/>
          <w:szCs w:val="32"/>
        </w:rPr>
        <w:t>600外移民资金投入922万元，包括基础设施项目、农田水利设施建设项目、人居环境改善建设项目、产业开发建设项目、移民培训项目等141个项目，12月已全部开工，完工验收率达85%以上。</w:t>
      </w:r>
    </w:p>
    <w:p w14:paraId="491A0130">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衡山县重点移民村整村推进建设项目计划实施项目7个，移民投资210万元。其中包括：基础设施项目、改善人居环境项目、产业开发项目等项目，7个项目已全部完成建设。</w:t>
      </w:r>
    </w:p>
    <w:p w14:paraId="05AC728C">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2022年度三峡后续工作实施项目7个，移民投资50万元，其中包括基础设施道路扩宽及硬化建设项目、农田水利设施建设项目等项目，目前已全部完成。</w:t>
      </w:r>
    </w:p>
    <w:p w14:paraId="43B30BBF">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库区移民培训工作。今年共举办2期专门培训班，培训移民241人。其中：1、湘黄鸡养殖培训90人；2、水产养殖培训76人；3、中长期职业教育补助移民61人；4、送省参训移民2人。还发放了培训资料近200册，张贴宣传资料200多张。</w:t>
      </w:r>
    </w:p>
    <w:p w14:paraId="46D682A4">
      <w:pPr>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库区移民人口动态管理工作，2022年度共核减移民人口68人（2022年度移民直补到人“一卡通”发放数据是以2021年度数据为基准年）。</w:t>
      </w:r>
    </w:p>
    <w:p w14:paraId="2E5EA8C4">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bookmarkStart w:id="2" w:name="_Toc16380"/>
      <w:r>
        <w:rPr>
          <w:rFonts w:hint="eastAsia" w:ascii="仿宋" w:hAnsi="仿宋" w:eastAsia="仿宋" w:cs="宋体"/>
          <w:b/>
          <w:bCs/>
          <w:color w:val="000000" w:themeColor="text1"/>
          <w:sz w:val="32"/>
          <w:szCs w:val="32"/>
          <w:shd w:val="clear" w:color="auto" w:fill="FFFFFF"/>
          <w14:textFill>
            <w14:solidFill>
              <w14:schemeClr w14:val="tx1"/>
            </w14:solidFill>
          </w14:textFill>
        </w:rPr>
        <w:t>农村安全饮水工作</w:t>
      </w:r>
      <w:bookmarkEnd w:id="2"/>
    </w:p>
    <w:p w14:paraId="007D4338">
      <w:pPr>
        <w:spacing w:line="360" w:lineRule="auto"/>
        <w:ind w:firstLine="640" w:firstLineChars="200"/>
        <w:rPr>
          <w:rFonts w:ascii="仿宋" w:hAnsi="仿宋" w:eastAsia="仿宋"/>
          <w:sz w:val="32"/>
          <w:szCs w:val="32"/>
        </w:rPr>
      </w:pPr>
      <w:r>
        <w:rPr>
          <w:rFonts w:hint="eastAsia" w:ascii="仿宋" w:hAnsi="仿宋" w:eastAsia="仿宋"/>
          <w:sz w:val="32"/>
          <w:szCs w:val="32"/>
        </w:rPr>
        <w:t>一是巩固拓展脱贫攻坚成果同乡村振兴有效衔接。截至2022年，全县共建成农村集中式供水工程38处，分别为千吨万人工程5处，千人以上工程6处，百人以上工程27处，其他分散式供水工程20000多处，为巩固拓展脱贫攻坚成果同乡村振兴有效衔接提供了坚实的水利支撑。</w:t>
      </w:r>
    </w:p>
    <w:p w14:paraId="608870EA">
      <w:pPr>
        <w:spacing w:line="360" w:lineRule="auto"/>
        <w:ind w:firstLine="640" w:firstLineChars="200"/>
        <w:rPr>
          <w:rFonts w:ascii="仿宋" w:hAnsi="仿宋" w:eastAsia="仿宋"/>
          <w:sz w:val="32"/>
          <w:szCs w:val="32"/>
        </w:rPr>
      </w:pPr>
      <w:r>
        <w:rPr>
          <w:rFonts w:hint="eastAsia" w:ascii="仿宋" w:hAnsi="仿宋" w:eastAsia="仿宋"/>
          <w:sz w:val="32"/>
          <w:szCs w:val="32"/>
        </w:rPr>
        <w:t>二是提前谋划强调度。针对今年遭遇到的干旱，认真研判，精准调度，在确保安全度汛的基础上，做好蓄水保水抗大旱的准备。</w:t>
      </w:r>
    </w:p>
    <w:p w14:paraId="6D60BC57">
      <w:pPr>
        <w:spacing w:line="360" w:lineRule="auto"/>
        <w:ind w:firstLine="640" w:firstLineChars="200"/>
        <w:rPr>
          <w:rFonts w:ascii="仿宋" w:hAnsi="仿宋" w:eastAsia="仿宋"/>
          <w:sz w:val="32"/>
          <w:szCs w:val="32"/>
        </w:rPr>
      </w:pPr>
      <w:r>
        <w:rPr>
          <w:rFonts w:hint="eastAsia" w:ascii="仿宋" w:hAnsi="仿宋" w:eastAsia="仿宋"/>
          <w:sz w:val="32"/>
          <w:szCs w:val="32"/>
        </w:rPr>
        <w:t>三是多措并举补短板。一方面多方筹资保运维。今年以来，先后投入185万元，对全县农村集中供水工程的消毒设备、抽水设施、管网维护、水质检测设备等进行了添置与更新。严打偷水保秩序。县水利局组成专班，对管网进行巡察，先后查处6起偷水事件，并依法进行了处理。水质检测常态化，制定了年度水质检测方案，形成联动机制，定期对全县饮水工程及</w:t>
      </w:r>
      <w:r>
        <w:rPr>
          <w:rFonts w:hint="eastAsia" w:ascii="仿宋" w:hAnsi="仿宋" w:eastAsia="仿宋" w:cs="仿宋_GB2312"/>
          <w:sz w:val="32"/>
          <w:szCs w:val="32"/>
        </w:rPr>
        <w:t>部分分散性饮水点进行了全面水质取样、化验检测，确保全县农村饮水水质合格率达100%。另一方面</w:t>
      </w:r>
      <w:r>
        <w:rPr>
          <w:rFonts w:hint="eastAsia" w:ascii="仿宋" w:hAnsi="仿宋" w:eastAsia="仿宋"/>
          <w:sz w:val="32"/>
          <w:szCs w:val="32"/>
        </w:rPr>
        <w:t>全面摸排保清零。面对今年多月无有效降水的旱灾，进行了三轮全域性的摸底排查，采用了“一厂一策”预案，先后调集235万元在全县范围内找水打井近200处、建引山泉水工程5处，通过“钻好一口深水井，辐射周边多住户”的方式，解除了近5000人有可能出现的饮水安全隐患。</w:t>
      </w:r>
    </w:p>
    <w:p w14:paraId="33263A29">
      <w:pPr>
        <w:spacing w:line="360" w:lineRule="auto"/>
        <w:ind w:firstLine="640" w:firstLineChars="200"/>
        <w:rPr>
          <w:rFonts w:ascii="仿宋" w:hAnsi="仿宋" w:eastAsia="仿宋"/>
          <w:sz w:val="32"/>
          <w:szCs w:val="32"/>
        </w:rPr>
      </w:pPr>
      <w:r>
        <w:rPr>
          <w:rFonts w:hint="eastAsia" w:ascii="仿宋" w:hAnsi="仿宋" w:eastAsia="仿宋"/>
          <w:sz w:val="32"/>
          <w:szCs w:val="32"/>
        </w:rPr>
        <w:t>四是部门齐抓强监管。先后出台了《衡山县农村供水工程管理办法》、《衡山县农村集中供水工程管理考评办法》等政策性文件，建立健全了“三个责任人”制度，抓好了集中供水工程从水源到水龙头的一条线管理。</w:t>
      </w:r>
    </w:p>
    <w:p w14:paraId="5C9207BE">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bookmarkStart w:id="3" w:name="_Toc7681"/>
      <w:r>
        <w:rPr>
          <w:rFonts w:hint="eastAsia" w:ascii="仿宋" w:hAnsi="仿宋" w:eastAsia="仿宋" w:cs="宋体"/>
          <w:b/>
          <w:bCs/>
          <w:color w:val="000000" w:themeColor="text1"/>
          <w:sz w:val="32"/>
          <w:szCs w:val="32"/>
          <w:shd w:val="clear" w:color="auto" w:fill="FFFFFF"/>
          <w14:textFill>
            <w14:solidFill>
              <w14:schemeClr w14:val="tx1"/>
            </w14:solidFill>
          </w14:textFill>
        </w:rPr>
        <w:t>安全生产工作</w:t>
      </w:r>
      <w:bookmarkEnd w:id="3"/>
    </w:p>
    <w:p w14:paraId="693FDD7C">
      <w:pPr>
        <w:spacing w:line="360" w:lineRule="auto"/>
        <w:ind w:firstLine="640" w:firstLineChars="200"/>
        <w:rPr>
          <w:rFonts w:ascii="仿宋" w:hAnsi="仿宋" w:eastAsia="仿宋"/>
          <w:sz w:val="32"/>
          <w:szCs w:val="32"/>
        </w:rPr>
      </w:pPr>
      <w:r>
        <w:rPr>
          <w:rFonts w:hint="eastAsia" w:ascii="仿宋" w:hAnsi="仿宋" w:eastAsia="仿宋"/>
          <w:sz w:val="32"/>
          <w:szCs w:val="32"/>
        </w:rPr>
        <w:t>我局安全生产工作严格贯彻“安全第一、预防为主、综合治理”的方针，加大安全生产工作检查督促力度，结合水利行业实际，扎实做好水利安全生产。今年以来，未发生一起安全生产事故，安全生产责任制得到很好落实。</w:t>
      </w:r>
    </w:p>
    <w:p w14:paraId="5220D99A">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r>
        <w:rPr>
          <w:rFonts w:ascii="仿宋" w:hAnsi="仿宋" w:eastAsia="仿宋" w:cs="宋体"/>
          <w:b/>
          <w:bCs/>
          <w:color w:val="000000" w:themeColor="text1"/>
          <w:sz w:val="32"/>
          <w:szCs w:val="32"/>
          <w:shd w:val="clear" w:color="auto" w:fill="FFFFFF"/>
          <w14:textFill>
            <w14:solidFill>
              <w14:schemeClr w14:val="tx1"/>
            </w14:solidFill>
          </w14:textFill>
        </w:rPr>
        <w:t>水资源管理和节约用水工作</w:t>
      </w:r>
    </w:p>
    <w:p w14:paraId="5148D6F0">
      <w:pPr>
        <w:spacing w:line="360" w:lineRule="auto"/>
        <w:ind w:firstLine="643" w:firstLineChars="200"/>
        <w:rPr>
          <w:rFonts w:ascii="仿宋" w:hAnsi="仿宋" w:eastAsia="仿宋" w:cs="仿宋"/>
          <w:sz w:val="32"/>
          <w:szCs w:val="32"/>
        </w:rPr>
      </w:pPr>
      <w:r>
        <w:rPr>
          <w:rFonts w:hint="eastAsia" w:ascii="仿宋" w:hAnsi="仿宋" w:eastAsia="仿宋" w:cs="仿宋"/>
          <w:b/>
          <w:bCs/>
          <w:sz w:val="32"/>
          <w:szCs w:val="32"/>
        </w:rPr>
        <w:t>一是</w:t>
      </w:r>
      <w:r>
        <w:rPr>
          <w:rFonts w:hint="eastAsia" w:ascii="仿宋" w:hAnsi="仿宋" w:eastAsia="仿宋" w:cs="仿宋"/>
          <w:sz w:val="32"/>
          <w:szCs w:val="32"/>
        </w:rPr>
        <w:t>年初下发了2022年度取水计划的通知并在局门户网站进行公示；</w:t>
      </w:r>
      <w:r>
        <w:rPr>
          <w:rFonts w:hint="eastAsia" w:ascii="仿宋" w:hAnsi="仿宋" w:eastAsia="仿宋" w:cs="仿宋"/>
          <w:b/>
          <w:bCs/>
          <w:sz w:val="32"/>
          <w:szCs w:val="32"/>
        </w:rPr>
        <w:t>二是</w:t>
      </w:r>
      <w:r>
        <w:rPr>
          <w:rFonts w:hint="eastAsia" w:ascii="仿宋" w:hAnsi="仿宋" w:eastAsia="仿宋" w:cs="仿宋"/>
          <w:sz w:val="32"/>
          <w:szCs w:val="32"/>
        </w:rPr>
        <w:t>按照时间节点完成了取水许可统计系统内非农</w:t>
      </w:r>
      <w:r>
        <w:rPr>
          <w:rFonts w:hint="eastAsia" w:ascii="仿宋" w:hAnsi="仿宋" w:eastAsia="仿宋" w:cs="仿宋"/>
          <w:bCs/>
          <w:sz w:val="32"/>
          <w:szCs w:val="32"/>
        </w:rPr>
        <w:t>基本单位名录库中所有</w:t>
      </w:r>
      <w:r>
        <w:rPr>
          <w:rFonts w:hint="eastAsia" w:ascii="仿宋" w:hAnsi="仿宋" w:eastAsia="仿宋" w:cs="仿宋"/>
          <w:sz w:val="32"/>
          <w:szCs w:val="32"/>
        </w:rPr>
        <w:t>用水户一季度取水总量统计填报工作，通过审查率</w:t>
      </w:r>
      <w:r>
        <w:rPr>
          <w:rFonts w:hint="eastAsia" w:ascii="仿宋" w:hAnsi="仿宋" w:eastAsia="仿宋" w:cs="仿宋"/>
          <w:bCs/>
          <w:sz w:val="32"/>
          <w:szCs w:val="32"/>
        </w:rPr>
        <w:t>100%</w:t>
      </w:r>
      <w:r>
        <w:rPr>
          <w:rFonts w:hint="eastAsia" w:ascii="仿宋" w:hAnsi="仿宋" w:eastAsia="仿宋" w:cs="仿宋"/>
          <w:sz w:val="32"/>
          <w:szCs w:val="32"/>
        </w:rPr>
        <w:t>；</w:t>
      </w:r>
      <w:r>
        <w:rPr>
          <w:rFonts w:hint="eastAsia" w:ascii="仿宋" w:hAnsi="仿宋" w:eastAsia="仿宋" w:cs="仿宋"/>
          <w:b/>
          <w:bCs/>
          <w:sz w:val="32"/>
          <w:szCs w:val="32"/>
        </w:rPr>
        <w:t>三是</w:t>
      </w:r>
      <w:r>
        <w:rPr>
          <w:rFonts w:hint="eastAsia" w:ascii="仿宋" w:hAnsi="仿宋" w:eastAsia="仿宋" w:cs="仿宋"/>
          <w:sz w:val="32"/>
          <w:szCs w:val="32"/>
        </w:rPr>
        <w:t>根据省工信厅和省水利厅要求联合科工信局推荐了本行政区域内3家工业企业参与省里的节水型企业遴选，经省专家审核通过，我县今年建成省级水效领跑企业2家，省级节水型企业1家，市级节水型载体2家，超额完成省里下发的目标任务；</w:t>
      </w:r>
      <w:r>
        <w:rPr>
          <w:rFonts w:hint="eastAsia" w:ascii="仿宋" w:hAnsi="仿宋" w:eastAsia="仿宋" w:cs="仿宋"/>
          <w:b/>
          <w:bCs/>
          <w:sz w:val="32"/>
          <w:szCs w:val="32"/>
        </w:rPr>
        <w:t>四</w:t>
      </w:r>
      <w:r>
        <w:rPr>
          <w:rFonts w:hint="eastAsia" w:ascii="仿宋" w:hAnsi="仿宋" w:eastAsia="仿宋" w:cs="仿宋"/>
          <w:b/>
          <w:sz w:val="32"/>
          <w:szCs w:val="32"/>
        </w:rPr>
        <w:t>是</w:t>
      </w:r>
      <w:r>
        <w:rPr>
          <w:rFonts w:hint="eastAsia" w:ascii="仿宋" w:hAnsi="仿宋" w:eastAsia="仿宋" w:cs="仿宋"/>
          <w:bCs/>
          <w:sz w:val="32"/>
          <w:szCs w:val="32"/>
        </w:rPr>
        <w:t>按照年度工作计划对部分取用水户开展了水资源管理和节约用水</w:t>
      </w:r>
      <w:r>
        <w:rPr>
          <w:rFonts w:hint="eastAsia" w:ascii="仿宋" w:hAnsi="仿宋" w:eastAsia="仿宋" w:cs="仿宋"/>
          <w:bCs/>
          <w:sz w:val="32"/>
          <w:szCs w:val="32"/>
          <w:lang w:eastAsia="zh-CN"/>
        </w:rPr>
        <w:t>“双随机、一公开”</w:t>
      </w:r>
      <w:r>
        <w:rPr>
          <w:rFonts w:hint="eastAsia" w:ascii="仿宋" w:hAnsi="仿宋" w:eastAsia="仿宋" w:cs="仿宋"/>
          <w:bCs/>
          <w:sz w:val="32"/>
          <w:szCs w:val="32"/>
        </w:rPr>
        <w:t>检查；</w:t>
      </w:r>
      <w:r>
        <w:rPr>
          <w:rFonts w:hint="eastAsia" w:ascii="仿宋" w:hAnsi="仿宋" w:eastAsia="仿宋" w:cs="仿宋"/>
          <w:b/>
          <w:sz w:val="32"/>
          <w:szCs w:val="32"/>
        </w:rPr>
        <w:t>五</w:t>
      </w:r>
      <w:r>
        <w:rPr>
          <w:rFonts w:hint="eastAsia" w:ascii="仿宋" w:hAnsi="仿宋" w:eastAsia="仿宋" w:cs="仿宋"/>
          <w:b/>
          <w:bCs/>
          <w:sz w:val="32"/>
          <w:szCs w:val="32"/>
        </w:rPr>
        <w:t>是</w:t>
      </w:r>
      <w:r>
        <w:rPr>
          <w:rFonts w:hint="eastAsia" w:ascii="仿宋" w:hAnsi="仿宋" w:eastAsia="仿宋" w:cs="仿宋"/>
          <w:sz w:val="32"/>
          <w:szCs w:val="32"/>
        </w:rPr>
        <w:t>严格落实水资源有偿使用制度，足额完成水资源费的征缴。</w:t>
      </w:r>
      <w:r>
        <w:rPr>
          <w:rFonts w:hint="eastAsia" w:ascii="仿宋" w:hAnsi="仿宋" w:eastAsia="仿宋" w:cs="仿宋"/>
          <w:b/>
          <w:bCs/>
          <w:sz w:val="32"/>
          <w:szCs w:val="32"/>
        </w:rPr>
        <w:t>六是</w:t>
      </w:r>
      <w:r>
        <w:rPr>
          <w:rFonts w:hint="eastAsia" w:ascii="仿宋" w:hAnsi="仿宋" w:eastAsia="仿宋" w:cs="仿宋"/>
          <w:sz w:val="32"/>
          <w:szCs w:val="32"/>
        </w:rPr>
        <w:t>严格执行《湖南省用水定额》，强化用水定额管理。</w:t>
      </w:r>
      <w:r>
        <w:rPr>
          <w:rFonts w:hint="eastAsia" w:ascii="仿宋" w:hAnsi="仿宋" w:eastAsia="仿宋" w:cs="仿宋"/>
          <w:b/>
          <w:bCs/>
          <w:sz w:val="32"/>
          <w:szCs w:val="32"/>
        </w:rPr>
        <w:t>七是</w:t>
      </w:r>
      <w:r>
        <w:rPr>
          <w:rFonts w:hint="eastAsia" w:ascii="仿宋" w:hAnsi="仿宋" w:eastAsia="仿宋" w:cs="仿宋"/>
          <w:sz w:val="32"/>
          <w:szCs w:val="32"/>
        </w:rPr>
        <w:t>完成年度用水统计调查工作，名录库建设，数据填报及审核，总量核算和按照水资源管理和节约用水监督检查工作；</w:t>
      </w:r>
      <w:r>
        <w:rPr>
          <w:rFonts w:hint="eastAsia" w:ascii="仿宋" w:hAnsi="仿宋" w:eastAsia="仿宋" w:cs="仿宋"/>
          <w:b/>
          <w:bCs/>
          <w:sz w:val="32"/>
          <w:szCs w:val="32"/>
        </w:rPr>
        <w:t>八是</w:t>
      </w:r>
      <w:r>
        <w:rPr>
          <w:rFonts w:hint="eastAsia" w:ascii="仿宋" w:hAnsi="仿宋" w:eastAsia="仿宋" w:cs="仿宋"/>
          <w:sz w:val="32"/>
          <w:szCs w:val="32"/>
        </w:rPr>
        <w:t>根据水利部的工作要求在全市率先完成我县十三家单位的国控计量设备的安装调试工作，合格率百分之百；</w:t>
      </w:r>
      <w:r>
        <w:rPr>
          <w:rFonts w:hint="eastAsia" w:ascii="仿宋" w:hAnsi="仿宋" w:eastAsia="仿宋" w:cs="仿宋"/>
          <w:b/>
          <w:bCs/>
          <w:sz w:val="32"/>
          <w:szCs w:val="32"/>
        </w:rPr>
        <w:t>九是</w:t>
      </w:r>
      <w:r>
        <w:rPr>
          <w:rFonts w:hint="eastAsia" w:ascii="仿宋" w:hAnsi="仿宋" w:eastAsia="仿宋" w:cs="仿宋"/>
          <w:sz w:val="32"/>
          <w:szCs w:val="32"/>
        </w:rPr>
        <w:t>按时完成《衡山县“十四五”节水型社会建设规划》编制工作，并报县政府领导批准实施；</w:t>
      </w:r>
      <w:r>
        <w:rPr>
          <w:rFonts w:hint="eastAsia" w:ascii="仿宋" w:hAnsi="仿宋" w:eastAsia="仿宋" w:cs="仿宋"/>
          <w:b/>
          <w:bCs/>
          <w:sz w:val="32"/>
          <w:szCs w:val="32"/>
        </w:rPr>
        <w:t>十是</w:t>
      </w:r>
      <w:r>
        <w:rPr>
          <w:rFonts w:hint="eastAsia" w:ascii="仿宋" w:hAnsi="仿宋" w:eastAsia="仿宋" w:cs="仿宋"/>
          <w:sz w:val="32"/>
          <w:szCs w:val="32"/>
        </w:rPr>
        <w:t>积极主动进行超许可整改工作，严格执行国家最严水资源管理制度进行取水水资源论证，在水资源论证、取水许可等工作中严格执行了《湖南省用水定额》，实行“一证一档”管理。我县的水资源管理工作连续几年获得衡阳市实行最严水资源管理制度考核工作组办公室综合评价为优秀。</w:t>
      </w:r>
    </w:p>
    <w:p w14:paraId="726AA7E6">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r>
        <w:rPr>
          <w:rFonts w:hint="eastAsia" w:ascii="仿宋" w:hAnsi="仿宋" w:eastAsia="仿宋" w:cs="宋体"/>
          <w:b/>
          <w:bCs/>
          <w:color w:val="000000" w:themeColor="text1"/>
          <w:sz w:val="32"/>
          <w:szCs w:val="32"/>
          <w:shd w:val="clear" w:color="auto" w:fill="FFFFFF"/>
          <w14:textFill>
            <w14:solidFill>
              <w14:schemeClr w14:val="tx1"/>
            </w14:solidFill>
          </w14:textFill>
        </w:rPr>
        <w:t>水行政执法工作</w:t>
      </w:r>
    </w:p>
    <w:p w14:paraId="00B82648">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ascii="仿宋" w:hAnsi="仿宋" w:eastAsia="仿宋" w:cs="仿宋_GB2312"/>
          <w:color w:val="000000" w:themeColor="text1"/>
          <w:sz w:val="32"/>
          <w:szCs w:val="32"/>
          <w:shd w:val="clear" w:color="auto" w:fill="FFFFFF"/>
          <w14:textFill>
            <w14:solidFill>
              <w14:schemeClr w14:val="tx1"/>
            </w14:solidFill>
          </w14:textFill>
        </w:rPr>
        <w:t>全年累计巡查河道岸线8000余公里，参与巡查人数1250余人次，出动执法车辆及执法船只600余次，组织专项执法行动12次，立案查办并办结水事案件8次，移交乡镇、河长办及相关责任单位违法线索20余起，下达《责令停止违法行为通知书》10份，《责令改正违法行为通知书》12份，清理河道岸线长达0.7公里，拆除涉水违章建筑5处，建筑面积达200平方，清理阻碍河道行洪垃圾300余方，集中清除县城城防堤菜土5处，恢复城区河滩地30余亩</w:t>
      </w:r>
      <w:r>
        <w:rPr>
          <w:rFonts w:hint="eastAsia" w:ascii="仿宋" w:hAnsi="仿宋" w:eastAsia="仿宋" w:cs="仿宋_GB2312"/>
          <w:color w:val="000000" w:themeColor="text1"/>
          <w:sz w:val="32"/>
          <w:szCs w:val="32"/>
          <w:shd w:val="clear" w:color="auto" w:fill="FFFFFF"/>
          <w14:textFill>
            <w14:solidFill>
              <w14:schemeClr w14:val="tx1"/>
            </w14:solidFill>
          </w14:textFill>
        </w:rPr>
        <w:t>。</w:t>
      </w:r>
      <w:r>
        <w:rPr>
          <w:rFonts w:ascii="仿宋" w:hAnsi="仿宋" w:eastAsia="仿宋" w:cs="仿宋_GB2312"/>
          <w:color w:val="000000" w:themeColor="text1"/>
          <w:sz w:val="32"/>
          <w:szCs w:val="32"/>
          <w:shd w:val="clear" w:color="auto" w:fill="FFFFFF"/>
          <w14:textFill>
            <w14:solidFill>
              <w14:schemeClr w14:val="tx1"/>
            </w14:solidFill>
          </w14:textFill>
        </w:rPr>
        <w:t>在禁捕和退捕工作中，联合渔政及公安开展联合行动5次，同时主动联系衡东、南岳、湘潭及相邻水利部门形成联合执法机制。</w:t>
      </w:r>
    </w:p>
    <w:p w14:paraId="33A15839">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r>
        <w:rPr>
          <w:rFonts w:hint="eastAsia" w:ascii="仿宋" w:hAnsi="仿宋" w:eastAsia="仿宋" w:cs="宋体"/>
          <w:b/>
          <w:bCs/>
          <w:color w:val="000000" w:themeColor="text1"/>
          <w:sz w:val="32"/>
          <w:szCs w:val="32"/>
          <w:shd w:val="clear" w:color="auto" w:fill="FFFFFF"/>
          <w14:textFill>
            <w14:solidFill>
              <w14:schemeClr w14:val="tx1"/>
            </w14:solidFill>
          </w14:textFill>
        </w:rPr>
        <w:t>意识形态工作责任制</w:t>
      </w:r>
    </w:p>
    <w:p w14:paraId="4FC241CC">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hint="eastAsia" w:ascii="仿宋" w:hAnsi="仿宋" w:eastAsia="仿宋" w:cs="仿宋_GB2312"/>
          <w:color w:val="000000" w:themeColor="text1"/>
          <w:sz w:val="32"/>
          <w:szCs w:val="32"/>
          <w:shd w:val="clear" w:color="auto" w:fill="FFFFFF"/>
          <w14:textFill>
            <w14:solidFill>
              <w14:schemeClr w14:val="tx1"/>
            </w14:solidFill>
          </w14:textFill>
        </w:rPr>
        <w:t>我局党委加强组织领导，明确主体责任，将意识形态工作摆上重要议事日程，列入年度工作计划，注重把好导向、守好阵地、管好队伍，在日常召开专题会议的基础上把意识形态工作与水利项目建设等各项重点工作同安排、同部署、同检查。</w:t>
      </w:r>
    </w:p>
    <w:p w14:paraId="6A631233">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hint="eastAsia" w:ascii="仿宋" w:hAnsi="仿宋" w:eastAsia="仿宋" w:cs="仿宋_GB2312"/>
          <w:color w:val="000000" w:themeColor="text1"/>
          <w:sz w:val="32"/>
          <w:szCs w:val="32"/>
          <w:shd w:val="clear" w:color="auto" w:fill="FFFFFF"/>
          <w14:textFill>
            <w14:solidFill>
              <w14:schemeClr w14:val="tx1"/>
            </w14:solidFill>
          </w14:textFill>
        </w:rPr>
        <w:t>一是切实提升干部队伍思想建设，做好意识形态工作为目标，深入贯彻《中共中央关于加强党的政治建设的意见》，落实坚定维护党中央权威和集中统一领导的各项制度，精心组织开展丰富的学习实践活动，进一步引领干部队伍增强“四个意识”、坚定“四个自信”、坚决做到“两个维护”。</w:t>
      </w:r>
    </w:p>
    <w:p w14:paraId="75BE2403">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hint="eastAsia" w:ascii="仿宋" w:hAnsi="仿宋" w:eastAsia="仿宋" w:cs="仿宋_GB2312"/>
          <w:color w:val="000000" w:themeColor="text1"/>
          <w:sz w:val="32"/>
          <w:szCs w:val="32"/>
          <w:shd w:val="clear" w:color="auto" w:fill="FFFFFF"/>
          <w14:textFill>
            <w14:solidFill>
              <w14:schemeClr w14:val="tx1"/>
            </w14:solidFill>
          </w14:textFill>
        </w:rPr>
        <w:t>二是抓好主体责任落实。2022年，干部职工队伍在疫情防控、农村安全饮水、乡村振兴、“衡阳群众”志愿者服务、学习强国平台推广、小型病险水库除险加固、水土保持项目等工作中，积极参与争当服务先锋，取得明显成效。</w:t>
      </w:r>
    </w:p>
    <w:p w14:paraId="1A78801A">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hint="eastAsia" w:ascii="仿宋" w:hAnsi="仿宋" w:eastAsia="仿宋" w:cs="仿宋_GB2312"/>
          <w:color w:val="000000" w:themeColor="text1"/>
          <w:sz w:val="32"/>
          <w:szCs w:val="32"/>
          <w:shd w:val="clear" w:color="auto" w:fill="FFFFFF"/>
          <w14:textFill>
            <w14:solidFill>
              <w14:schemeClr w14:val="tx1"/>
            </w14:solidFill>
          </w14:textFill>
        </w:rPr>
        <w:t>三是持续巩固省级文明单位成果，弘扬时代新风。以意识形态工作为重要抓手，持续巩固省级文明单位成果；突出文化熏陶，深植文明风尚，以社会主义核心价值观、乡村振兴和常态化扫黑除恶等为主题，定期更换局机关宣传标语，提升机关文化内涵。为切实做好疫情防控工作，县水利局党支部充分发挥支部战斗堡垒作用，带动党员干部、群团组织志愿者投身疫情防控，参与G240国道白果卡口、东湖高速卡口疫情防控工作80天，并积极参与甘棠桥社区劝导疫苗接种宣传等工作。</w:t>
      </w:r>
    </w:p>
    <w:p w14:paraId="1BD72669">
      <w:pPr>
        <w:spacing w:line="360" w:lineRule="auto"/>
        <w:ind w:firstLine="640" w:firstLineChars="200"/>
        <w:rPr>
          <w:rFonts w:ascii="仿宋" w:hAnsi="仿宋" w:eastAsia="仿宋" w:cs="仿宋_GB2312"/>
          <w:color w:val="000000" w:themeColor="text1"/>
          <w:sz w:val="32"/>
          <w:szCs w:val="32"/>
          <w:shd w:val="clear" w:color="auto" w:fill="FFFFFF"/>
          <w14:textFill>
            <w14:solidFill>
              <w14:schemeClr w14:val="tx1"/>
            </w14:solidFill>
          </w14:textFill>
        </w:rPr>
      </w:pPr>
      <w:r>
        <w:rPr>
          <w:rFonts w:hint="eastAsia" w:ascii="仿宋" w:hAnsi="仿宋" w:eastAsia="仿宋" w:cs="仿宋_GB2312"/>
          <w:color w:val="000000" w:themeColor="text1"/>
          <w:sz w:val="32"/>
          <w:szCs w:val="32"/>
          <w:shd w:val="clear" w:color="auto" w:fill="FFFFFF"/>
          <w14:textFill>
            <w14:solidFill>
              <w14:schemeClr w14:val="tx1"/>
            </w14:solidFill>
          </w14:textFill>
        </w:rPr>
        <w:t>四是着重强化对水利部门公共领域和网络意识形态安全的宣传管理工作。在宣传工作中把握尺度、讲求分寸、规范用语，严格管理规范干部职工参与各类办公、公共等场所的活动及言论。科学设置水利业务宣传栏、微信等阵地栏目，运用好“河长制”公众平台。充分利用新媒体正面引导舆论，严禁全局干部职工在网络上发布反动消极的言论和低级庸俗的图片视频等，切实维护网络意识形态安全。</w:t>
      </w:r>
    </w:p>
    <w:p w14:paraId="27E95021">
      <w:pPr>
        <w:pStyle w:val="10"/>
        <w:numPr>
          <w:ilvl w:val="0"/>
          <w:numId w:val="1"/>
        </w:numPr>
        <w:spacing w:line="360" w:lineRule="auto"/>
        <w:ind w:firstLineChars="0"/>
        <w:rPr>
          <w:rFonts w:ascii="仿宋" w:hAnsi="仿宋" w:eastAsia="仿宋" w:cs="宋体"/>
          <w:b/>
          <w:bCs/>
          <w:color w:val="000000" w:themeColor="text1"/>
          <w:sz w:val="32"/>
          <w:szCs w:val="32"/>
          <w:shd w:val="clear" w:color="auto" w:fill="FFFFFF"/>
          <w14:textFill>
            <w14:solidFill>
              <w14:schemeClr w14:val="tx1"/>
            </w14:solidFill>
          </w14:textFill>
        </w:rPr>
      </w:pPr>
      <w:bookmarkStart w:id="4" w:name="_Toc7395"/>
      <w:r>
        <w:rPr>
          <w:rFonts w:hint="eastAsia" w:ascii="仿宋" w:hAnsi="仿宋" w:eastAsia="仿宋" w:cs="宋体"/>
          <w:b/>
          <w:bCs/>
          <w:color w:val="000000" w:themeColor="text1"/>
          <w:sz w:val="32"/>
          <w:szCs w:val="32"/>
          <w:shd w:val="clear" w:color="auto" w:fill="FFFFFF"/>
          <w14:textFill>
            <w14:solidFill>
              <w14:schemeClr w14:val="tx1"/>
            </w14:solidFill>
          </w14:textFill>
        </w:rPr>
        <w:t>党建工作</w:t>
      </w:r>
      <w:bookmarkEnd w:id="4"/>
    </w:p>
    <w:p w14:paraId="3CB3CE7E">
      <w:pPr>
        <w:spacing w:line="360" w:lineRule="auto"/>
        <w:ind w:firstLine="643" w:firstLineChars="200"/>
        <w:rPr>
          <w:rFonts w:ascii="仿宋" w:hAnsi="仿宋" w:eastAsia="仿宋" w:cs="仿宋_GB2312"/>
          <w:sz w:val="32"/>
          <w:szCs w:val="32"/>
        </w:rPr>
      </w:pPr>
      <w:r>
        <w:rPr>
          <w:rFonts w:hint="eastAsia" w:ascii="仿宋" w:hAnsi="仿宋" w:eastAsia="仿宋" w:cs="仿宋"/>
          <w:b/>
          <w:bCs/>
          <w:sz w:val="32"/>
          <w:szCs w:val="32"/>
        </w:rPr>
        <w:t>一是注重政治建设，创建模范机关。</w:t>
      </w:r>
      <w:r>
        <w:rPr>
          <w:rFonts w:hint="eastAsia" w:ascii="仿宋" w:hAnsi="仿宋" w:eastAsia="仿宋" w:cs="仿宋_GB2312"/>
          <w:sz w:val="32"/>
          <w:szCs w:val="32"/>
        </w:rPr>
        <w:t>坚持把党的政治建设摆在首位，聚焦政治理论学习，加强廉洁教育，创建党建品牌，夯实干事创业思想基础。深化“三表率一模范”机关创建。扎实做好新时代思想政治工作。</w:t>
      </w:r>
    </w:p>
    <w:p w14:paraId="59057CB5">
      <w:pPr>
        <w:spacing w:line="360" w:lineRule="auto"/>
        <w:ind w:firstLine="643" w:firstLineChars="200"/>
        <w:rPr>
          <w:rFonts w:ascii="仿宋" w:hAnsi="仿宋" w:eastAsia="仿宋" w:cs="仿宋_GB2312"/>
          <w:sz w:val="32"/>
          <w:szCs w:val="32"/>
        </w:rPr>
      </w:pPr>
      <w:r>
        <w:rPr>
          <w:rFonts w:hint="eastAsia" w:ascii="仿宋" w:hAnsi="仿宋" w:eastAsia="仿宋" w:cs="仿宋"/>
          <w:b/>
          <w:bCs/>
          <w:sz w:val="32"/>
          <w:szCs w:val="32"/>
        </w:rPr>
        <w:t>二是加强党员教育管理，提升党员队伍素质。</w:t>
      </w:r>
      <w:r>
        <w:rPr>
          <w:rFonts w:hint="eastAsia" w:ascii="仿宋" w:hAnsi="仿宋" w:eastAsia="仿宋" w:cs="仿宋_GB2312"/>
          <w:sz w:val="32"/>
          <w:szCs w:val="32"/>
        </w:rPr>
        <w:t>一方面加强党员教育管理工作。另一方面创新管理模式，多措并举加强党员管理。</w:t>
      </w:r>
    </w:p>
    <w:p w14:paraId="428E09CA">
      <w:pPr>
        <w:spacing w:line="360" w:lineRule="auto"/>
        <w:ind w:firstLine="643" w:firstLineChars="200"/>
        <w:rPr>
          <w:rFonts w:ascii="仿宋" w:hAnsi="仿宋" w:eastAsia="仿宋" w:cs="仿宋_GB2312"/>
          <w:sz w:val="32"/>
          <w:szCs w:val="32"/>
        </w:rPr>
      </w:pPr>
      <w:r>
        <w:rPr>
          <w:rFonts w:hint="eastAsia" w:ascii="仿宋" w:hAnsi="仿宋" w:eastAsia="仿宋" w:cs="仿宋"/>
          <w:b/>
          <w:bCs/>
          <w:sz w:val="32"/>
          <w:szCs w:val="32"/>
        </w:rPr>
        <w:t>三是大力开展廉政教育，推进清廉机关建设。</w:t>
      </w:r>
      <w:r>
        <w:rPr>
          <w:rFonts w:hint="eastAsia" w:ascii="仿宋" w:hAnsi="仿宋" w:eastAsia="仿宋" w:cs="仿宋_GB2312"/>
          <w:sz w:val="32"/>
          <w:szCs w:val="32"/>
        </w:rPr>
        <w:t>结合实际制定清廉机关建设方案、成立领导小组，制订任务清单、落实责任分解，实现清单管理、项目化推进、挂图作战。水利系统多次对清廉机关建设工作进行部署安排，梳理清廉机关的难点和薄弱环节,确保任务清楚、责任明晰、措施落地。持续加强廉政风险排查防控和源头治理，排查岗位廉政风险点30个,健全完善重大事项请示报告、干部管理和财经纪律等项规定,扎紧制度“篱笆”。营造廉政氛围。建立“一条廉政长廊、一个清风书角、一间廉语话室”廉政文化阵地,发挥文化育廉“润物细无声”的熏陶作用，让办公场所“处处见廉”，使干部职工时时接受浸润式清廉教育。把廉政警示教育作为廉政教育的党员干部的“必修课”，以案促改,注重发挥“不敢腐”的震慑作用。健全谈心谈话制度，推行风险提示和教育提醒常态化，促使党员干部牢固树立勤政廉政意识,时刻紧绷廉洁自律之弦。文化兴廉,坚持干部清正导向。多样化开展实践活动。开展无偿献血、文明劝导、疫情防控、森林防火等志愿服务活动；推进机关党员干部家庭家教家风建设。积极组织“廉洁家风”演讲比赛，召开“廉洁从政从业，廉洁修身齐家，喜迎党的二十大”廉政座谈会，邀请职工家属参会并发言，畅谈廉政之风。锻造过硬队伍。健全完善选人用人、实践锻炼、考核评议、教育监督“四大机制”, 落实实绩选用，树立鲜明用人导向。促进作风转变、效能提升,培养造就一支“忠诚、干净、担当”的干部队伍。</w:t>
      </w:r>
    </w:p>
    <w:p w14:paraId="5E1A62A6">
      <w:pPr>
        <w:widowControl w:val="0"/>
        <w:kinsoku/>
        <w:autoSpaceDE/>
        <w:autoSpaceDN/>
        <w:spacing w:line="360" w:lineRule="auto"/>
        <w:ind w:firstLine="643" w:firstLineChars="200"/>
        <w:textAlignment w:val="auto"/>
        <w:rPr>
          <w:rFonts w:ascii="仿宋" w:hAnsi="仿宋" w:eastAsia="仿宋" w:cs="宋体"/>
          <w:b/>
          <w:bCs/>
          <w:color w:val="000000" w:themeColor="text1"/>
          <w:sz w:val="32"/>
          <w:szCs w:val="32"/>
          <w:shd w:val="clear" w:color="auto" w:fill="FFFFFF"/>
          <w14:textFill>
            <w14:solidFill>
              <w14:schemeClr w14:val="tx1"/>
            </w14:solidFill>
          </w14:textFill>
        </w:rPr>
      </w:pPr>
      <w:r>
        <w:rPr>
          <w:rFonts w:ascii="Cambria Math" w:hAnsi="Cambria Math" w:eastAsia="仿宋" w:cs="Cambria Math"/>
          <w:b/>
          <w:bCs/>
          <w:color w:val="000000" w:themeColor="text1"/>
          <w:sz w:val="32"/>
          <w:szCs w:val="32"/>
          <w:shd w:val="clear" w:color="auto" w:fill="FFFFFF"/>
          <w14:textFill>
            <w14:solidFill>
              <w14:schemeClr w14:val="tx1"/>
            </w14:solidFill>
          </w14:textFill>
        </w:rPr>
        <w:t>⑪</w:t>
      </w:r>
      <w:r>
        <w:rPr>
          <w:rFonts w:hint="eastAsia" w:ascii="仿宋" w:hAnsi="仿宋" w:eastAsia="仿宋" w:cs="宋体"/>
          <w:b/>
          <w:bCs/>
          <w:color w:val="000000" w:themeColor="text1"/>
          <w:sz w:val="32"/>
          <w:szCs w:val="32"/>
          <w:shd w:val="clear" w:color="auto" w:fill="FFFFFF"/>
          <w14:textFill>
            <w14:solidFill>
              <w14:schemeClr w14:val="tx1"/>
            </w14:solidFill>
          </w14:textFill>
        </w:rPr>
        <w:t>全力抓好全面从严治党</w:t>
      </w:r>
    </w:p>
    <w:p w14:paraId="35475318">
      <w:pPr>
        <w:spacing w:line="360" w:lineRule="auto"/>
        <w:ind w:firstLine="640" w:firstLineChars="200"/>
        <w:rPr>
          <w:rFonts w:ascii="仿宋" w:hAnsi="仿宋" w:eastAsia="仿宋" w:cs="宋体"/>
          <w:b/>
          <w:bCs/>
          <w:color w:val="000000" w:themeColor="text1"/>
          <w:sz w:val="32"/>
          <w:szCs w:val="32"/>
          <w:shd w:val="clear" w:color="auto" w:fill="FFFFFF"/>
          <w14:textFill>
            <w14:solidFill>
              <w14:schemeClr w14:val="tx1"/>
            </w14:solidFill>
          </w14:textFill>
        </w:rPr>
      </w:pPr>
      <w:r>
        <w:rPr>
          <w:rFonts w:ascii="仿宋" w:hAnsi="仿宋" w:eastAsia="仿宋" w:cs="Times New Roman"/>
          <w:sz w:val="32"/>
          <w:szCs w:val="32"/>
        </w:rPr>
        <w:t>深入学习贯彻</w:t>
      </w:r>
      <w:r>
        <w:rPr>
          <w:rFonts w:hint="eastAsia" w:ascii="仿宋" w:hAnsi="仿宋" w:eastAsia="仿宋" w:cs="Times New Roman"/>
          <w:sz w:val="32"/>
          <w:szCs w:val="32"/>
        </w:rPr>
        <w:t>二十大和</w:t>
      </w:r>
      <w:r>
        <w:rPr>
          <w:rFonts w:ascii="仿宋" w:hAnsi="仿宋" w:eastAsia="仿宋" w:cs="Times New Roman"/>
          <w:sz w:val="32"/>
          <w:szCs w:val="32"/>
        </w:rPr>
        <w:t>习</w:t>
      </w:r>
      <w:r>
        <w:rPr>
          <w:rFonts w:hint="eastAsia" w:ascii="仿宋" w:hAnsi="仿宋" w:eastAsia="仿宋" w:cs="Times New Roman"/>
          <w:sz w:val="32"/>
          <w:szCs w:val="32"/>
        </w:rPr>
        <w:t>近平</w:t>
      </w:r>
      <w:r>
        <w:rPr>
          <w:rFonts w:ascii="仿宋" w:hAnsi="仿宋" w:eastAsia="仿宋" w:cs="Times New Roman"/>
          <w:sz w:val="32"/>
          <w:szCs w:val="32"/>
        </w:rPr>
        <w:t>总书记系列重要讲话精神，坚持不懈地贯彻执行中央八项规定，坚决纠正“四风”，严格按照党的各项规定办事。</w:t>
      </w:r>
      <w:r>
        <w:rPr>
          <w:rFonts w:hint="eastAsia" w:ascii="仿宋" w:hAnsi="仿宋" w:eastAsia="仿宋" w:cs="仿宋_GB2312"/>
          <w:sz w:val="32"/>
          <w:szCs w:val="32"/>
          <w:shd w:val="clear" w:color="auto" w:fill="FFFFFF"/>
        </w:rPr>
        <w:t>一是强化党建引领。巩固拓展党史学习教育成果，推动党史学习教育常态化、长效化；严格执行党内政治生活、民主集中制、重大事项请示报告等制度；二是规范制度“约束”。坚持全面从严治党聚焦重点领域、紧盯关键环节。三是严格纪律监督。深入开展官僚主义形式主义、水库移民资金“一卡通”问题、水利工程招投标“以案促改”、违规吃喝问题等专项整治行动，巩固整治成果，确保清廉水利建设取得实效。</w:t>
      </w:r>
    </w:p>
    <w:p w14:paraId="0C4BA2ED">
      <w:pPr>
        <w:widowControl w:val="0"/>
        <w:kinsoku/>
        <w:adjustRightInd/>
        <w:snapToGrid/>
        <w:spacing w:line="360" w:lineRule="auto"/>
        <w:ind w:firstLine="643" w:firstLineChars="200"/>
        <w:jc w:val="both"/>
        <w:rPr>
          <w:rFonts w:ascii="仿宋" w:hAnsi="仿宋" w:eastAsia="仿宋"/>
          <w:snapToGrid/>
          <w:color w:val="auto"/>
          <w:kern w:val="21"/>
          <w:sz w:val="32"/>
          <w:szCs w:val="32"/>
        </w:rPr>
      </w:pPr>
      <w:r>
        <w:rPr>
          <w:rFonts w:hint="eastAsia" w:ascii="仿宋" w:hAnsi="仿宋" w:eastAsia="仿宋" w:cs="仿宋"/>
          <w:b/>
          <w:bCs/>
          <w:snapToGrid/>
          <w:color w:val="auto"/>
          <w:kern w:val="21"/>
          <w:sz w:val="32"/>
          <w:szCs w:val="32"/>
        </w:rPr>
        <w:t>2.项目绩效目标完成情况(仅对50万元以上的项目资金进行分项说明)</w:t>
      </w:r>
    </w:p>
    <w:p w14:paraId="3CE78CBF">
      <w:pPr>
        <w:widowControl w:val="0"/>
        <w:kinsoku/>
        <w:adjustRightInd/>
        <w:snapToGrid/>
        <w:spacing w:line="360" w:lineRule="auto"/>
        <w:ind w:firstLine="640" w:firstLineChars="200"/>
        <w:jc w:val="both"/>
        <w:outlineLvl w:val="0"/>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w:t>
      </w:r>
      <w:r>
        <w:rPr>
          <w:rFonts w:ascii="仿宋" w:hAnsi="仿宋" w:eastAsia="仿宋" w:cs="仿宋"/>
          <w:snapToGrid/>
          <w:color w:val="auto"/>
          <w:kern w:val="21"/>
          <w:sz w:val="32"/>
          <w:szCs w:val="32"/>
        </w:rPr>
        <w:t>1</w:t>
      </w:r>
      <w:r>
        <w:rPr>
          <w:rFonts w:hint="eastAsia" w:ascii="仿宋" w:hAnsi="仿宋" w:eastAsia="仿宋" w:cs="仿宋"/>
          <w:snapToGrid/>
          <w:color w:val="auto"/>
          <w:kern w:val="21"/>
          <w:sz w:val="32"/>
          <w:szCs w:val="32"/>
        </w:rPr>
        <w:t>）水美湘村项目：该项目下达资金300万元，绩效目标为乌石铺河山竹村段治理1.2公里；该项目2023年1月20日动工，4月30日完工。按照《湖南省水利厅 湖南省财政厅关于开展2022年“水美湘村”建设的通知》、《湖南省水利厅关于开展“水美湘村”示范创建工作的通知》文件要求，委托湖南玖水生态科技有限公司编制了“水美湘村”建设实施方案，并通过市局审查批复。2022年12月，湖南江禹建设有限公司中标。2023年1月20日开工建设，主要建设内容为山竹村乌石铺河段及金田港支流约2.2KM河道清淤疏浚、新建水坝、岸坡修整、新建堤顶游步道、新建休闲广场等工程措施，打造“水美湘村”示范点。</w:t>
      </w:r>
    </w:p>
    <w:p w14:paraId="5F1CDA55">
      <w:pPr>
        <w:widowControl w:val="0"/>
        <w:kinsoku/>
        <w:adjustRightInd/>
        <w:snapToGrid/>
        <w:spacing w:line="360" w:lineRule="auto"/>
        <w:ind w:firstLine="640" w:firstLineChars="200"/>
        <w:jc w:val="both"/>
        <w:outlineLvl w:val="0"/>
        <w:rPr>
          <w:rFonts w:ascii="仿宋" w:hAnsi="仿宋" w:eastAsia="仿宋" w:cs="仿宋"/>
          <w:snapToGrid/>
          <w:color w:val="auto"/>
          <w:kern w:val="21"/>
          <w:sz w:val="32"/>
          <w:szCs w:val="32"/>
        </w:rPr>
      </w:pPr>
      <w:r>
        <w:rPr>
          <w:rFonts w:hint="eastAsia" w:ascii="仿宋" w:hAnsi="仿宋" w:eastAsia="仿宋" w:cs="仿宋"/>
          <w:snapToGrid/>
          <w:color w:val="auto"/>
          <w:kern w:val="21"/>
          <w:sz w:val="32"/>
          <w:szCs w:val="32"/>
        </w:rPr>
        <w:t>(</w:t>
      </w:r>
      <w:r>
        <w:rPr>
          <w:rFonts w:ascii="仿宋" w:hAnsi="仿宋" w:eastAsia="仿宋" w:cs="仿宋"/>
          <w:snapToGrid/>
          <w:color w:val="auto"/>
          <w:kern w:val="21"/>
          <w:sz w:val="32"/>
          <w:szCs w:val="32"/>
        </w:rPr>
        <w:t>2)</w:t>
      </w:r>
      <w:r>
        <w:rPr>
          <w:rFonts w:hint="eastAsia" w:ascii="仿宋" w:hAnsi="仿宋" w:eastAsia="仿宋" w:cs="仿宋"/>
          <w:snapToGrid/>
          <w:color w:val="auto"/>
          <w:kern w:val="21"/>
          <w:sz w:val="32"/>
          <w:szCs w:val="32"/>
        </w:rPr>
        <w:t>河长制工作年初预算500万元，实际到位450万元，主要用于河道保洁、河流“清四乱”、影响河道行洪突出问题排查整治、乡镇河长办能力建设、示范河流和县级河流建设、小微河流清淤疏浚、河流管护治理等河长制工作。围绕河长制工作总体要求，构建完善党政主导、水利牵头、部门协同、社会共治的河长制工作格局，获评市河长制工作优秀县、市推进“一县一示范”标准化管理示范河建设先进县。对全县62条河流（总长567.9千米）开展常化保洁；河流“清四乱”常态化规范化，“四乱”问题动态清零；完成24条河流疏浚清淤任务，疏浚清淤河流长59.5公里；成功举办全市河长制标准化现场会；建成涓水标准化管理示范河和全县12条 “一乡一亮点”示范河；按期完成省河长办下达我县8项重点工作任务；河流保护和治理取得明显实效。湘江衡山段国控断面和涓水衡山段省控断面水质均达二类标准，全县重要江河水功能区水质、县城集中式饮用水源水质达标率100%。</w:t>
      </w:r>
    </w:p>
    <w:p w14:paraId="32BE5E92">
      <w:pPr>
        <w:widowControl w:val="0"/>
        <w:kinsoku/>
        <w:adjustRightInd/>
        <w:snapToGrid/>
        <w:spacing w:line="360" w:lineRule="auto"/>
        <w:ind w:firstLine="643" w:firstLineChars="200"/>
        <w:jc w:val="both"/>
        <w:outlineLvl w:val="0"/>
        <w:rPr>
          <w:rFonts w:ascii="仿宋" w:hAnsi="仿宋" w:eastAsia="仿宋" w:cs="黑体"/>
          <w:b/>
          <w:bCs/>
          <w:snapToGrid/>
          <w:color w:val="auto"/>
          <w:kern w:val="21"/>
          <w:sz w:val="32"/>
          <w:szCs w:val="32"/>
        </w:rPr>
      </w:pPr>
      <w:r>
        <w:rPr>
          <w:rFonts w:hint="eastAsia" w:ascii="仿宋" w:hAnsi="仿宋" w:eastAsia="仿宋" w:cs="黑体"/>
          <w:b/>
          <w:bCs/>
          <w:snapToGrid/>
          <w:color w:val="auto"/>
          <w:kern w:val="21"/>
          <w:sz w:val="32"/>
          <w:szCs w:val="32"/>
        </w:rPr>
        <w:t>三、存在的问题及改进措施</w:t>
      </w:r>
    </w:p>
    <w:p w14:paraId="4C3EE4B1">
      <w:pPr>
        <w:widowControl w:val="0"/>
        <w:kinsoku/>
        <w:adjustRightInd/>
        <w:snapToGrid/>
        <w:spacing w:line="360" w:lineRule="auto"/>
        <w:ind w:firstLine="640" w:firstLineChars="200"/>
        <w:jc w:val="both"/>
        <w:outlineLvl w:val="0"/>
        <w:rPr>
          <w:rFonts w:ascii="仿宋" w:hAnsi="仿宋" w:eastAsia="仿宋" w:cs="黑体"/>
          <w:b/>
          <w:bCs/>
          <w:snapToGrid/>
          <w:color w:val="auto"/>
          <w:kern w:val="21"/>
          <w:sz w:val="32"/>
          <w:szCs w:val="32"/>
        </w:rPr>
      </w:pPr>
      <w:r>
        <w:rPr>
          <w:rFonts w:hint="eastAsia" w:ascii="仿宋" w:hAnsi="仿宋" w:eastAsia="仿宋" w:cs="CESI仿宋-GB13000"/>
          <w:sz w:val="32"/>
          <w:szCs w:val="32"/>
        </w:rPr>
        <w:t>主要问题：项目资金使用方面预算不够细致，出现实际支出数超出了预算申报数和出现项目资金结存数额多的情况。</w:t>
      </w:r>
    </w:p>
    <w:p w14:paraId="23D826D8">
      <w:pPr>
        <w:spacing w:line="360" w:lineRule="auto"/>
        <w:ind w:firstLine="640" w:firstLineChars="200"/>
        <w:rPr>
          <w:rFonts w:ascii="仿宋" w:hAnsi="仿宋" w:eastAsia="仿宋" w:cs="CESI仿宋-GB13000"/>
          <w:sz w:val="32"/>
          <w:szCs w:val="32"/>
        </w:rPr>
      </w:pPr>
      <w:r>
        <w:rPr>
          <w:rFonts w:hint="eastAsia" w:ascii="仿宋" w:hAnsi="仿宋" w:eastAsia="仿宋" w:cs="CESI仿宋-GB13000"/>
          <w:sz w:val="32"/>
          <w:szCs w:val="32"/>
        </w:rPr>
        <w:t>改进措施：加强做好各项目资金的预算工作，既要确保各项工作顺利的开展，更要做好厉行节约，力争把成本降低。</w:t>
      </w:r>
    </w:p>
    <w:p w14:paraId="3656E1AB">
      <w:pPr>
        <w:widowControl w:val="0"/>
        <w:kinsoku/>
        <w:adjustRightInd/>
        <w:snapToGrid/>
        <w:spacing w:line="360" w:lineRule="auto"/>
        <w:ind w:firstLine="643" w:firstLineChars="200"/>
        <w:jc w:val="both"/>
        <w:outlineLvl w:val="0"/>
        <w:rPr>
          <w:rFonts w:ascii="仿宋" w:hAnsi="仿宋" w:eastAsia="仿宋" w:cs="黑体"/>
          <w:b/>
          <w:bCs/>
          <w:snapToGrid/>
          <w:color w:val="auto"/>
          <w:kern w:val="21"/>
          <w:sz w:val="32"/>
          <w:szCs w:val="32"/>
        </w:rPr>
      </w:pPr>
      <w:r>
        <w:rPr>
          <w:rFonts w:hint="eastAsia" w:ascii="仿宋" w:hAnsi="仿宋" w:eastAsia="仿宋" w:cs="黑体"/>
          <w:b/>
          <w:bCs/>
          <w:snapToGrid/>
          <w:color w:val="auto"/>
          <w:kern w:val="21"/>
          <w:sz w:val="32"/>
          <w:szCs w:val="32"/>
        </w:rPr>
        <w:t>四、其他需要说明的情况</w:t>
      </w:r>
    </w:p>
    <w:p w14:paraId="59055AF1">
      <w:pPr>
        <w:widowControl w:val="0"/>
        <w:kinsoku/>
        <w:adjustRightInd/>
        <w:snapToGrid/>
        <w:spacing w:line="360" w:lineRule="auto"/>
        <w:ind w:firstLine="640" w:firstLineChars="200"/>
        <w:jc w:val="both"/>
        <w:rPr>
          <w:rFonts w:ascii="仿宋" w:hAnsi="仿宋" w:eastAsia="仿宋"/>
          <w:snapToGrid/>
          <w:color w:val="auto"/>
          <w:kern w:val="21"/>
          <w:sz w:val="32"/>
          <w:szCs w:val="32"/>
        </w:rPr>
      </w:pPr>
      <w:r>
        <w:rPr>
          <w:rFonts w:hint="eastAsia" w:ascii="仿宋" w:hAnsi="仿宋" w:eastAsia="仿宋"/>
          <w:snapToGrid/>
          <w:color w:val="auto"/>
          <w:kern w:val="21"/>
          <w:sz w:val="32"/>
          <w:szCs w:val="32"/>
        </w:rPr>
        <w:t>无。</w:t>
      </w:r>
    </w:p>
    <w:p w14:paraId="7CA1B12F">
      <w:pPr>
        <w:spacing w:before="303" w:line="219" w:lineRule="auto"/>
        <w:jc w:val="center"/>
        <w:rPr>
          <w:rFonts w:ascii="宋体" w:hAnsi="宋体" w:eastAsia="宋体" w:cs="宋体"/>
          <w:color w:val="auto"/>
          <w:sz w:val="34"/>
          <w:szCs w:val="34"/>
        </w:rPr>
      </w:pPr>
      <w:r>
        <w:rPr>
          <w:rFonts w:ascii="宋体" w:hAnsi="宋体" w:eastAsia="宋体" w:cs="宋体"/>
          <w:b/>
          <w:bCs/>
          <w:color w:val="auto"/>
          <w:spacing w:val="11"/>
          <w:sz w:val="34"/>
          <w:szCs w:val="34"/>
        </w:rPr>
        <w:t>2022年度</w:t>
      </w:r>
      <w:r>
        <w:rPr>
          <w:rFonts w:hint="eastAsia" w:ascii="宋体" w:hAnsi="宋体" w:eastAsia="宋体" w:cs="宋体"/>
          <w:b/>
          <w:bCs/>
          <w:color w:val="auto"/>
          <w:spacing w:val="11"/>
          <w:sz w:val="34"/>
          <w:szCs w:val="34"/>
        </w:rPr>
        <w:t>整体支出绩效目标</w:t>
      </w:r>
      <w:r>
        <w:rPr>
          <w:rFonts w:ascii="宋体" w:hAnsi="宋体" w:eastAsia="宋体" w:cs="宋体"/>
          <w:b/>
          <w:bCs/>
          <w:color w:val="auto"/>
          <w:spacing w:val="11"/>
          <w:sz w:val="34"/>
          <w:szCs w:val="34"/>
        </w:rPr>
        <w:t>自评表</w:t>
      </w:r>
    </w:p>
    <w:p w14:paraId="62176157">
      <w:pPr>
        <w:spacing w:line="72" w:lineRule="exact"/>
        <w:rPr>
          <w:color w:val="auto"/>
        </w:rPr>
      </w:pPr>
    </w:p>
    <w:tbl>
      <w:tblPr>
        <w:tblStyle w:val="8"/>
        <w:tblW w:w="98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6"/>
        <w:gridCol w:w="192"/>
        <w:gridCol w:w="462"/>
        <w:gridCol w:w="589"/>
        <w:gridCol w:w="629"/>
        <w:gridCol w:w="77"/>
        <w:gridCol w:w="1166"/>
        <w:gridCol w:w="410"/>
        <w:gridCol w:w="295"/>
        <w:gridCol w:w="590"/>
        <w:gridCol w:w="1410"/>
        <w:gridCol w:w="500"/>
        <w:gridCol w:w="182"/>
        <w:gridCol w:w="498"/>
        <w:gridCol w:w="90"/>
        <w:gridCol w:w="538"/>
        <w:gridCol w:w="551"/>
        <w:gridCol w:w="1374"/>
      </w:tblGrid>
      <w:tr w14:paraId="23305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jc w:val="center"/>
        </w:trPr>
        <w:tc>
          <w:tcPr>
            <w:tcW w:w="1569" w:type="dxa"/>
            <w:gridSpan w:val="4"/>
            <w:vAlign w:val="center"/>
          </w:tcPr>
          <w:p w14:paraId="35FE3DD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项目支出名称</w:t>
            </w:r>
          </w:p>
        </w:tc>
        <w:tc>
          <w:tcPr>
            <w:tcW w:w="8310" w:type="dxa"/>
            <w:gridSpan w:val="14"/>
            <w:vAlign w:val="center"/>
          </w:tcPr>
          <w:p w14:paraId="7596546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衡山县水利局2</w:t>
            </w:r>
            <w:r>
              <w:rPr>
                <w:rFonts w:ascii="宋体" w:hAnsi="宋体" w:eastAsia="宋体" w:cs="宋体"/>
                <w:color w:val="auto"/>
                <w:spacing w:val="3"/>
                <w:position w:val="6"/>
                <w:sz w:val="18"/>
                <w:szCs w:val="18"/>
              </w:rPr>
              <w:t>0</w:t>
            </w:r>
            <w:r>
              <w:rPr>
                <w:rFonts w:hint="eastAsia" w:ascii="宋体" w:hAnsi="宋体" w:eastAsia="宋体" w:cs="宋体"/>
                <w:color w:val="auto"/>
                <w:spacing w:val="3"/>
                <w:position w:val="6"/>
                <w:sz w:val="18"/>
                <w:szCs w:val="18"/>
              </w:rPr>
              <w:t>22年度整体支出</w:t>
            </w:r>
          </w:p>
        </w:tc>
      </w:tr>
      <w:tr w14:paraId="256DA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jc w:val="center"/>
        </w:trPr>
        <w:tc>
          <w:tcPr>
            <w:tcW w:w="1569" w:type="dxa"/>
            <w:gridSpan w:val="4"/>
            <w:vAlign w:val="center"/>
          </w:tcPr>
          <w:p w14:paraId="104DBD64">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主管部门</w:t>
            </w:r>
          </w:p>
        </w:tc>
        <w:tc>
          <w:tcPr>
            <w:tcW w:w="3167" w:type="dxa"/>
            <w:gridSpan w:val="6"/>
            <w:vAlign w:val="center"/>
          </w:tcPr>
          <w:p w14:paraId="1167524A">
            <w:pPr>
              <w:adjustRightInd/>
              <w:snapToGrid/>
              <w:spacing w:line="0" w:lineRule="atLeast"/>
              <w:jc w:val="center"/>
              <w:rPr>
                <w:rFonts w:ascii="宋体" w:hAnsi="宋体" w:eastAsia="宋体" w:cs="宋体"/>
                <w:color w:val="auto"/>
                <w:spacing w:val="3"/>
                <w:position w:val="6"/>
                <w:sz w:val="18"/>
                <w:szCs w:val="18"/>
              </w:rPr>
            </w:pPr>
          </w:p>
        </w:tc>
        <w:tc>
          <w:tcPr>
            <w:tcW w:w="2092" w:type="dxa"/>
            <w:gridSpan w:val="3"/>
            <w:vAlign w:val="center"/>
          </w:tcPr>
          <w:p w14:paraId="43CC93C2">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实施单位</w:t>
            </w:r>
          </w:p>
        </w:tc>
        <w:tc>
          <w:tcPr>
            <w:tcW w:w="3051" w:type="dxa"/>
            <w:gridSpan w:val="5"/>
            <w:vAlign w:val="center"/>
          </w:tcPr>
          <w:p w14:paraId="1A4D6022">
            <w:pPr>
              <w:adjustRightInd/>
              <w:snapToGrid/>
              <w:spacing w:line="0" w:lineRule="atLeast"/>
              <w:jc w:val="both"/>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衡山县水利局</w:t>
            </w:r>
          </w:p>
        </w:tc>
      </w:tr>
      <w:tr w14:paraId="37184F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jc w:val="center"/>
        </w:trPr>
        <w:tc>
          <w:tcPr>
            <w:tcW w:w="518" w:type="dxa"/>
            <w:gridSpan w:val="2"/>
            <w:vMerge w:val="restart"/>
            <w:tcBorders>
              <w:bottom w:val="nil"/>
            </w:tcBorders>
            <w:vAlign w:val="center"/>
          </w:tcPr>
          <w:p w14:paraId="7A857FC6">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项目资金</w:t>
            </w:r>
          </w:p>
          <w:p w14:paraId="6E83B6DA">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(万元)</w:t>
            </w:r>
          </w:p>
        </w:tc>
        <w:tc>
          <w:tcPr>
            <w:tcW w:w="1680" w:type="dxa"/>
            <w:gridSpan w:val="3"/>
            <w:vAlign w:val="center"/>
          </w:tcPr>
          <w:p w14:paraId="4E0AC700">
            <w:pPr>
              <w:adjustRightInd/>
              <w:snapToGrid/>
              <w:spacing w:line="0" w:lineRule="atLeast"/>
              <w:jc w:val="center"/>
              <w:rPr>
                <w:rFonts w:ascii="宋体" w:hAnsi="宋体" w:eastAsia="宋体" w:cs="宋体"/>
                <w:color w:val="auto"/>
                <w:spacing w:val="3"/>
                <w:position w:val="6"/>
                <w:sz w:val="18"/>
                <w:szCs w:val="18"/>
              </w:rPr>
            </w:pPr>
          </w:p>
        </w:tc>
        <w:tc>
          <w:tcPr>
            <w:tcW w:w="1243" w:type="dxa"/>
            <w:gridSpan w:val="2"/>
            <w:vAlign w:val="center"/>
          </w:tcPr>
          <w:p w14:paraId="0E8123F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年初预算数</w:t>
            </w:r>
          </w:p>
        </w:tc>
        <w:tc>
          <w:tcPr>
            <w:tcW w:w="1295" w:type="dxa"/>
            <w:gridSpan w:val="3"/>
            <w:vAlign w:val="center"/>
          </w:tcPr>
          <w:p w14:paraId="0B4C9F5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全年预算数</w:t>
            </w:r>
          </w:p>
        </w:tc>
        <w:tc>
          <w:tcPr>
            <w:tcW w:w="1410" w:type="dxa"/>
            <w:vAlign w:val="center"/>
          </w:tcPr>
          <w:p w14:paraId="15893DF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全年执行数</w:t>
            </w:r>
          </w:p>
        </w:tc>
        <w:tc>
          <w:tcPr>
            <w:tcW w:w="1270" w:type="dxa"/>
            <w:gridSpan w:val="4"/>
            <w:vAlign w:val="center"/>
          </w:tcPr>
          <w:p w14:paraId="4D1C295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分值</w:t>
            </w:r>
          </w:p>
        </w:tc>
        <w:tc>
          <w:tcPr>
            <w:tcW w:w="1089" w:type="dxa"/>
            <w:gridSpan w:val="2"/>
            <w:vAlign w:val="center"/>
          </w:tcPr>
          <w:p w14:paraId="4C6BCACC">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执行率</w:t>
            </w:r>
          </w:p>
        </w:tc>
        <w:tc>
          <w:tcPr>
            <w:tcW w:w="1374" w:type="dxa"/>
            <w:vAlign w:val="center"/>
          </w:tcPr>
          <w:p w14:paraId="5E4FD12B">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得分</w:t>
            </w:r>
          </w:p>
        </w:tc>
      </w:tr>
      <w:tr w14:paraId="5EC45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jc w:val="center"/>
        </w:trPr>
        <w:tc>
          <w:tcPr>
            <w:tcW w:w="518" w:type="dxa"/>
            <w:gridSpan w:val="2"/>
            <w:vMerge w:val="continue"/>
            <w:tcBorders>
              <w:top w:val="nil"/>
              <w:bottom w:val="nil"/>
            </w:tcBorders>
            <w:vAlign w:val="center"/>
          </w:tcPr>
          <w:p w14:paraId="3AAA70F7">
            <w:pPr>
              <w:adjustRightInd/>
              <w:snapToGrid/>
              <w:spacing w:line="0" w:lineRule="atLeast"/>
              <w:jc w:val="center"/>
              <w:rPr>
                <w:rFonts w:ascii="宋体" w:hAnsi="宋体" w:eastAsia="宋体" w:cs="宋体"/>
                <w:color w:val="auto"/>
                <w:spacing w:val="3"/>
                <w:position w:val="6"/>
                <w:sz w:val="18"/>
                <w:szCs w:val="18"/>
              </w:rPr>
            </w:pPr>
          </w:p>
        </w:tc>
        <w:tc>
          <w:tcPr>
            <w:tcW w:w="1680" w:type="dxa"/>
            <w:gridSpan w:val="3"/>
            <w:vAlign w:val="center"/>
          </w:tcPr>
          <w:p w14:paraId="37BC921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年度资金总额</w:t>
            </w:r>
          </w:p>
        </w:tc>
        <w:tc>
          <w:tcPr>
            <w:tcW w:w="1243" w:type="dxa"/>
            <w:gridSpan w:val="2"/>
            <w:vAlign w:val="center"/>
          </w:tcPr>
          <w:p w14:paraId="583C63F3">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1017.28</w:t>
            </w:r>
          </w:p>
        </w:tc>
        <w:tc>
          <w:tcPr>
            <w:tcW w:w="1295" w:type="dxa"/>
            <w:gridSpan w:val="3"/>
            <w:vAlign w:val="center"/>
          </w:tcPr>
          <w:p w14:paraId="1FD34FF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4581.18</w:t>
            </w:r>
          </w:p>
        </w:tc>
        <w:tc>
          <w:tcPr>
            <w:tcW w:w="1410" w:type="dxa"/>
            <w:vAlign w:val="center"/>
          </w:tcPr>
          <w:p w14:paraId="08AEDB9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4581.18</w:t>
            </w:r>
          </w:p>
        </w:tc>
        <w:tc>
          <w:tcPr>
            <w:tcW w:w="1270" w:type="dxa"/>
            <w:gridSpan w:val="4"/>
            <w:vAlign w:val="center"/>
          </w:tcPr>
          <w:p w14:paraId="372C1B09">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1</w:t>
            </w:r>
            <w:r>
              <w:rPr>
                <w:rFonts w:ascii="宋体" w:hAnsi="宋体" w:eastAsia="宋体" w:cs="宋体"/>
                <w:color w:val="auto"/>
                <w:spacing w:val="3"/>
                <w:position w:val="6"/>
                <w:sz w:val="18"/>
                <w:szCs w:val="18"/>
              </w:rPr>
              <w:t>00</w:t>
            </w:r>
          </w:p>
        </w:tc>
        <w:tc>
          <w:tcPr>
            <w:tcW w:w="1089" w:type="dxa"/>
            <w:gridSpan w:val="2"/>
            <w:vAlign w:val="center"/>
          </w:tcPr>
          <w:p w14:paraId="3215EB8E">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218.28</w:t>
            </w:r>
            <w:r>
              <w:rPr>
                <w:rFonts w:hint="eastAsia" w:ascii="宋体" w:hAnsi="宋体" w:eastAsia="宋体" w:cs="宋体"/>
                <w:color w:val="auto"/>
                <w:spacing w:val="3"/>
                <w:position w:val="6"/>
                <w:sz w:val="18"/>
                <w:szCs w:val="18"/>
              </w:rPr>
              <w:t>%</w:t>
            </w:r>
          </w:p>
        </w:tc>
        <w:tc>
          <w:tcPr>
            <w:tcW w:w="1374" w:type="dxa"/>
            <w:vAlign w:val="center"/>
          </w:tcPr>
          <w:p w14:paraId="0DFA84C6">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96</w:t>
            </w:r>
          </w:p>
        </w:tc>
      </w:tr>
      <w:tr w14:paraId="6DA67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jc w:val="center"/>
        </w:trPr>
        <w:tc>
          <w:tcPr>
            <w:tcW w:w="518" w:type="dxa"/>
            <w:gridSpan w:val="2"/>
            <w:vMerge w:val="continue"/>
            <w:tcBorders>
              <w:top w:val="nil"/>
              <w:bottom w:val="nil"/>
            </w:tcBorders>
            <w:vAlign w:val="center"/>
          </w:tcPr>
          <w:p w14:paraId="2E9AD91E">
            <w:pPr>
              <w:adjustRightInd/>
              <w:snapToGrid/>
              <w:spacing w:line="0" w:lineRule="atLeast"/>
              <w:jc w:val="center"/>
              <w:rPr>
                <w:rFonts w:ascii="宋体" w:hAnsi="宋体" w:eastAsia="宋体" w:cs="宋体"/>
                <w:color w:val="auto"/>
                <w:spacing w:val="3"/>
                <w:position w:val="6"/>
                <w:sz w:val="18"/>
                <w:szCs w:val="18"/>
              </w:rPr>
            </w:pPr>
          </w:p>
        </w:tc>
        <w:tc>
          <w:tcPr>
            <w:tcW w:w="1680" w:type="dxa"/>
            <w:gridSpan w:val="3"/>
            <w:vAlign w:val="center"/>
          </w:tcPr>
          <w:p w14:paraId="0588117E">
            <w:pPr>
              <w:adjustRightInd/>
              <w:snapToGrid/>
              <w:spacing w:line="0" w:lineRule="atLeast"/>
              <w:jc w:val="center"/>
              <w:rPr>
                <w:rFonts w:ascii="宋体" w:hAnsi="宋体" w:eastAsia="宋体" w:cs="宋体"/>
                <w:color w:val="auto"/>
                <w:spacing w:val="3"/>
                <w:position w:val="6"/>
                <w:sz w:val="15"/>
                <w:szCs w:val="15"/>
              </w:rPr>
            </w:pPr>
            <w:r>
              <w:rPr>
                <w:rFonts w:hint="eastAsia" w:ascii="宋体" w:hAnsi="宋体" w:eastAsia="宋体" w:cs="宋体"/>
                <w:color w:val="auto"/>
                <w:spacing w:val="3"/>
                <w:position w:val="6"/>
                <w:sz w:val="15"/>
                <w:szCs w:val="15"/>
              </w:rPr>
              <w:t>其中：当年财政拨款</w:t>
            </w:r>
          </w:p>
        </w:tc>
        <w:tc>
          <w:tcPr>
            <w:tcW w:w="1243" w:type="dxa"/>
            <w:gridSpan w:val="2"/>
            <w:vAlign w:val="center"/>
          </w:tcPr>
          <w:p w14:paraId="5013CE16">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1017.28</w:t>
            </w:r>
          </w:p>
        </w:tc>
        <w:tc>
          <w:tcPr>
            <w:tcW w:w="1295" w:type="dxa"/>
            <w:gridSpan w:val="3"/>
            <w:vAlign w:val="center"/>
          </w:tcPr>
          <w:p w14:paraId="22D60E7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4581.18</w:t>
            </w:r>
          </w:p>
        </w:tc>
        <w:tc>
          <w:tcPr>
            <w:tcW w:w="1410" w:type="dxa"/>
            <w:vAlign w:val="center"/>
          </w:tcPr>
          <w:p w14:paraId="08F6ABDA">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4581.18</w:t>
            </w:r>
          </w:p>
        </w:tc>
        <w:tc>
          <w:tcPr>
            <w:tcW w:w="1270" w:type="dxa"/>
            <w:gridSpan w:val="4"/>
            <w:vAlign w:val="center"/>
          </w:tcPr>
          <w:p w14:paraId="7A2B86E2">
            <w:pPr>
              <w:adjustRightInd/>
              <w:snapToGrid/>
              <w:spacing w:line="0" w:lineRule="atLeast"/>
              <w:jc w:val="center"/>
              <w:rPr>
                <w:rFonts w:ascii="宋体" w:hAnsi="宋体" w:eastAsia="宋体" w:cs="宋体"/>
                <w:color w:val="auto"/>
                <w:spacing w:val="3"/>
                <w:position w:val="6"/>
                <w:sz w:val="18"/>
                <w:szCs w:val="18"/>
              </w:rPr>
            </w:pPr>
          </w:p>
        </w:tc>
        <w:tc>
          <w:tcPr>
            <w:tcW w:w="1089" w:type="dxa"/>
            <w:gridSpan w:val="2"/>
            <w:vAlign w:val="center"/>
          </w:tcPr>
          <w:p w14:paraId="72E2913F">
            <w:pPr>
              <w:adjustRightInd/>
              <w:snapToGrid/>
              <w:spacing w:line="0" w:lineRule="atLeast"/>
              <w:jc w:val="center"/>
              <w:rPr>
                <w:rFonts w:ascii="宋体" w:hAnsi="宋体" w:eastAsia="宋体" w:cs="宋体"/>
                <w:color w:val="auto"/>
                <w:spacing w:val="3"/>
                <w:position w:val="6"/>
                <w:sz w:val="18"/>
                <w:szCs w:val="18"/>
              </w:rPr>
            </w:pPr>
          </w:p>
        </w:tc>
        <w:tc>
          <w:tcPr>
            <w:tcW w:w="1374" w:type="dxa"/>
            <w:vAlign w:val="center"/>
          </w:tcPr>
          <w:p w14:paraId="78EB158B">
            <w:pPr>
              <w:adjustRightInd/>
              <w:snapToGrid/>
              <w:spacing w:line="0" w:lineRule="atLeast"/>
              <w:jc w:val="center"/>
              <w:rPr>
                <w:rFonts w:ascii="宋体" w:hAnsi="宋体" w:eastAsia="宋体" w:cs="宋体"/>
                <w:color w:val="auto"/>
                <w:spacing w:val="3"/>
                <w:position w:val="6"/>
                <w:sz w:val="18"/>
                <w:szCs w:val="18"/>
              </w:rPr>
            </w:pPr>
          </w:p>
        </w:tc>
      </w:tr>
      <w:tr w14:paraId="78971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jc w:val="center"/>
        </w:trPr>
        <w:tc>
          <w:tcPr>
            <w:tcW w:w="518" w:type="dxa"/>
            <w:gridSpan w:val="2"/>
            <w:vMerge w:val="continue"/>
            <w:tcBorders>
              <w:top w:val="nil"/>
              <w:bottom w:val="nil"/>
            </w:tcBorders>
            <w:vAlign w:val="center"/>
          </w:tcPr>
          <w:p w14:paraId="2676E058">
            <w:pPr>
              <w:adjustRightInd/>
              <w:snapToGrid/>
              <w:spacing w:line="0" w:lineRule="atLeast"/>
              <w:jc w:val="center"/>
              <w:rPr>
                <w:rFonts w:ascii="宋体" w:hAnsi="宋体" w:eastAsia="宋体" w:cs="宋体"/>
                <w:color w:val="auto"/>
                <w:spacing w:val="3"/>
                <w:position w:val="6"/>
                <w:sz w:val="18"/>
                <w:szCs w:val="18"/>
              </w:rPr>
            </w:pPr>
          </w:p>
        </w:tc>
        <w:tc>
          <w:tcPr>
            <w:tcW w:w="1680" w:type="dxa"/>
            <w:gridSpan w:val="3"/>
            <w:vAlign w:val="center"/>
          </w:tcPr>
          <w:p w14:paraId="39895CC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上年结转资金</w:t>
            </w:r>
          </w:p>
        </w:tc>
        <w:tc>
          <w:tcPr>
            <w:tcW w:w="1243" w:type="dxa"/>
            <w:gridSpan w:val="2"/>
            <w:vAlign w:val="center"/>
          </w:tcPr>
          <w:p w14:paraId="65B8D25F">
            <w:pPr>
              <w:adjustRightInd/>
              <w:snapToGrid/>
              <w:spacing w:line="0" w:lineRule="atLeast"/>
              <w:jc w:val="center"/>
              <w:rPr>
                <w:rFonts w:ascii="宋体" w:hAnsi="宋体" w:eastAsia="宋体" w:cs="宋体"/>
                <w:color w:val="auto"/>
                <w:spacing w:val="3"/>
                <w:position w:val="6"/>
                <w:sz w:val="18"/>
                <w:szCs w:val="18"/>
              </w:rPr>
            </w:pPr>
          </w:p>
        </w:tc>
        <w:tc>
          <w:tcPr>
            <w:tcW w:w="1295" w:type="dxa"/>
            <w:gridSpan w:val="3"/>
            <w:vAlign w:val="center"/>
          </w:tcPr>
          <w:p w14:paraId="7E6B7A6C">
            <w:pPr>
              <w:adjustRightInd/>
              <w:snapToGrid/>
              <w:spacing w:line="0" w:lineRule="atLeast"/>
              <w:jc w:val="center"/>
              <w:rPr>
                <w:rFonts w:ascii="宋体" w:hAnsi="宋体" w:eastAsia="宋体" w:cs="宋体"/>
                <w:color w:val="auto"/>
                <w:spacing w:val="3"/>
                <w:position w:val="6"/>
                <w:sz w:val="18"/>
                <w:szCs w:val="18"/>
              </w:rPr>
            </w:pPr>
          </w:p>
        </w:tc>
        <w:tc>
          <w:tcPr>
            <w:tcW w:w="1410" w:type="dxa"/>
            <w:vAlign w:val="center"/>
          </w:tcPr>
          <w:p w14:paraId="7C44815C">
            <w:pPr>
              <w:adjustRightInd/>
              <w:snapToGrid/>
              <w:spacing w:line="0" w:lineRule="atLeast"/>
              <w:jc w:val="center"/>
              <w:rPr>
                <w:rFonts w:ascii="宋体" w:hAnsi="宋体" w:eastAsia="宋体" w:cs="宋体"/>
                <w:color w:val="auto"/>
                <w:spacing w:val="3"/>
                <w:position w:val="6"/>
                <w:sz w:val="18"/>
                <w:szCs w:val="18"/>
              </w:rPr>
            </w:pPr>
          </w:p>
        </w:tc>
        <w:tc>
          <w:tcPr>
            <w:tcW w:w="1270" w:type="dxa"/>
            <w:gridSpan w:val="4"/>
            <w:vAlign w:val="center"/>
          </w:tcPr>
          <w:p w14:paraId="6B2397A3">
            <w:pPr>
              <w:adjustRightInd/>
              <w:snapToGrid/>
              <w:spacing w:line="0" w:lineRule="atLeast"/>
              <w:jc w:val="center"/>
              <w:rPr>
                <w:rFonts w:ascii="宋体" w:hAnsi="宋体" w:eastAsia="宋体" w:cs="宋体"/>
                <w:color w:val="auto"/>
                <w:spacing w:val="3"/>
                <w:position w:val="6"/>
                <w:sz w:val="18"/>
                <w:szCs w:val="18"/>
              </w:rPr>
            </w:pPr>
          </w:p>
        </w:tc>
        <w:tc>
          <w:tcPr>
            <w:tcW w:w="1089" w:type="dxa"/>
            <w:gridSpan w:val="2"/>
            <w:vAlign w:val="center"/>
          </w:tcPr>
          <w:p w14:paraId="4F7D33BD">
            <w:pPr>
              <w:adjustRightInd/>
              <w:snapToGrid/>
              <w:spacing w:line="0" w:lineRule="atLeast"/>
              <w:jc w:val="center"/>
              <w:rPr>
                <w:rFonts w:ascii="宋体" w:hAnsi="宋体" w:eastAsia="宋体" w:cs="宋体"/>
                <w:color w:val="auto"/>
                <w:spacing w:val="3"/>
                <w:position w:val="6"/>
                <w:sz w:val="18"/>
                <w:szCs w:val="18"/>
              </w:rPr>
            </w:pPr>
          </w:p>
        </w:tc>
        <w:tc>
          <w:tcPr>
            <w:tcW w:w="1374" w:type="dxa"/>
            <w:vAlign w:val="center"/>
          </w:tcPr>
          <w:p w14:paraId="1136A651">
            <w:pPr>
              <w:adjustRightInd/>
              <w:snapToGrid/>
              <w:spacing w:line="0" w:lineRule="atLeast"/>
              <w:jc w:val="center"/>
              <w:rPr>
                <w:rFonts w:ascii="宋体" w:hAnsi="宋体" w:eastAsia="宋体" w:cs="宋体"/>
                <w:color w:val="auto"/>
                <w:spacing w:val="3"/>
                <w:position w:val="6"/>
                <w:sz w:val="18"/>
                <w:szCs w:val="18"/>
              </w:rPr>
            </w:pPr>
          </w:p>
        </w:tc>
      </w:tr>
      <w:tr w14:paraId="327E5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jc w:val="center"/>
        </w:trPr>
        <w:tc>
          <w:tcPr>
            <w:tcW w:w="518" w:type="dxa"/>
            <w:gridSpan w:val="2"/>
            <w:vMerge w:val="continue"/>
            <w:tcBorders>
              <w:top w:val="nil"/>
            </w:tcBorders>
            <w:vAlign w:val="center"/>
          </w:tcPr>
          <w:p w14:paraId="58642F9E">
            <w:pPr>
              <w:adjustRightInd/>
              <w:snapToGrid/>
              <w:spacing w:line="0" w:lineRule="atLeast"/>
              <w:jc w:val="center"/>
              <w:rPr>
                <w:rFonts w:ascii="宋体" w:hAnsi="宋体" w:eastAsia="宋体" w:cs="宋体"/>
                <w:color w:val="auto"/>
                <w:spacing w:val="3"/>
                <w:position w:val="6"/>
                <w:sz w:val="18"/>
                <w:szCs w:val="18"/>
              </w:rPr>
            </w:pPr>
          </w:p>
        </w:tc>
        <w:tc>
          <w:tcPr>
            <w:tcW w:w="1680" w:type="dxa"/>
            <w:gridSpan w:val="3"/>
            <w:vAlign w:val="center"/>
          </w:tcPr>
          <w:p w14:paraId="1683997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其他资金</w:t>
            </w:r>
          </w:p>
        </w:tc>
        <w:tc>
          <w:tcPr>
            <w:tcW w:w="1243" w:type="dxa"/>
            <w:gridSpan w:val="2"/>
            <w:vAlign w:val="center"/>
          </w:tcPr>
          <w:p w14:paraId="51A42920">
            <w:pPr>
              <w:adjustRightInd/>
              <w:snapToGrid/>
              <w:spacing w:line="0" w:lineRule="atLeast"/>
              <w:jc w:val="center"/>
              <w:rPr>
                <w:rFonts w:ascii="宋体" w:hAnsi="宋体" w:eastAsia="宋体" w:cs="宋体"/>
                <w:color w:val="auto"/>
                <w:spacing w:val="3"/>
                <w:position w:val="6"/>
                <w:sz w:val="18"/>
                <w:szCs w:val="18"/>
              </w:rPr>
            </w:pPr>
          </w:p>
        </w:tc>
        <w:tc>
          <w:tcPr>
            <w:tcW w:w="1295" w:type="dxa"/>
            <w:gridSpan w:val="3"/>
            <w:vAlign w:val="center"/>
          </w:tcPr>
          <w:p w14:paraId="21CA8CDD">
            <w:pPr>
              <w:adjustRightInd/>
              <w:snapToGrid/>
              <w:spacing w:line="0" w:lineRule="atLeast"/>
              <w:jc w:val="center"/>
              <w:rPr>
                <w:rFonts w:ascii="宋体" w:hAnsi="宋体" w:eastAsia="宋体" w:cs="宋体"/>
                <w:color w:val="auto"/>
                <w:spacing w:val="3"/>
                <w:position w:val="6"/>
                <w:sz w:val="18"/>
                <w:szCs w:val="18"/>
              </w:rPr>
            </w:pPr>
          </w:p>
        </w:tc>
        <w:tc>
          <w:tcPr>
            <w:tcW w:w="1410" w:type="dxa"/>
            <w:vAlign w:val="center"/>
          </w:tcPr>
          <w:p w14:paraId="728AC4C3">
            <w:pPr>
              <w:adjustRightInd/>
              <w:snapToGrid/>
              <w:spacing w:line="0" w:lineRule="atLeast"/>
              <w:jc w:val="center"/>
              <w:rPr>
                <w:rFonts w:ascii="宋体" w:hAnsi="宋体" w:eastAsia="宋体" w:cs="宋体"/>
                <w:color w:val="auto"/>
                <w:spacing w:val="3"/>
                <w:position w:val="6"/>
                <w:sz w:val="18"/>
                <w:szCs w:val="18"/>
              </w:rPr>
            </w:pPr>
          </w:p>
        </w:tc>
        <w:tc>
          <w:tcPr>
            <w:tcW w:w="1270" w:type="dxa"/>
            <w:gridSpan w:val="4"/>
            <w:vAlign w:val="center"/>
          </w:tcPr>
          <w:p w14:paraId="50AB5BCF">
            <w:pPr>
              <w:adjustRightInd/>
              <w:snapToGrid/>
              <w:spacing w:line="0" w:lineRule="atLeast"/>
              <w:jc w:val="center"/>
              <w:rPr>
                <w:rFonts w:ascii="宋体" w:hAnsi="宋体" w:eastAsia="宋体" w:cs="宋体"/>
                <w:color w:val="auto"/>
                <w:spacing w:val="3"/>
                <w:position w:val="6"/>
                <w:sz w:val="18"/>
                <w:szCs w:val="18"/>
              </w:rPr>
            </w:pPr>
          </w:p>
        </w:tc>
        <w:tc>
          <w:tcPr>
            <w:tcW w:w="1089" w:type="dxa"/>
            <w:gridSpan w:val="2"/>
            <w:vAlign w:val="center"/>
          </w:tcPr>
          <w:p w14:paraId="58EDEE7D">
            <w:pPr>
              <w:adjustRightInd/>
              <w:snapToGrid/>
              <w:spacing w:line="0" w:lineRule="atLeast"/>
              <w:jc w:val="center"/>
              <w:rPr>
                <w:rFonts w:ascii="宋体" w:hAnsi="宋体" w:eastAsia="宋体" w:cs="宋体"/>
                <w:color w:val="auto"/>
                <w:spacing w:val="3"/>
                <w:position w:val="6"/>
                <w:sz w:val="18"/>
                <w:szCs w:val="18"/>
              </w:rPr>
            </w:pPr>
          </w:p>
        </w:tc>
        <w:tc>
          <w:tcPr>
            <w:tcW w:w="1374" w:type="dxa"/>
            <w:vAlign w:val="center"/>
          </w:tcPr>
          <w:p w14:paraId="3AE30688">
            <w:pPr>
              <w:adjustRightInd/>
              <w:snapToGrid/>
              <w:spacing w:line="0" w:lineRule="atLeast"/>
              <w:jc w:val="center"/>
              <w:rPr>
                <w:rFonts w:ascii="宋体" w:hAnsi="宋体" w:eastAsia="宋体" w:cs="宋体"/>
                <w:color w:val="auto"/>
                <w:spacing w:val="3"/>
                <w:position w:val="6"/>
                <w:sz w:val="18"/>
                <w:szCs w:val="18"/>
              </w:rPr>
            </w:pPr>
          </w:p>
        </w:tc>
      </w:tr>
      <w:tr w14:paraId="3225E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518" w:type="dxa"/>
            <w:gridSpan w:val="2"/>
            <w:vMerge w:val="restart"/>
            <w:tcBorders>
              <w:bottom w:val="nil"/>
            </w:tcBorders>
            <w:vAlign w:val="center"/>
          </w:tcPr>
          <w:p w14:paraId="32D2930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年度总体目标</w:t>
            </w:r>
          </w:p>
        </w:tc>
        <w:tc>
          <w:tcPr>
            <w:tcW w:w="3628" w:type="dxa"/>
            <w:gridSpan w:val="7"/>
            <w:vAlign w:val="center"/>
          </w:tcPr>
          <w:p w14:paraId="535EB71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预期目标</w:t>
            </w:r>
          </w:p>
        </w:tc>
        <w:tc>
          <w:tcPr>
            <w:tcW w:w="5733" w:type="dxa"/>
            <w:gridSpan w:val="9"/>
            <w:vAlign w:val="center"/>
          </w:tcPr>
          <w:p w14:paraId="73A23DB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实际完成情况</w:t>
            </w:r>
          </w:p>
        </w:tc>
      </w:tr>
      <w:tr w14:paraId="726553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518" w:type="dxa"/>
            <w:gridSpan w:val="2"/>
            <w:vMerge w:val="continue"/>
            <w:tcBorders>
              <w:top w:val="nil"/>
            </w:tcBorders>
            <w:vAlign w:val="center"/>
          </w:tcPr>
          <w:p w14:paraId="7347D7D6">
            <w:pPr>
              <w:adjustRightInd/>
              <w:snapToGrid/>
              <w:spacing w:line="0" w:lineRule="atLeast"/>
              <w:jc w:val="center"/>
              <w:rPr>
                <w:rFonts w:ascii="宋体" w:hAnsi="宋体" w:eastAsia="宋体" w:cs="宋体"/>
                <w:color w:val="auto"/>
                <w:spacing w:val="3"/>
                <w:position w:val="6"/>
                <w:sz w:val="18"/>
                <w:szCs w:val="18"/>
              </w:rPr>
            </w:pPr>
          </w:p>
        </w:tc>
        <w:tc>
          <w:tcPr>
            <w:tcW w:w="4218" w:type="dxa"/>
            <w:gridSpan w:val="8"/>
            <w:vAlign w:val="center"/>
          </w:tcPr>
          <w:p w14:paraId="20FCB474">
            <w:pPr>
              <w:spacing w:line="0" w:lineRule="atLeast"/>
              <w:rPr>
                <w:rFonts w:ascii="宋体" w:hAnsi="宋体" w:cs="宋体"/>
                <w:spacing w:val="3"/>
                <w:position w:val="6"/>
                <w:sz w:val="18"/>
                <w:szCs w:val="18"/>
              </w:rPr>
            </w:pPr>
            <w:r>
              <w:rPr>
                <w:rFonts w:hint="eastAsia" w:ascii="宋体" w:hAnsi="宋体" w:cs="宋体"/>
                <w:spacing w:val="3"/>
                <w:position w:val="6"/>
                <w:sz w:val="18"/>
                <w:szCs w:val="18"/>
              </w:rPr>
              <w:t>预期按全面发扬“忠诚，干净，担当，科学，务实，创新”新时代水利精神，进一步统一思想，集中精力，鼓足干劲，扎实抓好水利系统每一项工作，推动水利系统建设工作再上新台阶。</w:t>
            </w:r>
          </w:p>
        </w:tc>
        <w:tc>
          <w:tcPr>
            <w:tcW w:w="5143" w:type="dxa"/>
            <w:gridSpan w:val="8"/>
            <w:vAlign w:val="center"/>
          </w:tcPr>
          <w:p w14:paraId="32FB6BDA">
            <w:pPr>
              <w:adjustRightInd/>
              <w:snapToGrid/>
              <w:spacing w:line="0" w:lineRule="atLeast"/>
              <w:rPr>
                <w:rFonts w:ascii="宋体" w:hAnsi="宋体" w:eastAsia="宋体" w:cs="宋体"/>
                <w:color w:val="auto"/>
                <w:spacing w:val="3"/>
                <w:position w:val="6"/>
                <w:sz w:val="18"/>
                <w:szCs w:val="18"/>
              </w:rPr>
            </w:pPr>
            <w:r>
              <w:rPr>
                <w:rFonts w:hint="eastAsia" w:ascii="宋体" w:hAnsi="宋体" w:cs="宋体"/>
                <w:spacing w:val="3"/>
                <w:position w:val="6"/>
                <w:sz w:val="18"/>
                <w:szCs w:val="18"/>
              </w:rPr>
              <w:t>2</w:t>
            </w:r>
            <w:r>
              <w:rPr>
                <w:rFonts w:ascii="宋体" w:hAnsi="宋体" w:cs="宋体"/>
                <w:spacing w:val="3"/>
                <w:position w:val="6"/>
                <w:sz w:val="18"/>
                <w:szCs w:val="18"/>
              </w:rPr>
              <w:t>022</w:t>
            </w:r>
            <w:r>
              <w:rPr>
                <w:rFonts w:hint="eastAsia" w:ascii="宋体" w:hAnsi="宋体" w:cs="宋体"/>
                <w:spacing w:val="3"/>
                <w:position w:val="6"/>
                <w:sz w:val="18"/>
                <w:szCs w:val="18"/>
              </w:rPr>
              <w:t>年实现全面发扬“忠诚，干净，担当，科学，务实，创新”新时代水利精神，进一步统一思想，集中精力，鼓足干劲，扎实抓好水利系统每一项工作，推动水利系统建设工作再上新台阶。</w:t>
            </w:r>
          </w:p>
        </w:tc>
      </w:tr>
      <w:tr w14:paraId="34B098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26" w:type="dxa"/>
            <w:vMerge w:val="restart"/>
            <w:tcBorders>
              <w:bottom w:val="nil"/>
            </w:tcBorders>
            <w:textDirection w:val="tbRlV"/>
            <w:vAlign w:val="center"/>
          </w:tcPr>
          <w:p w14:paraId="34517AB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绩效指标</w:t>
            </w:r>
          </w:p>
        </w:tc>
        <w:tc>
          <w:tcPr>
            <w:tcW w:w="654" w:type="dxa"/>
            <w:gridSpan w:val="2"/>
            <w:vAlign w:val="center"/>
          </w:tcPr>
          <w:p w14:paraId="34DECE86">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一级指标</w:t>
            </w:r>
          </w:p>
        </w:tc>
        <w:tc>
          <w:tcPr>
            <w:tcW w:w="589" w:type="dxa"/>
            <w:vAlign w:val="center"/>
          </w:tcPr>
          <w:p w14:paraId="62A5BC0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二级</w:t>
            </w:r>
          </w:p>
          <w:p w14:paraId="0B2C229B">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706" w:type="dxa"/>
            <w:gridSpan w:val="2"/>
            <w:vAlign w:val="center"/>
          </w:tcPr>
          <w:p w14:paraId="37384CA8">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三级</w:t>
            </w:r>
          </w:p>
          <w:p w14:paraId="05E1934A">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1576" w:type="dxa"/>
            <w:gridSpan w:val="2"/>
            <w:vAlign w:val="center"/>
          </w:tcPr>
          <w:p w14:paraId="39DC3196">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w:t>
            </w:r>
          </w:p>
          <w:p w14:paraId="4F6707B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指标值</w:t>
            </w:r>
          </w:p>
        </w:tc>
        <w:tc>
          <w:tcPr>
            <w:tcW w:w="2795" w:type="dxa"/>
            <w:gridSpan w:val="4"/>
            <w:vAlign w:val="center"/>
          </w:tcPr>
          <w:p w14:paraId="3E9F77C8">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实际</w:t>
            </w:r>
          </w:p>
          <w:p w14:paraId="06C30302">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完成值</w:t>
            </w:r>
          </w:p>
        </w:tc>
        <w:tc>
          <w:tcPr>
            <w:tcW w:w="680" w:type="dxa"/>
            <w:gridSpan w:val="2"/>
            <w:vAlign w:val="center"/>
          </w:tcPr>
          <w:p w14:paraId="025724EB">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分值</w:t>
            </w:r>
          </w:p>
        </w:tc>
        <w:tc>
          <w:tcPr>
            <w:tcW w:w="628" w:type="dxa"/>
            <w:gridSpan w:val="2"/>
            <w:vAlign w:val="center"/>
          </w:tcPr>
          <w:p w14:paraId="642FFFE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得分</w:t>
            </w:r>
          </w:p>
        </w:tc>
        <w:tc>
          <w:tcPr>
            <w:tcW w:w="1925" w:type="dxa"/>
            <w:gridSpan w:val="2"/>
            <w:vAlign w:val="center"/>
          </w:tcPr>
          <w:p w14:paraId="2078DAB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偏差原因</w:t>
            </w:r>
          </w:p>
          <w:p w14:paraId="576ABBB9">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分析及改进措施</w:t>
            </w:r>
          </w:p>
        </w:tc>
      </w:tr>
      <w:tr w14:paraId="4138B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 w:hRule="atLeast"/>
          <w:jc w:val="center"/>
        </w:trPr>
        <w:tc>
          <w:tcPr>
            <w:tcW w:w="326" w:type="dxa"/>
            <w:vMerge w:val="continue"/>
            <w:tcBorders>
              <w:top w:val="nil"/>
              <w:bottom w:val="nil"/>
            </w:tcBorders>
            <w:textDirection w:val="tbRlV"/>
            <w:vAlign w:val="center"/>
          </w:tcPr>
          <w:p w14:paraId="75E97074">
            <w:pPr>
              <w:adjustRightInd/>
              <w:snapToGrid/>
              <w:spacing w:line="0" w:lineRule="atLeast"/>
              <w:jc w:val="center"/>
              <w:rPr>
                <w:rFonts w:ascii="宋体" w:hAnsi="宋体" w:eastAsia="宋体" w:cs="宋体"/>
                <w:color w:val="auto"/>
                <w:spacing w:val="3"/>
                <w:position w:val="6"/>
                <w:sz w:val="18"/>
                <w:szCs w:val="18"/>
              </w:rPr>
            </w:pPr>
          </w:p>
        </w:tc>
        <w:tc>
          <w:tcPr>
            <w:tcW w:w="654" w:type="dxa"/>
            <w:gridSpan w:val="2"/>
            <w:vMerge w:val="restart"/>
            <w:tcBorders>
              <w:bottom w:val="nil"/>
            </w:tcBorders>
            <w:vAlign w:val="center"/>
          </w:tcPr>
          <w:p w14:paraId="178C16D7">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产出</w:t>
            </w:r>
          </w:p>
          <w:p w14:paraId="745503F4">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589" w:type="dxa"/>
            <w:vMerge w:val="restart"/>
            <w:tcBorders>
              <w:bottom w:val="nil"/>
            </w:tcBorders>
            <w:vAlign w:val="center"/>
          </w:tcPr>
          <w:p w14:paraId="577420FF">
            <w:pPr>
              <w:adjustRightInd/>
              <w:snapToGrid/>
              <w:spacing w:line="0" w:lineRule="atLeast"/>
              <w:jc w:val="center"/>
              <w:rPr>
                <w:rFonts w:ascii="宋体" w:hAnsi="宋体" w:eastAsia="宋体" w:cs="宋体"/>
                <w:color w:val="auto"/>
                <w:spacing w:val="-2"/>
                <w:sz w:val="18"/>
                <w:szCs w:val="18"/>
              </w:rPr>
            </w:pPr>
            <w:r>
              <w:rPr>
                <w:rFonts w:hint="eastAsia" w:ascii="宋体" w:hAnsi="宋体" w:eastAsia="宋体" w:cs="宋体"/>
                <w:color w:val="auto"/>
                <w:spacing w:val="-2"/>
                <w:sz w:val="18"/>
                <w:szCs w:val="18"/>
              </w:rPr>
              <w:t>数量</w:t>
            </w:r>
          </w:p>
          <w:p w14:paraId="7C859D46">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2"/>
                <w:sz w:val="18"/>
                <w:szCs w:val="18"/>
              </w:rPr>
              <w:t>指标</w:t>
            </w:r>
          </w:p>
        </w:tc>
        <w:tc>
          <w:tcPr>
            <w:tcW w:w="706" w:type="dxa"/>
            <w:gridSpan w:val="2"/>
            <w:vAlign w:val="center"/>
          </w:tcPr>
          <w:p w14:paraId="2CEF8D87">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基本支出安排金额</w:t>
            </w:r>
          </w:p>
        </w:tc>
        <w:tc>
          <w:tcPr>
            <w:tcW w:w="1576" w:type="dxa"/>
            <w:gridSpan w:val="2"/>
            <w:vAlign w:val="center"/>
          </w:tcPr>
          <w:p w14:paraId="7D153AB2">
            <w:pPr>
              <w:adjustRightInd/>
              <w:snapToGrid/>
              <w:spacing w:line="0" w:lineRule="atLeast"/>
              <w:jc w:val="both"/>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936.56</w:t>
            </w:r>
            <w:r>
              <w:rPr>
                <w:rFonts w:hint="eastAsia" w:ascii="宋体" w:hAnsi="宋体" w:eastAsia="宋体" w:cs="宋体"/>
                <w:color w:val="auto"/>
                <w:spacing w:val="3"/>
                <w:position w:val="6"/>
                <w:sz w:val="18"/>
                <w:szCs w:val="18"/>
              </w:rPr>
              <w:t>万元</w:t>
            </w:r>
          </w:p>
        </w:tc>
        <w:tc>
          <w:tcPr>
            <w:tcW w:w="2795" w:type="dxa"/>
            <w:gridSpan w:val="4"/>
            <w:vAlign w:val="center"/>
          </w:tcPr>
          <w:p w14:paraId="3279C9E2">
            <w:pPr>
              <w:adjustRightInd/>
              <w:snapToGrid/>
              <w:spacing w:line="0" w:lineRule="atLeast"/>
              <w:jc w:val="both"/>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1</w:t>
            </w:r>
            <w:r>
              <w:rPr>
                <w:rFonts w:ascii="宋体" w:hAnsi="宋体" w:eastAsia="宋体" w:cs="宋体"/>
                <w:color w:val="auto"/>
                <w:spacing w:val="3"/>
                <w:position w:val="6"/>
                <w:sz w:val="18"/>
                <w:szCs w:val="18"/>
              </w:rPr>
              <w:t>180.67</w:t>
            </w:r>
            <w:r>
              <w:rPr>
                <w:rFonts w:hint="eastAsia" w:ascii="宋体" w:hAnsi="宋体" w:eastAsia="宋体" w:cs="宋体"/>
                <w:color w:val="auto"/>
                <w:spacing w:val="3"/>
                <w:position w:val="6"/>
                <w:sz w:val="18"/>
                <w:szCs w:val="18"/>
              </w:rPr>
              <w:t>万元</w:t>
            </w:r>
          </w:p>
        </w:tc>
        <w:tc>
          <w:tcPr>
            <w:tcW w:w="680" w:type="dxa"/>
            <w:gridSpan w:val="2"/>
            <w:vAlign w:val="center"/>
          </w:tcPr>
          <w:p w14:paraId="0542A977">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20</w:t>
            </w:r>
          </w:p>
        </w:tc>
        <w:tc>
          <w:tcPr>
            <w:tcW w:w="628" w:type="dxa"/>
            <w:gridSpan w:val="2"/>
            <w:vAlign w:val="center"/>
          </w:tcPr>
          <w:p w14:paraId="696BDCD8">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18</w:t>
            </w:r>
          </w:p>
        </w:tc>
        <w:tc>
          <w:tcPr>
            <w:tcW w:w="1925" w:type="dxa"/>
            <w:gridSpan w:val="2"/>
            <w:vAlign w:val="center"/>
          </w:tcPr>
          <w:p w14:paraId="6A044786">
            <w:pPr>
              <w:adjustRightInd/>
              <w:snapToGrid/>
              <w:spacing w:line="0" w:lineRule="atLeast"/>
              <w:jc w:val="center"/>
              <w:rPr>
                <w:rFonts w:ascii="宋体" w:hAnsi="宋体" w:eastAsia="宋体" w:cs="宋体"/>
                <w:color w:val="auto"/>
                <w:spacing w:val="3"/>
                <w:position w:val="6"/>
                <w:sz w:val="18"/>
                <w:szCs w:val="18"/>
              </w:rPr>
            </w:pPr>
          </w:p>
        </w:tc>
      </w:tr>
      <w:tr w14:paraId="29E23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26" w:type="dxa"/>
            <w:vMerge w:val="continue"/>
            <w:tcBorders>
              <w:top w:val="nil"/>
              <w:bottom w:val="nil"/>
            </w:tcBorders>
            <w:textDirection w:val="tbRlV"/>
            <w:vAlign w:val="center"/>
          </w:tcPr>
          <w:p w14:paraId="60505742">
            <w:pPr>
              <w:adjustRightInd/>
              <w:snapToGrid/>
              <w:spacing w:line="0" w:lineRule="atLeast"/>
              <w:jc w:val="center"/>
              <w:rPr>
                <w:rFonts w:ascii="宋体" w:hAnsi="宋体" w:eastAsia="宋体" w:cs="宋体"/>
                <w:color w:val="auto"/>
                <w:spacing w:val="3"/>
                <w:position w:val="6"/>
                <w:sz w:val="18"/>
                <w:szCs w:val="18"/>
              </w:rPr>
            </w:pPr>
          </w:p>
        </w:tc>
        <w:tc>
          <w:tcPr>
            <w:tcW w:w="654" w:type="dxa"/>
            <w:gridSpan w:val="2"/>
            <w:vMerge w:val="continue"/>
            <w:tcBorders>
              <w:top w:val="nil"/>
              <w:bottom w:val="nil"/>
            </w:tcBorders>
            <w:vAlign w:val="center"/>
          </w:tcPr>
          <w:p w14:paraId="05307B10">
            <w:pPr>
              <w:adjustRightInd/>
              <w:snapToGrid/>
              <w:spacing w:line="0" w:lineRule="atLeast"/>
              <w:jc w:val="center"/>
              <w:rPr>
                <w:rFonts w:ascii="宋体" w:hAnsi="宋体" w:eastAsia="宋体" w:cs="宋体"/>
                <w:color w:val="auto"/>
                <w:spacing w:val="3"/>
                <w:position w:val="6"/>
                <w:sz w:val="18"/>
                <w:szCs w:val="18"/>
              </w:rPr>
            </w:pPr>
          </w:p>
        </w:tc>
        <w:tc>
          <w:tcPr>
            <w:tcW w:w="589" w:type="dxa"/>
            <w:vMerge w:val="continue"/>
            <w:tcBorders>
              <w:top w:val="nil"/>
            </w:tcBorders>
            <w:vAlign w:val="center"/>
          </w:tcPr>
          <w:p w14:paraId="2FEDC07F">
            <w:pPr>
              <w:adjustRightInd/>
              <w:snapToGrid/>
              <w:spacing w:line="0" w:lineRule="atLeast"/>
              <w:jc w:val="center"/>
              <w:rPr>
                <w:rFonts w:ascii="宋体" w:hAnsi="宋体" w:eastAsia="宋体" w:cs="宋体"/>
                <w:color w:val="auto"/>
                <w:spacing w:val="3"/>
                <w:position w:val="6"/>
                <w:sz w:val="18"/>
                <w:szCs w:val="18"/>
              </w:rPr>
            </w:pPr>
          </w:p>
        </w:tc>
        <w:tc>
          <w:tcPr>
            <w:tcW w:w="706" w:type="dxa"/>
            <w:gridSpan w:val="2"/>
            <w:vAlign w:val="center"/>
          </w:tcPr>
          <w:p w14:paraId="4EFE9E0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项目支出安排金额</w:t>
            </w:r>
          </w:p>
        </w:tc>
        <w:tc>
          <w:tcPr>
            <w:tcW w:w="1576" w:type="dxa"/>
            <w:gridSpan w:val="2"/>
            <w:vAlign w:val="center"/>
          </w:tcPr>
          <w:p w14:paraId="19006C59">
            <w:pPr>
              <w:adjustRightInd/>
              <w:snapToGrid/>
              <w:spacing w:line="0" w:lineRule="atLeast"/>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8</w:t>
            </w:r>
            <w:r>
              <w:rPr>
                <w:rFonts w:ascii="宋体" w:hAnsi="宋体" w:eastAsia="宋体" w:cs="宋体"/>
                <w:color w:val="auto"/>
                <w:spacing w:val="3"/>
                <w:position w:val="6"/>
                <w:sz w:val="18"/>
                <w:szCs w:val="18"/>
              </w:rPr>
              <w:t>0.92</w:t>
            </w:r>
            <w:r>
              <w:rPr>
                <w:rFonts w:hint="eastAsia" w:ascii="宋体" w:hAnsi="宋体" w:eastAsia="宋体" w:cs="宋体"/>
                <w:color w:val="auto"/>
                <w:spacing w:val="3"/>
                <w:position w:val="6"/>
                <w:sz w:val="18"/>
                <w:szCs w:val="18"/>
              </w:rPr>
              <w:t>万元</w:t>
            </w:r>
          </w:p>
        </w:tc>
        <w:tc>
          <w:tcPr>
            <w:tcW w:w="2795" w:type="dxa"/>
            <w:gridSpan w:val="4"/>
            <w:vAlign w:val="center"/>
          </w:tcPr>
          <w:p w14:paraId="40495FF5">
            <w:pPr>
              <w:adjustRightInd/>
              <w:snapToGrid/>
              <w:spacing w:line="0" w:lineRule="atLeast"/>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3</w:t>
            </w:r>
            <w:r>
              <w:rPr>
                <w:rFonts w:ascii="宋体" w:hAnsi="宋体" w:eastAsia="宋体" w:cs="宋体"/>
                <w:color w:val="auto"/>
                <w:spacing w:val="3"/>
                <w:position w:val="6"/>
                <w:sz w:val="18"/>
                <w:szCs w:val="18"/>
              </w:rPr>
              <w:t>384.36</w:t>
            </w:r>
            <w:r>
              <w:rPr>
                <w:rFonts w:hint="eastAsia" w:ascii="宋体" w:hAnsi="宋体" w:eastAsia="宋体" w:cs="宋体"/>
                <w:color w:val="auto"/>
                <w:spacing w:val="3"/>
                <w:position w:val="6"/>
                <w:sz w:val="18"/>
                <w:szCs w:val="18"/>
              </w:rPr>
              <w:t>万元</w:t>
            </w:r>
          </w:p>
        </w:tc>
        <w:tc>
          <w:tcPr>
            <w:tcW w:w="680" w:type="dxa"/>
            <w:gridSpan w:val="2"/>
            <w:vAlign w:val="center"/>
          </w:tcPr>
          <w:p w14:paraId="59F31ABC">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2</w:t>
            </w:r>
            <w:r>
              <w:rPr>
                <w:rFonts w:ascii="宋体" w:hAnsi="宋体" w:eastAsia="宋体" w:cs="宋体"/>
                <w:color w:val="auto"/>
                <w:spacing w:val="3"/>
                <w:position w:val="6"/>
                <w:sz w:val="18"/>
                <w:szCs w:val="18"/>
              </w:rPr>
              <w:t>0</w:t>
            </w:r>
          </w:p>
        </w:tc>
        <w:tc>
          <w:tcPr>
            <w:tcW w:w="628" w:type="dxa"/>
            <w:gridSpan w:val="2"/>
            <w:vAlign w:val="center"/>
          </w:tcPr>
          <w:p w14:paraId="5E558B3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1</w:t>
            </w:r>
            <w:r>
              <w:rPr>
                <w:rFonts w:ascii="宋体" w:hAnsi="宋体" w:eastAsia="宋体" w:cs="宋体"/>
                <w:color w:val="auto"/>
                <w:spacing w:val="3"/>
                <w:position w:val="6"/>
                <w:sz w:val="18"/>
                <w:szCs w:val="18"/>
              </w:rPr>
              <w:t>8</w:t>
            </w:r>
          </w:p>
        </w:tc>
        <w:tc>
          <w:tcPr>
            <w:tcW w:w="1925" w:type="dxa"/>
            <w:gridSpan w:val="2"/>
            <w:vAlign w:val="center"/>
          </w:tcPr>
          <w:p w14:paraId="12CBA769">
            <w:pPr>
              <w:adjustRightInd/>
              <w:snapToGrid/>
              <w:spacing w:line="0" w:lineRule="atLeast"/>
              <w:jc w:val="center"/>
              <w:rPr>
                <w:rFonts w:ascii="宋体" w:hAnsi="宋体" w:eastAsia="宋体" w:cs="宋体"/>
                <w:color w:val="auto"/>
                <w:spacing w:val="3"/>
                <w:position w:val="6"/>
                <w:sz w:val="18"/>
                <w:szCs w:val="18"/>
              </w:rPr>
            </w:pPr>
          </w:p>
        </w:tc>
      </w:tr>
      <w:tr w14:paraId="4683A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26" w:type="dxa"/>
            <w:vMerge w:val="continue"/>
            <w:tcBorders>
              <w:top w:val="nil"/>
              <w:bottom w:val="nil"/>
            </w:tcBorders>
            <w:textDirection w:val="tbRlV"/>
            <w:vAlign w:val="center"/>
          </w:tcPr>
          <w:p w14:paraId="78BB7D79">
            <w:pPr>
              <w:adjustRightInd/>
              <w:snapToGrid/>
              <w:spacing w:line="0" w:lineRule="atLeast"/>
              <w:jc w:val="center"/>
              <w:rPr>
                <w:rFonts w:ascii="宋体" w:hAnsi="宋体" w:eastAsia="宋体" w:cs="宋体"/>
                <w:color w:val="auto"/>
                <w:spacing w:val="3"/>
                <w:position w:val="6"/>
                <w:sz w:val="18"/>
                <w:szCs w:val="18"/>
              </w:rPr>
            </w:pPr>
          </w:p>
        </w:tc>
        <w:tc>
          <w:tcPr>
            <w:tcW w:w="654" w:type="dxa"/>
            <w:gridSpan w:val="2"/>
            <w:vMerge w:val="continue"/>
            <w:tcBorders>
              <w:top w:val="nil"/>
              <w:bottom w:val="nil"/>
            </w:tcBorders>
            <w:vAlign w:val="center"/>
          </w:tcPr>
          <w:p w14:paraId="4BC97A3A">
            <w:pPr>
              <w:adjustRightInd/>
              <w:snapToGrid/>
              <w:spacing w:line="0" w:lineRule="atLeast"/>
              <w:jc w:val="center"/>
              <w:rPr>
                <w:rFonts w:ascii="宋体" w:hAnsi="宋体" w:eastAsia="宋体" w:cs="宋体"/>
                <w:color w:val="auto"/>
                <w:spacing w:val="3"/>
                <w:position w:val="6"/>
                <w:sz w:val="18"/>
                <w:szCs w:val="18"/>
              </w:rPr>
            </w:pPr>
          </w:p>
        </w:tc>
        <w:tc>
          <w:tcPr>
            <w:tcW w:w="589" w:type="dxa"/>
            <w:tcBorders>
              <w:bottom w:val="nil"/>
            </w:tcBorders>
            <w:vAlign w:val="center"/>
          </w:tcPr>
          <w:p w14:paraId="429A0246">
            <w:pPr>
              <w:adjustRightInd/>
              <w:snapToGrid/>
              <w:spacing w:line="0" w:lineRule="atLeast"/>
              <w:jc w:val="center"/>
              <w:rPr>
                <w:rFonts w:ascii="宋体" w:hAnsi="宋体" w:eastAsia="宋体" w:cs="宋体"/>
                <w:color w:val="auto"/>
                <w:spacing w:val="-2"/>
                <w:sz w:val="18"/>
                <w:szCs w:val="18"/>
              </w:rPr>
            </w:pPr>
            <w:r>
              <w:rPr>
                <w:rFonts w:hint="eastAsia" w:ascii="宋体" w:hAnsi="宋体" w:eastAsia="宋体" w:cs="宋体"/>
                <w:color w:val="auto"/>
                <w:spacing w:val="-2"/>
                <w:sz w:val="18"/>
                <w:szCs w:val="18"/>
              </w:rPr>
              <w:t>履职</w:t>
            </w:r>
          </w:p>
          <w:p w14:paraId="65D4665B">
            <w:pPr>
              <w:adjustRightInd/>
              <w:snapToGrid/>
              <w:spacing w:line="0" w:lineRule="atLeast"/>
              <w:jc w:val="center"/>
              <w:rPr>
                <w:rFonts w:ascii="宋体" w:hAnsi="宋体" w:eastAsia="宋体" w:cs="宋体"/>
                <w:color w:val="auto"/>
                <w:spacing w:val="-2"/>
                <w:sz w:val="18"/>
                <w:szCs w:val="18"/>
              </w:rPr>
            </w:pPr>
            <w:r>
              <w:rPr>
                <w:rFonts w:hint="eastAsia" w:ascii="宋体" w:hAnsi="宋体" w:eastAsia="宋体" w:cs="宋体"/>
                <w:color w:val="auto"/>
                <w:spacing w:val="-2"/>
                <w:sz w:val="18"/>
                <w:szCs w:val="18"/>
              </w:rPr>
              <w:t>目标</w:t>
            </w:r>
          </w:p>
          <w:p w14:paraId="0B62D2D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2"/>
                <w:sz w:val="18"/>
                <w:szCs w:val="18"/>
              </w:rPr>
              <w:t>实现</w:t>
            </w:r>
          </w:p>
        </w:tc>
        <w:tc>
          <w:tcPr>
            <w:tcW w:w="706" w:type="dxa"/>
            <w:gridSpan w:val="2"/>
            <w:vAlign w:val="center"/>
          </w:tcPr>
          <w:p w14:paraId="694079A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正常运行</w:t>
            </w:r>
          </w:p>
        </w:tc>
        <w:tc>
          <w:tcPr>
            <w:tcW w:w="1576" w:type="dxa"/>
            <w:gridSpan w:val="2"/>
            <w:vAlign w:val="center"/>
          </w:tcPr>
          <w:p w14:paraId="69879777">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应管尽管</w:t>
            </w:r>
          </w:p>
        </w:tc>
        <w:tc>
          <w:tcPr>
            <w:tcW w:w="2795" w:type="dxa"/>
            <w:gridSpan w:val="4"/>
            <w:vAlign w:val="center"/>
          </w:tcPr>
          <w:p w14:paraId="11CA98FC">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应管尽管</w:t>
            </w:r>
          </w:p>
        </w:tc>
        <w:tc>
          <w:tcPr>
            <w:tcW w:w="680" w:type="dxa"/>
            <w:gridSpan w:val="2"/>
            <w:vAlign w:val="center"/>
          </w:tcPr>
          <w:p w14:paraId="245BAC7A">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20</w:t>
            </w:r>
          </w:p>
        </w:tc>
        <w:tc>
          <w:tcPr>
            <w:tcW w:w="628" w:type="dxa"/>
            <w:gridSpan w:val="2"/>
            <w:vAlign w:val="center"/>
          </w:tcPr>
          <w:p w14:paraId="6BF48F3F">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20</w:t>
            </w:r>
          </w:p>
        </w:tc>
        <w:tc>
          <w:tcPr>
            <w:tcW w:w="1925" w:type="dxa"/>
            <w:gridSpan w:val="2"/>
            <w:vAlign w:val="center"/>
          </w:tcPr>
          <w:p w14:paraId="2028564E">
            <w:pPr>
              <w:adjustRightInd/>
              <w:snapToGrid/>
              <w:spacing w:line="0" w:lineRule="atLeast"/>
              <w:jc w:val="center"/>
              <w:rPr>
                <w:rFonts w:ascii="宋体" w:hAnsi="宋体" w:eastAsia="宋体" w:cs="宋体"/>
                <w:color w:val="auto"/>
                <w:spacing w:val="3"/>
                <w:position w:val="6"/>
                <w:sz w:val="18"/>
                <w:szCs w:val="18"/>
              </w:rPr>
            </w:pPr>
          </w:p>
        </w:tc>
      </w:tr>
      <w:tr w14:paraId="4F270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326" w:type="dxa"/>
            <w:vMerge w:val="continue"/>
            <w:tcBorders>
              <w:top w:val="nil"/>
              <w:bottom w:val="nil"/>
            </w:tcBorders>
            <w:textDirection w:val="tbRlV"/>
            <w:vAlign w:val="center"/>
          </w:tcPr>
          <w:p w14:paraId="7388CA79">
            <w:pPr>
              <w:adjustRightInd/>
              <w:snapToGrid/>
              <w:spacing w:line="0" w:lineRule="atLeast"/>
              <w:jc w:val="center"/>
              <w:rPr>
                <w:rFonts w:ascii="宋体" w:hAnsi="宋体" w:eastAsia="宋体" w:cs="宋体"/>
                <w:color w:val="auto"/>
                <w:sz w:val="18"/>
                <w:szCs w:val="18"/>
              </w:rPr>
            </w:pPr>
          </w:p>
        </w:tc>
        <w:tc>
          <w:tcPr>
            <w:tcW w:w="654" w:type="dxa"/>
            <w:gridSpan w:val="2"/>
            <w:vMerge w:val="restart"/>
            <w:tcBorders>
              <w:bottom w:val="nil"/>
            </w:tcBorders>
            <w:vAlign w:val="center"/>
          </w:tcPr>
          <w:p w14:paraId="61CC6A02">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效益</w:t>
            </w:r>
          </w:p>
          <w:p w14:paraId="7A0BB7D9">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指标</w:t>
            </w:r>
          </w:p>
        </w:tc>
        <w:tc>
          <w:tcPr>
            <w:tcW w:w="589" w:type="dxa"/>
            <w:tcBorders>
              <w:bottom w:val="nil"/>
            </w:tcBorders>
            <w:vAlign w:val="center"/>
          </w:tcPr>
          <w:p w14:paraId="28CB37EE">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履职</w:t>
            </w:r>
          </w:p>
          <w:p w14:paraId="3DBA5591">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效益</w:t>
            </w:r>
          </w:p>
        </w:tc>
        <w:tc>
          <w:tcPr>
            <w:tcW w:w="706" w:type="dxa"/>
            <w:gridSpan w:val="2"/>
            <w:vAlign w:val="center"/>
          </w:tcPr>
          <w:p w14:paraId="3071778A">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职工满意充</w:t>
            </w:r>
          </w:p>
        </w:tc>
        <w:tc>
          <w:tcPr>
            <w:tcW w:w="1576" w:type="dxa"/>
            <w:gridSpan w:val="2"/>
            <w:vAlign w:val="center"/>
          </w:tcPr>
          <w:p w14:paraId="0C03B723">
            <w:pPr>
              <w:adjustRightInd/>
              <w:snapToGrid/>
              <w:spacing w:line="0" w:lineRule="atLeast"/>
              <w:jc w:val="center"/>
              <w:rPr>
                <w:rFonts w:ascii="宋体" w:hAnsi="宋体" w:eastAsia="宋体" w:cs="宋体"/>
                <w:sz w:val="18"/>
                <w:szCs w:val="18"/>
              </w:rPr>
            </w:pPr>
            <w:r>
              <w:rPr>
                <w:rFonts w:hint="eastAsia" w:ascii="宋体" w:hAnsi="宋体" w:eastAsia="宋体" w:cs="宋体"/>
                <w:sz w:val="18"/>
                <w:szCs w:val="18"/>
              </w:rPr>
              <w:t>≥90%</w:t>
            </w:r>
          </w:p>
        </w:tc>
        <w:tc>
          <w:tcPr>
            <w:tcW w:w="2795" w:type="dxa"/>
            <w:gridSpan w:val="4"/>
            <w:vAlign w:val="center"/>
          </w:tcPr>
          <w:p w14:paraId="05957091">
            <w:pPr>
              <w:adjustRightInd/>
              <w:snapToGrid/>
              <w:spacing w:line="0" w:lineRule="atLeast"/>
              <w:jc w:val="center"/>
              <w:rPr>
                <w:rFonts w:ascii="宋体" w:hAnsi="宋体" w:eastAsia="宋体" w:cs="宋体"/>
                <w:sz w:val="18"/>
                <w:szCs w:val="18"/>
              </w:rPr>
            </w:pPr>
            <w:r>
              <w:rPr>
                <w:rFonts w:hint="eastAsia" w:ascii="宋体" w:hAnsi="宋体" w:eastAsia="宋体" w:cs="宋体"/>
                <w:sz w:val="18"/>
                <w:szCs w:val="18"/>
              </w:rPr>
              <w:t>≥90%</w:t>
            </w:r>
          </w:p>
        </w:tc>
        <w:tc>
          <w:tcPr>
            <w:tcW w:w="680" w:type="dxa"/>
            <w:gridSpan w:val="2"/>
            <w:vAlign w:val="center"/>
          </w:tcPr>
          <w:p w14:paraId="510C1CA7">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20</w:t>
            </w:r>
          </w:p>
        </w:tc>
        <w:tc>
          <w:tcPr>
            <w:tcW w:w="628" w:type="dxa"/>
            <w:gridSpan w:val="2"/>
            <w:vAlign w:val="center"/>
          </w:tcPr>
          <w:p w14:paraId="58B4126D">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20</w:t>
            </w:r>
          </w:p>
        </w:tc>
        <w:tc>
          <w:tcPr>
            <w:tcW w:w="1925" w:type="dxa"/>
            <w:gridSpan w:val="2"/>
            <w:vAlign w:val="center"/>
          </w:tcPr>
          <w:p w14:paraId="0F33BEAF">
            <w:pPr>
              <w:adjustRightInd/>
              <w:snapToGrid/>
              <w:spacing w:line="0" w:lineRule="atLeast"/>
              <w:jc w:val="center"/>
              <w:rPr>
                <w:rFonts w:ascii="宋体" w:hAnsi="宋体" w:eastAsia="宋体" w:cs="宋体"/>
                <w:color w:val="auto"/>
                <w:sz w:val="18"/>
                <w:szCs w:val="18"/>
              </w:rPr>
            </w:pPr>
          </w:p>
        </w:tc>
      </w:tr>
      <w:tr w14:paraId="6C3648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26" w:type="dxa"/>
            <w:vMerge w:val="continue"/>
            <w:tcBorders>
              <w:top w:val="nil"/>
              <w:bottom w:val="nil"/>
            </w:tcBorders>
            <w:textDirection w:val="tbRlV"/>
            <w:vAlign w:val="center"/>
          </w:tcPr>
          <w:p w14:paraId="59AFAC81">
            <w:pPr>
              <w:adjustRightInd/>
              <w:snapToGrid/>
              <w:spacing w:line="0" w:lineRule="atLeast"/>
              <w:jc w:val="center"/>
              <w:rPr>
                <w:rFonts w:ascii="宋体" w:hAnsi="宋体" w:eastAsia="宋体" w:cs="宋体"/>
                <w:color w:val="auto"/>
                <w:sz w:val="18"/>
                <w:szCs w:val="18"/>
              </w:rPr>
            </w:pPr>
          </w:p>
        </w:tc>
        <w:tc>
          <w:tcPr>
            <w:tcW w:w="654" w:type="dxa"/>
            <w:gridSpan w:val="2"/>
            <w:vMerge w:val="continue"/>
            <w:tcBorders>
              <w:top w:val="nil"/>
              <w:bottom w:val="nil"/>
            </w:tcBorders>
            <w:vAlign w:val="center"/>
          </w:tcPr>
          <w:p w14:paraId="4379BAD0">
            <w:pPr>
              <w:adjustRightInd/>
              <w:snapToGrid/>
              <w:spacing w:line="0" w:lineRule="atLeast"/>
              <w:jc w:val="center"/>
              <w:rPr>
                <w:rFonts w:ascii="宋体" w:hAnsi="宋体" w:eastAsia="宋体" w:cs="宋体"/>
                <w:color w:val="auto"/>
                <w:sz w:val="18"/>
                <w:szCs w:val="18"/>
              </w:rPr>
            </w:pPr>
          </w:p>
        </w:tc>
        <w:tc>
          <w:tcPr>
            <w:tcW w:w="589" w:type="dxa"/>
            <w:tcBorders>
              <w:bottom w:val="nil"/>
            </w:tcBorders>
            <w:vAlign w:val="center"/>
          </w:tcPr>
          <w:p w14:paraId="2897B8FE">
            <w:pPr>
              <w:adjustRightInd/>
              <w:snapToGrid/>
              <w:spacing w:line="0" w:lineRule="atLeast"/>
              <w:jc w:val="center"/>
              <w:rPr>
                <w:rFonts w:ascii="宋体" w:hAnsi="宋体" w:eastAsia="宋体" w:cs="宋体"/>
                <w:color w:val="auto"/>
                <w:spacing w:val="-3"/>
                <w:position w:val="8"/>
                <w:sz w:val="18"/>
                <w:szCs w:val="18"/>
              </w:rPr>
            </w:pPr>
            <w:r>
              <w:rPr>
                <w:rFonts w:hint="eastAsia" w:ascii="宋体" w:hAnsi="宋体" w:eastAsia="宋体" w:cs="宋体"/>
                <w:color w:val="auto"/>
                <w:spacing w:val="-3"/>
                <w:position w:val="8"/>
                <w:sz w:val="18"/>
                <w:szCs w:val="18"/>
              </w:rPr>
              <w:t>满意</w:t>
            </w:r>
          </w:p>
          <w:p w14:paraId="20D166B2">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pacing w:val="-3"/>
                <w:position w:val="8"/>
                <w:sz w:val="18"/>
                <w:szCs w:val="18"/>
              </w:rPr>
              <w:t>度</w:t>
            </w:r>
          </w:p>
        </w:tc>
        <w:tc>
          <w:tcPr>
            <w:tcW w:w="706" w:type="dxa"/>
            <w:gridSpan w:val="2"/>
            <w:vAlign w:val="center"/>
          </w:tcPr>
          <w:p w14:paraId="1C5D8CB7">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服务对象满意度</w:t>
            </w:r>
          </w:p>
        </w:tc>
        <w:tc>
          <w:tcPr>
            <w:tcW w:w="1576" w:type="dxa"/>
            <w:gridSpan w:val="2"/>
            <w:vAlign w:val="center"/>
          </w:tcPr>
          <w:p w14:paraId="4BEBF7FC">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 xml:space="preserve">≥90% </w:t>
            </w:r>
          </w:p>
        </w:tc>
        <w:tc>
          <w:tcPr>
            <w:tcW w:w="2795" w:type="dxa"/>
            <w:gridSpan w:val="4"/>
            <w:vAlign w:val="center"/>
          </w:tcPr>
          <w:p w14:paraId="36955E88">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≥90%</w:t>
            </w:r>
          </w:p>
        </w:tc>
        <w:tc>
          <w:tcPr>
            <w:tcW w:w="680" w:type="dxa"/>
            <w:gridSpan w:val="2"/>
            <w:vAlign w:val="center"/>
          </w:tcPr>
          <w:p w14:paraId="1B585509">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20</w:t>
            </w:r>
          </w:p>
        </w:tc>
        <w:tc>
          <w:tcPr>
            <w:tcW w:w="628" w:type="dxa"/>
            <w:gridSpan w:val="2"/>
            <w:vAlign w:val="center"/>
          </w:tcPr>
          <w:p w14:paraId="26C2F4A4">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20</w:t>
            </w:r>
          </w:p>
        </w:tc>
        <w:tc>
          <w:tcPr>
            <w:tcW w:w="1925" w:type="dxa"/>
            <w:gridSpan w:val="2"/>
            <w:vAlign w:val="center"/>
          </w:tcPr>
          <w:p w14:paraId="202FFE2A">
            <w:pPr>
              <w:adjustRightInd/>
              <w:snapToGrid/>
              <w:spacing w:line="0" w:lineRule="atLeast"/>
              <w:jc w:val="center"/>
              <w:rPr>
                <w:rFonts w:ascii="宋体" w:hAnsi="宋体" w:eastAsia="宋体" w:cs="宋体"/>
                <w:color w:val="auto"/>
                <w:sz w:val="18"/>
                <w:szCs w:val="18"/>
              </w:rPr>
            </w:pPr>
          </w:p>
        </w:tc>
      </w:tr>
      <w:tr w14:paraId="380B2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jc w:val="center"/>
        </w:trPr>
        <w:tc>
          <w:tcPr>
            <w:tcW w:w="6646" w:type="dxa"/>
            <w:gridSpan w:val="12"/>
            <w:vAlign w:val="center"/>
          </w:tcPr>
          <w:p w14:paraId="15EB25B8">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pacing w:val="-7"/>
                <w:sz w:val="18"/>
                <w:szCs w:val="18"/>
              </w:rPr>
              <w:t>总分</w:t>
            </w:r>
          </w:p>
        </w:tc>
        <w:tc>
          <w:tcPr>
            <w:tcW w:w="680" w:type="dxa"/>
            <w:gridSpan w:val="2"/>
            <w:vAlign w:val="center"/>
          </w:tcPr>
          <w:p w14:paraId="7912BFC9">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pacing w:val="-6"/>
                <w:sz w:val="18"/>
                <w:szCs w:val="18"/>
              </w:rPr>
              <w:t>100</w:t>
            </w:r>
          </w:p>
        </w:tc>
        <w:tc>
          <w:tcPr>
            <w:tcW w:w="628" w:type="dxa"/>
            <w:gridSpan w:val="2"/>
            <w:vAlign w:val="center"/>
          </w:tcPr>
          <w:p w14:paraId="5F5467D8">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96</w:t>
            </w:r>
          </w:p>
        </w:tc>
        <w:tc>
          <w:tcPr>
            <w:tcW w:w="1925" w:type="dxa"/>
            <w:gridSpan w:val="2"/>
            <w:vAlign w:val="center"/>
          </w:tcPr>
          <w:p w14:paraId="4420C3FA">
            <w:pPr>
              <w:adjustRightInd/>
              <w:snapToGrid/>
              <w:spacing w:line="0" w:lineRule="atLeast"/>
              <w:jc w:val="center"/>
              <w:rPr>
                <w:rFonts w:ascii="宋体" w:hAnsi="宋体" w:eastAsia="宋体" w:cs="宋体"/>
                <w:color w:val="auto"/>
                <w:sz w:val="18"/>
                <w:szCs w:val="18"/>
              </w:rPr>
            </w:pPr>
          </w:p>
        </w:tc>
      </w:tr>
    </w:tbl>
    <w:p w14:paraId="77DC3CC9">
      <w:pPr>
        <w:kinsoku/>
        <w:autoSpaceDE/>
        <w:autoSpaceDN/>
        <w:adjustRightInd/>
        <w:snapToGrid/>
        <w:spacing w:line="360" w:lineRule="auto"/>
        <w:textAlignment w:val="auto"/>
        <w:rPr>
          <w:rFonts w:ascii="仿宋" w:hAnsi="仿宋" w:eastAsia="仿宋"/>
          <w:color w:val="auto"/>
          <w:sz w:val="32"/>
          <w:szCs w:val="32"/>
        </w:rPr>
      </w:pPr>
    </w:p>
    <w:p w14:paraId="153DB119">
      <w:pPr>
        <w:kinsoku/>
        <w:autoSpaceDE/>
        <w:autoSpaceDN/>
        <w:adjustRightInd/>
        <w:snapToGrid/>
        <w:jc w:val="center"/>
        <w:textAlignment w:val="auto"/>
        <w:rPr>
          <w:rFonts w:ascii="仿宋" w:hAnsi="仿宋" w:eastAsia="仿宋"/>
          <w:color w:val="auto"/>
          <w:sz w:val="32"/>
          <w:szCs w:val="32"/>
        </w:rPr>
      </w:pPr>
      <w:r>
        <w:rPr>
          <w:rFonts w:ascii="宋体" w:hAnsi="宋体" w:eastAsia="宋体" w:cs="宋体"/>
          <w:b/>
          <w:bCs/>
          <w:color w:val="auto"/>
          <w:spacing w:val="11"/>
          <w:sz w:val="34"/>
          <w:szCs w:val="34"/>
        </w:rPr>
        <w:t>2022年度</w:t>
      </w:r>
      <w:r>
        <w:rPr>
          <w:rFonts w:hint="eastAsia" w:ascii="宋体" w:hAnsi="宋体" w:eastAsia="宋体" w:cs="宋体"/>
          <w:b/>
          <w:bCs/>
          <w:color w:val="auto"/>
          <w:spacing w:val="11"/>
          <w:sz w:val="34"/>
          <w:szCs w:val="34"/>
        </w:rPr>
        <w:t>项目支出绩效目标</w:t>
      </w:r>
      <w:r>
        <w:rPr>
          <w:rFonts w:ascii="宋体" w:hAnsi="宋体" w:eastAsia="宋体" w:cs="宋体"/>
          <w:b/>
          <w:bCs/>
          <w:color w:val="auto"/>
          <w:spacing w:val="11"/>
          <w:sz w:val="34"/>
          <w:szCs w:val="34"/>
        </w:rPr>
        <w:t>自评表</w:t>
      </w:r>
    </w:p>
    <w:p w14:paraId="7ABFB703">
      <w:pPr>
        <w:spacing w:line="72" w:lineRule="exact"/>
        <w:rPr>
          <w:color w:val="auto"/>
        </w:rPr>
      </w:pPr>
    </w:p>
    <w:tbl>
      <w:tblPr>
        <w:tblStyle w:val="8"/>
        <w:tblW w:w="98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6"/>
        <w:gridCol w:w="192"/>
        <w:gridCol w:w="462"/>
        <w:gridCol w:w="589"/>
        <w:gridCol w:w="629"/>
        <w:gridCol w:w="77"/>
        <w:gridCol w:w="1166"/>
        <w:gridCol w:w="410"/>
        <w:gridCol w:w="295"/>
        <w:gridCol w:w="590"/>
        <w:gridCol w:w="1410"/>
        <w:gridCol w:w="500"/>
        <w:gridCol w:w="182"/>
        <w:gridCol w:w="498"/>
        <w:gridCol w:w="90"/>
        <w:gridCol w:w="538"/>
        <w:gridCol w:w="551"/>
        <w:gridCol w:w="1374"/>
      </w:tblGrid>
      <w:tr w14:paraId="2874F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jc w:val="center"/>
        </w:trPr>
        <w:tc>
          <w:tcPr>
            <w:tcW w:w="1569" w:type="dxa"/>
            <w:gridSpan w:val="4"/>
            <w:vAlign w:val="center"/>
          </w:tcPr>
          <w:p w14:paraId="27DCF15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项目支出名称</w:t>
            </w:r>
          </w:p>
        </w:tc>
        <w:tc>
          <w:tcPr>
            <w:tcW w:w="8310" w:type="dxa"/>
            <w:gridSpan w:val="14"/>
            <w:vAlign w:val="center"/>
          </w:tcPr>
          <w:p w14:paraId="62245F9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衡山县水利局2</w:t>
            </w:r>
            <w:r>
              <w:rPr>
                <w:rFonts w:ascii="宋体" w:hAnsi="宋体" w:eastAsia="宋体" w:cs="宋体"/>
                <w:color w:val="auto"/>
                <w:spacing w:val="3"/>
                <w:position w:val="6"/>
                <w:sz w:val="18"/>
                <w:szCs w:val="18"/>
              </w:rPr>
              <w:t>0</w:t>
            </w:r>
            <w:r>
              <w:rPr>
                <w:rFonts w:hint="eastAsia" w:ascii="宋体" w:hAnsi="宋体" w:eastAsia="宋体" w:cs="宋体"/>
                <w:color w:val="auto"/>
                <w:spacing w:val="3"/>
                <w:position w:val="6"/>
                <w:sz w:val="18"/>
                <w:szCs w:val="18"/>
              </w:rPr>
              <w:t>22年度项目支出</w:t>
            </w:r>
          </w:p>
        </w:tc>
      </w:tr>
      <w:tr w14:paraId="7A9B9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jc w:val="center"/>
        </w:trPr>
        <w:tc>
          <w:tcPr>
            <w:tcW w:w="1569" w:type="dxa"/>
            <w:gridSpan w:val="4"/>
            <w:vAlign w:val="center"/>
          </w:tcPr>
          <w:p w14:paraId="2AB2536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主管部门</w:t>
            </w:r>
          </w:p>
        </w:tc>
        <w:tc>
          <w:tcPr>
            <w:tcW w:w="3167" w:type="dxa"/>
            <w:gridSpan w:val="6"/>
            <w:vAlign w:val="center"/>
          </w:tcPr>
          <w:p w14:paraId="1635850F">
            <w:pPr>
              <w:adjustRightInd/>
              <w:snapToGrid/>
              <w:spacing w:line="0" w:lineRule="atLeast"/>
              <w:jc w:val="center"/>
              <w:rPr>
                <w:rFonts w:ascii="宋体" w:hAnsi="宋体" w:eastAsia="宋体" w:cs="宋体"/>
                <w:color w:val="auto"/>
                <w:spacing w:val="3"/>
                <w:position w:val="6"/>
                <w:sz w:val="18"/>
                <w:szCs w:val="18"/>
              </w:rPr>
            </w:pPr>
          </w:p>
        </w:tc>
        <w:tc>
          <w:tcPr>
            <w:tcW w:w="2092" w:type="dxa"/>
            <w:gridSpan w:val="3"/>
            <w:vAlign w:val="center"/>
          </w:tcPr>
          <w:p w14:paraId="1E3E5B9B">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实施单位</w:t>
            </w:r>
          </w:p>
        </w:tc>
        <w:tc>
          <w:tcPr>
            <w:tcW w:w="3051" w:type="dxa"/>
            <w:gridSpan w:val="5"/>
            <w:vAlign w:val="center"/>
          </w:tcPr>
          <w:p w14:paraId="594D03E7">
            <w:pPr>
              <w:adjustRightInd/>
              <w:snapToGrid/>
              <w:spacing w:line="0" w:lineRule="atLeast"/>
              <w:jc w:val="both"/>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衡山县水利局</w:t>
            </w:r>
          </w:p>
        </w:tc>
      </w:tr>
      <w:tr w14:paraId="1E8CA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jc w:val="center"/>
        </w:trPr>
        <w:tc>
          <w:tcPr>
            <w:tcW w:w="518" w:type="dxa"/>
            <w:gridSpan w:val="2"/>
            <w:vMerge w:val="restart"/>
            <w:tcBorders>
              <w:bottom w:val="nil"/>
            </w:tcBorders>
            <w:vAlign w:val="center"/>
          </w:tcPr>
          <w:p w14:paraId="3CFFB74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项目资金</w:t>
            </w:r>
          </w:p>
          <w:p w14:paraId="3927F6CA">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(万元)</w:t>
            </w:r>
          </w:p>
        </w:tc>
        <w:tc>
          <w:tcPr>
            <w:tcW w:w="1680" w:type="dxa"/>
            <w:gridSpan w:val="3"/>
            <w:vAlign w:val="center"/>
          </w:tcPr>
          <w:p w14:paraId="4D3379D9">
            <w:pPr>
              <w:adjustRightInd/>
              <w:snapToGrid/>
              <w:spacing w:line="0" w:lineRule="atLeast"/>
              <w:jc w:val="center"/>
              <w:rPr>
                <w:rFonts w:ascii="宋体" w:hAnsi="宋体" w:eastAsia="宋体" w:cs="宋体"/>
                <w:color w:val="auto"/>
                <w:spacing w:val="3"/>
                <w:position w:val="6"/>
                <w:sz w:val="18"/>
                <w:szCs w:val="18"/>
              </w:rPr>
            </w:pPr>
          </w:p>
        </w:tc>
        <w:tc>
          <w:tcPr>
            <w:tcW w:w="1243" w:type="dxa"/>
            <w:gridSpan w:val="2"/>
            <w:vAlign w:val="center"/>
          </w:tcPr>
          <w:p w14:paraId="4AD66B3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年初预算数</w:t>
            </w:r>
          </w:p>
        </w:tc>
        <w:tc>
          <w:tcPr>
            <w:tcW w:w="1295" w:type="dxa"/>
            <w:gridSpan w:val="3"/>
            <w:vAlign w:val="center"/>
          </w:tcPr>
          <w:p w14:paraId="1EDB568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全年预算数</w:t>
            </w:r>
          </w:p>
        </w:tc>
        <w:tc>
          <w:tcPr>
            <w:tcW w:w="1410" w:type="dxa"/>
            <w:vAlign w:val="center"/>
          </w:tcPr>
          <w:p w14:paraId="5F941C96">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全年执行数</w:t>
            </w:r>
          </w:p>
        </w:tc>
        <w:tc>
          <w:tcPr>
            <w:tcW w:w="1270" w:type="dxa"/>
            <w:gridSpan w:val="4"/>
            <w:vAlign w:val="center"/>
          </w:tcPr>
          <w:p w14:paraId="50199DA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分值</w:t>
            </w:r>
          </w:p>
        </w:tc>
        <w:tc>
          <w:tcPr>
            <w:tcW w:w="1089" w:type="dxa"/>
            <w:gridSpan w:val="2"/>
            <w:vAlign w:val="center"/>
          </w:tcPr>
          <w:p w14:paraId="01C0FBF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执行率</w:t>
            </w:r>
          </w:p>
        </w:tc>
        <w:tc>
          <w:tcPr>
            <w:tcW w:w="1374" w:type="dxa"/>
            <w:vAlign w:val="center"/>
          </w:tcPr>
          <w:p w14:paraId="638FCBDC">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得分</w:t>
            </w:r>
          </w:p>
        </w:tc>
      </w:tr>
      <w:tr w14:paraId="76683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jc w:val="center"/>
        </w:trPr>
        <w:tc>
          <w:tcPr>
            <w:tcW w:w="518" w:type="dxa"/>
            <w:gridSpan w:val="2"/>
            <w:vMerge w:val="continue"/>
            <w:tcBorders>
              <w:top w:val="nil"/>
              <w:bottom w:val="nil"/>
            </w:tcBorders>
            <w:vAlign w:val="center"/>
          </w:tcPr>
          <w:p w14:paraId="14914F60">
            <w:pPr>
              <w:adjustRightInd/>
              <w:snapToGrid/>
              <w:spacing w:line="0" w:lineRule="atLeast"/>
              <w:jc w:val="center"/>
              <w:rPr>
                <w:rFonts w:ascii="宋体" w:hAnsi="宋体" w:eastAsia="宋体" w:cs="宋体"/>
                <w:color w:val="auto"/>
                <w:spacing w:val="3"/>
                <w:position w:val="6"/>
                <w:sz w:val="18"/>
                <w:szCs w:val="18"/>
              </w:rPr>
            </w:pPr>
          </w:p>
        </w:tc>
        <w:tc>
          <w:tcPr>
            <w:tcW w:w="1680" w:type="dxa"/>
            <w:gridSpan w:val="3"/>
            <w:vAlign w:val="center"/>
          </w:tcPr>
          <w:p w14:paraId="259ED86A">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年度资金总额</w:t>
            </w:r>
          </w:p>
        </w:tc>
        <w:tc>
          <w:tcPr>
            <w:tcW w:w="1243" w:type="dxa"/>
            <w:gridSpan w:val="2"/>
            <w:vAlign w:val="center"/>
          </w:tcPr>
          <w:p w14:paraId="59E1195F">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80.72</w:t>
            </w:r>
          </w:p>
        </w:tc>
        <w:tc>
          <w:tcPr>
            <w:tcW w:w="1295" w:type="dxa"/>
            <w:gridSpan w:val="3"/>
            <w:vAlign w:val="center"/>
          </w:tcPr>
          <w:p w14:paraId="2B973A90">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3384.36</w:t>
            </w:r>
          </w:p>
        </w:tc>
        <w:tc>
          <w:tcPr>
            <w:tcW w:w="1410" w:type="dxa"/>
            <w:vAlign w:val="center"/>
          </w:tcPr>
          <w:p w14:paraId="63AE731D">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3384.36</w:t>
            </w:r>
          </w:p>
        </w:tc>
        <w:tc>
          <w:tcPr>
            <w:tcW w:w="1270" w:type="dxa"/>
            <w:gridSpan w:val="4"/>
            <w:vAlign w:val="center"/>
          </w:tcPr>
          <w:p w14:paraId="36830058">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1</w:t>
            </w:r>
            <w:r>
              <w:rPr>
                <w:rFonts w:ascii="宋体" w:hAnsi="宋体" w:eastAsia="宋体" w:cs="宋体"/>
                <w:color w:val="auto"/>
                <w:spacing w:val="3"/>
                <w:position w:val="6"/>
                <w:sz w:val="18"/>
                <w:szCs w:val="18"/>
              </w:rPr>
              <w:t>00</w:t>
            </w:r>
          </w:p>
        </w:tc>
        <w:tc>
          <w:tcPr>
            <w:tcW w:w="1089" w:type="dxa"/>
            <w:gridSpan w:val="2"/>
            <w:vAlign w:val="center"/>
          </w:tcPr>
          <w:p w14:paraId="5AB0FD85">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4192.72</w:t>
            </w:r>
            <w:r>
              <w:rPr>
                <w:rFonts w:hint="eastAsia" w:ascii="宋体" w:hAnsi="宋体" w:eastAsia="宋体" w:cs="宋体"/>
                <w:color w:val="auto"/>
                <w:spacing w:val="3"/>
                <w:position w:val="6"/>
                <w:sz w:val="18"/>
                <w:szCs w:val="18"/>
              </w:rPr>
              <w:t>%</w:t>
            </w:r>
          </w:p>
        </w:tc>
        <w:tc>
          <w:tcPr>
            <w:tcW w:w="1374" w:type="dxa"/>
            <w:vAlign w:val="center"/>
          </w:tcPr>
          <w:p w14:paraId="52FAB114">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96</w:t>
            </w:r>
          </w:p>
        </w:tc>
      </w:tr>
      <w:tr w14:paraId="0EB036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518" w:type="dxa"/>
            <w:gridSpan w:val="2"/>
            <w:vMerge w:val="restart"/>
            <w:tcBorders>
              <w:bottom w:val="nil"/>
            </w:tcBorders>
            <w:vAlign w:val="center"/>
          </w:tcPr>
          <w:p w14:paraId="4B74C92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年度总体目标</w:t>
            </w:r>
          </w:p>
        </w:tc>
        <w:tc>
          <w:tcPr>
            <w:tcW w:w="3628" w:type="dxa"/>
            <w:gridSpan w:val="7"/>
            <w:vAlign w:val="center"/>
          </w:tcPr>
          <w:p w14:paraId="5A56D77B">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预期目标</w:t>
            </w:r>
          </w:p>
        </w:tc>
        <w:tc>
          <w:tcPr>
            <w:tcW w:w="5733" w:type="dxa"/>
            <w:gridSpan w:val="9"/>
            <w:vAlign w:val="center"/>
          </w:tcPr>
          <w:p w14:paraId="5095677E">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实际完成情况</w:t>
            </w:r>
          </w:p>
        </w:tc>
      </w:tr>
      <w:tr w14:paraId="54FF5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518" w:type="dxa"/>
            <w:gridSpan w:val="2"/>
            <w:vMerge w:val="continue"/>
            <w:tcBorders>
              <w:top w:val="nil"/>
            </w:tcBorders>
            <w:vAlign w:val="center"/>
          </w:tcPr>
          <w:p w14:paraId="19278B4B">
            <w:pPr>
              <w:adjustRightInd/>
              <w:snapToGrid/>
              <w:spacing w:line="0" w:lineRule="atLeast"/>
              <w:jc w:val="center"/>
              <w:rPr>
                <w:rFonts w:ascii="宋体" w:hAnsi="宋体" w:eastAsia="宋体" w:cs="宋体"/>
                <w:color w:val="auto"/>
                <w:spacing w:val="3"/>
                <w:position w:val="6"/>
                <w:sz w:val="18"/>
                <w:szCs w:val="18"/>
              </w:rPr>
            </w:pPr>
          </w:p>
        </w:tc>
        <w:tc>
          <w:tcPr>
            <w:tcW w:w="4218" w:type="dxa"/>
            <w:gridSpan w:val="8"/>
            <w:vAlign w:val="center"/>
          </w:tcPr>
          <w:p w14:paraId="1D1777F7">
            <w:pPr>
              <w:spacing w:line="0" w:lineRule="atLeast"/>
              <w:rPr>
                <w:rFonts w:ascii="宋体" w:hAnsi="宋体" w:cs="宋体"/>
                <w:spacing w:val="3"/>
                <w:position w:val="6"/>
                <w:sz w:val="18"/>
                <w:szCs w:val="18"/>
              </w:rPr>
            </w:pPr>
            <w:r>
              <w:rPr>
                <w:rFonts w:hint="eastAsia" w:ascii="宋体" w:hAnsi="宋体" w:cs="宋体"/>
                <w:spacing w:val="3"/>
                <w:position w:val="6"/>
                <w:sz w:val="18"/>
                <w:szCs w:val="18"/>
              </w:rPr>
              <w:t>预期按全力推进河长制，提升移民及县城防洪堤管理能力</w:t>
            </w:r>
          </w:p>
        </w:tc>
        <w:tc>
          <w:tcPr>
            <w:tcW w:w="5143" w:type="dxa"/>
            <w:gridSpan w:val="8"/>
            <w:vAlign w:val="center"/>
          </w:tcPr>
          <w:p w14:paraId="28620FA8">
            <w:pPr>
              <w:adjustRightInd/>
              <w:snapToGrid/>
              <w:spacing w:line="0" w:lineRule="atLeast"/>
              <w:rPr>
                <w:rFonts w:ascii="宋体" w:hAnsi="宋体" w:eastAsia="宋体" w:cs="宋体"/>
                <w:color w:val="auto"/>
                <w:spacing w:val="3"/>
                <w:position w:val="6"/>
                <w:sz w:val="18"/>
                <w:szCs w:val="18"/>
              </w:rPr>
            </w:pPr>
            <w:r>
              <w:rPr>
                <w:rFonts w:hint="eastAsia" w:ascii="宋体" w:hAnsi="宋体" w:cs="宋体"/>
                <w:spacing w:val="3"/>
                <w:position w:val="6"/>
                <w:sz w:val="18"/>
                <w:szCs w:val="18"/>
              </w:rPr>
              <w:t>2</w:t>
            </w:r>
            <w:r>
              <w:rPr>
                <w:rFonts w:ascii="宋体" w:hAnsi="宋体" w:cs="宋体"/>
                <w:spacing w:val="3"/>
                <w:position w:val="6"/>
                <w:sz w:val="18"/>
                <w:szCs w:val="18"/>
              </w:rPr>
              <w:t>022</w:t>
            </w:r>
            <w:r>
              <w:rPr>
                <w:rFonts w:hint="eastAsia" w:ascii="宋体" w:hAnsi="宋体" w:cs="宋体"/>
                <w:spacing w:val="3"/>
                <w:position w:val="6"/>
                <w:sz w:val="18"/>
                <w:szCs w:val="18"/>
              </w:rPr>
              <w:t>年实现按全力推进河长制，提升移民及县城防洪堤管理能力</w:t>
            </w:r>
          </w:p>
        </w:tc>
      </w:tr>
      <w:tr w14:paraId="4E59D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26" w:type="dxa"/>
            <w:vMerge w:val="restart"/>
            <w:tcBorders>
              <w:bottom w:val="nil"/>
            </w:tcBorders>
            <w:textDirection w:val="tbRlV"/>
            <w:vAlign w:val="center"/>
          </w:tcPr>
          <w:p w14:paraId="63306884">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绩效指标</w:t>
            </w:r>
          </w:p>
        </w:tc>
        <w:tc>
          <w:tcPr>
            <w:tcW w:w="654" w:type="dxa"/>
            <w:gridSpan w:val="2"/>
            <w:vAlign w:val="center"/>
          </w:tcPr>
          <w:p w14:paraId="53267E52">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一级指标</w:t>
            </w:r>
          </w:p>
        </w:tc>
        <w:tc>
          <w:tcPr>
            <w:tcW w:w="589" w:type="dxa"/>
            <w:vAlign w:val="center"/>
          </w:tcPr>
          <w:p w14:paraId="06C8FEF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二级</w:t>
            </w:r>
          </w:p>
          <w:p w14:paraId="67EAD24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706" w:type="dxa"/>
            <w:gridSpan w:val="2"/>
            <w:vAlign w:val="center"/>
          </w:tcPr>
          <w:p w14:paraId="3692BC20">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三级</w:t>
            </w:r>
          </w:p>
          <w:p w14:paraId="3647DD89">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1576" w:type="dxa"/>
            <w:gridSpan w:val="2"/>
            <w:vAlign w:val="center"/>
          </w:tcPr>
          <w:p w14:paraId="7E0A964D">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年度</w:t>
            </w:r>
          </w:p>
          <w:p w14:paraId="7734F763">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指标值</w:t>
            </w:r>
          </w:p>
        </w:tc>
        <w:tc>
          <w:tcPr>
            <w:tcW w:w="2795" w:type="dxa"/>
            <w:gridSpan w:val="4"/>
            <w:vAlign w:val="center"/>
          </w:tcPr>
          <w:p w14:paraId="46039510">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实际</w:t>
            </w:r>
          </w:p>
          <w:p w14:paraId="127A69A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完成值</w:t>
            </w:r>
          </w:p>
        </w:tc>
        <w:tc>
          <w:tcPr>
            <w:tcW w:w="680" w:type="dxa"/>
            <w:gridSpan w:val="2"/>
            <w:vAlign w:val="center"/>
          </w:tcPr>
          <w:p w14:paraId="7D33A8D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分值</w:t>
            </w:r>
          </w:p>
        </w:tc>
        <w:tc>
          <w:tcPr>
            <w:tcW w:w="628" w:type="dxa"/>
            <w:gridSpan w:val="2"/>
            <w:vAlign w:val="center"/>
          </w:tcPr>
          <w:p w14:paraId="41E05DE0">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得分</w:t>
            </w:r>
          </w:p>
        </w:tc>
        <w:tc>
          <w:tcPr>
            <w:tcW w:w="1925" w:type="dxa"/>
            <w:gridSpan w:val="2"/>
            <w:vAlign w:val="center"/>
          </w:tcPr>
          <w:p w14:paraId="577E2F45">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偏差原因</w:t>
            </w:r>
          </w:p>
          <w:p w14:paraId="1EE83C3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分析及改进措施</w:t>
            </w:r>
          </w:p>
        </w:tc>
      </w:tr>
      <w:tr w14:paraId="1043D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 w:hRule="atLeast"/>
          <w:jc w:val="center"/>
        </w:trPr>
        <w:tc>
          <w:tcPr>
            <w:tcW w:w="326" w:type="dxa"/>
            <w:vMerge w:val="continue"/>
            <w:tcBorders>
              <w:top w:val="nil"/>
              <w:bottom w:val="nil"/>
            </w:tcBorders>
            <w:textDirection w:val="tbRlV"/>
            <w:vAlign w:val="center"/>
          </w:tcPr>
          <w:p w14:paraId="68178B4A">
            <w:pPr>
              <w:adjustRightInd/>
              <w:snapToGrid/>
              <w:spacing w:line="0" w:lineRule="atLeast"/>
              <w:jc w:val="center"/>
              <w:rPr>
                <w:rFonts w:ascii="宋体" w:hAnsi="宋体" w:eastAsia="宋体" w:cs="宋体"/>
                <w:color w:val="auto"/>
                <w:spacing w:val="3"/>
                <w:position w:val="6"/>
                <w:sz w:val="18"/>
                <w:szCs w:val="18"/>
              </w:rPr>
            </w:pPr>
          </w:p>
        </w:tc>
        <w:tc>
          <w:tcPr>
            <w:tcW w:w="654" w:type="dxa"/>
            <w:gridSpan w:val="2"/>
            <w:tcBorders>
              <w:bottom w:val="nil"/>
            </w:tcBorders>
            <w:vAlign w:val="center"/>
          </w:tcPr>
          <w:p w14:paraId="6A478A3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产出</w:t>
            </w:r>
          </w:p>
          <w:p w14:paraId="558F7019">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指标</w:t>
            </w:r>
          </w:p>
        </w:tc>
        <w:tc>
          <w:tcPr>
            <w:tcW w:w="589" w:type="dxa"/>
            <w:tcBorders>
              <w:bottom w:val="nil"/>
            </w:tcBorders>
            <w:vAlign w:val="center"/>
          </w:tcPr>
          <w:p w14:paraId="09DCD9FF">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2"/>
                <w:sz w:val="18"/>
                <w:szCs w:val="18"/>
              </w:rPr>
              <w:t>质量指标</w:t>
            </w:r>
          </w:p>
        </w:tc>
        <w:tc>
          <w:tcPr>
            <w:tcW w:w="706" w:type="dxa"/>
            <w:gridSpan w:val="2"/>
            <w:vAlign w:val="center"/>
          </w:tcPr>
          <w:p w14:paraId="78A3C481">
            <w:pPr>
              <w:adjustRightInd/>
              <w:snapToGrid/>
              <w:spacing w:line="0" w:lineRule="atLeast"/>
              <w:jc w:val="center"/>
              <w:rPr>
                <w:rFonts w:ascii="宋体" w:hAnsi="宋体" w:eastAsia="宋体" w:cs="宋体"/>
                <w:color w:val="auto"/>
                <w:spacing w:val="3"/>
                <w:position w:val="6"/>
                <w:sz w:val="18"/>
                <w:szCs w:val="18"/>
              </w:rPr>
            </w:pPr>
            <w:r>
              <w:rPr>
                <w:rFonts w:hint="eastAsia" w:ascii="宋体" w:hAnsi="宋体" w:eastAsia="宋体" w:cs="宋体"/>
                <w:color w:val="auto"/>
                <w:spacing w:val="3"/>
                <w:position w:val="6"/>
                <w:sz w:val="18"/>
                <w:szCs w:val="18"/>
              </w:rPr>
              <w:t>支出安排金额</w:t>
            </w:r>
          </w:p>
        </w:tc>
        <w:tc>
          <w:tcPr>
            <w:tcW w:w="1576" w:type="dxa"/>
            <w:gridSpan w:val="2"/>
            <w:vAlign w:val="center"/>
          </w:tcPr>
          <w:p w14:paraId="3DB683E5">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80.72</w:t>
            </w:r>
            <w:r>
              <w:rPr>
                <w:rFonts w:hint="eastAsia" w:ascii="宋体" w:hAnsi="宋体" w:eastAsia="宋体" w:cs="宋体"/>
                <w:color w:val="auto"/>
                <w:spacing w:val="3"/>
                <w:position w:val="6"/>
                <w:sz w:val="18"/>
                <w:szCs w:val="18"/>
              </w:rPr>
              <w:t>万元</w:t>
            </w:r>
          </w:p>
        </w:tc>
        <w:tc>
          <w:tcPr>
            <w:tcW w:w="2795" w:type="dxa"/>
            <w:gridSpan w:val="4"/>
            <w:vAlign w:val="center"/>
          </w:tcPr>
          <w:p w14:paraId="1DEECBEC">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3384.36</w:t>
            </w:r>
            <w:r>
              <w:rPr>
                <w:rFonts w:hint="eastAsia" w:ascii="宋体" w:hAnsi="宋体" w:eastAsia="宋体" w:cs="宋体"/>
                <w:color w:val="auto"/>
                <w:spacing w:val="3"/>
                <w:position w:val="6"/>
                <w:sz w:val="18"/>
                <w:szCs w:val="18"/>
              </w:rPr>
              <w:t>万元</w:t>
            </w:r>
          </w:p>
        </w:tc>
        <w:tc>
          <w:tcPr>
            <w:tcW w:w="680" w:type="dxa"/>
            <w:gridSpan w:val="2"/>
            <w:vAlign w:val="center"/>
          </w:tcPr>
          <w:p w14:paraId="6D11ED81">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50</w:t>
            </w:r>
          </w:p>
        </w:tc>
        <w:tc>
          <w:tcPr>
            <w:tcW w:w="628" w:type="dxa"/>
            <w:gridSpan w:val="2"/>
            <w:vAlign w:val="center"/>
          </w:tcPr>
          <w:p w14:paraId="63D166B9">
            <w:pPr>
              <w:adjustRightInd/>
              <w:snapToGrid/>
              <w:spacing w:line="0" w:lineRule="atLeast"/>
              <w:jc w:val="center"/>
              <w:rPr>
                <w:rFonts w:ascii="宋体" w:hAnsi="宋体" w:eastAsia="宋体" w:cs="宋体"/>
                <w:color w:val="auto"/>
                <w:spacing w:val="3"/>
                <w:position w:val="6"/>
                <w:sz w:val="18"/>
                <w:szCs w:val="18"/>
              </w:rPr>
            </w:pPr>
            <w:r>
              <w:rPr>
                <w:rFonts w:ascii="宋体" w:hAnsi="宋体" w:eastAsia="宋体" w:cs="宋体"/>
                <w:color w:val="auto"/>
                <w:spacing w:val="3"/>
                <w:position w:val="6"/>
                <w:sz w:val="18"/>
                <w:szCs w:val="18"/>
              </w:rPr>
              <w:t>45</w:t>
            </w:r>
          </w:p>
        </w:tc>
        <w:tc>
          <w:tcPr>
            <w:tcW w:w="1925" w:type="dxa"/>
            <w:gridSpan w:val="2"/>
            <w:vAlign w:val="center"/>
          </w:tcPr>
          <w:p w14:paraId="735EA098">
            <w:pPr>
              <w:adjustRightInd/>
              <w:snapToGrid/>
              <w:spacing w:line="0" w:lineRule="atLeast"/>
              <w:jc w:val="center"/>
              <w:rPr>
                <w:rFonts w:ascii="宋体" w:hAnsi="宋体" w:eastAsia="宋体" w:cs="宋体"/>
                <w:color w:val="auto"/>
                <w:spacing w:val="3"/>
                <w:position w:val="6"/>
                <w:sz w:val="18"/>
                <w:szCs w:val="18"/>
              </w:rPr>
            </w:pPr>
          </w:p>
        </w:tc>
      </w:tr>
      <w:tr w14:paraId="2BB70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326" w:type="dxa"/>
            <w:vMerge w:val="continue"/>
            <w:tcBorders>
              <w:top w:val="nil"/>
              <w:bottom w:val="nil"/>
            </w:tcBorders>
            <w:textDirection w:val="tbRlV"/>
            <w:vAlign w:val="center"/>
          </w:tcPr>
          <w:p w14:paraId="389F271E">
            <w:pPr>
              <w:adjustRightInd/>
              <w:snapToGrid/>
              <w:spacing w:line="0" w:lineRule="atLeast"/>
              <w:jc w:val="center"/>
              <w:rPr>
                <w:rFonts w:ascii="宋体" w:hAnsi="宋体" w:eastAsia="宋体" w:cs="宋体"/>
                <w:color w:val="auto"/>
                <w:sz w:val="18"/>
                <w:szCs w:val="18"/>
              </w:rPr>
            </w:pPr>
          </w:p>
        </w:tc>
        <w:tc>
          <w:tcPr>
            <w:tcW w:w="654" w:type="dxa"/>
            <w:gridSpan w:val="2"/>
            <w:tcBorders>
              <w:bottom w:val="nil"/>
            </w:tcBorders>
            <w:vAlign w:val="center"/>
          </w:tcPr>
          <w:p w14:paraId="4CAC8A7B">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效益</w:t>
            </w:r>
          </w:p>
          <w:p w14:paraId="12496FB2">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指标</w:t>
            </w:r>
          </w:p>
        </w:tc>
        <w:tc>
          <w:tcPr>
            <w:tcW w:w="589" w:type="dxa"/>
            <w:tcBorders>
              <w:bottom w:val="nil"/>
            </w:tcBorders>
            <w:vAlign w:val="center"/>
          </w:tcPr>
          <w:p w14:paraId="3612A88B">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社会效益指标</w:t>
            </w:r>
          </w:p>
        </w:tc>
        <w:tc>
          <w:tcPr>
            <w:tcW w:w="706" w:type="dxa"/>
            <w:gridSpan w:val="2"/>
            <w:vAlign w:val="center"/>
          </w:tcPr>
          <w:p w14:paraId="04D89E36">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z w:val="18"/>
                <w:szCs w:val="18"/>
              </w:rPr>
              <w:t>正常运行</w:t>
            </w:r>
          </w:p>
        </w:tc>
        <w:tc>
          <w:tcPr>
            <w:tcW w:w="1576" w:type="dxa"/>
            <w:gridSpan w:val="2"/>
            <w:vAlign w:val="center"/>
          </w:tcPr>
          <w:p w14:paraId="053A3C90">
            <w:pPr>
              <w:adjustRightInd/>
              <w:snapToGrid/>
              <w:spacing w:line="0" w:lineRule="atLeast"/>
              <w:jc w:val="center"/>
              <w:rPr>
                <w:rFonts w:ascii="宋体" w:hAnsi="宋体" w:eastAsia="宋体" w:cs="宋体"/>
                <w:sz w:val="18"/>
                <w:szCs w:val="18"/>
              </w:rPr>
            </w:pPr>
            <w:r>
              <w:rPr>
                <w:rFonts w:hint="eastAsia" w:ascii="宋体" w:hAnsi="宋体" w:eastAsia="宋体" w:cs="宋体"/>
                <w:sz w:val="18"/>
                <w:szCs w:val="18"/>
              </w:rPr>
              <w:t>应管尽管</w:t>
            </w:r>
          </w:p>
        </w:tc>
        <w:tc>
          <w:tcPr>
            <w:tcW w:w="2795" w:type="dxa"/>
            <w:gridSpan w:val="4"/>
            <w:vAlign w:val="center"/>
          </w:tcPr>
          <w:p w14:paraId="2632039B">
            <w:pPr>
              <w:adjustRightInd/>
              <w:snapToGrid/>
              <w:spacing w:line="0" w:lineRule="atLeast"/>
              <w:jc w:val="center"/>
              <w:rPr>
                <w:rFonts w:ascii="宋体" w:hAnsi="宋体" w:eastAsia="宋体" w:cs="宋体"/>
                <w:sz w:val="18"/>
                <w:szCs w:val="18"/>
              </w:rPr>
            </w:pPr>
            <w:r>
              <w:rPr>
                <w:rFonts w:hint="eastAsia" w:ascii="宋体" w:hAnsi="宋体" w:eastAsia="宋体" w:cs="宋体"/>
                <w:sz w:val="18"/>
                <w:szCs w:val="18"/>
              </w:rPr>
              <w:t>应管尽管</w:t>
            </w:r>
          </w:p>
        </w:tc>
        <w:tc>
          <w:tcPr>
            <w:tcW w:w="680" w:type="dxa"/>
            <w:gridSpan w:val="2"/>
            <w:vAlign w:val="center"/>
          </w:tcPr>
          <w:p w14:paraId="67C119FD">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50</w:t>
            </w:r>
          </w:p>
        </w:tc>
        <w:tc>
          <w:tcPr>
            <w:tcW w:w="628" w:type="dxa"/>
            <w:gridSpan w:val="2"/>
            <w:vAlign w:val="center"/>
          </w:tcPr>
          <w:p w14:paraId="760EE017">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50</w:t>
            </w:r>
          </w:p>
        </w:tc>
        <w:tc>
          <w:tcPr>
            <w:tcW w:w="1925" w:type="dxa"/>
            <w:gridSpan w:val="2"/>
            <w:vAlign w:val="center"/>
          </w:tcPr>
          <w:p w14:paraId="33B7C2C0">
            <w:pPr>
              <w:adjustRightInd/>
              <w:snapToGrid/>
              <w:spacing w:line="0" w:lineRule="atLeast"/>
              <w:jc w:val="center"/>
              <w:rPr>
                <w:rFonts w:ascii="宋体" w:hAnsi="宋体" w:eastAsia="宋体" w:cs="宋体"/>
                <w:color w:val="auto"/>
                <w:sz w:val="18"/>
                <w:szCs w:val="18"/>
              </w:rPr>
            </w:pPr>
          </w:p>
        </w:tc>
      </w:tr>
      <w:tr w14:paraId="7DDAC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jc w:val="center"/>
        </w:trPr>
        <w:tc>
          <w:tcPr>
            <w:tcW w:w="6646" w:type="dxa"/>
            <w:gridSpan w:val="12"/>
            <w:vAlign w:val="center"/>
          </w:tcPr>
          <w:p w14:paraId="37351B7B">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pacing w:val="-7"/>
                <w:sz w:val="18"/>
                <w:szCs w:val="18"/>
              </w:rPr>
              <w:t>总分</w:t>
            </w:r>
          </w:p>
        </w:tc>
        <w:tc>
          <w:tcPr>
            <w:tcW w:w="680" w:type="dxa"/>
            <w:gridSpan w:val="2"/>
            <w:vAlign w:val="center"/>
          </w:tcPr>
          <w:p w14:paraId="0B6C0219">
            <w:pPr>
              <w:adjustRightInd/>
              <w:snapToGrid/>
              <w:spacing w:line="0" w:lineRule="atLeast"/>
              <w:jc w:val="center"/>
              <w:rPr>
                <w:rFonts w:ascii="宋体" w:hAnsi="宋体" w:eastAsia="宋体" w:cs="宋体"/>
                <w:color w:val="auto"/>
                <w:sz w:val="18"/>
                <w:szCs w:val="18"/>
              </w:rPr>
            </w:pPr>
            <w:r>
              <w:rPr>
                <w:rFonts w:hint="eastAsia" w:ascii="宋体" w:hAnsi="宋体" w:eastAsia="宋体" w:cs="宋体"/>
                <w:color w:val="auto"/>
                <w:spacing w:val="-6"/>
                <w:sz w:val="18"/>
                <w:szCs w:val="18"/>
              </w:rPr>
              <w:t>100</w:t>
            </w:r>
          </w:p>
        </w:tc>
        <w:tc>
          <w:tcPr>
            <w:tcW w:w="628" w:type="dxa"/>
            <w:gridSpan w:val="2"/>
            <w:vAlign w:val="center"/>
          </w:tcPr>
          <w:p w14:paraId="49992657">
            <w:pPr>
              <w:adjustRightInd/>
              <w:snapToGrid/>
              <w:spacing w:line="0" w:lineRule="atLeast"/>
              <w:jc w:val="center"/>
              <w:rPr>
                <w:rFonts w:ascii="宋体" w:hAnsi="宋体" w:eastAsia="宋体" w:cs="宋体"/>
                <w:color w:val="auto"/>
                <w:sz w:val="18"/>
                <w:szCs w:val="18"/>
              </w:rPr>
            </w:pPr>
            <w:r>
              <w:rPr>
                <w:rFonts w:ascii="宋体" w:hAnsi="宋体" w:eastAsia="宋体" w:cs="宋体"/>
                <w:color w:val="auto"/>
                <w:sz w:val="18"/>
                <w:szCs w:val="18"/>
              </w:rPr>
              <w:t>95</w:t>
            </w:r>
          </w:p>
        </w:tc>
        <w:tc>
          <w:tcPr>
            <w:tcW w:w="1925" w:type="dxa"/>
            <w:gridSpan w:val="2"/>
            <w:vAlign w:val="center"/>
          </w:tcPr>
          <w:p w14:paraId="1360A65C">
            <w:pPr>
              <w:adjustRightInd/>
              <w:snapToGrid/>
              <w:spacing w:line="0" w:lineRule="atLeast"/>
              <w:jc w:val="center"/>
              <w:rPr>
                <w:rFonts w:ascii="宋体" w:hAnsi="宋体" w:eastAsia="宋体" w:cs="宋体"/>
                <w:color w:val="auto"/>
                <w:sz w:val="18"/>
                <w:szCs w:val="18"/>
              </w:rPr>
            </w:pPr>
          </w:p>
        </w:tc>
      </w:tr>
    </w:tbl>
    <w:p w14:paraId="40BCD449">
      <w:pPr>
        <w:kinsoku/>
        <w:autoSpaceDE/>
        <w:autoSpaceDN/>
        <w:adjustRightInd/>
        <w:snapToGrid/>
        <w:spacing w:line="360" w:lineRule="auto"/>
        <w:textAlignment w:val="auto"/>
        <w:rPr>
          <w:rFonts w:ascii="仿宋" w:hAnsi="仿宋" w:eastAsia="仿宋"/>
          <w:color w:val="auto"/>
          <w:sz w:val="32"/>
          <w:szCs w:val="32"/>
        </w:rPr>
      </w:pPr>
    </w:p>
    <w:p w14:paraId="6D077310">
      <w:pPr>
        <w:kinsoku/>
        <w:autoSpaceDE/>
        <w:autoSpaceDN/>
        <w:adjustRightInd/>
        <w:snapToGrid/>
        <w:jc w:val="center"/>
        <w:textAlignment w:val="auto"/>
        <w:rPr>
          <w:rFonts w:ascii="仿宋" w:hAnsi="仿宋" w:eastAsia="仿宋"/>
          <w:color w:val="auto"/>
          <w:sz w:val="32"/>
          <w:szCs w:val="32"/>
        </w:rPr>
      </w:pPr>
      <w:r>
        <w:rPr>
          <w:rFonts w:ascii="宋体" w:hAnsi="宋体" w:eastAsia="宋体" w:cs="宋体"/>
          <w:b/>
          <w:bCs/>
          <w:color w:val="auto"/>
          <w:spacing w:val="11"/>
          <w:sz w:val="34"/>
          <w:szCs w:val="34"/>
        </w:rPr>
        <w:t>2022年度</w:t>
      </w:r>
      <w:r>
        <w:rPr>
          <w:rFonts w:hint="eastAsia" w:ascii="宋体" w:hAnsi="宋体" w:eastAsia="宋体" w:cs="宋体"/>
          <w:b/>
          <w:bCs/>
          <w:color w:val="auto"/>
          <w:spacing w:val="11"/>
          <w:sz w:val="34"/>
          <w:szCs w:val="34"/>
        </w:rPr>
        <w:t>河长制项目</w:t>
      </w:r>
      <w:r>
        <w:rPr>
          <w:rFonts w:ascii="宋体" w:hAnsi="宋体" w:eastAsia="宋体" w:cs="宋体"/>
          <w:b/>
          <w:bCs/>
          <w:color w:val="auto"/>
          <w:spacing w:val="11"/>
          <w:sz w:val="34"/>
          <w:szCs w:val="34"/>
        </w:rPr>
        <w:t>支出绩效自评表</w:t>
      </w:r>
    </w:p>
    <w:p w14:paraId="51D61A5B">
      <w:pPr>
        <w:spacing w:line="72" w:lineRule="exact"/>
        <w:rPr>
          <w:color w:val="auto"/>
        </w:rPr>
      </w:pPr>
    </w:p>
    <w:tbl>
      <w:tblPr>
        <w:tblStyle w:val="8"/>
        <w:tblW w:w="98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4"/>
        <w:gridCol w:w="989"/>
        <w:gridCol w:w="1268"/>
        <w:gridCol w:w="1209"/>
        <w:gridCol w:w="1119"/>
        <w:gridCol w:w="1109"/>
        <w:gridCol w:w="819"/>
        <w:gridCol w:w="859"/>
        <w:gridCol w:w="1373"/>
      </w:tblGrid>
      <w:tr w14:paraId="32F2D0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134" w:type="dxa"/>
            <w:vAlign w:val="center"/>
          </w:tcPr>
          <w:p w14:paraId="1DBE047B">
            <w:pPr>
              <w:spacing w:before="94" w:line="301" w:lineRule="exact"/>
              <w:ind w:left="245"/>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项目支</w:t>
            </w:r>
          </w:p>
          <w:p w14:paraId="1DBE99FC">
            <w:pPr>
              <w:spacing w:line="221" w:lineRule="auto"/>
              <w:ind w:left="245"/>
              <w:jc w:val="center"/>
              <w:rPr>
                <w:rFonts w:ascii="宋体" w:hAnsi="宋体" w:eastAsia="宋体" w:cs="宋体"/>
                <w:color w:val="auto"/>
                <w:sz w:val="18"/>
                <w:szCs w:val="18"/>
              </w:rPr>
            </w:pPr>
            <w:r>
              <w:rPr>
                <w:rFonts w:hint="eastAsia" w:ascii="宋体" w:hAnsi="宋体" w:eastAsia="宋体" w:cs="宋体"/>
                <w:color w:val="auto"/>
                <w:spacing w:val="3"/>
                <w:sz w:val="18"/>
                <w:szCs w:val="18"/>
              </w:rPr>
              <w:t>出名称</w:t>
            </w:r>
          </w:p>
        </w:tc>
        <w:tc>
          <w:tcPr>
            <w:tcW w:w="8745" w:type="dxa"/>
            <w:gridSpan w:val="8"/>
            <w:vAlign w:val="center"/>
          </w:tcPr>
          <w:p w14:paraId="34260DF9">
            <w:pPr>
              <w:jc w:val="center"/>
              <w:rPr>
                <w:rFonts w:ascii="宋体" w:hAnsi="宋体" w:eastAsia="宋体" w:cs="宋体"/>
                <w:color w:val="auto"/>
                <w:sz w:val="18"/>
                <w:szCs w:val="18"/>
              </w:rPr>
            </w:pPr>
            <w:r>
              <w:rPr>
                <w:rFonts w:ascii="宋体" w:hAnsi="宋体" w:eastAsia="宋体" w:cs="宋体"/>
                <w:color w:val="auto"/>
                <w:sz w:val="18"/>
                <w:szCs w:val="18"/>
              </w:rPr>
              <w:t>全县河长制工作</w:t>
            </w:r>
          </w:p>
        </w:tc>
      </w:tr>
      <w:tr w14:paraId="348898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Align w:val="center"/>
          </w:tcPr>
          <w:p w14:paraId="28352CBE">
            <w:pPr>
              <w:spacing w:before="69" w:line="219" w:lineRule="auto"/>
              <w:ind w:left="134"/>
              <w:jc w:val="center"/>
              <w:rPr>
                <w:rFonts w:ascii="宋体" w:hAnsi="宋体" w:eastAsia="宋体" w:cs="宋体"/>
                <w:color w:val="auto"/>
                <w:sz w:val="18"/>
                <w:szCs w:val="18"/>
              </w:rPr>
            </w:pPr>
            <w:r>
              <w:rPr>
                <w:rFonts w:hint="eastAsia" w:ascii="宋体" w:hAnsi="宋体" w:eastAsia="宋体" w:cs="宋体"/>
                <w:color w:val="auto"/>
                <w:spacing w:val="5"/>
                <w:sz w:val="18"/>
                <w:szCs w:val="18"/>
              </w:rPr>
              <w:t>主管部门</w:t>
            </w:r>
          </w:p>
        </w:tc>
        <w:tc>
          <w:tcPr>
            <w:tcW w:w="4585" w:type="dxa"/>
            <w:gridSpan w:val="4"/>
            <w:vAlign w:val="center"/>
          </w:tcPr>
          <w:p w14:paraId="1B024CFE">
            <w:pPr>
              <w:jc w:val="center"/>
              <w:rPr>
                <w:rFonts w:ascii="宋体" w:hAnsi="宋体" w:eastAsia="宋体" w:cs="宋体"/>
                <w:color w:val="auto"/>
                <w:sz w:val="18"/>
                <w:szCs w:val="18"/>
              </w:rPr>
            </w:pPr>
            <w:r>
              <w:rPr>
                <w:rFonts w:ascii="宋体" w:hAnsi="宋体" w:eastAsia="宋体" w:cs="宋体"/>
                <w:color w:val="auto"/>
                <w:sz w:val="18"/>
                <w:szCs w:val="18"/>
              </w:rPr>
              <w:t>县河长制工作委员会</w:t>
            </w:r>
          </w:p>
        </w:tc>
        <w:tc>
          <w:tcPr>
            <w:tcW w:w="1109" w:type="dxa"/>
            <w:vAlign w:val="center"/>
          </w:tcPr>
          <w:p w14:paraId="42506931">
            <w:pPr>
              <w:spacing w:before="70" w:line="220" w:lineRule="auto"/>
              <w:ind w:left="125"/>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实施单位：</w:t>
            </w:r>
            <w:r>
              <w:rPr>
                <w:rFonts w:ascii="宋体" w:hAnsi="宋体" w:eastAsia="宋体" w:cs="宋体"/>
                <w:color w:val="auto"/>
                <w:spacing w:val="3"/>
                <w:position w:val="6"/>
                <w:sz w:val="18"/>
                <w:szCs w:val="18"/>
              </w:rPr>
              <w:t xml:space="preserve"> </w:t>
            </w:r>
          </w:p>
        </w:tc>
        <w:tc>
          <w:tcPr>
            <w:tcW w:w="3051" w:type="dxa"/>
            <w:gridSpan w:val="3"/>
            <w:vAlign w:val="center"/>
          </w:tcPr>
          <w:p w14:paraId="21E04A21">
            <w:pPr>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县水利局</w:t>
            </w:r>
          </w:p>
        </w:tc>
      </w:tr>
      <w:tr w14:paraId="61699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jc w:val="center"/>
        </w:trPr>
        <w:tc>
          <w:tcPr>
            <w:tcW w:w="1134" w:type="dxa"/>
            <w:vMerge w:val="restart"/>
            <w:tcBorders>
              <w:bottom w:val="nil"/>
            </w:tcBorders>
            <w:vAlign w:val="center"/>
          </w:tcPr>
          <w:p w14:paraId="775C93E5">
            <w:pPr>
              <w:spacing w:line="298" w:lineRule="auto"/>
              <w:jc w:val="center"/>
              <w:rPr>
                <w:rFonts w:ascii="宋体" w:hAnsi="宋体" w:eastAsia="宋体" w:cs="宋体"/>
                <w:color w:val="auto"/>
                <w:sz w:val="18"/>
                <w:szCs w:val="18"/>
              </w:rPr>
            </w:pPr>
          </w:p>
          <w:p w14:paraId="35A2BAF1">
            <w:pPr>
              <w:spacing w:line="299" w:lineRule="auto"/>
              <w:jc w:val="center"/>
              <w:rPr>
                <w:rFonts w:ascii="宋体" w:hAnsi="宋体" w:eastAsia="宋体" w:cs="宋体"/>
                <w:color w:val="auto"/>
                <w:sz w:val="18"/>
                <w:szCs w:val="18"/>
              </w:rPr>
            </w:pPr>
          </w:p>
          <w:p w14:paraId="3EEA880B">
            <w:pPr>
              <w:spacing w:line="299" w:lineRule="auto"/>
              <w:jc w:val="center"/>
              <w:rPr>
                <w:rFonts w:ascii="宋体" w:hAnsi="宋体" w:eastAsia="宋体" w:cs="宋体"/>
                <w:color w:val="auto"/>
                <w:sz w:val="18"/>
                <w:szCs w:val="18"/>
              </w:rPr>
            </w:pPr>
          </w:p>
          <w:p w14:paraId="4671D554">
            <w:pPr>
              <w:spacing w:before="68" w:line="220" w:lineRule="auto"/>
              <w:ind w:left="134"/>
              <w:jc w:val="center"/>
              <w:rPr>
                <w:rFonts w:ascii="宋体" w:hAnsi="宋体" w:eastAsia="宋体" w:cs="宋体"/>
                <w:color w:val="auto"/>
                <w:sz w:val="18"/>
                <w:szCs w:val="18"/>
              </w:rPr>
            </w:pPr>
            <w:r>
              <w:rPr>
                <w:rFonts w:hint="eastAsia" w:ascii="宋体" w:hAnsi="宋体" w:eastAsia="宋体" w:cs="宋体"/>
                <w:color w:val="auto"/>
                <w:spacing w:val="2"/>
                <w:sz w:val="18"/>
                <w:szCs w:val="18"/>
              </w:rPr>
              <w:t>项目资金</w:t>
            </w:r>
          </w:p>
          <w:p w14:paraId="1811CE5C">
            <w:pPr>
              <w:spacing w:before="69" w:line="220" w:lineRule="auto"/>
              <w:ind w:left="245"/>
              <w:jc w:val="center"/>
              <w:rPr>
                <w:rFonts w:ascii="宋体" w:hAnsi="宋体" w:eastAsia="宋体" w:cs="宋体"/>
                <w:color w:val="auto"/>
                <w:sz w:val="18"/>
                <w:szCs w:val="18"/>
              </w:rPr>
            </w:pPr>
            <w:r>
              <w:rPr>
                <w:rFonts w:hint="eastAsia" w:ascii="宋体" w:hAnsi="宋体" w:eastAsia="宋体" w:cs="宋体"/>
                <w:color w:val="auto"/>
                <w:spacing w:val="11"/>
                <w:sz w:val="18"/>
                <w:szCs w:val="18"/>
              </w:rPr>
              <w:t>(万元)</w:t>
            </w:r>
          </w:p>
        </w:tc>
        <w:tc>
          <w:tcPr>
            <w:tcW w:w="2257" w:type="dxa"/>
            <w:gridSpan w:val="2"/>
            <w:vAlign w:val="center"/>
          </w:tcPr>
          <w:p w14:paraId="7E2666E6">
            <w:pPr>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年初预算数</w:t>
            </w:r>
          </w:p>
        </w:tc>
        <w:tc>
          <w:tcPr>
            <w:tcW w:w="1209" w:type="dxa"/>
            <w:vAlign w:val="center"/>
          </w:tcPr>
          <w:p w14:paraId="224690B3">
            <w:pPr>
              <w:spacing w:before="9" w:line="219" w:lineRule="auto"/>
              <w:ind w:left="13"/>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年初预算数</w:t>
            </w:r>
          </w:p>
        </w:tc>
        <w:tc>
          <w:tcPr>
            <w:tcW w:w="1119" w:type="dxa"/>
            <w:vAlign w:val="center"/>
          </w:tcPr>
          <w:p w14:paraId="0829E258">
            <w:pPr>
              <w:spacing w:before="59" w:line="219" w:lineRule="auto"/>
              <w:ind w:left="25"/>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全年预算数</w:t>
            </w:r>
          </w:p>
        </w:tc>
        <w:tc>
          <w:tcPr>
            <w:tcW w:w="1109" w:type="dxa"/>
            <w:vAlign w:val="center"/>
          </w:tcPr>
          <w:p w14:paraId="49DD101A">
            <w:pPr>
              <w:spacing w:before="59" w:line="219" w:lineRule="auto"/>
              <w:ind w:left="25"/>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全年执行数</w:t>
            </w:r>
          </w:p>
        </w:tc>
        <w:tc>
          <w:tcPr>
            <w:tcW w:w="819" w:type="dxa"/>
            <w:vAlign w:val="center"/>
          </w:tcPr>
          <w:p w14:paraId="40BF8FE2">
            <w:pPr>
              <w:spacing w:before="9" w:line="219" w:lineRule="auto"/>
              <w:ind w:left="137"/>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分值</w:t>
            </w:r>
          </w:p>
        </w:tc>
        <w:tc>
          <w:tcPr>
            <w:tcW w:w="859" w:type="dxa"/>
            <w:vAlign w:val="center"/>
          </w:tcPr>
          <w:p w14:paraId="0FFFB429">
            <w:pPr>
              <w:spacing w:before="19" w:line="219" w:lineRule="auto"/>
              <w:ind w:left="107"/>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执行率</w:t>
            </w:r>
          </w:p>
        </w:tc>
        <w:tc>
          <w:tcPr>
            <w:tcW w:w="1373" w:type="dxa"/>
            <w:vAlign w:val="center"/>
          </w:tcPr>
          <w:p w14:paraId="5FAF4150">
            <w:pPr>
              <w:spacing w:before="9" w:line="219" w:lineRule="auto"/>
              <w:ind w:left="469"/>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得分</w:t>
            </w:r>
          </w:p>
        </w:tc>
      </w:tr>
      <w:tr w14:paraId="51C27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1134" w:type="dxa"/>
            <w:vMerge w:val="continue"/>
            <w:tcBorders>
              <w:top w:val="nil"/>
              <w:bottom w:val="nil"/>
            </w:tcBorders>
            <w:vAlign w:val="center"/>
          </w:tcPr>
          <w:p w14:paraId="2A056340">
            <w:pPr>
              <w:jc w:val="center"/>
              <w:rPr>
                <w:rFonts w:ascii="宋体" w:hAnsi="宋体" w:eastAsia="宋体" w:cs="宋体"/>
                <w:color w:val="auto"/>
                <w:sz w:val="18"/>
                <w:szCs w:val="18"/>
              </w:rPr>
            </w:pPr>
          </w:p>
        </w:tc>
        <w:tc>
          <w:tcPr>
            <w:tcW w:w="2257" w:type="dxa"/>
            <w:gridSpan w:val="2"/>
            <w:vAlign w:val="center"/>
          </w:tcPr>
          <w:p w14:paraId="2BBD4ED7">
            <w:pPr>
              <w:spacing w:before="79" w:line="219" w:lineRule="auto"/>
              <w:ind w:left="121"/>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年度资金总额</w:t>
            </w:r>
          </w:p>
        </w:tc>
        <w:tc>
          <w:tcPr>
            <w:tcW w:w="1209" w:type="dxa"/>
            <w:vAlign w:val="center"/>
          </w:tcPr>
          <w:p w14:paraId="1886579D">
            <w:pPr>
              <w:jc w:val="center"/>
              <w:rPr>
                <w:rFonts w:ascii="宋体" w:hAnsi="宋体" w:eastAsia="宋体" w:cs="宋体"/>
                <w:color w:val="auto"/>
                <w:sz w:val="18"/>
                <w:szCs w:val="18"/>
              </w:rPr>
            </w:pPr>
            <w:r>
              <w:rPr>
                <w:rFonts w:hint="eastAsia" w:ascii="宋体" w:hAnsi="宋体" w:eastAsia="宋体" w:cs="宋体"/>
                <w:color w:val="auto"/>
                <w:sz w:val="18"/>
                <w:szCs w:val="18"/>
              </w:rPr>
              <w:t>5</w:t>
            </w:r>
            <w:r>
              <w:rPr>
                <w:rFonts w:ascii="宋体" w:hAnsi="宋体" w:eastAsia="宋体" w:cs="宋体"/>
                <w:color w:val="auto"/>
                <w:sz w:val="18"/>
                <w:szCs w:val="18"/>
              </w:rPr>
              <w:t>00</w:t>
            </w:r>
          </w:p>
        </w:tc>
        <w:tc>
          <w:tcPr>
            <w:tcW w:w="1119" w:type="dxa"/>
            <w:vAlign w:val="center"/>
          </w:tcPr>
          <w:p w14:paraId="74DBDCC7">
            <w:pPr>
              <w:jc w:val="center"/>
              <w:rPr>
                <w:rFonts w:ascii="宋体" w:hAnsi="宋体" w:eastAsia="宋体" w:cs="宋体"/>
                <w:color w:val="auto"/>
                <w:sz w:val="18"/>
                <w:szCs w:val="18"/>
              </w:rPr>
            </w:pPr>
            <w:r>
              <w:rPr>
                <w:rFonts w:ascii="宋体" w:hAnsi="宋体" w:eastAsia="宋体" w:cs="宋体"/>
                <w:color w:val="auto"/>
                <w:sz w:val="18"/>
                <w:szCs w:val="18"/>
              </w:rPr>
              <w:t>450</w:t>
            </w:r>
          </w:p>
        </w:tc>
        <w:tc>
          <w:tcPr>
            <w:tcW w:w="1109" w:type="dxa"/>
            <w:vAlign w:val="center"/>
          </w:tcPr>
          <w:p w14:paraId="31B1A7B8">
            <w:pPr>
              <w:jc w:val="center"/>
              <w:rPr>
                <w:rFonts w:ascii="宋体" w:hAnsi="宋体" w:eastAsia="宋体" w:cs="宋体"/>
                <w:color w:val="auto"/>
                <w:sz w:val="18"/>
                <w:szCs w:val="18"/>
              </w:rPr>
            </w:pPr>
            <w:r>
              <w:rPr>
                <w:rFonts w:hint="eastAsia" w:ascii="宋体" w:hAnsi="宋体" w:eastAsia="宋体" w:cs="宋体"/>
                <w:color w:val="auto"/>
                <w:sz w:val="18"/>
                <w:szCs w:val="18"/>
              </w:rPr>
              <w:t>4</w:t>
            </w:r>
            <w:r>
              <w:rPr>
                <w:rFonts w:ascii="宋体" w:hAnsi="宋体" w:eastAsia="宋体" w:cs="宋体"/>
                <w:color w:val="auto"/>
                <w:sz w:val="18"/>
                <w:szCs w:val="18"/>
              </w:rPr>
              <w:t>50</w:t>
            </w:r>
          </w:p>
        </w:tc>
        <w:tc>
          <w:tcPr>
            <w:tcW w:w="819" w:type="dxa"/>
            <w:vAlign w:val="center"/>
          </w:tcPr>
          <w:p w14:paraId="077C0734">
            <w:pPr>
              <w:spacing w:before="163" w:line="173" w:lineRule="auto"/>
              <w:ind w:left="137"/>
              <w:jc w:val="center"/>
              <w:rPr>
                <w:rFonts w:ascii="宋体" w:hAnsi="宋体" w:eastAsia="宋体" w:cs="宋体"/>
                <w:color w:val="auto"/>
                <w:sz w:val="18"/>
                <w:szCs w:val="18"/>
              </w:rPr>
            </w:pPr>
          </w:p>
        </w:tc>
        <w:tc>
          <w:tcPr>
            <w:tcW w:w="859" w:type="dxa"/>
            <w:vAlign w:val="center"/>
          </w:tcPr>
          <w:p w14:paraId="3C2D02B3">
            <w:pPr>
              <w:jc w:val="center"/>
              <w:rPr>
                <w:rFonts w:ascii="宋体" w:hAnsi="宋体" w:eastAsia="宋体" w:cs="宋体"/>
                <w:color w:val="auto"/>
                <w:sz w:val="18"/>
                <w:szCs w:val="18"/>
              </w:rPr>
            </w:pPr>
            <w:r>
              <w:rPr>
                <w:rFonts w:ascii="宋体" w:hAnsi="宋体" w:eastAsia="宋体" w:cs="宋体"/>
                <w:color w:val="auto"/>
                <w:sz w:val="18"/>
                <w:szCs w:val="18"/>
              </w:rPr>
              <w:t>100%</w:t>
            </w:r>
          </w:p>
        </w:tc>
        <w:tc>
          <w:tcPr>
            <w:tcW w:w="1373" w:type="dxa"/>
            <w:vAlign w:val="center"/>
          </w:tcPr>
          <w:p w14:paraId="25CD5855">
            <w:pPr>
              <w:jc w:val="center"/>
              <w:rPr>
                <w:rFonts w:ascii="宋体" w:hAnsi="宋体" w:eastAsia="宋体" w:cs="宋体"/>
                <w:color w:val="auto"/>
                <w:sz w:val="18"/>
                <w:szCs w:val="18"/>
              </w:rPr>
            </w:pPr>
          </w:p>
        </w:tc>
      </w:tr>
      <w:tr w14:paraId="6770A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vAlign w:val="center"/>
          </w:tcPr>
          <w:p w14:paraId="2D51F864">
            <w:pPr>
              <w:jc w:val="center"/>
              <w:rPr>
                <w:rFonts w:ascii="宋体" w:hAnsi="宋体" w:eastAsia="宋体" w:cs="宋体"/>
                <w:color w:val="auto"/>
                <w:sz w:val="18"/>
                <w:szCs w:val="18"/>
              </w:rPr>
            </w:pPr>
          </w:p>
        </w:tc>
        <w:tc>
          <w:tcPr>
            <w:tcW w:w="2257" w:type="dxa"/>
            <w:gridSpan w:val="2"/>
            <w:vAlign w:val="center"/>
          </w:tcPr>
          <w:p w14:paraId="3CB2E69A">
            <w:pPr>
              <w:spacing w:before="69" w:line="219" w:lineRule="auto"/>
              <w:ind w:left="121"/>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其中：当年财政拨款</w:t>
            </w:r>
          </w:p>
        </w:tc>
        <w:tc>
          <w:tcPr>
            <w:tcW w:w="1209" w:type="dxa"/>
            <w:vAlign w:val="center"/>
          </w:tcPr>
          <w:p w14:paraId="3645665B">
            <w:pPr>
              <w:jc w:val="center"/>
              <w:rPr>
                <w:rFonts w:ascii="宋体" w:hAnsi="宋体" w:eastAsia="宋体" w:cs="宋体"/>
                <w:color w:val="auto"/>
                <w:sz w:val="18"/>
                <w:szCs w:val="18"/>
              </w:rPr>
            </w:pPr>
            <w:r>
              <w:rPr>
                <w:rFonts w:hint="eastAsia" w:ascii="宋体" w:hAnsi="宋体" w:eastAsia="宋体" w:cs="宋体"/>
                <w:color w:val="auto"/>
                <w:sz w:val="18"/>
                <w:szCs w:val="18"/>
              </w:rPr>
              <w:t>5</w:t>
            </w:r>
            <w:r>
              <w:rPr>
                <w:rFonts w:ascii="宋体" w:hAnsi="宋体" w:eastAsia="宋体" w:cs="宋体"/>
                <w:color w:val="auto"/>
                <w:sz w:val="18"/>
                <w:szCs w:val="18"/>
              </w:rPr>
              <w:t>00</w:t>
            </w:r>
          </w:p>
        </w:tc>
        <w:tc>
          <w:tcPr>
            <w:tcW w:w="1119" w:type="dxa"/>
            <w:vAlign w:val="center"/>
          </w:tcPr>
          <w:p w14:paraId="1F7484AE">
            <w:pPr>
              <w:jc w:val="center"/>
              <w:rPr>
                <w:rFonts w:ascii="宋体" w:hAnsi="宋体" w:eastAsia="宋体" w:cs="宋体"/>
                <w:color w:val="auto"/>
                <w:sz w:val="18"/>
                <w:szCs w:val="18"/>
              </w:rPr>
            </w:pPr>
            <w:r>
              <w:rPr>
                <w:rFonts w:ascii="宋体" w:hAnsi="宋体" w:eastAsia="宋体" w:cs="宋体"/>
                <w:color w:val="auto"/>
                <w:sz w:val="18"/>
                <w:szCs w:val="18"/>
              </w:rPr>
              <w:t>450</w:t>
            </w:r>
          </w:p>
        </w:tc>
        <w:tc>
          <w:tcPr>
            <w:tcW w:w="1109" w:type="dxa"/>
            <w:vAlign w:val="center"/>
          </w:tcPr>
          <w:p w14:paraId="5412D5F6">
            <w:pPr>
              <w:jc w:val="center"/>
              <w:rPr>
                <w:rFonts w:ascii="宋体" w:hAnsi="宋体" w:eastAsia="宋体" w:cs="宋体"/>
                <w:color w:val="auto"/>
                <w:sz w:val="18"/>
                <w:szCs w:val="18"/>
              </w:rPr>
            </w:pPr>
            <w:r>
              <w:rPr>
                <w:rFonts w:hint="eastAsia" w:ascii="宋体" w:hAnsi="宋体" w:eastAsia="宋体" w:cs="宋体"/>
                <w:color w:val="auto"/>
                <w:sz w:val="18"/>
                <w:szCs w:val="18"/>
              </w:rPr>
              <w:t>4</w:t>
            </w:r>
            <w:r>
              <w:rPr>
                <w:rFonts w:ascii="宋体" w:hAnsi="宋体" w:eastAsia="宋体" w:cs="宋体"/>
                <w:color w:val="auto"/>
                <w:sz w:val="18"/>
                <w:szCs w:val="18"/>
              </w:rPr>
              <w:t>50</w:t>
            </w:r>
          </w:p>
        </w:tc>
        <w:tc>
          <w:tcPr>
            <w:tcW w:w="819" w:type="dxa"/>
            <w:vAlign w:val="center"/>
          </w:tcPr>
          <w:p w14:paraId="71A71488">
            <w:pPr>
              <w:jc w:val="center"/>
              <w:rPr>
                <w:rFonts w:ascii="宋体" w:hAnsi="宋体" w:eastAsia="宋体" w:cs="宋体"/>
                <w:color w:val="auto"/>
                <w:sz w:val="18"/>
                <w:szCs w:val="18"/>
              </w:rPr>
            </w:pPr>
          </w:p>
        </w:tc>
        <w:tc>
          <w:tcPr>
            <w:tcW w:w="859" w:type="dxa"/>
            <w:vAlign w:val="center"/>
          </w:tcPr>
          <w:p w14:paraId="31CBA144">
            <w:pPr>
              <w:jc w:val="center"/>
              <w:rPr>
                <w:rFonts w:ascii="宋体" w:hAnsi="宋体" w:eastAsia="宋体" w:cs="宋体"/>
                <w:color w:val="auto"/>
                <w:sz w:val="18"/>
                <w:szCs w:val="18"/>
              </w:rPr>
            </w:pPr>
            <w:r>
              <w:rPr>
                <w:rFonts w:ascii="宋体" w:hAnsi="宋体" w:eastAsia="宋体" w:cs="宋体"/>
                <w:color w:val="auto"/>
                <w:sz w:val="18"/>
                <w:szCs w:val="18"/>
              </w:rPr>
              <w:t>100%</w:t>
            </w:r>
          </w:p>
        </w:tc>
        <w:tc>
          <w:tcPr>
            <w:tcW w:w="1373" w:type="dxa"/>
            <w:vAlign w:val="center"/>
          </w:tcPr>
          <w:p w14:paraId="6BF66AEB">
            <w:pPr>
              <w:jc w:val="center"/>
              <w:rPr>
                <w:rFonts w:ascii="宋体" w:hAnsi="宋体" w:eastAsia="宋体" w:cs="宋体"/>
                <w:color w:val="auto"/>
                <w:sz w:val="18"/>
                <w:szCs w:val="18"/>
              </w:rPr>
            </w:pPr>
          </w:p>
        </w:tc>
      </w:tr>
      <w:tr w14:paraId="00530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bottom w:val="nil"/>
            </w:tcBorders>
            <w:vAlign w:val="center"/>
          </w:tcPr>
          <w:p w14:paraId="671995C6">
            <w:pPr>
              <w:jc w:val="center"/>
              <w:rPr>
                <w:rFonts w:ascii="宋体" w:hAnsi="宋体" w:eastAsia="宋体" w:cs="宋体"/>
                <w:color w:val="auto"/>
                <w:sz w:val="18"/>
                <w:szCs w:val="18"/>
              </w:rPr>
            </w:pPr>
          </w:p>
        </w:tc>
        <w:tc>
          <w:tcPr>
            <w:tcW w:w="2257" w:type="dxa"/>
            <w:gridSpan w:val="2"/>
            <w:vAlign w:val="center"/>
          </w:tcPr>
          <w:p w14:paraId="5B93CBDB">
            <w:pPr>
              <w:spacing w:before="69" w:line="219" w:lineRule="auto"/>
              <w:ind w:left="730"/>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上年结转资金</w:t>
            </w:r>
          </w:p>
        </w:tc>
        <w:tc>
          <w:tcPr>
            <w:tcW w:w="1209" w:type="dxa"/>
            <w:vAlign w:val="center"/>
          </w:tcPr>
          <w:p w14:paraId="50008539">
            <w:pPr>
              <w:jc w:val="center"/>
              <w:rPr>
                <w:rFonts w:ascii="宋体" w:hAnsi="宋体" w:eastAsia="宋体" w:cs="宋体"/>
                <w:color w:val="auto"/>
                <w:sz w:val="18"/>
                <w:szCs w:val="18"/>
              </w:rPr>
            </w:pPr>
          </w:p>
        </w:tc>
        <w:tc>
          <w:tcPr>
            <w:tcW w:w="1119" w:type="dxa"/>
            <w:vAlign w:val="center"/>
          </w:tcPr>
          <w:p w14:paraId="3F03AE6E">
            <w:pPr>
              <w:jc w:val="center"/>
              <w:rPr>
                <w:rFonts w:ascii="宋体" w:hAnsi="宋体" w:eastAsia="宋体" w:cs="宋体"/>
                <w:color w:val="auto"/>
                <w:sz w:val="18"/>
                <w:szCs w:val="18"/>
              </w:rPr>
            </w:pPr>
          </w:p>
        </w:tc>
        <w:tc>
          <w:tcPr>
            <w:tcW w:w="1109" w:type="dxa"/>
            <w:vAlign w:val="center"/>
          </w:tcPr>
          <w:p w14:paraId="0B4779D2">
            <w:pPr>
              <w:jc w:val="center"/>
              <w:rPr>
                <w:rFonts w:ascii="宋体" w:hAnsi="宋体" w:eastAsia="宋体" w:cs="宋体"/>
                <w:color w:val="auto"/>
                <w:sz w:val="18"/>
                <w:szCs w:val="18"/>
              </w:rPr>
            </w:pPr>
          </w:p>
        </w:tc>
        <w:tc>
          <w:tcPr>
            <w:tcW w:w="819" w:type="dxa"/>
            <w:vAlign w:val="center"/>
          </w:tcPr>
          <w:p w14:paraId="5019282F">
            <w:pPr>
              <w:jc w:val="center"/>
              <w:rPr>
                <w:rFonts w:ascii="宋体" w:hAnsi="宋体" w:eastAsia="宋体" w:cs="宋体"/>
                <w:color w:val="auto"/>
                <w:sz w:val="18"/>
                <w:szCs w:val="18"/>
              </w:rPr>
            </w:pPr>
          </w:p>
        </w:tc>
        <w:tc>
          <w:tcPr>
            <w:tcW w:w="859" w:type="dxa"/>
            <w:vAlign w:val="center"/>
          </w:tcPr>
          <w:p w14:paraId="70276412">
            <w:pPr>
              <w:jc w:val="center"/>
              <w:rPr>
                <w:rFonts w:ascii="宋体" w:hAnsi="宋体" w:eastAsia="宋体" w:cs="宋体"/>
                <w:color w:val="auto"/>
                <w:sz w:val="18"/>
                <w:szCs w:val="18"/>
              </w:rPr>
            </w:pPr>
          </w:p>
        </w:tc>
        <w:tc>
          <w:tcPr>
            <w:tcW w:w="1373" w:type="dxa"/>
            <w:vAlign w:val="center"/>
          </w:tcPr>
          <w:p w14:paraId="3236EDF1">
            <w:pPr>
              <w:jc w:val="center"/>
              <w:rPr>
                <w:rFonts w:ascii="宋体" w:hAnsi="宋体" w:eastAsia="宋体" w:cs="宋体"/>
                <w:color w:val="auto"/>
                <w:sz w:val="18"/>
                <w:szCs w:val="18"/>
              </w:rPr>
            </w:pPr>
          </w:p>
        </w:tc>
      </w:tr>
      <w:tr w14:paraId="31C24C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tcBorders>
            <w:vAlign w:val="center"/>
          </w:tcPr>
          <w:p w14:paraId="0BBA343F">
            <w:pPr>
              <w:jc w:val="center"/>
              <w:rPr>
                <w:rFonts w:ascii="宋体" w:hAnsi="宋体" w:eastAsia="宋体" w:cs="宋体"/>
                <w:color w:val="auto"/>
                <w:sz w:val="18"/>
                <w:szCs w:val="18"/>
              </w:rPr>
            </w:pPr>
          </w:p>
        </w:tc>
        <w:tc>
          <w:tcPr>
            <w:tcW w:w="2257" w:type="dxa"/>
            <w:gridSpan w:val="2"/>
            <w:vAlign w:val="center"/>
          </w:tcPr>
          <w:p w14:paraId="01731A33">
            <w:pPr>
              <w:spacing w:before="70" w:line="220" w:lineRule="auto"/>
              <w:ind w:left="730"/>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其他资金</w:t>
            </w:r>
          </w:p>
        </w:tc>
        <w:tc>
          <w:tcPr>
            <w:tcW w:w="1209" w:type="dxa"/>
            <w:vAlign w:val="center"/>
          </w:tcPr>
          <w:p w14:paraId="37C0D90E">
            <w:pPr>
              <w:jc w:val="center"/>
              <w:rPr>
                <w:rFonts w:ascii="宋体" w:hAnsi="宋体" w:eastAsia="宋体" w:cs="宋体"/>
                <w:color w:val="auto"/>
                <w:sz w:val="18"/>
                <w:szCs w:val="18"/>
              </w:rPr>
            </w:pPr>
          </w:p>
        </w:tc>
        <w:tc>
          <w:tcPr>
            <w:tcW w:w="1119" w:type="dxa"/>
            <w:vAlign w:val="center"/>
          </w:tcPr>
          <w:p w14:paraId="7C53C40E">
            <w:pPr>
              <w:jc w:val="center"/>
              <w:rPr>
                <w:rFonts w:ascii="宋体" w:hAnsi="宋体" w:eastAsia="宋体" w:cs="宋体"/>
                <w:color w:val="auto"/>
                <w:sz w:val="18"/>
                <w:szCs w:val="18"/>
              </w:rPr>
            </w:pPr>
          </w:p>
        </w:tc>
        <w:tc>
          <w:tcPr>
            <w:tcW w:w="1109" w:type="dxa"/>
            <w:vAlign w:val="center"/>
          </w:tcPr>
          <w:p w14:paraId="349546EC">
            <w:pPr>
              <w:jc w:val="center"/>
              <w:rPr>
                <w:rFonts w:ascii="宋体" w:hAnsi="宋体" w:eastAsia="宋体" w:cs="宋体"/>
                <w:color w:val="auto"/>
                <w:sz w:val="18"/>
                <w:szCs w:val="18"/>
              </w:rPr>
            </w:pPr>
          </w:p>
        </w:tc>
        <w:tc>
          <w:tcPr>
            <w:tcW w:w="819" w:type="dxa"/>
            <w:vAlign w:val="center"/>
          </w:tcPr>
          <w:p w14:paraId="5DCE8CB2">
            <w:pPr>
              <w:jc w:val="center"/>
              <w:rPr>
                <w:rFonts w:ascii="宋体" w:hAnsi="宋体" w:eastAsia="宋体" w:cs="宋体"/>
                <w:color w:val="auto"/>
                <w:sz w:val="18"/>
                <w:szCs w:val="18"/>
              </w:rPr>
            </w:pPr>
          </w:p>
        </w:tc>
        <w:tc>
          <w:tcPr>
            <w:tcW w:w="859" w:type="dxa"/>
            <w:vAlign w:val="center"/>
          </w:tcPr>
          <w:p w14:paraId="57F87502">
            <w:pPr>
              <w:jc w:val="center"/>
              <w:rPr>
                <w:rFonts w:ascii="宋体" w:hAnsi="宋体" w:eastAsia="宋体" w:cs="宋体"/>
                <w:color w:val="auto"/>
                <w:sz w:val="18"/>
                <w:szCs w:val="18"/>
              </w:rPr>
            </w:pPr>
          </w:p>
        </w:tc>
        <w:tc>
          <w:tcPr>
            <w:tcW w:w="1373" w:type="dxa"/>
            <w:vAlign w:val="center"/>
          </w:tcPr>
          <w:p w14:paraId="71ADC097">
            <w:pPr>
              <w:jc w:val="center"/>
              <w:rPr>
                <w:rFonts w:ascii="宋体" w:hAnsi="宋体" w:eastAsia="宋体" w:cs="宋体"/>
                <w:color w:val="auto"/>
                <w:sz w:val="18"/>
                <w:szCs w:val="18"/>
              </w:rPr>
            </w:pPr>
          </w:p>
        </w:tc>
      </w:tr>
      <w:tr w14:paraId="221EB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jc w:val="center"/>
        </w:trPr>
        <w:tc>
          <w:tcPr>
            <w:tcW w:w="1134" w:type="dxa"/>
            <w:vMerge w:val="restart"/>
            <w:tcBorders>
              <w:bottom w:val="nil"/>
            </w:tcBorders>
            <w:vAlign w:val="center"/>
          </w:tcPr>
          <w:p w14:paraId="05F05235">
            <w:pPr>
              <w:spacing w:line="279" w:lineRule="auto"/>
              <w:jc w:val="center"/>
              <w:rPr>
                <w:rFonts w:ascii="宋体" w:hAnsi="宋体" w:eastAsia="宋体" w:cs="宋体"/>
                <w:color w:val="auto"/>
                <w:sz w:val="18"/>
                <w:szCs w:val="18"/>
              </w:rPr>
            </w:pPr>
          </w:p>
          <w:p w14:paraId="6F8E6D27">
            <w:pPr>
              <w:spacing w:before="68" w:line="321" w:lineRule="exact"/>
              <w:ind w:left="245"/>
              <w:jc w:val="center"/>
              <w:rPr>
                <w:rFonts w:ascii="宋体" w:hAnsi="宋体" w:eastAsia="宋体" w:cs="宋体"/>
                <w:color w:val="auto"/>
                <w:sz w:val="18"/>
                <w:szCs w:val="18"/>
              </w:rPr>
            </w:pPr>
            <w:r>
              <w:rPr>
                <w:rFonts w:hint="eastAsia" w:ascii="宋体" w:hAnsi="宋体" w:eastAsia="宋体" w:cs="宋体"/>
                <w:color w:val="auto"/>
                <w:spacing w:val="6"/>
                <w:position w:val="8"/>
                <w:sz w:val="18"/>
                <w:szCs w:val="18"/>
              </w:rPr>
              <w:t>年度总</w:t>
            </w:r>
          </w:p>
          <w:p w14:paraId="45FE7052">
            <w:pPr>
              <w:spacing w:line="220" w:lineRule="auto"/>
              <w:ind w:left="245"/>
              <w:jc w:val="center"/>
              <w:rPr>
                <w:rFonts w:ascii="宋体" w:hAnsi="宋体" w:eastAsia="宋体" w:cs="宋体"/>
                <w:color w:val="auto"/>
                <w:sz w:val="18"/>
                <w:szCs w:val="18"/>
              </w:rPr>
            </w:pPr>
            <w:r>
              <w:rPr>
                <w:rFonts w:hint="eastAsia" w:ascii="宋体" w:hAnsi="宋体" w:eastAsia="宋体" w:cs="宋体"/>
                <w:color w:val="auto"/>
                <w:spacing w:val="-2"/>
                <w:sz w:val="18"/>
                <w:szCs w:val="18"/>
              </w:rPr>
              <w:t>体目标</w:t>
            </w:r>
          </w:p>
        </w:tc>
        <w:tc>
          <w:tcPr>
            <w:tcW w:w="4585" w:type="dxa"/>
            <w:gridSpan w:val="4"/>
            <w:vAlign w:val="center"/>
          </w:tcPr>
          <w:p w14:paraId="4D27DD12">
            <w:pPr>
              <w:spacing w:before="70" w:line="220" w:lineRule="auto"/>
              <w:ind w:left="1860"/>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预期目标</w:t>
            </w:r>
          </w:p>
        </w:tc>
        <w:tc>
          <w:tcPr>
            <w:tcW w:w="4160" w:type="dxa"/>
            <w:gridSpan w:val="4"/>
            <w:vAlign w:val="center"/>
          </w:tcPr>
          <w:p w14:paraId="0D58C8DE">
            <w:pPr>
              <w:spacing w:before="69" w:line="219" w:lineRule="auto"/>
              <w:ind w:left="1445"/>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实际完成情况</w:t>
            </w:r>
          </w:p>
        </w:tc>
      </w:tr>
      <w:tr w14:paraId="63851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jc w:val="center"/>
        </w:trPr>
        <w:tc>
          <w:tcPr>
            <w:tcW w:w="1134" w:type="dxa"/>
            <w:vMerge w:val="continue"/>
            <w:tcBorders>
              <w:top w:val="nil"/>
            </w:tcBorders>
            <w:vAlign w:val="center"/>
          </w:tcPr>
          <w:p w14:paraId="0E8C9F4C">
            <w:pPr>
              <w:jc w:val="center"/>
              <w:rPr>
                <w:rFonts w:ascii="宋体" w:hAnsi="宋体" w:eastAsia="宋体" w:cs="宋体"/>
                <w:color w:val="auto"/>
                <w:sz w:val="18"/>
                <w:szCs w:val="18"/>
              </w:rPr>
            </w:pPr>
          </w:p>
        </w:tc>
        <w:tc>
          <w:tcPr>
            <w:tcW w:w="4585" w:type="dxa"/>
            <w:gridSpan w:val="4"/>
          </w:tcPr>
          <w:p w14:paraId="43C7DCA2">
            <w:pPr>
              <w:jc w:val="center"/>
              <w:rPr>
                <w:rFonts w:ascii="宋体" w:hAnsi="宋体" w:eastAsia="宋体" w:cs="宋体"/>
                <w:color w:val="auto"/>
                <w:sz w:val="18"/>
                <w:szCs w:val="18"/>
              </w:rPr>
            </w:pPr>
            <w:r>
              <w:rPr>
                <w:rFonts w:hint="eastAsia"/>
              </w:rPr>
              <w:t>全县62条河流开展常化保洁；河流“清四乱”常态化规范化，“四乱”问题动态清零；疏浚清淤河流24条；建成涓水标准化管理示范河和全县12条 “一乡一亮点”示范河；按期完成省河长办下达我县8项重点工作任务。</w:t>
            </w:r>
          </w:p>
        </w:tc>
        <w:tc>
          <w:tcPr>
            <w:tcW w:w="4160" w:type="dxa"/>
            <w:gridSpan w:val="4"/>
          </w:tcPr>
          <w:p w14:paraId="65680B44">
            <w:pPr>
              <w:jc w:val="center"/>
              <w:rPr>
                <w:rFonts w:ascii="宋体" w:hAnsi="宋体" w:eastAsia="宋体" w:cs="宋体"/>
                <w:color w:val="auto"/>
                <w:sz w:val="18"/>
                <w:szCs w:val="18"/>
              </w:rPr>
            </w:pPr>
            <w:r>
              <w:rPr>
                <w:rFonts w:hint="eastAsia"/>
              </w:rPr>
              <w:t>全县62条河流开展常化保洁；河流“清四乱”常态化规范化，“四乱”问题动态清零；完成24条河流疏浚清淤任务；建成涓水标准化管理示范河和全县12条 “一乡一亮点”示范河；按期完成省河长办下达我县8项重点工作任务。</w:t>
            </w:r>
          </w:p>
        </w:tc>
      </w:tr>
      <w:tr w14:paraId="61911E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jc w:val="center"/>
        </w:trPr>
        <w:tc>
          <w:tcPr>
            <w:tcW w:w="1134" w:type="dxa"/>
            <w:vMerge w:val="restart"/>
            <w:tcBorders>
              <w:bottom w:val="nil"/>
            </w:tcBorders>
            <w:textDirection w:val="tbRlV"/>
            <w:vAlign w:val="center"/>
          </w:tcPr>
          <w:p w14:paraId="03BA54EE">
            <w:pPr>
              <w:spacing w:line="376" w:lineRule="auto"/>
              <w:jc w:val="center"/>
              <w:rPr>
                <w:rFonts w:ascii="宋体" w:hAnsi="宋体" w:eastAsia="宋体" w:cs="宋体"/>
                <w:color w:val="auto"/>
                <w:sz w:val="18"/>
                <w:szCs w:val="18"/>
              </w:rPr>
            </w:pPr>
          </w:p>
          <w:p w14:paraId="1E58CF35">
            <w:pPr>
              <w:spacing w:before="71" w:line="217" w:lineRule="auto"/>
              <w:ind w:left="3762"/>
              <w:jc w:val="center"/>
              <w:rPr>
                <w:rFonts w:ascii="宋体" w:hAnsi="宋体" w:eastAsia="宋体" w:cs="宋体"/>
                <w:color w:val="auto"/>
                <w:sz w:val="18"/>
                <w:szCs w:val="18"/>
              </w:rPr>
            </w:pPr>
            <w:r>
              <w:rPr>
                <w:rFonts w:hint="eastAsia" w:ascii="宋体" w:hAnsi="宋体" w:eastAsia="宋体" w:cs="宋体"/>
                <w:color w:val="auto"/>
                <w:sz w:val="18"/>
                <w:szCs w:val="18"/>
              </w:rPr>
              <w:t>绩效指标</w:t>
            </w:r>
          </w:p>
        </w:tc>
        <w:tc>
          <w:tcPr>
            <w:tcW w:w="989" w:type="dxa"/>
            <w:vAlign w:val="center"/>
          </w:tcPr>
          <w:p w14:paraId="5011E631">
            <w:pPr>
              <w:spacing w:line="283" w:lineRule="auto"/>
              <w:jc w:val="center"/>
              <w:rPr>
                <w:rFonts w:ascii="宋体" w:hAnsi="宋体" w:eastAsia="宋体" w:cs="宋体"/>
                <w:color w:val="auto"/>
                <w:sz w:val="18"/>
                <w:szCs w:val="18"/>
              </w:rPr>
            </w:pPr>
          </w:p>
          <w:p w14:paraId="59B8B9A5">
            <w:pPr>
              <w:spacing w:before="69" w:line="250" w:lineRule="auto"/>
              <w:ind w:left="380" w:right="164" w:hanging="209"/>
              <w:jc w:val="center"/>
              <w:rPr>
                <w:rFonts w:ascii="宋体" w:hAnsi="宋体" w:eastAsia="宋体" w:cs="宋体"/>
                <w:color w:val="auto"/>
                <w:sz w:val="18"/>
                <w:szCs w:val="18"/>
              </w:rPr>
            </w:pPr>
            <w:r>
              <w:rPr>
                <w:rFonts w:hint="eastAsia" w:ascii="宋体" w:hAnsi="宋体" w:eastAsia="宋体" w:cs="宋体"/>
                <w:color w:val="auto"/>
                <w:spacing w:val="4"/>
                <w:sz w:val="18"/>
                <w:szCs w:val="18"/>
              </w:rPr>
              <w:t>一级指</w:t>
            </w:r>
            <w:r>
              <w:rPr>
                <w:rFonts w:hint="eastAsia" w:ascii="宋体" w:hAnsi="宋体" w:eastAsia="宋体" w:cs="宋体"/>
                <w:color w:val="auto"/>
                <w:sz w:val="18"/>
                <w:szCs w:val="18"/>
              </w:rPr>
              <w:t>标</w:t>
            </w:r>
          </w:p>
        </w:tc>
        <w:tc>
          <w:tcPr>
            <w:tcW w:w="1268" w:type="dxa"/>
            <w:vAlign w:val="center"/>
          </w:tcPr>
          <w:p w14:paraId="1EB6D299">
            <w:pPr>
              <w:spacing w:line="341" w:lineRule="auto"/>
              <w:jc w:val="center"/>
              <w:rPr>
                <w:rFonts w:ascii="宋体" w:hAnsi="宋体" w:eastAsia="宋体" w:cs="宋体"/>
                <w:color w:val="auto"/>
                <w:sz w:val="18"/>
                <w:szCs w:val="18"/>
              </w:rPr>
            </w:pPr>
          </w:p>
          <w:p w14:paraId="66BA0162">
            <w:pPr>
              <w:spacing w:before="69" w:line="220" w:lineRule="auto"/>
              <w:ind w:left="202"/>
              <w:jc w:val="center"/>
              <w:rPr>
                <w:rFonts w:ascii="宋体" w:hAnsi="宋体" w:eastAsia="宋体" w:cs="宋体"/>
                <w:color w:val="auto"/>
                <w:sz w:val="18"/>
                <w:szCs w:val="18"/>
              </w:rPr>
            </w:pPr>
            <w:r>
              <w:rPr>
                <w:rFonts w:hint="eastAsia" w:ascii="宋体" w:hAnsi="宋体" w:eastAsia="宋体" w:cs="宋体"/>
                <w:color w:val="auto"/>
                <w:spacing w:val="-3"/>
                <w:sz w:val="18"/>
                <w:szCs w:val="18"/>
              </w:rPr>
              <w:t>二级指标</w:t>
            </w:r>
          </w:p>
        </w:tc>
        <w:tc>
          <w:tcPr>
            <w:tcW w:w="1209" w:type="dxa"/>
            <w:vAlign w:val="center"/>
          </w:tcPr>
          <w:p w14:paraId="08D40996">
            <w:pPr>
              <w:spacing w:line="341" w:lineRule="auto"/>
              <w:jc w:val="center"/>
              <w:rPr>
                <w:rFonts w:ascii="宋体" w:hAnsi="宋体" w:eastAsia="宋体" w:cs="宋体"/>
                <w:color w:val="auto"/>
                <w:sz w:val="18"/>
                <w:szCs w:val="18"/>
              </w:rPr>
            </w:pPr>
          </w:p>
          <w:p w14:paraId="49807212">
            <w:pPr>
              <w:spacing w:before="69" w:line="220" w:lineRule="auto"/>
              <w:ind w:left="224"/>
              <w:jc w:val="center"/>
              <w:rPr>
                <w:rFonts w:ascii="宋体" w:hAnsi="宋体" w:eastAsia="宋体" w:cs="宋体"/>
                <w:color w:val="auto"/>
                <w:sz w:val="18"/>
                <w:szCs w:val="18"/>
              </w:rPr>
            </w:pPr>
            <w:r>
              <w:rPr>
                <w:rFonts w:hint="eastAsia" w:ascii="宋体" w:hAnsi="宋体" w:eastAsia="宋体" w:cs="宋体"/>
                <w:color w:val="auto"/>
                <w:spacing w:val="-2"/>
                <w:sz w:val="18"/>
                <w:szCs w:val="18"/>
              </w:rPr>
              <w:t>三级指标</w:t>
            </w:r>
          </w:p>
        </w:tc>
        <w:tc>
          <w:tcPr>
            <w:tcW w:w="1119" w:type="dxa"/>
            <w:vAlign w:val="center"/>
          </w:tcPr>
          <w:p w14:paraId="5FA4E751">
            <w:pPr>
              <w:spacing w:line="271" w:lineRule="auto"/>
              <w:jc w:val="center"/>
              <w:rPr>
                <w:rFonts w:ascii="宋体" w:hAnsi="宋体" w:eastAsia="宋体" w:cs="宋体"/>
                <w:color w:val="auto"/>
                <w:sz w:val="18"/>
                <w:szCs w:val="18"/>
              </w:rPr>
            </w:pPr>
          </w:p>
          <w:p w14:paraId="544AF2E7">
            <w:pPr>
              <w:spacing w:before="68" w:line="330" w:lineRule="exact"/>
              <w:ind w:left="345"/>
              <w:jc w:val="center"/>
              <w:rPr>
                <w:rFonts w:ascii="宋体" w:hAnsi="宋体" w:eastAsia="宋体" w:cs="宋体"/>
                <w:color w:val="auto"/>
                <w:sz w:val="18"/>
                <w:szCs w:val="18"/>
              </w:rPr>
            </w:pPr>
            <w:r>
              <w:rPr>
                <w:rFonts w:hint="eastAsia" w:ascii="宋体" w:hAnsi="宋体" w:eastAsia="宋体" w:cs="宋体"/>
                <w:color w:val="auto"/>
                <w:spacing w:val="6"/>
                <w:position w:val="8"/>
                <w:sz w:val="18"/>
                <w:szCs w:val="18"/>
              </w:rPr>
              <w:t>年度</w:t>
            </w:r>
          </w:p>
          <w:p w14:paraId="5A557802">
            <w:pPr>
              <w:spacing w:line="219" w:lineRule="auto"/>
              <w:ind w:left="234"/>
              <w:jc w:val="center"/>
              <w:rPr>
                <w:rFonts w:ascii="宋体" w:hAnsi="宋体" w:eastAsia="宋体" w:cs="宋体"/>
                <w:color w:val="auto"/>
                <w:sz w:val="18"/>
                <w:szCs w:val="18"/>
              </w:rPr>
            </w:pPr>
            <w:r>
              <w:rPr>
                <w:rFonts w:hint="eastAsia" w:ascii="宋体" w:hAnsi="宋体" w:eastAsia="宋体" w:cs="宋体"/>
                <w:color w:val="auto"/>
                <w:spacing w:val="-3"/>
                <w:sz w:val="18"/>
                <w:szCs w:val="18"/>
              </w:rPr>
              <w:t>指标值</w:t>
            </w:r>
          </w:p>
        </w:tc>
        <w:tc>
          <w:tcPr>
            <w:tcW w:w="1109" w:type="dxa"/>
            <w:vAlign w:val="center"/>
          </w:tcPr>
          <w:p w14:paraId="1BE9DABE">
            <w:pPr>
              <w:spacing w:line="282" w:lineRule="auto"/>
              <w:jc w:val="center"/>
              <w:rPr>
                <w:rFonts w:ascii="宋体" w:hAnsi="宋体" w:eastAsia="宋体" w:cs="宋体"/>
                <w:color w:val="auto"/>
                <w:sz w:val="18"/>
                <w:szCs w:val="18"/>
              </w:rPr>
            </w:pPr>
          </w:p>
          <w:p w14:paraId="757961B8">
            <w:pPr>
              <w:spacing w:before="68" w:line="329" w:lineRule="exact"/>
              <w:ind w:left="335"/>
              <w:jc w:val="center"/>
              <w:rPr>
                <w:rFonts w:ascii="宋体" w:hAnsi="宋体" w:eastAsia="宋体" w:cs="宋体"/>
                <w:color w:val="auto"/>
                <w:sz w:val="18"/>
                <w:szCs w:val="18"/>
              </w:rPr>
            </w:pPr>
            <w:r>
              <w:rPr>
                <w:rFonts w:hint="eastAsia" w:ascii="宋体" w:hAnsi="宋体" w:eastAsia="宋体" w:cs="宋体"/>
                <w:color w:val="auto"/>
                <w:spacing w:val="4"/>
                <w:position w:val="8"/>
                <w:sz w:val="18"/>
                <w:szCs w:val="18"/>
              </w:rPr>
              <w:t>实际</w:t>
            </w:r>
          </w:p>
          <w:p w14:paraId="4CA6C09C">
            <w:pPr>
              <w:spacing w:line="219" w:lineRule="auto"/>
              <w:ind w:left="236"/>
              <w:jc w:val="center"/>
              <w:rPr>
                <w:rFonts w:ascii="宋体" w:hAnsi="宋体" w:eastAsia="宋体" w:cs="宋体"/>
                <w:color w:val="auto"/>
                <w:sz w:val="18"/>
                <w:szCs w:val="18"/>
              </w:rPr>
            </w:pPr>
            <w:r>
              <w:rPr>
                <w:rFonts w:hint="eastAsia" w:ascii="宋体" w:hAnsi="宋体" w:eastAsia="宋体" w:cs="宋体"/>
                <w:color w:val="auto"/>
                <w:spacing w:val="-3"/>
                <w:sz w:val="18"/>
                <w:szCs w:val="18"/>
              </w:rPr>
              <w:t>完成值</w:t>
            </w:r>
          </w:p>
        </w:tc>
        <w:tc>
          <w:tcPr>
            <w:tcW w:w="819" w:type="dxa"/>
            <w:vAlign w:val="center"/>
          </w:tcPr>
          <w:p w14:paraId="343808C0">
            <w:pPr>
              <w:spacing w:line="341" w:lineRule="auto"/>
              <w:jc w:val="center"/>
              <w:rPr>
                <w:rFonts w:ascii="宋体" w:hAnsi="宋体" w:eastAsia="宋体" w:cs="宋体"/>
                <w:color w:val="auto"/>
                <w:sz w:val="18"/>
                <w:szCs w:val="18"/>
              </w:rPr>
            </w:pPr>
          </w:p>
          <w:p w14:paraId="64B46CB0">
            <w:pPr>
              <w:spacing w:before="68" w:line="219" w:lineRule="auto"/>
              <w:ind w:left="137"/>
              <w:jc w:val="center"/>
              <w:rPr>
                <w:rFonts w:ascii="宋体" w:hAnsi="宋体" w:eastAsia="宋体" w:cs="宋体"/>
                <w:color w:val="auto"/>
                <w:sz w:val="18"/>
                <w:szCs w:val="18"/>
              </w:rPr>
            </w:pPr>
            <w:r>
              <w:rPr>
                <w:rFonts w:hint="eastAsia" w:ascii="宋体" w:hAnsi="宋体" w:eastAsia="宋体" w:cs="宋体"/>
                <w:color w:val="auto"/>
                <w:spacing w:val="-3"/>
                <w:sz w:val="18"/>
                <w:szCs w:val="18"/>
              </w:rPr>
              <w:t>分值</w:t>
            </w:r>
          </w:p>
        </w:tc>
        <w:tc>
          <w:tcPr>
            <w:tcW w:w="859" w:type="dxa"/>
            <w:vAlign w:val="center"/>
          </w:tcPr>
          <w:p w14:paraId="78BA8BF4">
            <w:pPr>
              <w:spacing w:line="341" w:lineRule="auto"/>
              <w:jc w:val="center"/>
              <w:rPr>
                <w:rFonts w:ascii="宋体" w:hAnsi="宋体" w:eastAsia="宋体" w:cs="宋体"/>
                <w:color w:val="auto"/>
                <w:sz w:val="18"/>
                <w:szCs w:val="18"/>
              </w:rPr>
            </w:pPr>
          </w:p>
          <w:p w14:paraId="2797FEB0">
            <w:pPr>
              <w:spacing w:before="68" w:line="219" w:lineRule="auto"/>
              <w:ind w:left="217"/>
              <w:jc w:val="center"/>
              <w:rPr>
                <w:rFonts w:ascii="宋体" w:hAnsi="宋体" w:eastAsia="宋体" w:cs="宋体"/>
                <w:color w:val="auto"/>
                <w:sz w:val="18"/>
                <w:szCs w:val="18"/>
              </w:rPr>
            </w:pPr>
            <w:r>
              <w:rPr>
                <w:rFonts w:hint="eastAsia" w:ascii="宋体" w:hAnsi="宋体" w:eastAsia="宋体" w:cs="宋体"/>
                <w:color w:val="auto"/>
                <w:spacing w:val="-3"/>
                <w:sz w:val="18"/>
                <w:szCs w:val="18"/>
              </w:rPr>
              <w:t>得分</w:t>
            </w:r>
          </w:p>
        </w:tc>
        <w:tc>
          <w:tcPr>
            <w:tcW w:w="1373" w:type="dxa"/>
            <w:vAlign w:val="center"/>
          </w:tcPr>
          <w:p w14:paraId="0D1260E9">
            <w:pPr>
              <w:spacing w:before="131" w:line="219" w:lineRule="auto"/>
              <w:ind w:left="258"/>
              <w:jc w:val="center"/>
              <w:rPr>
                <w:rFonts w:ascii="宋体" w:hAnsi="宋体" w:eastAsia="宋体" w:cs="宋体"/>
                <w:color w:val="auto"/>
                <w:sz w:val="18"/>
                <w:szCs w:val="18"/>
              </w:rPr>
            </w:pPr>
            <w:r>
              <w:rPr>
                <w:rFonts w:hint="eastAsia" w:ascii="宋体" w:hAnsi="宋体" w:eastAsia="宋体" w:cs="宋体"/>
                <w:color w:val="auto"/>
                <w:spacing w:val="5"/>
                <w:sz w:val="18"/>
                <w:szCs w:val="18"/>
              </w:rPr>
              <w:t>偏差原因</w:t>
            </w:r>
          </w:p>
          <w:p w14:paraId="151C7C40">
            <w:pPr>
              <w:spacing w:before="61" w:line="220" w:lineRule="auto"/>
              <w:ind w:left="368"/>
              <w:jc w:val="center"/>
              <w:rPr>
                <w:rFonts w:ascii="宋体" w:hAnsi="宋体" w:eastAsia="宋体" w:cs="宋体"/>
                <w:color w:val="auto"/>
                <w:sz w:val="18"/>
                <w:szCs w:val="18"/>
              </w:rPr>
            </w:pPr>
            <w:r>
              <w:rPr>
                <w:rFonts w:hint="eastAsia" w:ascii="宋体" w:hAnsi="宋体" w:eastAsia="宋体" w:cs="宋体"/>
                <w:color w:val="auto"/>
                <w:spacing w:val="3"/>
                <w:sz w:val="18"/>
                <w:szCs w:val="18"/>
              </w:rPr>
              <w:t>分析及</w:t>
            </w:r>
          </w:p>
          <w:p w14:paraId="00D7602C">
            <w:pPr>
              <w:spacing w:before="59" w:line="219" w:lineRule="auto"/>
              <w:ind w:left="258"/>
              <w:jc w:val="center"/>
              <w:rPr>
                <w:rFonts w:ascii="宋体" w:hAnsi="宋体" w:eastAsia="宋体" w:cs="宋体"/>
                <w:color w:val="auto"/>
                <w:sz w:val="18"/>
                <w:szCs w:val="18"/>
              </w:rPr>
            </w:pPr>
            <w:r>
              <w:rPr>
                <w:rFonts w:hint="eastAsia" w:ascii="宋体" w:hAnsi="宋体" w:eastAsia="宋体" w:cs="宋体"/>
                <w:color w:val="auto"/>
                <w:spacing w:val="2"/>
                <w:sz w:val="18"/>
                <w:szCs w:val="18"/>
              </w:rPr>
              <w:t>改进措施</w:t>
            </w:r>
          </w:p>
        </w:tc>
      </w:tr>
      <w:tr w14:paraId="7E1E0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jc w:val="center"/>
        </w:trPr>
        <w:tc>
          <w:tcPr>
            <w:tcW w:w="1134" w:type="dxa"/>
            <w:vMerge w:val="continue"/>
            <w:tcBorders>
              <w:top w:val="nil"/>
              <w:bottom w:val="nil"/>
            </w:tcBorders>
            <w:textDirection w:val="tbRlV"/>
            <w:vAlign w:val="center"/>
          </w:tcPr>
          <w:p w14:paraId="175D1524">
            <w:pPr>
              <w:jc w:val="center"/>
              <w:rPr>
                <w:rFonts w:ascii="宋体" w:hAnsi="宋体" w:eastAsia="宋体" w:cs="宋体"/>
                <w:color w:val="auto"/>
                <w:sz w:val="18"/>
                <w:szCs w:val="18"/>
              </w:rPr>
            </w:pPr>
          </w:p>
        </w:tc>
        <w:tc>
          <w:tcPr>
            <w:tcW w:w="989" w:type="dxa"/>
            <w:vMerge w:val="restart"/>
            <w:tcBorders>
              <w:bottom w:val="nil"/>
            </w:tcBorders>
            <w:vAlign w:val="center"/>
          </w:tcPr>
          <w:p w14:paraId="6900C23E">
            <w:pPr>
              <w:spacing w:line="245" w:lineRule="auto"/>
              <w:jc w:val="center"/>
              <w:rPr>
                <w:rFonts w:ascii="宋体" w:hAnsi="宋体" w:eastAsia="宋体" w:cs="宋体"/>
                <w:color w:val="auto"/>
                <w:sz w:val="18"/>
                <w:szCs w:val="18"/>
              </w:rPr>
            </w:pPr>
          </w:p>
          <w:p w14:paraId="5D28BF41">
            <w:pPr>
              <w:spacing w:line="245" w:lineRule="auto"/>
              <w:jc w:val="center"/>
              <w:rPr>
                <w:rFonts w:ascii="宋体" w:hAnsi="宋体" w:eastAsia="宋体" w:cs="宋体"/>
                <w:color w:val="auto"/>
                <w:sz w:val="18"/>
                <w:szCs w:val="18"/>
              </w:rPr>
            </w:pPr>
          </w:p>
          <w:p w14:paraId="7F3E0EAE">
            <w:pPr>
              <w:spacing w:line="245" w:lineRule="auto"/>
              <w:jc w:val="center"/>
              <w:rPr>
                <w:rFonts w:ascii="宋体" w:hAnsi="宋体" w:eastAsia="宋体" w:cs="宋体"/>
                <w:color w:val="auto"/>
                <w:sz w:val="18"/>
                <w:szCs w:val="18"/>
              </w:rPr>
            </w:pPr>
          </w:p>
          <w:p w14:paraId="0AC622E6">
            <w:pPr>
              <w:spacing w:line="245" w:lineRule="auto"/>
              <w:jc w:val="center"/>
              <w:rPr>
                <w:rFonts w:ascii="宋体" w:hAnsi="宋体" w:eastAsia="宋体" w:cs="宋体"/>
                <w:color w:val="auto"/>
                <w:sz w:val="18"/>
                <w:szCs w:val="18"/>
              </w:rPr>
            </w:pPr>
          </w:p>
          <w:p w14:paraId="6E35846E">
            <w:pPr>
              <w:spacing w:line="246" w:lineRule="auto"/>
              <w:jc w:val="center"/>
              <w:rPr>
                <w:rFonts w:ascii="宋体" w:hAnsi="宋体" w:eastAsia="宋体" w:cs="宋体"/>
                <w:color w:val="auto"/>
                <w:sz w:val="18"/>
                <w:szCs w:val="18"/>
              </w:rPr>
            </w:pPr>
          </w:p>
          <w:p w14:paraId="1626569E">
            <w:pPr>
              <w:spacing w:before="69" w:line="219" w:lineRule="auto"/>
              <w:ind w:left="271"/>
              <w:jc w:val="center"/>
              <w:rPr>
                <w:rFonts w:ascii="宋体" w:hAnsi="宋体" w:eastAsia="宋体" w:cs="宋体"/>
                <w:color w:val="auto"/>
                <w:sz w:val="18"/>
                <w:szCs w:val="18"/>
              </w:rPr>
            </w:pPr>
            <w:r>
              <w:rPr>
                <w:rFonts w:hint="eastAsia" w:ascii="宋体" w:hAnsi="宋体" w:eastAsia="宋体" w:cs="宋体"/>
                <w:color w:val="auto"/>
                <w:spacing w:val="12"/>
                <w:sz w:val="18"/>
                <w:szCs w:val="18"/>
              </w:rPr>
              <w:t>产出</w:t>
            </w:r>
          </w:p>
          <w:p w14:paraId="57D5992E">
            <w:pPr>
              <w:spacing w:before="81" w:line="630" w:lineRule="exact"/>
              <w:ind w:left="271"/>
              <w:jc w:val="center"/>
              <w:rPr>
                <w:rFonts w:ascii="宋体" w:hAnsi="宋体" w:eastAsia="宋体" w:cs="宋体"/>
                <w:color w:val="auto"/>
                <w:sz w:val="18"/>
                <w:szCs w:val="18"/>
              </w:rPr>
            </w:pPr>
            <w:r>
              <w:rPr>
                <w:rFonts w:hint="eastAsia" w:ascii="宋体" w:hAnsi="宋体" w:eastAsia="宋体" w:cs="宋体"/>
                <w:color w:val="auto"/>
                <w:spacing w:val="-3"/>
                <w:position w:val="32"/>
                <w:sz w:val="18"/>
                <w:szCs w:val="18"/>
              </w:rPr>
              <w:t>指标</w:t>
            </w:r>
          </w:p>
          <w:p w14:paraId="386252E0">
            <w:pPr>
              <w:spacing w:line="220" w:lineRule="auto"/>
              <w:ind w:left="171"/>
              <w:jc w:val="center"/>
              <w:rPr>
                <w:rFonts w:ascii="宋体" w:hAnsi="宋体" w:eastAsia="宋体" w:cs="宋体"/>
                <w:color w:val="auto"/>
                <w:sz w:val="18"/>
                <w:szCs w:val="18"/>
              </w:rPr>
            </w:pPr>
            <w:r>
              <w:rPr>
                <w:rFonts w:hint="eastAsia" w:ascii="宋体" w:hAnsi="宋体" w:eastAsia="宋体" w:cs="宋体"/>
                <w:color w:val="auto"/>
                <w:spacing w:val="9"/>
                <w:sz w:val="18"/>
                <w:szCs w:val="18"/>
              </w:rPr>
              <w:t>(50分)</w:t>
            </w:r>
          </w:p>
        </w:tc>
        <w:tc>
          <w:tcPr>
            <w:tcW w:w="1268" w:type="dxa"/>
            <w:vMerge w:val="restart"/>
            <w:tcBorders>
              <w:bottom w:val="nil"/>
            </w:tcBorders>
            <w:vAlign w:val="center"/>
          </w:tcPr>
          <w:p w14:paraId="2F123B0F">
            <w:pPr>
              <w:spacing w:line="282" w:lineRule="auto"/>
              <w:jc w:val="center"/>
              <w:rPr>
                <w:rFonts w:ascii="宋体" w:hAnsi="宋体" w:eastAsia="宋体" w:cs="宋体"/>
                <w:color w:val="auto"/>
                <w:sz w:val="18"/>
                <w:szCs w:val="18"/>
              </w:rPr>
            </w:pPr>
          </w:p>
          <w:p w14:paraId="69708690">
            <w:pPr>
              <w:spacing w:before="68" w:line="219"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数量指标</w:t>
            </w:r>
          </w:p>
        </w:tc>
        <w:tc>
          <w:tcPr>
            <w:tcW w:w="1209" w:type="dxa"/>
            <w:vAlign w:val="center"/>
          </w:tcPr>
          <w:p w14:paraId="1CE73388">
            <w:pPr>
              <w:jc w:val="center"/>
              <w:rPr>
                <w:rFonts w:ascii="宋体" w:hAnsi="宋体" w:eastAsia="宋体" w:cs="宋体"/>
                <w:color w:val="auto"/>
                <w:sz w:val="18"/>
                <w:szCs w:val="18"/>
              </w:rPr>
            </w:pPr>
            <w:r>
              <w:rPr>
                <w:rFonts w:ascii="宋体" w:hAnsi="宋体" w:eastAsia="宋体" w:cs="宋体"/>
                <w:color w:val="auto"/>
                <w:sz w:val="18"/>
                <w:szCs w:val="18"/>
              </w:rPr>
              <w:t>河道保洁</w:t>
            </w:r>
          </w:p>
        </w:tc>
        <w:tc>
          <w:tcPr>
            <w:tcW w:w="1119" w:type="dxa"/>
            <w:vAlign w:val="center"/>
          </w:tcPr>
          <w:p w14:paraId="6CB0AD7D">
            <w:pPr>
              <w:jc w:val="center"/>
              <w:rPr>
                <w:rFonts w:ascii="宋体" w:hAnsi="宋体" w:eastAsia="宋体" w:cs="宋体"/>
                <w:color w:val="auto"/>
                <w:sz w:val="18"/>
                <w:szCs w:val="18"/>
              </w:rPr>
            </w:pPr>
            <w:r>
              <w:rPr>
                <w:rFonts w:hint="eastAsia" w:ascii="宋体" w:hAnsi="宋体" w:eastAsia="宋体" w:cs="宋体"/>
                <w:color w:val="auto"/>
                <w:sz w:val="18"/>
                <w:szCs w:val="18"/>
              </w:rPr>
              <w:t>6</w:t>
            </w:r>
            <w:r>
              <w:rPr>
                <w:rFonts w:ascii="宋体" w:hAnsi="宋体" w:eastAsia="宋体" w:cs="宋体"/>
                <w:color w:val="auto"/>
                <w:sz w:val="18"/>
                <w:szCs w:val="18"/>
              </w:rPr>
              <w:t>2条</w:t>
            </w:r>
          </w:p>
        </w:tc>
        <w:tc>
          <w:tcPr>
            <w:tcW w:w="1109" w:type="dxa"/>
            <w:vAlign w:val="center"/>
          </w:tcPr>
          <w:p w14:paraId="50FC8062">
            <w:pPr>
              <w:jc w:val="center"/>
              <w:rPr>
                <w:rFonts w:ascii="宋体" w:hAnsi="宋体" w:eastAsia="宋体" w:cs="宋体"/>
                <w:color w:val="auto"/>
                <w:sz w:val="18"/>
                <w:szCs w:val="18"/>
              </w:rPr>
            </w:pPr>
            <w:r>
              <w:rPr>
                <w:rFonts w:hint="eastAsia" w:ascii="宋体" w:hAnsi="宋体" w:eastAsia="宋体" w:cs="宋体"/>
                <w:color w:val="auto"/>
                <w:sz w:val="18"/>
                <w:szCs w:val="18"/>
              </w:rPr>
              <w:t>6</w:t>
            </w:r>
            <w:r>
              <w:rPr>
                <w:rFonts w:ascii="宋体" w:hAnsi="宋体" w:eastAsia="宋体" w:cs="宋体"/>
                <w:color w:val="auto"/>
                <w:sz w:val="18"/>
                <w:szCs w:val="18"/>
              </w:rPr>
              <w:t>2条</w:t>
            </w:r>
          </w:p>
        </w:tc>
        <w:tc>
          <w:tcPr>
            <w:tcW w:w="819" w:type="dxa"/>
            <w:vAlign w:val="center"/>
          </w:tcPr>
          <w:p w14:paraId="01D5FFB4">
            <w:pPr>
              <w:jc w:val="center"/>
              <w:rPr>
                <w:rFonts w:ascii="宋体" w:hAnsi="宋体" w:eastAsia="宋体" w:cs="宋体"/>
                <w:color w:val="auto"/>
                <w:sz w:val="18"/>
                <w:szCs w:val="18"/>
              </w:rPr>
            </w:pPr>
          </w:p>
        </w:tc>
        <w:tc>
          <w:tcPr>
            <w:tcW w:w="859" w:type="dxa"/>
            <w:vAlign w:val="center"/>
          </w:tcPr>
          <w:p w14:paraId="09BF568A">
            <w:pPr>
              <w:jc w:val="center"/>
              <w:rPr>
                <w:rFonts w:ascii="宋体" w:hAnsi="宋体" w:eastAsia="宋体" w:cs="宋体"/>
                <w:color w:val="auto"/>
                <w:sz w:val="18"/>
                <w:szCs w:val="18"/>
              </w:rPr>
            </w:pPr>
          </w:p>
        </w:tc>
        <w:tc>
          <w:tcPr>
            <w:tcW w:w="1373" w:type="dxa"/>
            <w:vAlign w:val="center"/>
          </w:tcPr>
          <w:p w14:paraId="0C679DD1">
            <w:pPr>
              <w:jc w:val="center"/>
              <w:rPr>
                <w:rFonts w:ascii="宋体" w:hAnsi="宋体" w:eastAsia="宋体" w:cs="宋体"/>
                <w:color w:val="auto"/>
                <w:sz w:val="18"/>
                <w:szCs w:val="18"/>
              </w:rPr>
            </w:pPr>
          </w:p>
        </w:tc>
      </w:tr>
      <w:tr w14:paraId="081BE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6243394B">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47F9E410">
            <w:pPr>
              <w:jc w:val="center"/>
              <w:rPr>
                <w:rFonts w:ascii="宋体" w:hAnsi="宋体" w:eastAsia="宋体" w:cs="宋体"/>
                <w:color w:val="auto"/>
                <w:sz w:val="18"/>
                <w:szCs w:val="18"/>
              </w:rPr>
            </w:pPr>
          </w:p>
        </w:tc>
        <w:tc>
          <w:tcPr>
            <w:tcW w:w="1268" w:type="dxa"/>
            <w:vMerge w:val="continue"/>
            <w:tcBorders>
              <w:top w:val="nil"/>
            </w:tcBorders>
            <w:vAlign w:val="center"/>
          </w:tcPr>
          <w:p w14:paraId="58AF1047">
            <w:pPr>
              <w:jc w:val="center"/>
              <w:rPr>
                <w:rFonts w:ascii="宋体" w:hAnsi="宋体" w:eastAsia="宋体" w:cs="宋体"/>
                <w:color w:val="auto"/>
                <w:sz w:val="18"/>
                <w:szCs w:val="18"/>
              </w:rPr>
            </w:pPr>
          </w:p>
        </w:tc>
        <w:tc>
          <w:tcPr>
            <w:tcW w:w="1209" w:type="dxa"/>
            <w:vAlign w:val="center"/>
          </w:tcPr>
          <w:p w14:paraId="4F106529">
            <w:pPr>
              <w:jc w:val="center"/>
              <w:rPr>
                <w:rFonts w:ascii="宋体" w:hAnsi="宋体" w:eastAsia="宋体" w:cs="宋体"/>
                <w:color w:val="auto"/>
                <w:sz w:val="18"/>
                <w:szCs w:val="18"/>
              </w:rPr>
            </w:pPr>
            <w:r>
              <w:rPr>
                <w:rFonts w:hint="eastAsia" w:ascii="宋体" w:hAnsi="宋体" w:eastAsia="宋体" w:cs="宋体"/>
                <w:color w:val="auto"/>
                <w:sz w:val="18"/>
                <w:szCs w:val="18"/>
              </w:rPr>
              <w:t>河流疏浚清淤</w:t>
            </w:r>
          </w:p>
        </w:tc>
        <w:tc>
          <w:tcPr>
            <w:tcW w:w="1119" w:type="dxa"/>
            <w:vAlign w:val="center"/>
          </w:tcPr>
          <w:p w14:paraId="4305A8EA">
            <w:pPr>
              <w:jc w:val="center"/>
              <w:rPr>
                <w:rFonts w:ascii="宋体" w:hAnsi="宋体" w:eastAsia="宋体" w:cs="宋体"/>
                <w:color w:val="auto"/>
                <w:sz w:val="18"/>
                <w:szCs w:val="18"/>
              </w:rPr>
            </w:pPr>
            <w:r>
              <w:rPr>
                <w:rFonts w:ascii="宋体" w:hAnsi="宋体" w:eastAsia="宋体" w:cs="宋体"/>
                <w:color w:val="auto"/>
                <w:sz w:val="18"/>
                <w:szCs w:val="18"/>
              </w:rPr>
              <w:t>24条</w:t>
            </w:r>
          </w:p>
        </w:tc>
        <w:tc>
          <w:tcPr>
            <w:tcW w:w="1109" w:type="dxa"/>
            <w:vAlign w:val="center"/>
          </w:tcPr>
          <w:p w14:paraId="4B2DFCBD">
            <w:pPr>
              <w:jc w:val="center"/>
              <w:rPr>
                <w:rFonts w:ascii="宋体" w:hAnsi="宋体" w:eastAsia="宋体" w:cs="宋体"/>
                <w:color w:val="auto"/>
                <w:sz w:val="18"/>
                <w:szCs w:val="18"/>
              </w:rPr>
            </w:pPr>
            <w:r>
              <w:rPr>
                <w:rFonts w:hint="eastAsia" w:ascii="宋体" w:hAnsi="宋体" w:eastAsia="宋体" w:cs="宋体"/>
                <w:color w:val="auto"/>
                <w:sz w:val="18"/>
                <w:szCs w:val="18"/>
              </w:rPr>
              <w:t>2</w:t>
            </w:r>
            <w:r>
              <w:rPr>
                <w:rFonts w:ascii="宋体" w:hAnsi="宋体" w:eastAsia="宋体" w:cs="宋体"/>
                <w:color w:val="auto"/>
                <w:sz w:val="18"/>
                <w:szCs w:val="18"/>
              </w:rPr>
              <w:t>4条</w:t>
            </w:r>
          </w:p>
        </w:tc>
        <w:tc>
          <w:tcPr>
            <w:tcW w:w="819" w:type="dxa"/>
            <w:vAlign w:val="center"/>
          </w:tcPr>
          <w:p w14:paraId="3E45AF6F">
            <w:pPr>
              <w:jc w:val="center"/>
              <w:rPr>
                <w:rFonts w:ascii="宋体" w:hAnsi="宋体" w:eastAsia="宋体" w:cs="宋体"/>
                <w:color w:val="auto"/>
                <w:sz w:val="18"/>
                <w:szCs w:val="18"/>
              </w:rPr>
            </w:pPr>
          </w:p>
        </w:tc>
        <w:tc>
          <w:tcPr>
            <w:tcW w:w="859" w:type="dxa"/>
            <w:vAlign w:val="center"/>
          </w:tcPr>
          <w:p w14:paraId="126807D3">
            <w:pPr>
              <w:jc w:val="center"/>
              <w:rPr>
                <w:rFonts w:ascii="宋体" w:hAnsi="宋体" w:eastAsia="宋体" w:cs="宋体"/>
                <w:color w:val="auto"/>
                <w:sz w:val="18"/>
                <w:szCs w:val="18"/>
              </w:rPr>
            </w:pPr>
          </w:p>
        </w:tc>
        <w:tc>
          <w:tcPr>
            <w:tcW w:w="1373" w:type="dxa"/>
            <w:vAlign w:val="center"/>
          </w:tcPr>
          <w:p w14:paraId="3C00DC9B">
            <w:pPr>
              <w:jc w:val="center"/>
              <w:rPr>
                <w:rFonts w:ascii="宋体" w:hAnsi="宋体" w:eastAsia="宋体" w:cs="宋体"/>
                <w:color w:val="auto"/>
                <w:sz w:val="18"/>
                <w:szCs w:val="18"/>
              </w:rPr>
            </w:pPr>
          </w:p>
        </w:tc>
      </w:tr>
      <w:tr w14:paraId="0B1532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3275A38D">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661023D3">
            <w:pPr>
              <w:jc w:val="center"/>
              <w:rPr>
                <w:rFonts w:ascii="宋体" w:hAnsi="宋体" w:eastAsia="宋体" w:cs="宋体"/>
                <w:color w:val="auto"/>
                <w:sz w:val="18"/>
                <w:szCs w:val="18"/>
              </w:rPr>
            </w:pPr>
          </w:p>
        </w:tc>
        <w:tc>
          <w:tcPr>
            <w:tcW w:w="1268" w:type="dxa"/>
            <w:vMerge w:val="continue"/>
            <w:tcBorders>
              <w:top w:val="nil"/>
            </w:tcBorders>
            <w:vAlign w:val="center"/>
          </w:tcPr>
          <w:p w14:paraId="143B3A0F">
            <w:pPr>
              <w:jc w:val="center"/>
              <w:rPr>
                <w:rFonts w:ascii="宋体" w:hAnsi="宋体" w:eastAsia="宋体" w:cs="宋体"/>
                <w:color w:val="auto"/>
                <w:sz w:val="18"/>
                <w:szCs w:val="18"/>
              </w:rPr>
            </w:pPr>
          </w:p>
        </w:tc>
        <w:tc>
          <w:tcPr>
            <w:tcW w:w="1209" w:type="dxa"/>
            <w:vAlign w:val="center"/>
          </w:tcPr>
          <w:p w14:paraId="3F2F1436">
            <w:pPr>
              <w:jc w:val="center"/>
              <w:rPr>
                <w:rFonts w:ascii="宋体" w:hAnsi="宋体" w:eastAsia="宋体" w:cs="宋体"/>
                <w:color w:val="auto"/>
                <w:sz w:val="18"/>
                <w:szCs w:val="18"/>
              </w:rPr>
            </w:pPr>
            <w:r>
              <w:rPr>
                <w:rFonts w:hint="eastAsia" w:ascii="宋体" w:hAnsi="宋体" w:eastAsia="宋体" w:cs="宋体"/>
                <w:color w:val="auto"/>
                <w:sz w:val="18"/>
                <w:szCs w:val="18"/>
              </w:rPr>
              <w:t>县乡示范河建设</w:t>
            </w:r>
          </w:p>
        </w:tc>
        <w:tc>
          <w:tcPr>
            <w:tcW w:w="1119" w:type="dxa"/>
            <w:vAlign w:val="center"/>
          </w:tcPr>
          <w:p w14:paraId="0C272F64">
            <w:pPr>
              <w:jc w:val="center"/>
              <w:rPr>
                <w:rFonts w:ascii="宋体" w:hAnsi="宋体" w:eastAsia="宋体" w:cs="宋体"/>
                <w:color w:val="auto"/>
                <w:sz w:val="18"/>
                <w:szCs w:val="18"/>
              </w:rPr>
            </w:pPr>
            <w:r>
              <w:rPr>
                <w:rFonts w:hint="eastAsia" w:ascii="宋体" w:hAnsi="宋体" w:eastAsia="宋体" w:cs="宋体"/>
                <w:color w:val="auto"/>
                <w:sz w:val="18"/>
                <w:szCs w:val="18"/>
              </w:rPr>
              <w:t>1</w:t>
            </w:r>
            <w:r>
              <w:rPr>
                <w:rFonts w:ascii="宋体" w:hAnsi="宋体" w:eastAsia="宋体" w:cs="宋体"/>
                <w:color w:val="auto"/>
                <w:sz w:val="18"/>
                <w:szCs w:val="18"/>
              </w:rPr>
              <w:t>3条</w:t>
            </w:r>
          </w:p>
        </w:tc>
        <w:tc>
          <w:tcPr>
            <w:tcW w:w="1109" w:type="dxa"/>
            <w:vAlign w:val="center"/>
          </w:tcPr>
          <w:p w14:paraId="5651C5A6">
            <w:pPr>
              <w:jc w:val="center"/>
              <w:rPr>
                <w:rFonts w:ascii="宋体" w:hAnsi="宋体" w:eastAsia="宋体" w:cs="宋体"/>
                <w:color w:val="auto"/>
                <w:sz w:val="18"/>
                <w:szCs w:val="18"/>
              </w:rPr>
            </w:pPr>
            <w:r>
              <w:rPr>
                <w:rFonts w:hint="eastAsia" w:ascii="宋体" w:hAnsi="宋体" w:eastAsia="宋体" w:cs="宋体"/>
                <w:color w:val="auto"/>
                <w:sz w:val="18"/>
                <w:szCs w:val="18"/>
              </w:rPr>
              <w:t>1</w:t>
            </w:r>
            <w:r>
              <w:rPr>
                <w:rFonts w:ascii="宋体" w:hAnsi="宋体" w:eastAsia="宋体" w:cs="宋体"/>
                <w:color w:val="auto"/>
                <w:sz w:val="18"/>
                <w:szCs w:val="18"/>
              </w:rPr>
              <w:t>3条</w:t>
            </w:r>
          </w:p>
        </w:tc>
        <w:tc>
          <w:tcPr>
            <w:tcW w:w="819" w:type="dxa"/>
            <w:vAlign w:val="center"/>
          </w:tcPr>
          <w:p w14:paraId="1A186599">
            <w:pPr>
              <w:jc w:val="center"/>
              <w:rPr>
                <w:rFonts w:ascii="宋体" w:hAnsi="宋体" w:eastAsia="宋体" w:cs="宋体"/>
                <w:color w:val="auto"/>
                <w:sz w:val="18"/>
                <w:szCs w:val="18"/>
              </w:rPr>
            </w:pPr>
          </w:p>
        </w:tc>
        <w:tc>
          <w:tcPr>
            <w:tcW w:w="859" w:type="dxa"/>
            <w:vAlign w:val="center"/>
          </w:tcPr>
          <w:p w14:paraId="34FE4E76">
            <w:pPr>
              <w:jc w:val="center"/>
              <w:rPr>
                <w:rFonts w:ascii="宋体" w:hAnsi="宋体" w:eastAsia="宋体" w:cs="宋体"/>
                <w:color w:val="auto"/>
                <w:sz w:val="18"/>
                <w:szCs w:val="18"/>
              </w:rPr>
            </w:pPr>
          </w:p>
        </w:tc>
        <w:tc>
          <w:tcPr>
            <w:tcW w:w="1373" w:type="dxa"/>
            <w:vAlign w:val="center"/>
          </w:tcPr>
          <w:p w14:paraId="1B14E155">
            <w:pPr>
              <w:jc w:val="center"/>
              <w:rPr>
                <w:rFonts w:ascii="宋体" w:hAnsi="宋体" w:eastAsia="宋体" w:cs="宋体"/>
                <w:color w:val="auto"/>
                <w:sz w:val="18"/>
                <w:szCs w:val="18"/>
              </w:rPr>
            </w:pPr>
          </w:p>
        </w:tc>
      </w:tr>
      <w:tr w14:paraId="52400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474E8429">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2A30F43C">
            <w:pPr>
              <w:jc w:val="center"/>
              <w:rPr>
                <w:rFonts w:ascii="宋体" w:hAnsi="宋体" w:eastAsia="宋体" w:cs="宋体"/>
                <w:color w:val="auto"/>
                <w:sz w:val="18"/>
                <w:szCs w:val="18"/>
              </w:rPr>
            </w:pPr>
          </w:p>
        </w:tc>
        <w:tc>
          <w:tcPr>
            <w:tcW w:w="1268" w:type="dxa"/>
            <w:vMerge w:val="continue"/>
            <w:tcBorders>
              <w:top w:val="nil"/>
            </w:tcBorders>
            <w:vAlign w:val="center"/>
          </w:tcPr>
          <w:p w14:paraId="33166562">
            <w:pPr>
              <w:jc w:val="center"/>
              <w:rPr>
                <w:rFonts w:ascii="宋体" w:hAnsi="宋体" w:eastAsia="宋体" w:cs="宋体"/>
                <w:color w:val="auto"/>
                <w:sz w:val="18"/>
                <w:szCs w:val="18"/>
              </w:rPr>
            </w:pPr>
          </w:p>
        </w:tc>
        <w:tc>
          <w:tcPr>
            <w:tcW w:w="1209" w:type="dxa"/>
            <w:vAlign w:val="center"/>
          </w:tcPr>
          <w:p w14:paraId="7D3C344B">
            <w:pPr>
              <w:jc w:val="center"/>
              <w:rPr>
                <w:rFonts w:ascii="宋体" w:hAnsi="宋体" w:eastAsia="宋体" w:cs="宋体"/>
                <w:color w:val="auto"/>
                <w:sz w:val="18"/>
                <w:szCs w:val="18"/>
              </w:rPr>
            </w:pPr>
            <w:r>
              <w:rPr>
                <w:rFonts w:hint="eastAsia" w:ascii="宋体" w:hAnsi="宋体" w:eastAsia="宋体" w:cs="宋体"/>
                <w:color w:val="auto"/>
                <w:sz w:val="18"/>
                <w:szCs w:val="18"/>
              </w:rPr>
              <w:t>省重点任务</w:t>
            </w:r>
          </w:p>
        </w:tc>
        <w:tc>
          <w:tcPr>
            <w:tcW w:w="1119" w:type="dxa"/>
            <w:vAlign w:val="center"/>
          </w:tcPr>
          <w:p w14:paraId="09AF1D55">
            <w:pPr>
              <w:jc w:val="center"/>
              <w:rPr>
                <w:rFonts w:ascii="宋体" w:hAnsi="宋体" w:eastAsia="宋体" w:cs="宋体"/>
                <w:color w:val="auto"/>
                <w:sz w:val="18"/>
                <w:szCs w:val="18"/>
              </w:rPr>
            </w:pPr>
            <w:r>
              <w:rPr>
                <w:rFonts w:hint="eastAsia" w:ascii="宋体" w:hAnsi="宋体" w:eastAsia="宋体" w:cs="宋体"/>
                <w:color w:val="auto"/>
                <w:sz w:val="18"/>
                <w:szCs w:val="18"/>
              </w:rPr>
              <w:t>8项</w:t>
            </w:r>
          </w:p>
        </w:tc>
        <w:tc>
          <w:tcPr>
            <w:tcW w:w="1109" w:type="dxa"/>
            <w:vAlign w:val="center"/>
          </w:tcPr>
          <w:p w14:paraId="1E04F191">
            <w:pPr>
              <w:jc w:val="center"/>
              <w:rPr>
                <w:rFonts w:ascii="宋体" w:hAnsi="宋体" w:eastAsia="宋体" w:cs="宋体"/>
                <w:color w:val="auto"/>
                <w:sz w:val="18"/>
                <w:szCs w:val="18"/>
              </w:rPr>
            </w:pPr>
            <w:r>
              <w:rPr>
                <w:rFonts w:hint="eastAsia" w:ascii="宋体" w:hAnsi="宋体" w:eastAsia="宋体" w:cs="宋体"/>
                <w:color w:val="auto"/>
                <w:sz w:val="18"/>
                <w:szCs w:val="18"/>
              </w:rPr>
              <w:t>8项</w:t>
            </w:r>
          </w:p>
        </w:tc>
        <w:tc>
          <w:tcPr>
            <w:tcW w:w="819" w:type="dxa"/>
            <w:vAlign w:val="center"/>
          </w:tcPr>
          <w:p w14:paraId="3EB3F72E">
            <w:pPr>
              <w:jc w:val="center"/>
              <w:rPr>
                <w:rFonts w:ascii="宋体" w:hAnsi="宋体" w:eastAsia="宋体" w:cs="宋体"/>
                <w:color w:val="auto"/>
                <w:sz w:val="18"/>
                <w:szCs w:val="18"/>
              </w:rPr>
            </w:pPr>
          </w:p>
        </w:tc>
        <w:tc>
          <w:tcPr>
            <w:tcW w:w="859" w:type="dxa"/>
            <w:vAlign w:val="center"/>
          </w:tcPr>
          <w:p w14:paraId="191E7FB2">
            <w:pPr>
              <w:jc w:val="center"/>
              <w:rPr>
                <w:rFonts w:ascii="宋体" w:hAnsi="宋体" w:eastAsia="宋体" w:cs="宋体"/>
                <w:color w:val="auto"/>
                <w:sz w:val="18"/>
                <w:szCs w:val="18"/>
              </w:rPr>
            </w:pPr>
          </w:p>
        </w:tc>
        <w:tc>
          <w:tcPr>
            <w:tcW w:w="1373" w:type="dxa"/>
            <w:vAlign w:val="center"/>
          </w:tcPr>
          <w:p w14:paraId="42159D4A">
            <w:pPr>
              <w:jc w:val="center"/>
              <w:rPr>
                <w:rFonts w:ascii="宋体" w:hAnsi="宋体" w:eastAsia="宋体" w:cs="宋体"/>
                <w:color w:val="auto"/>
                <w:sz w:val="18"/>
                <w:szCs w:val="18"/>
              </w:rPr>
            </w:pPr>
          </w:p>
        </w:tc>
      </w:tr>
      <w:tr w14:paraId="73463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bottom w:val="nil"/>
            </w:tcBorders>
            <w:textDirection w:val="tbRlV"/>
            <w:vAlign w:val="center"/>
          </w:tcPr>
          <w:p w14:paraId="7C6473FA">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34C24212">
            <w:pPr>
              <w:jc w:val="center"/>
              <w:rPr>
                <w:rFonts w:ascii="宋体" w:hAnsi="宋体" w:eastAsia="宋体" w:cs="宋体"/>
                <w:color w:val="auto"/>
                <w:sz w:val="18"/>
                <w:szCs w:val="18"/>
              </w:rPr>
            </w:pPr>
          </w:p>
        </w:tc>
        <w:tc>
          <w:tcPr>
            <w:tcW w:w="1268" w:type="dxa"/>
            <w:vMerge w:val="restart"/>
            <w:tcBorders>
              <w:bottom w:val="nil"/>
            </w:tcBorders>
            <w:vAlign w:val="center"/>
          </w:tcPr>
          <w:p w14:paraId="1B6D76F2">
            <w:pPr>
              <w:spacing w:line="294" w:lineRule="auto"/>
              <w:jc w:val="center"/>
              <w:rPr>
                <w:rFonts w:ascii="宋体" w:hAnsi="宋体" w:eastAsia="宋体" w:cs="宋体"/>
                <w:color w:val="auto"/>
                <w:sz w:val="18"/>
                <w:szCs w:val="18"/>
              </w:rPr>
            </w:pPr>
          </w:p>
          <w:p w14:paraId="5178E38D">
            <w:pPr>
              <w:spacing w:before="68" w:line="220"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质量指标</w:t>
            </w:r>
          </w:p>
        </w:tc>
        <w:tc>
          <w:tcPr>
            <w:tcW w:w="1209" w:type="dxa"/>
            <w:vAlign w:val="center"/>
          </w:tcPr>
          <w:p w14:paraId="25BE768F">
            <w:pPr>
              <w:jc w:val="center"/>
              <w:rPr>
                <w:rFonts w:ascii="宋体" w:hAnsi="宋体" w:eastAsia="宋体" w:cs="宋体"/>
                <w:color w:val="auto"/>
                <w:sz w:val="18"/>
                <w:szCs w:val="18"/>
              </w:rPr>
            </w:pPr>
            <w:r>
              <w:rPr>
                <w:rFonts w:hint="eastAsia" w:ascii="宋体" w:hAnsi="宋体" w:eastAsia="宋体" w:cs="宋体"/>
                <w:color w:val="auto"/>
                <w:sz w:val="18"/>
                <w:szCs w:val="18"/>
              </w:rPr>
              <w:t>项目（任务）验收合格（完成）率</w:t>
            </w:r>
          </w:p>
        </w:tc>
        <w:tc>
          <w:tcPr>
            <w:tcW w:w="1119" w:type="dxa"/>
            <w:vAlign w:val="center"/>
          </w:tcPr>
          <w:p w14:paraId="16D719BA">
            <w:pPr>
              <w:jc w:val="center"/>
              <w:rPr>
                <w:rFonts w:ascii="宋体" w:hAnsi="宋体" w:eastAsia="宋体" w:cs="宋体"/>
                <w:color w:val="auto"/>
                <w:sz w:val="18"/>
                <w:szCs w:val="18"/>
              </w:rPr>
            </w:pPr>
            <w:r>
              <w:rPr>
                <w:rFonts w:hint="eastAsia" w:ascii="宋体" w:hAnsi="宋体" w:eastAsia="宋体" w:cs="宋体"/>
                <w:color w:val="auto"/>
                <w:sz w:val="18"/>
                <w:szCs w:val="18"/>
              </w:rPr>
              <w:t>1</w:t>
            </w:r>
            <w:r>
              <w:rPr>
                <w:rFonts w:ascii="宋体" w:hAnsi="宋体" w:eastAsia="宋体" w:cs="宋体"/>
                <w:color w:val="auto"/>
                <w:sz w:val="18"/>
                <w:szCs w:val="18"/>
              </w:rPr>
              <w:t>00%</w:t>
            </w:r>
          </w:p>
        </w:tc>
        <w:tc>
          <w:tcPr>
            <w:tcW w:w="1109" w:type="dxa"/>
            <w:vAlign w:val="center"/>
          </w:tcPr>
          <w:p w14:paraId="5502BCE0">
            <w:pPr>
              <w:jc w:val="center"/>
              <w:rPr>
                <w:rFonts w:ascii="宋体" w:hAnsi="宋体" w:eastAsia="宋体" w:cs="宋体"/>
                <w:color w:val="auto"/>
                <w:sz w:val="18"/>
                <w:szCs w:val="18"/>
              </w:rPr>
            </w:pPr>
            <w:r>
              <w:rPr>
                <w:rFonts w:hint="eastAsia" w:ascii="宋体" w:hAnsi="宋体" w:eastAsia="宋体" w:cs="宋体"/>
                <w:color w:val="auto"/>
                <w:sz w:val="18"/>
                <w:szCs w:val="18"/>
              </w:rPr>
              <w:t>1</w:t>
            </w:r>
            <w:r>
              <w:rPr>
                <w:rFonts w:ascii="宋体" w:hAnsi="宋体" w:eastAsia="宋体" w:cs="宋体"/>
                <w:color w:val="auto"/>
                <w:sz w:val="18"/>
                <w:szCs w:val="18"/>
              </w:rPr>
              <w:t>00%</w:t>
            </w:r>
          </w:p>
        </w:tc>
        <w:tc>
          <w:tcPr>
            <w:tcW w:w="819" w:type="dxa"/>
            <w:vAlign w:val="center"/>
          </w:tcPr>
          <w:p w14:paraId="6514C214">
            <w:pPr>
              <w:jc w:val="center"/>
              <w:rPr>
                <w:rFonts w:ascii="宋体" w:hAnsi="宋体" w:eastAsia="宋体" w:cs="宋体"/>
                <w:color w:val="auto"/>
                <w:sz w:val="18"/>
                <w:szCs w:val="18"/>
              </w:rPr>
            </w:pPr>
          </w:p>
        </w:tc>
        <w:tc>
          <w:tcPr>
            <w:tcW w:w="859" w:type="dxa"/>
            <w:vAlign w:val="center"/>
          </w:tcPr>
          <w:p w14:paraId="686657E6">
            <w:pPr>
              <w:jc w:val="center"/>
              <w:rPr>
                <w:rFonts w:ascii="宋体" w:hAnsi="宋体" w:eastAsia="宋体" w:cs="宋体"/>
                <w:color w:val="auto"/>
                <w:sz w:val="18"/>
                <w:szCs w:val="18"/>
              </w:rPr>
            </w:pPr>
          </w:p>
        </w:tc>
        <w:tc>
          <w:tcPr>
            <w:tcW w:w="1373" w:type="dxa"/>
            <w:vAlign w:val="center"/>
          </w:tcPr>
          <w:p w14:paraId="3946FC34">
            <w:pPr>
              <w:jc w:val="center"/>
              <w:rPr>
                <w:rFonts w:ascii="宋体" w:hAnsi="宋体" w:eastAsia="宋体" w:cs="宋体"/>
                <w:color w:val="auto"/>
                <w:sz w:val="18"/>
                <w:szCs w:val="18"/>
              </w:rPr>
            </w:pPr>
          </w:p>
        </w:tc>
      </w:tr>
      <w:tr w14:paraId="4258F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676F001A">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2863DC5C">
            <w:pPr>
              <w:jc w:val="center"/>
              <w:rPr>
                <w:rFonts w:ascii="宋体" w:hAnsi="宋体" w:eastAsia="宋体" w:cs="宋体"/>
                <w:color w:val="auto"/>
                <w:sz w:val="18"/>
                <w:szCs w:val="18"/>
              </w:rPr>
            </w:pPr>
          </w:p>
        </w:tc>
        <w:tc>
          <w:tcPr>
            <w:tcW w:w="1268" w:type="dxa"/>
            <w:vMerge w:val="continue"/>
            <w:tcBorders>
              <w:top w:val="nil"/>
            </w:tcBorders>
            <w:vAlign w:val="center"/>
          </w:tcPr>
          <w:p w14:paraId="1A097304">
            <w:pPr>
              <w:jc w:val="center"/>
              <w:rPr>
                <w:rFonts w:ascii="宋体" w:hAnsi="宋体" w:eastAsia="宋体" w:cs="宋体"/>
                <w:color w:val="auto"/>
                <w:sz w:val="18"/>
                <w:szCs w:val="18"/>
              </w:rPr>
            </w:pPr>
          </w:p>
        </w:tc>
        <w:tc>
          <w:tcPr>
            <w:tcW w:w="1209" w:type="dxa"/>
            <w:vAlign w:val="center"/>
          </w:tcPr>
          <w:p w14:paraId="778E1FC4">
            <w:pPr>
              <w:jc w:val="center"/>
              <w:rPr>
                <w:rFonts w:ascii="宋体" w:hAnsi="宋体" w:eastAsia="宋体" w:cs="宋体"/>
                <w:color w:val="auto"/>
                <w:sz w:val="18"/>
                <w:szCs w:val="18"/>
              </w:rPr>
            </w:pPr>
          </w:p>
        </w:tc>
        <w:tc>
          <w:tcPr>
            <w:tcW w:w="1119" w:type="dxa"/>
            <w:vAlign w:val="center"/>
          </w:tcPr>
          <w:p w14:paraId="22658EB4">
            <w:pPr>
              <w:jc w:val="center"/>
              <w:rPr>
                <w:rFonts w:ascii="宋体" w:hAnsi="宋体" w:eastAsia="宋体" w:cs="宋体"/>
                <w:color w:val="auto"/>
                <w:sz w:val="18"/>
                <w:szCs w:val="18"/>
              </w:rPr>
            </w:pPr>
          </w:p>
        </w:tc>
        <w:tc>
          <w:tcPr>
            <w:tcW w:w="1109" w:type="dxa"/>
            <w:vAlign w:val="center"/>
          </w:tcPr>
          <w:p w14:paraId="2D204378">
            <w:pPr>
              <w:jc w:val="center"/>
              <w:rPr>
                <w:rFonts w:ascii="宋体" w:hAnsi="宋体" w:eastAsia="宋体" w:cs="宋体"/>
                <w:color w:val="auto"/>
                <w:sz w:val="18"/>
                <w:szCs w:val="18"/>
              </w:rPr>
            </w:pPr>
          </w:p>
        </w:tc>
        <w:tc>
          <w:tcPr>
            <w:tcW w:w="819" w:type="dxa"/>
            <w:vAlign w:val="center"/>
          </w:tcPr>
          <w:p w14:paraId="49C90F49">
            <w:pPr>
              <w:jc w:val="center"/>
              <w:rPr>
                <w:rFonts w:ascii="宋体" w:hAnsi="宋体" w:eastAsia="宋体" w:cs="宋体"/>
                <w:color w:val="auto"/>
                <w:sz w:val="18"/>
                <w:szCs w:val="18"/>
              </w:rPr>
            </w:pPr>
          </w:p>
        </w:tc>
        <w:tc>
          <w:tcPr>
            <w:tcW w:w="859" w:type="dxa"/>
            <w:vAlign w:val="center"/>
          </w:tcPr>
          <w:p w14:paraId="415C424E">
            <w:pPr>
              <w:jc w:val="center"/>
              <w:rPr>
                <w:rFonts w:ascii="宋体" w:hAnsi="宋体" w:eastAsia="宋体" w:cs="宋体"/>
                <w:color w:val="auto"/>
                <w:sz w:val="18"/>
                <w:szCs w:val="18"/>
              </w:rPr>
            </w:pPr>
          </w:p>
        </w:tc>
        <w:tc>
          <w:tcPr>
            <w:tcW w:w="1373" w:type="dxa"/>
            <w:vAlign w:val="center"/>
          </w:tcPr>
          <w:p w14:paraId="0B687B90">
            <w:pPr>
              <w:jc w:val="center"/>
              <w:rPr>
                <w:rFonts w:ascii="宋体" w:hAnsi="宋体" w:eastAsia="宋体" w:cs="宋体"/>
                <w:color w:val="auto"/>
                <w:sz w:val="18"/>
                <w:szCs w:val="18"/>
              </w:rPr>
            </w:pPr>
          </w:p>
        </w:tc>
      </w:tr>
      <w:tr w14:paraId="701AB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bottom w:val="nil"/>
            </w:tcBorders>
            <w:textDirection w:val="tbRlV"/>
            <w:vAlign w:val="center"/>
          </w:tcPr>
          <w:p w14:paraId="696AFBC7">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4849F129">
            <w:pPr>
              <w:jc w:val="center"/>
              <w:rPr>
                <w:rFonts w:ascii="宋体" w:hAnsi="宋体" w:eastAsia="宋体" w:cs="宋体"/>
                <w:color w:val="auto"/>
                <w:sz w:val="18"/>
                <w:szCs w:val="18"/>
              </w:rPr>
            </w:pPr>
          </w:p>
        </w:tc>
        <w:tc>
          <w:tcPr>
            <w:tcW w:w="1268" w:type="dxa"/>
            <w:vMerge w:val="restart"/>
            <w:tcBorders>
              <w:bottom w:val="nil"/>
            </w:tcBorders>
            <w:vAlign w:val="center"/>
          </w:tcPr>
          <w:p w14:paraId="57B59300">
            <w:pPr>
              <w:spacing w:line="275" w:lineRule="auto"/>
              <w:jc w:val="center"/>
              <w:rPr>
                <w:rFonts w:ascii="宋体" w:hAnsi="宋体" w:eastAsia="宋体" w:cs="宋体"/>
                <w:color w:val="auto"/>
                <w:sz w:val="18"/>
                <w:szCs w:val="18"/>
              </w:rPr>
            </w:pPr>
          </w:p>
          <w:p w14:paraId="6BD5506C">
            <w:pPr>
              <w:spacing w:before="68" w:line="220"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时效指标</w:t>
            </w:r>
          </w:p>
        </w:tc>
        <w:tc>
          <w:tcPr>
            <w:tcW w:w="1209" w:type="dxa"/>
            <w:vAlign w:val="center"/>
          </w:tcPr>
          <w:p w14:paraId="717B2EE0">
            <w:pPr>
              <w:jc w:val="center"/>
              <w:rPr>
                <w:rFonts w:ascii="宋体" w:hAnsi="宋体" w:eastAsia="宋体" w:cs="宋体"/>
                <w:color w:val="auto"/>
                <w:sz w:val="18"/>
                <w:szCs w:val="18"/>
              </w:rPr>
            </w:pPr>
          </w:p>
        </w:tc>
        <w:tc>
          <w:tcPr>
            <w:tcW w:w="1119" w:type="dxa"/>
            <w:vAlign w:val="center"/>
          </w:tcPr>
          <w:p w14:paraId="1DC23A18">
            <w:pPr>
              <w:jc w:val="center"/>
              <w:rPr>
                <w:rFonts w:ascii="宋体" w:hAnsi="宋体" w:eastAsia="宋体" w:cs="宋体"/>
                <w:color w:val="auto"/>
                <w:sz w:val="18"/>
                <w:szCs w:val="18"/>
              </w:rPr>
            </w:pPr>
          </w:p>
        </w:tc>
        <w:tc>
          <w:tcPr>
            <w:tcW w:w="1109" w:type="dxa"/>
            <w:vAlign w:val="center"/>
          </w:tcPr>
          <w:p w14:paraId="3F3B61CB">
            <w:pPr>
              <w:jc w:val="center"/>
              <w:rPr>
                <w:rFonts w:ascii="宋体" w:hAnsi="宋体" w:eastAsia="宋体" w:cs="宋体"/>
                <w:color w:val="auto"/>
                <w:sz w:val="18"/>
                <w:szCs w:val="18"/>
              </w:rPr>
            </w:pPr>
          </w:p>
        </w:tc>
        <w:tc>
          <w:tcPr>
            <w:tcW w:w="819" w:type="dxa"/>
            <w:vAlign w:val="center"/>
          </w:tcPr>
          <w:p w14:paraId="64236FA0">
            <w:pPr>
              <w:jc w:val="center"/>
              <w:rPr>
                <w:rFonts w:ascii="宋体" w:hAnsi="宋体" w:eastAsia="宋体" w:cs="宋体"/>
                <w:color w:val="auto"/>
                <w:sz w:val="18"/>
                <w:szCs w:val="18"/>
              </w:rPr>
            </w:pPr>
          </w:p>
        </w:tc>
        <w:tc>
          <w:tcPr>
            <w:tcW w:w="859" w:type="dxa"/>
            <w:vAlign w:val="center"/>
          </w:tcPr>
          <w:p w14:paraId="3E7E46E2">
            <w:pPr>
              <w:jc w:val="center"/>
              <w:rPr>
                <w:rFonts w:ascii="宋体" w:hAnsi="宋体" w:eastAsia="宋体" w:cs="宋体"/>
                <w:color w:val="auto"/>
                <w:sz w:val="18"/>
                <w:szCs w:val="18"/>
              </w:rPr>
            </w:pPr>
          </w:p>
        </w:tc>
        <w:tc>
          <w:tcPr>
            <w:tcW w:w="1373" w:type="dxa"/>
            <w:vAlign w:val="center"/>
          </w:tcPr>
          <w:p w14:paraId="0D722C50">
            <w:pPr>
              <w:jc w:val="center"/>
              <w:rPr>
                <w:rFonts w:ascii="宋体" w:hAnsi="宋体" w:eastAsia="宋体" w:cs="宋体"/>
                <w:color w:val="auto"/>
                <w:sz w:val="18"/>
                <w:szCs w:val="18"/>
              </w:rPr>
            </w:pPr>
          </w:p>
        </w:tc>
      </w:tr>
      <w:tr w14:paraId="2B72A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textDirection w:val="tbRlV"/>
            <w:vAlign w:val="center"/>
          </w:tcPr>
          <w:p w14:paraId="4BA76CCD">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7105E2B1">
            <w:pPr>
              <w:jc w:val="center"/>
              <w:rPr>
                <w:rFonts w:ascii="宋体" w:hAnsi="宋体" w:eastAsia="宋体" w:cs="宋体"/>
                <w:color w:val="auto"/>
                <w:sz w:val="18"/>
                <w:szCs w:val="18"/>
              </w:rPr>
            </w:pPr>
          </w:p>
        </w:tc>
        <w:tc>
          <w:tcPr>
            <w:tcW w:w="1268" w:type="dxa"/>
            <w:vMerge w:val="continue"/>
            <w:tcBorders>
              <w:top w:val="nil"/>
            </w:tcBorders>
            <w:vAlign w:val="center"/>
          </w:tcPr>
          <w:p w14:paraId="09D68190">
            <w:pPr>
              <w:jc w:val="center"/>
              <w:rPr>
                <w:rFonts w:ascii="宋体" w:hAnsi="宋体" w:eastAsia="宋体" w:cs="宋体"/>
                <w:color w:val="auto"/>
                <w:sz w:val="18"/>
                <w:szCs w:val="18"/>
              </w:rPr>
            </w:pPr>
          </w:p>
        </w:tc>
        <w:tc>
          <w:tcPr>
            <w:tcW w:w="1209" w:type="dxa"/>
            <w:vAlign w:val="center"/>
          </w:tcPr>
          <w:p w14:paraId="05351C1A">
            <w:pPr>
              <w:jc w:val="center"/>
              <w:rPr>
                <w:rFonts w:ascii="宋体" w:hAnsi="宋体" w:eastAsia="宋体" w:cs="宋体"/>
                <w:color w:val="auto"/>
                <w:sz w:val="18"/>
                <w:szCs w:val="18"/>
              </w:rPr>
            </w:pPr>
          </w:p>
        </w:tc>
        <w:tc>
          <w:tcPr>
            <w:tcW w:w="1119" w:type="dxa"/>
            <w:vAlign w:val="center"/>
          </w:tcPr>
          <w:p w14:paraId="6183BA0E">
            <w:pPr>
              <w:jc w:val="center"/>
              <w:rPr>
                <w:rFonts w:ascii="宋体" w:hAnsi="宋体" w:eastAsia="宋体" w:cs="宋体"/>
                <w:color w:val="auto"/>
                <w:sz w:val="18"/>
                <w:szCs w:val="18"/>
              </w:rPr>
            </w:pPr>
          </w:p>
        </w:tc>
        <w:tc>
          <w:tcPr>
            <w:tcW w:w="1109" w:type="dxa"/>
            <w:vAlign w:val="center"/>
          </w:tcPr>
          <w:p w14:paraId="15859629">
            <w:pPr>
              <w:jc w:val="center"/>
              <w:rPr>
                <w:rFonts w:ascii="宋体" w:hAnsi="宋体" w:eastAsia="宋体" w:cs="宋体"/>
                <w:color w:val="auto"/>
                <w:sz w:val="18"/>
                <w:szCs w:val="18"/>
              </w:rPr>
            </w:pPr>
          </w:p>
        </w:tc>
        <w:tc>
          <w:tcPr>
            <w:tcW w:w="819" w:type="dxa"/>
            <w:vAlign w:val="center"/>
          </w:tcPr>
          <w:p w14:paraId="40DE6C06">
            <w:pPr>
              <w:jc w:val="center"/>
              <w:rPr>
                <w:rFonts w:ascii="宋体" w:hAnsi="宋体" w:eastAsia="宋体" w:cs="宋体"/>
                <w:color w:val="auto"/>
                <w:sz w:val="18"/>
                <w:szCs w:val="18"/>
              </w:rPr>
            </w:pPr>
          </w:p>
        </w:tc>
        <w:tc>
          <w:tcPr>
            <w:tcW w:w="859" w:type="dxa"/>
            <w:vAlign w:val="center"/>
          </w:tcPr>
          <w:p w14:paraId="2FE306CF">
            <w:pPr>
              <w:jc w:val="center"/>
              <w:rPr>
                <w:rFonts w:ascii="宋体" w:hAnsi="宋体" w:eastAsia="宋体" w:cs="宋体"/>
                <w:color w:val="auto"/>
                <w:sz w:val="18"/>
                <w:szCs w:val="18"/>
              </w:rPr>
            </w:pPr>
          </w:p>
        </w:tc>
        <w:tc>
          <w:tcPr>
            <w:tcW w:w="1373" w:type="dxa"/>
            <w:vAlign w:val="center"/>
          </w:tcPr>
          <w:p w14:paraId="33890ADE">
            <w:pPr>
              <w:jc w:val="center"/>
              <w:rPr>
                <w:rFonts w:ascii="宋体" w:hAnsi="宋体" w:eastAsia="宋体" w:cs="宋体"/>
                <w:color w:val="auto"/>
                <w:sz w:val="18"/>
                <w:szCs w:val="18"/>
              </w:rPr>
            </w:pPr>
          </w:p>
        </w:tc>
      </w:tr>
      <w:tr w14:paraId="7C318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textDirection w:val="tbRlV"/>
            <w:vAlign w:val="center"/>
          </w:tcPr>
          <w:p w14:paraId="698C2CE5">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41A336EA">
            <w:pPr>
              <w:jc w:val="center"/>
              <w:rPr>
                <w:rFonts w:ascii="宋体" w:hAnsi="宋体" w:eastAsia="宋体" w:cs="宋体"/>
                <w:color w:val="auto"/>
                <w:sz w:val="18"/>
                <w:szCs w:val="18"/>
              </w:rPr>
            </w:pPr>
          </w:p>
        </w:tc>
        <w:tc>
          <w:tcPr>
            <w:tcW w:w="1268" w:type="dxa"/>
            <w:vMerge w:val="restart"/>
            <w:tcBorders>
              <w:bottom w:val="nil"/>
            </w:tcBorders>
            <w:vAlign w:val="center"/>
          </w:tcPr>
          <w:p w14:paraId="2D7E942A">
            <w:pPr>
              <w:spacing w:line="293" w:lineRule="auto"/>
              <w:jc w:val="center"/>
              <w:rPr>
                <w:rFonts w:ascii="宋体" w:hAnsi="宋体" w:eastAsia="宋体" w:cs="宋体"/>
                <w:color w:val="auto"/>
                <w:sz w:val="18"/>
                <w:szCs w:val="18"/>
              </w:rPr>
            </w:pPr>
          </w:p>
          <w:p w14:paraId="6C06CAF9">
            <w:pPr>
              <w:spacing w:before="68" w:line="219"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成本指标</w:t>
            </w:r>
          </w:p>
        </w:tc>
        <w:tc>
          <w:tcPr>
            <w:tcW w:w="1209" w:type="dxa"/>
            <w:vAlign w:val="center"/>
          </w:tcPr>
          <w:p w14:paraId="5BA5A9BE">
            <w:pPr>
              <w:jc w:val="center"/>
              <w:rPr>
                <w:rFonts w:ascii="宋体" w:hAnsi="宋体" w:eastAsia="宋体" w:cs="宋体"/>
                <w:color w:val="auto"/>
                <w:sz w:val="18"/>
                <w:szCs w:val="18"/>
              </w:rPr>
            </w:pPr>
          </w:p>
        </w:tc>
        <w:tc>
          <w:tcPr>
            <w:tcW w:w="1119" w:type="dxa"/>
            <w:vAlign w:val="center"/>
          </w:tcPr>
          <w:p w14:paraId="7D6DBE74">
            <w:pPr>
              <w:jc w:val="center"/>
              <w:rPr>
                <w:rFonts w:ascii="宋体" w:hAnsi="宋体" w:eastAsia="宋体" w:cs="宋体"/>
                <w:color w:val="auto"/>
                <w:sz w:val="18"/>
                <w:szCs w:val="18"/>
              </w:rPr>
            </w:pPr>
          </w:p>
        </w:tc>
        <w:tc>
          <w:tcPr>
            <w:tcW w:w="1109" w:type="dxa"/>
            <w:vAlign w:val="center"/>
          </w:tcPr>
          <w:p w14:paraId="76305F93">
            <w:pPr>
              <w:jc w:val="center"/>
              <w:rPr>
                <w:rFonts w:ascii="宋体" w:hAnsi="宋体" w:eastAsia="宋体" w:cs="宋体"/>
                <w:color w:val="auto"/>
                <w:sz w:val="18"/>
                <w:szCs w:val="18"/>
              </w:rPr>
            </w:pPr>
          </w:p>
        </w:tc>
        <w:tc>
          <w:tcPr>
            <w:tcW w:w="819" w:type="dxa"/>
            <w:vAlign w:val="center"/>
          </w:tcPr>
          <w:p w14:paraId="38CF78EC">
            <w:pPr>
              <w:jc w:val="center"/>
              <w:rPr>
                <w:rFonts w:ascii="宋体" w:hAnsi="宋体" w:eastAsia="宋体" w:cs="宋体"/>
                <w:color w:val="auto"/>
                <w:sz w:val="18"/>
                <w:szCs w:val="18"/>
              </w:rPr>
            </w:pPr>
          </w:p>
        </w:tc>
        <w:tc>
          <w:tcPr>
            <w:tcW w:w="859" w:type="dxa"/>
            <w:vAlign w:val="center"/>
          </w:tcPr>
          <w:p w14:paraId="0A5ECC94">
            <w:pPr>
              <w:jc w:val="center"/>
              <w:rPr>
                <w:rFonts w:ascii="宋体" w:hAnsi="宋体" w:eastAsia="宋体" w:cs="宋体"/>
                <w:color w:val="auto"/>
                <w:sz w:val="18"/>
                <w:szCs w:val="18"/>
              </w:rPr>
            </w:pPr>
          </w:p>
        </w:tc>
        <w:tc>
          <w:tcPr>
            <w:tcW w:w="1373" w:type="dxa"/>
            <w:vAlign w:val="center"/>
          </w:tcPr>
          <w:p w14:paraId="71DB113F">
            <w:pPr>
              <w:jc w:val="center"/>
              <w:rPr>
                <w:rFonts w:ascii="宋体" w:hAnsi="宋体" w:eastAsia="宋体" w:cs="宋体"/>
                <w:color w:val="auto"/>
                <w:sz w:val="18"/>
                <w:szCs w:val="18"/>
              </w:rPr>
            </w:pPr>
          </w:p>
        </w:tc>
      </w:tr>
      <w:tr w14:paraId="658469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126E9970">
            <w:pPr>
              <w:jc w:val="center"/>
              <w:rPr>
                <w:rFonts w:ascii="宋体" w:hAnsi="宋体" w:eastAsia="宋体" w:cs="宋体"/>
                <w:color w:val="auto"/>
                <w:sz w:val="18"/>
                <w:szCs w:val="18"/>
              </w:rPr>
            </w:pPr>
          </w:p>
        </w:tc>
        <w:tc>
          <w:tcPr>
            <w:tcW w:w="989" w:type="dxa"/>
            <w:vMerge w:val="continue"/>
            <w:tcBorders>
              <w:top w:val="nil"/>
            </w:tcBorders>
            <w:vAlign w:val="center"/>
          </w:tcPr>
          <w:p w14:paraId="380123E5">
            <w:pPr>
              <w:jc w:val="center"/>
              <w:rPr>
                <w:rFonts w:ascii="宋体" w:hAnsi="宋体" w:eastAsia="宋体" w:cs="宋体"/>
                <w:color w:val="auto"/>
                <w:sz w:val="18"/>
                <w:szCs w:val="18"/>
              </w:rPr>
            </w:pPr>
          </w:p>
        </w:tc>
        <w:tc>
          <w:tcPr>
            <w:tcW w:w="1268" w:type="dxa"/>
            <w:vMerge w:val="continue"/>
            <w:tcBorders>
              <w:top w:val="nil"/>
            </w:tcBorders>
            <w:vAlign w:val="center"/>
          </w:tcPr>
          <w:p w14:paraId="1ECAE99A">
            <w:pPr>
              <w:jc w:val="center"/>
              <w:rPr>
                <w:rFonts w:ascii="宋体" w:hAnsi="宋体" w:eastAsia="宋体" w:cs="宋体"/>
                <w:color w:val="auto"/>
                <w:sz w:val="18"/>
                <w:szCs w:val="18"/>
              </w:rPr>
            </w:pPr>
          </w:p>
        </w:tc>
        <w:tc>
          <w:tcPr>
            <w:tcW w:w="1209" w:type="dxa"/>
            <w:vAlign w:val="center"/>
          </w:tcPr>
          <w:p w14:paraId="69707184">
            <w:pPr>
              <w:jc w:val="center"/>
              <w:rPr>
                <w:rFonts w:ascii="宋体" w:hAnsi="宋体" w:eastAsia="宋体" w:cs="宋体"/>
                <w:color w:val="auto"/>
                <w:sz w:val="18"/>
                <w:szCs w:val="18"/>
              </w:rPr>
            </w:pPr>
          </w:p>
        </w:tc>
        <w:tc>
          <w:tcPr>
            <w:tcW w:w="1119" w:type="dxa"/>
            <w:vAlign w:val="center"/>
          </w:tcPr>
          <w:p w14:paraId="19BFB41D">
            <w:pPr>
              <w:jc w:val="center"/>
              <w:rPr>
                <w:rFonts w:ascii="宋体" w:hAnsi="宋体" w:eastAsia="宋体" w:cs="宋体"/>
                <w:color w:val="auto"/>
                <w:sz w:val="18"/>
                <w:szCs w:val="18"/>
              </w:rPr>
            </w:pPr>
          </w:p>
        </w:tc>
        <w:tc>
          <w:tcPr>
            <w:tcW w:w="1109" w:type="dxa"/>
            <w:vAlign w:val="center"/>
          </w:tcPr>
          <w:p w14:paraId="6A6D8A3C">
            <w:pPr>
              <w:jc w:val="center"/>
              <w:rPr>
                <w:rFonts w:ascii="宋体" w:hAnsi="宋体" w:eastAsia="宋体" w:cs="宋体"/>
                <w:color w:val="auto"/>
                <w:sz w:val="18"/>
                <w:szCs w:val="18"/>
              </w:rPr>
            </w:pPr>
          </w:p>
        </w:tc>
        <w:tc>
          <w:tcPr>
            <w:tcW w:w="819" w:type="dxa"/>
            <w:vAlign w:val="center"/>
          </w:tcPr>
          <w:p w14:paraId="075D0780">
            <w:pPr>
              <w:jc w:val="center"/>
              <w:rPr>
                <w:rFonts w:ascii="宋体" w:hAnsi="宋体" w:eastAsia="宋体" w:cs="宋体"/>
                <w:color w:val="auto"/>
                <w:sz w:val="18"/>
                <w:szCs w:val="18"/>
              </w:rPr>
            </w:pPr>
          </w:p>
        </w:tc>
        <w:tc>
          <w:tcPr>
            <w:tcW w:w="859" w:type="dxa"/>
            <w:vAlign w:val="center"/>
          </w:tcPr>
          <w:p w14:paraId="16F57BF7">
            <w:pPr>
              <w:jc w:val="center"/>
              <w:rPr>
                <w:rFonts w:ascii="宋体" w:hAnsi="宋体" w:eastAsia="宋体" w:cs="宋体"/>
                <w:color w:val="auto"/>
                <w:sz w:val="18"/>
                <w:szCs w:val="18"/>
              </w:rPr>
            </w:pPr>
          </w:p>
        </w:tc>
        <w:tc>
          <w:tcPr>
            <w:tcW w:w="1373" w:type="dxa"/>
            <w:vAlign w:val="center"/>
          </w:tcPr>
          <w:p w14:paraId="62A16AA0">
            <w:pPr>
              <w:jc w:val="center"/>
              <w:rPr>
                <w:rFonts w:ascii="宋体" w:hAnsi="宋体" w:eastAsia="宋体" w:cs="宋体"/>
                <w:color w:val="auto"/>
                <w:sz w:val="18"/>
                <w:szCs w:val="18"/>
              </w:rPr>
            </w:pPr>
          </w:p>
        </w:tc>
      </w:tr>
      <w:tr w14:paraId="54EDD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jc w:val="center"/>
        </w:trPr>
        <w:tc>
          <w:tcPr>
            <w:tcW w:w="1134" w:type="dxa"/>
            <w:vMerge w:val="continue"/>
            <w:tcBorders>
              <w:top w:val="nil"/>
              <w:bottom w:val="nil"/>
            </w:tcBorders>
            <w:textDirection w:val="tbRlV"/>
            <w:vAlign w:val="center"/>
          </w:tcPr>
          <w:p w14:paraId="23C8550A">
            <w:pPr>
              <w:jc w:val="center"/>
              <w:rPr>
                <w:rFonts w:ascii="宋体" w:hAnsi="宋体" w:eastAsia="宋体" w:cs="宋体"/>
                <w:color w:val="auto"/>
                <w:sz w:val="18"/>
                <w:szCs w:val="18"/>
              </w:rPr>
            </w:pPr>
          </w:p>
        </w:tc>
        <w:tc>
          <w:tcPr>
            <w:tcW w:w="989" w:type="dxa"/>
            <w:vMerge w:val="restart"/>
            <w:tcBorders>
              <w:bottom w:val="nil"/>
            </w:tcBorders>
            <w:vAlign w:val="center"/>
          </w:tcPr>
          <w:p w14:paraId="57731E99">
            <w:pPr>
              <w:spacing w:line="304" w:lineRule="auto"/>
              <w:jc w:val="center"/>
              <w:rPr>
                <w:rFonts w:ascii="宋体" w:hAnsi="宋体" w:eastAsia="宋体" w:cs="宋体"/>
                <w:color w:val="auto"/>
                <w:sz w:val="18"/>
                <w:szCs w:val="18"/>
              </w:rPr>
            </w:pPr>
          </w:p>
          <w:p w14:paraId="7669B5BC">
            <w:pPr>
              <w:spacing w:line="304" w:lineRule="auto"/>
              <w:jc w:val="center"/>
              <w:rPr>
                <w:rFonts w:ascii="宋体" w:hAnsi="宋体" w:eastAsia="宋体" w:cs="宋体"/>
                <w:color w:val="auto"/>
                <w:sz w:val="18"/>
                <w:szCs w:val="18"/>
              </w:rPr>
            </w:pPr>
          </w:p>
          <w:p w14:paraId="506DEB8D">
            <w:pPr>
              <w:spacing w:line="304" w:lineRule="auto"/>
              <w:jc w:val="center"/>
              <w:rPr>
                <w:rFonts w:ascii="宋体" w:hAnsi="宋体" w:eastAsia="宋体" w:cs="宋体"/>
                <w:color w:val="auto"/>
                <w:sz w:val="18"/>
                <w:szCs w:val="18"/>
              </w:rPr>
            </w:pPr>
          </w:p>
          <w:p w14:paraId="23F25C9C">
            <w:pPr>
              <w:spacing w:before="68" w:line="220" w:lineRule="auto"/>
              <w:ind w:left="271"/>
              <w:jc w:val="center"/>
              <w:rPr>
                <w:rFonts w:ascii="宋体" w:hAnsi="宋体" w:eastAsia="宋体" w:cs="宋体"/>
                <w:color w:val="auto"/>
                <w:sz w:val="18"/>
                <w:szCs w:val="18"/>
              </w:rPr>
            </w:pPr>
            <w:r>
              <w:rPr>
                <w:rFonts w:hint="eastAsia" w:ascii="宋体" w:hAnsi="宋体" w:eastAsia="宋体" w:cs="宋体"/>
                <w:color w:val="auto"/>
                <w:spacing w:val="4"/>
                <w:sz w:val="18"/>
                <w:szCs w:val="18"/>
              </w:rPr>
              <w:t>效益</w:t>
            </w:r>
          </w:p>
          <w:p w14:paraId="23D7A517">
            <w:pPr>
              <w:spacing w:before="79" w:line="610" w:lineRule="exact"/>
              <w:ind w:left="271"/>
              <w:jc w:val="center"/>
              <w:rPr>
                <w:rFonts w:ascii="宋体" w:hAnsi="宋体" w:eastAsia="宋体" w:cs="宋体"/>
                <w:color w:val="auto"/>
                <w:sz w:val="18"/>
                <w:szCs w:val="18"/>
              </w:rPr>
            </w:pPr>
            <w:r>
              <w:rPr>
                <w:rFonts w:hint="eastAsia" w:ascii="宋体" w:hAnsi="宋体" w:eastAsia="宋体" w:cs="宋体"/>
                <w:color w:val="auto"/>
                <w:spacing w:val="-3"/>
                <w:position w:val="31"/>
                <w:sz w:val="18"/>
                <w:szCs w:val="18"/>
              </w:rPr>
              <w:t>指标</w:t>
            </w:r>
          </w:p>
          <w:p w14:paraId="22E523B9">
            <w:pPr>
              <w:spacing w:line="220" w:lineRule="auto"/>
              <w:ind w:left="171"/>
              <w:jc w:val="center"/>
              <w:rPr>
                <w:rFonts w:ascii="宋体" w:hAnsi="宋体" w:eastAsia="宋体" w:cs="宋体"/>
                <w:color w:val="auto"/>
                <w:sz w:val="18"/>
                <w:szCs w:val="18"/>
              </w:rPr>
            </w:pPr>
            <w:r>
              <w:rPr>
                <w:rFonts w:hint="eastAsia" w:ascii="宋体" w:hAnsi="宋体" w:eastAsia="宋体" w:cs="宋体"/>
                <w:color w:val="auto"/>
                <w:spacing w:val="9"/>
                <w:sz w:val="18"/>
                <w:szCs w:val="18"/>
              </w:rPr>
              <w:t>(30分)</w:t>
            </w:r>
          </w:p>
        </w:tc>
        <w:tc>
          <w:tcPr>
            <w:tcW w:w="1268" w:type="dxa"/>
            <w:vMerge w:val="restart"/>
            <w:tcBorders>
              <w:bottom w:val="nil"/>
            </w:tcBorders>
            <w:vAlign w:val="center"/>
          </w:tcPr>
          <w:p w14:paraId="4B9824CE">
            <w:pPr>
              <w:spacing w:before="116" w:line="300" w:lineRule="exact"/>
              <w:ind w:left="311"/>
              <w:jc w:val="center"/>
              <w:rPr>
                <w:rFonts w:ascii="宋体" w:hAnsi="宋体" w:eastAsia="宋体" w:cs="宋体"/>
                <w:color w:val="auto"/>
                <w:sz w:val="18"/>
                <w:szCs w:val="18"/>
              </w:rPr>
            </w:pPr>
            <w:r>
              <w:rPr>
                <w:rFonts w:hint="eastAsia" w:ascii="宋体" w:hAnsi="宋体" w:eastAsia="宋体" w:cs="宋体"/>
                <w:color w:val="auto"/>
                <w:spacing w:val="-3"/>
                <w:position w:val="6"/>
                <w:sz w:val="18"/>
                <w:szCs w:val="18"/>
              </w:rPr>
              <w:t>经济效</w:t>
            </w:r>
          </w:p>
          <w:p w14:paraId="26C8E04F">
            <w:pPr>
              <w:spacing w:line="220" w:lineRule="auto"/>
              <w:ind w:left="311"/>
              <w:jc w:val="center"/>
              <w:rPr>
                <w:rFonts w:ascii="宋体" w:hAnsi="宋体" w:eastAsia="宋体" w:cs="宋体"/>
                <w:color w:val="auto"/>
                <w:sz w:val="18"/>
                <w:szCs w:val="18"/>
              </w:rPr>
            </w:pPr>
            <w:r>
              <w:rPr>
                <w:rFonts w:hint="eastAsia" w:ascii="宋体" w:hAnsi="宋体" w:eastAsia="宋体" w:cs="宋体"/>
                <w:color w:val="auto"/>
                <w:spacing w:val="-3"/>
                <w:sz w:val="18"/>
                <w:szCs w:val="18"/>
              </w:rPr>
              <w:t>益指标</w:t>
            </w:r>
          </w:p>
        </w:tc>
        <w:tc>
          <w:tcPr>
            <w:tcW w:w="1209" w:type="dxa"/>
            <w:vAlign w:val="center"/>
          </w:tcPr>
          <w:p w14:paraId="0351F8A4">
            <w:pPr>
              <w:jc w:val="center"/>
              <w:rPr>
                <w:rFonts w:ascii="宋体" w:hAnsi="宋体" w:eastAsia="宋体" w:cs="宋体"/>
                <w:color w:val="auto"/>
                <w:sz w:val="18"/>
                <w:szCs w:val="18"/>
              </w:rPr>
            </w:pPr>
          </w:p>
        </w:tc>
        <w:tc>
          <w:tcPr>
            <w:tcW w:w="1119" w:type="dxa"/>
            <w:vAlign w:val="center"/>
          </w:tcPr>
          <w:p w14:paraId="7ABC590E">
            <w:pPr>
              <w:jc w:val="center"/>
              <w:rPr>
                <w:rFonts w:ascii="宋体" w:hAnsi="宋体" w:eastAsia="宋体" w:cs="宋体"/>
                <w:color w:val="auto"/>
                <w:sz w:val="18"/>
                <w:szCs w:val="18"/>
              </w:rPr>
            </w:pPr>
          </w:p>
        </w:tc>
        <w:tc>
          <w:tcPr>
            <w:tcW w:w="1109" w:type="dxa"/>
            <w:vAlign w:val="center"/>
          </w:tcPr>
          <w:p w14:paraId="26B1781C">
            <w:pPr>
              <w:jc w:val="center"/>
              <w:rPr>
                <w:rFonts w:ascii="宋体" w:hAnsi="宋体" w:eastAsia="宋体" w:cs="宋体"/>
                <w:color w:val="auto"/>
                <w:sz w:val="18"/>
                <w:szCs w:val="18"/>
              </w:rPr>
            </w:pPr>
          </w:p>
        </w:tc>
        <w:tc>
          <w:tcPr>
            <w:tcW w:w="819" w:type="dxa"/>
            <w:vAlign w:val="center"/>
          </w:tcPr>
          <w:p w14:paraId="015984B2">
            <w:pPr>
              <w:jc w:val="center"/>
              <w:rPr>
                <w:rFonts w:ascii="宋体" w:hAnsi="宋体" w:eastAsia="宋体" w:cs="宋体"/>
                <w:color w:val="auto"/>
                <w:sz w:val="18"/>
                <w:szCs w:val="18"/>
              </w:rPr>
            </w:pPr>
          </w:p>
        </w:tc>
        <w:tc>
          <w:tcPr>
            <w:tcW w:w="859" w:type="dxa"/>
            <w:vAlign w:val="center"/>
          </w:tcPr>
          <w:p w14:paraId="62444ED1">
            <w:pPr>
              <w:jc w:val="center"/>
              <w:rPr>
                <w:rFonts w:ascii="宋体" w:hAnsi="宋体" w:eastAsia="宋体" w:cs="宋体"/>
                <w:color w:val="auto"/>
                <w:sz w:val="18"/>
                <w:szCs w:val="18"/>
              </w:rPr>
            </w:pPr>
          </w:p>
        </w:tc>
        <w:tc>
          <w:tcPr>
            <w:tcW w:w="1373" w:type="dxa"/>
            <w:vAlign w:val="center"/>
          </w:tcPr>
          <w:p w14:paraId="7190A3EE">
            <w:pPr>
              <w:jc w:val="center"/>
              <w:rPr>
                <w:rFonts w:ascii="宋体" w:hAnsi="宋体" w:eastAsia="宋体" w:cs="宋体"/>
                <w:color w:val="auto"/>
                <w:sz w:val="18"/>
                <w:szCs w:val="18"/>
              </w:rPr>
            </w:pPr>
          </w:p>
        </w:tc>
      </w:tr>
      <w:tr w14:paraId="6961B7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1134" w:type="dxa"/>
            <w:vMerge w:val="continue"/>
            <w:tcBorders>
              <w:top w:val="nil"/>
              <w:bottom w:val="nil"/>
            </w:tcBorders>
            <w:textDirection w:val="tbRlV"/>
            <w:vAlign w:val="center"/>
          </w:tcPr>
          <w:p w14:paraId="44788E32">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5FF3EA08">
            <w:pPr>
              <w:jc w:val="center"/>
              <w:rPr>
                <w:rFonts w:ascii="宋体" w:hAnsi="宋体" w:eastAsia="宋体" w:cs="宋体"/>
                <w:color w:val="auto"/>
                <w:sz w:val="18"/>
                <w:szCs w:val="18"/>
              </w:rPr>
            </w:pPr>
          </w:p>
        </w:tc>
        <w:tc>
          <w:tcPr>
            <w:tcW w:w="1268" w:type="dxa"/>
            <w:vMerge w:val="continue"/>
            <w:tcBorders>
              <w:top w:val="nil"/>
            </w:tcBorders>
            <w:vAlign w:val="center"/>
          </w:tcPr>
          <w:p w14:paraId="2B6614E4">
            <w:pPr>
              <w:jc w:val="center"/>
              <w:rPr>
                <w:rFonts w:ascii="宋体" w:hAnsi="宋体" w:eastAsia="宋体" w:cs="宋体"/>
                <w:color w:val="auto"/>
                <w:sz w:val="18"/>
                <w:szCs w:val="18"/>
              </w:rPr>
            </w:pPr>
          </w:p>
        </w:tc>
        <w:tc>
          <w:tcPr>
            <w:tcW w:w="1209" w:type="dxa"/>
            <w:vAlign w:val="center"/>
          </w:tcPr>
          <w:p w14:paraId="063C3C75">
            <w:pPr>
              <w:jc w:val="center"/>
              <w:rPr>
                <w:rFonts w:ascii="宋体" w:hAnsi="宋体" w:eastAsia="宋体" w:cs="宋体"/>
                <w:color w:val="auto"/>
                <w:sz w:val="18"/>
                <w:szCs w:val="18"/>
              </w:rPr>
            </w:pPr>
          </w:p>
        </w:tc>
        <w:tc>
          <w:tcPr>
            <w:tcW w:w="1119" w:type="dxa"/>
            <w:vAlign w:val="center"/>
          </w:tcPr>
          <w:p w14:paraId="4FE80EDF">
            <w:pPr>
              <w:jc w:val="center"/>
              <w:rPr>
                <w:rFonts w:ascii="宋体" w:hAnsi="宋体" w:eastAsia="宋体" w:cs="宋体"/>
                <w:color w:val="auto"/>
                <w:sz w:val="18"/>
                <w:szCs w:val="18"/>
              </w:rPr>
            </w:pPr>
          </w:p>
        </w:tc>
        <w:tc>
          <w:tcPr>
            <w:tcW w:w="1109" w:type="dxa"/>
            <w:vAlign w:val="center"/>
          </w:tcPr>
          <w:p w14:paraId="148F6DF6">
            <w:pPr>
              <w:jc w:val="center"/>
              <w:rPr>
                <w:rFonts w:ascii="宋体" w:hAnsi="宋体" w:eastAsia="宋体" w:cs="宋体"/>
                <w:color w:val="auto"/>
                <w:sz w:val="18"/>
                <w:szCs w:val="18"/>
              </w:rPr>
            </w:pPr>
          </w:p>
        </w:tc>
        <w:tc>
          <w:tcPr>
            <w:tcW w:w="819" w:type="dxa"/>
            <w:vAlign w:val="center"/>
          </w:tcPr>
          <w:p w14:paraId="5D7A2DE3">
            <w:pPr>
              <w:jc w:val="center"/>
              <w:rPr>
                <w:rFonts w:ascii="宋体" w:hAnsi="宋体" w:eastAsia="宋体" w:cs="宋体"/>
                <w:color w:val="auto"/>
                <w:sz w:val="18"/>
                <w:szCs w:val="18"/>
              </w:rPr>
            </w:pPr>
          </w:p>
        </w:tc>
        <w:tc>
          <w:tcPr>
            <w:tcW w:w="859" w:type="dxa"/>
            <w:vAlign w:val="center"/>
          </w:tcPr>
          <w:p w14:paraId="333F4E28">
            <w:pPr>
              <w:jc w:val="center"/>
              <w:rPr>
                <w:rFonts w:ascii="宋体" w:hAnsi="宋体" w:eastAsia="宋体" w:cs="宋体"/>
                <w:color w:val="auto"/>
                <w:sz w:val="18"/>
                <w:szCs w:val="18"/>
              </w:rPr>
            </w:pPr>
          </w:p>
        </w:tc>
        <w:tc>
          <w:tcPr>
            <w:tcW w:w="1373" w:type="dxa"/>
            <w:vAlign w:val="center"/>
          </w:tcPr>
          <w:p w14:paraId="1EA63591">
            <w:pPr>
              <w:jc w:val="center"/>
              <w:rPr>
                <w:rFonts w:ascii="宋体" w:hAnsi="宋体" w:eastAsia="宋体" w:cs="宋体"/>
                <w:color w:val="auto"/>
                <w:sz w:val="18"/>
                <w:szCs w:val="18"/>
              </w:rPr>
            </w:pPr>
          </w:p>
        </w:tc>
      </w:tr>
      <w:tr w14:paraId="6A4CE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textDirection w:val="tbRlV"/>
            <w:vAlign w:val="center"/>
          </w:tcPr>
          <w:p w14:paraId="64D3CDF7">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2C916EEC">
            <w:pPr>
              <w:jc w:val="center"/>
              <w:rPr>
                <w:rFonts w:ascii="宋体" w:hAnsi="宋体" w:eastAsia="宋体" w:cs="宋体"/>
                <w:color w:val="auto"/>
                <w:sz w:val="18"/>
                <w:szCs w:val="18"/>
              </w:rPr>
            </w:pPr>
          </w:p>
        </w:tc>
        <w:tc>
          <w:tcPr>
            <w:tcW w:w="1268" w:type="dxa"/>
            <w:vMerge w:val="restart"/>
            <w:tcBorders>
              <w:bottom w:val="nil"/>
            </w:tcBorders>
            <w:vAlign w:val="center"/>
          </w:tcPr>
          <w:p w14:paraId="625926AE">
            <w:pPr>
              <w:spacing w:before="114" w:line="322" w:lineRule="exact"/>
              <w:ind w:left="311"/>
              <w:jc w:val="center"/>
              <w:rPr>
                <w:rFonts w:ascii="宋体" w:hAnsi="宋体" w:eastAsia="宋体" w:cs="宋体"/>
                <w:color w:val="auto"/>
                <w:sz w:val="18"/>
                <w:szCs w:val="18"/>
              </w:rPr>
            </w:pPr>
            <w:r>
              <w:rPr>
                <w:rFonts w:hint="eastAsia" w:ascii="宋体" w:hAnsi="宋体" w:eastAsia="宋体" w:cs="宋体"/>
                <w:color w:val="auto"/>
                <w:spacing w:val="-3"/>
                <w:position w:val="8"/>
                <w:sz w:val="18"/>
                <w:szCs w:val="18"/>
              </w:rPr>
              <w:t>社会效</w:t>
            </w:r>
          </w:p>
          <w:p w14:paraId="112DBDFA">
            <w:pPr>
              <w:spacing w:line="220" w:lineRule="auto"/>
              <w:ind w:left="311"/>
              <w:jc w:val="center"/>
              <w:rPr>
                <w:rFonts w:ascii="宋体" w:hAnsi="宋体" w:eastAsia="宋体" w:cs="宋体"/>
                <w:color w:val="auto"/>
                <w:sz w:val="18"/>
                <w:szCs w:val="18"/>
              </w:rPr>
            </w:pPr>
            <w:r>
              <w:rPr>
                <w:rFonts w:hint="eastAsia" w:ascii="宋体" w:hAnsi="宋体" w:eastAsia="宋体" w:cs="宋体"/>
                <w:color w:val="auto"/>
                <w:spacing w:val="-3"/>
                <w:sz w:val="18"/>
                <w:szCs w:val="18"/>
              </w:rPr>
              <w:t>益指标</w:t>
            </w:r>
          </w:p>
        </w:tc>
        <w:tc>
          <w:tcPr>
            <w:tcW w:w="1209" w:type="dxa"/>
            <w:vAlign w:val="center"/>
          </w:tcPr>
          <w:p w14:paraId="22DDCE5A">
            <w:pPr>
              <w:jc w:val="center"/>
              <w:rPr>
                <w:rFonts w:ascii="宋体" w:hAnsi="宋体" w:eastAsia="宋体" w:cs="宋体"/>
                <w:color w:val="auto"/>
                <w:sz w:val="18"/>
                <w:szCs w:val="18"/>
              </w:rPr>
            </w:pPr>
            <w:r>
              <w:rPr>
                <w:rFonts w:hint="eastAsia" w:ascii="宋体" w:hAnsi="宋体" w:eastAsia="宋体" w:cs="宋体"/>
                <w:color w:val="auto"/>
                <w:sz w:val="18"/>
                <w:szCs w:val="18"/>
              </w:rPr>
              <w:t>河流保护和治理</w:t>
            </w:r>
          </w:p>
        </w:tc>
        <w:tc>
          <w:tcPr>
            <w:tcW w:w="1119" w:type="dxa"/>
            <w:vAlign w:val="center"/>
          </w:tcPr>
          <w:p w14:paraId="324224D1">
            <w:pPr>
              <w:jc w:val="center"/>
              <w:rPr>
                <w:rFonts w:ascii="宋体" w:hAnsi="宋体" w:eastAsia="宋体" w:cs="宋体"/>
                <w:color w:val="auto"/>
                <w:sz w:val="18"/>
                <w:szCs w:val="18"/>
              </w:rPr>
            </w:pPr>
            <w:r>
              <w:rPr>
                <w:rFonts w:hint="eastAsia" w:ascii="宋体" w:hAnsi="宋体" w:eastAsia="宋体" w:cs="宋体"/>
                <w:color w:val="auto"/>
                <w:sz w:val="18"/>
                <w:szCs w:val="18"/>
              </w:rPr>
              <w:t>取得明显实效</w:t>
            </w:r>
          </w:p>
        </w:tc>
        <w:tc>
          <w:tcPr>
            <w:tcW w:w="1109" w:type="dxa"/>
            <w:vAlign w:val="center"/>
          </w:tcPr>
          <w:p w14:paraId="2E8B42C3">
            <w:pPr>
              <w:jc w:val="center"/>
              <w:rPr>
                <w:rFonts w:ascii="宋体" w:hAnsi="宋体" w:eastAsia="宋体" w:cs="宋体"/>
                <w:color w:val="auto"/>
                <w:sz w:val="18"/>
                <w:szCs w:val="18"/>
              </w:rPr>
            </w:pPr>
            <w:r>
              <w:rPr>
                <w:rFonts w:hint="eastAsia" w:ascii="宋体" w:hAnsi="宋体" w:eastAsia="宋体" w:cs="宋体"/>
                <w:color w:val="auto"/>
                <w:sz w:val="18"/>
                <w:szCs w:val="18"/>
              </w:rPr>
              <w:t>取得明显实效</w:t>
            </w:r>
          </w:p>
        </w:tc>
        <w:tc>
          <w:tcPr>
            <w:tcW w:w="819" w:type="dxa"/>
            <w:vAlign w:val="center"/>
          </w:tcPr>
          <w:p w14:paraId="2F8D0EB4">
            <w:pPr>
              <w:jc w:val="center"/>
              <w:rPr>
                <w:rFonts w:ascii="宋体" w:hAnsi="宋体" w:eastAsia="宋体" w:cs="宋体"/>
                <w:color w:val="auto"/>
                <w:sz w:val="18"/>
                <w:szCs w:val="18"/>
              </w:rPr>
            </w:pPr>
          </w:p>
        </w:tc>
        <w:tc>
          <w:tcPr>
            <w:tcW w:w="859" w:type="dxa"/>
            <w:vAlign w:val="center"/>
          </w:tcPr>
          <w:p w14:paraId="5179DD64">
            <w:pPr>
              <w:jc w:val="center"/>
              <w:rPr>
                <w:rFonts w:ascii="宋体" w:hAnsi="宋体" w:eastAsia="宋体" w:cs="宋体"/>
                <w:color w:val="auto"/>
                <w:sz w:val="18"/>
                <w:szCs w:val="18"/>
              </w:rPr>
            </w:pPr>
          </w:p>
        </w:tc>
        <w:tc>
          <w:tcPr>
            <w:tcW w:w="1373" w:type="dxa"/>
            <w:vAlign w:val="center"/>
          </w:tcPr>
          <w:p w14:paraId="4B2F228A">
            <w:pPr>
              <w:jc w:val="center"/>
              <w:rPr>
                <w:rFonts w:ascii="宋体" w:hAnsi="宋体" w:eastAsia="宋体" w:cs="宋体"/>
                <w:color w:val="auto"/>
                <w:sz w:val="18"/>
                <w:szCs w:val="18"/>
              </w:rPr>
            </w:pPr>
          </w:p>
        </w:tc>
      </w:tr>
      <w:tr w14:paraId="0B806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jc w:val="center"/>
        </w:trPr>
        <w:tc>
          <w:tcPr>
            <w:tcW w:w="1134" w:type="dxa"/>
            <w:vMerge w:val="continue"/>
            <w:tcBorders>
              <w:top w:val="nil"/>
              <w:bottom w:val="nil"/>
            </w:tcBorders>
            <w:textDirection w:val="tbRlV"/>
            <w:vAlign w:val="center"/>
          </w:tcPr>
          <w:p w14:paraId="224C61B8">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674D8890">
            <w:pPr>
              <w:jc w:val="center"/>
              <w:rPr>
                <w:rFonts w:ascii="宋体" w:hAnsi="宋体" w:eastAsia="宋体" w:cs="宋体"/>
                <w:color w:val="auto"/>
                <w:sz w:val="18"/>
                <w:szCs w:val="18"/>
              </w:rPr>
            </w:pPr>
          </w:p>
        </w:tc>
        <w:tc>
          <w:tcPr>
            <w:tcW w:w="1268" w:type="dxa"/>
            <w:vMerge w:val="continue"/>
            <w:tcBorders>
              <w:top w:val="nil"/>
            </w:tcBorders>
            <w:vAlign w:val="center"/>
          </w:tcPr>
          <w:p w14:paraId="247CE969">
            <w:pPr>
              <w:jc w:val="center"/>
              <w:rPr>
                <w:rFonts w:ascii="宋体" w:hAnsi="宋体" w:eastAsia="宋体" w:cs="宋体"/>
                <w:color w:val="auto"/>
                <w:sz w:val="18"/>
                <w:szCs w:val="18"/>
              </w:rPr>
            </w:pPr>
          </w:p>
        </w:tc>
        <w:tc>
          <w:tcPr>
            <w:tcW w:w="1209" w:type="dxa"/>
            <w:vAlign w:val="center"/>
          </w:tcPr>
          <w:p w14:paraId="6713269A">
            <w:pPr>
              <w:jc w:val="center"/>
              <w:rPr>
                <w:rFonts w:ascii="宋体" w:hAnsi="宋体" w:eastAsia="宋体" w:cs="宋体"/>
                <w:color w:val="auto"/>
                <w:sz w:val="18"/>
                <w:szCs w:val="18"/>
              </w:rPr>
            </w:pPr>
          </w:p>
        </w:tc>
        <w:tc>
          <w:tcPr>
            <w:tcW w:w="1119" w:type="dxa"/>
            <w:vAlign w:val="center"/>
          </w:tcPr>
          <w:p w14:paraId="64BCCA65">
            <w:pPr>
              <w:jc w:val="center"/>
              <w:rPr>
                <w:rFonts w:ascii="宋体" w:hAnsi="宋体" w:eastAsia="宋体" w:cs="宋体"/>
                <w:color w:val="auto"/>
                <w:sz w:val="18"/>
                <w:szCs w:val="18"/>
              </w:rPr>
            </w:pPr>
          </w:p>
        </w:tc>
        <w:tc>
          <w:tcPr>
            <w:tcW w:w="1109" w:type="dxa"/>
            <w:vAlign w:val="center"/>
          </w:tcPr>
          <w:p w14:paraId="39AD6679">
            <w:pPr>
              <w:jc w:val="center"/>
              <w:rPr>
                <w:rFonts w:ascii="宋体" w:hAnsi="宋体" w:eastAsia="宋体" w:cs="宋体"/>
                <w:color w:val="auto"/>
                <w:sz w:val="18"/>
                <w:szCs w:val="18"/>
              </w:rPr>
            </w:pPr>
          </w:p>
        </w:tc>
        <w:tc>
          <w:tcPr>
            <w:tcW w:w="819" w:type="dxa"/>
            <w:vAlign w:val="center"/>
          </w:tcPr>
          <w:p w14:paraId="4C410B5E">
            <w:pPr>
              <w:jc w:val="center"/>
              <w:rPr>
                <w:rFonts w:ascii="宋体" w:hAnsi="宋体" w:eastAsia="宋体" w:cs="宋体"/>
                <w:color w:val="auto"/>
                <w:sz w:val="18"/>
                <w:szCs w:val="18"/>
              </w:rPr>
            </w:pPr>
          </w:p>
        </w:tc>
        <w:tc>
          <w:tcPr>
            <w:tcW w:w="859" w:type="dxa"/>
            <w:vAlign w:val="center"/>
          </w:tcPr>
          <w:p w14:paraId="765E0610">
            <w:pPr>
              <w:jc w:val="center"/>
              <w:rPr>
                <w:rFonts w:ascii="宋体" w:hAnsi="宋体" w:eastAsia="宋体" w:cs="宋体"/>
                <w:color w:val="auto"/>
                <w:sz w:val="18"/>
                <w:szCs w:val="18"/>
              </w:rPr>
            </w:pPr>
          </w:p>
        </w:tc>
        <w:tc>
          <w:tcPr>
            <w:tcW w:w="1373" w:type="dxa"/>
            <w:vAlign w:val="center"/>
          </w:tcPr>
          <w:p w14:paraId="101B89C1">
            <w:pPr>
              <w:jc w:val="center"/>
              <w:rPr>
                <w:rFonts w:ascii="宋体" w:hAnsi="宋体" w:eastAsia="宋体" w:cs="宋体"/>
                <w:color w:val="auto"/>
                <w:sz w:val="18"/>
                <w:szCs w:val="18"/>
              </w:rPr>
            </w:pPr>
          </w:p>
        </w:tc>
      </w:tr>
      <w:tr w14:paraId="73174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bottom w:val="nil"/>
            </w:tcBorders>
            <w:textDirection w:val="tbRlV"/>
            <w:vAlign w:val="center"/>
          </w:tcPr>
          <w:p w14:paraId="5715CCBC">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7A5C27AD">
            <w:pPr>
              <w:jc w:val="center"/>
              <w:rPr>
                <w:rFonts w:ascii="宋体" w:hAnsi="宋体" w:eastAsia="宋体" w:cs="宋体"/>
                <w:color w:val="auto"/>
                <w:sz w:val="18"/>
                <w:szCs w:val="18"/>
              </w:rPr>
            </w:pPr>
          </w:p>
        </w:tc>
        <w:tc>
          <w:tcPr>
            <w:tcW w:w="1268" w:type="dxa"/>
            <w:vMerge w:val="restart"/>
            <w:tcBorders>
              <w:bottom w:val="nil"/>
            </w:tcBorders>
            <w:vAlign w:val="center"/>
          </w:tcPr>
          <w:p w14:paraId="3C6B20D1">
            <w:pPr>
              <w:spacing w:before="97" w:line="330" w:lineRule="exact"/>
              <w:ind w:left="311"/>
              <w:jc w:val="center"/>
              <w:rPr>
                <w:rFonts w:ascii="宋体" w:hAnsi="宋体" w:eastAsia="宋体" w:cs="宋体"/>
                <w:color w:val="auto"/>
                <w:sz w:val="18"/>
                <w:szCs w:val="18"/>
              </w:rPr>
            </w:pPr>
            <w:r>
              <w:rPr>
                <w:rFonts w:hint="eastAsia" w:ascii="宋体" w:hAnsi="宋体" w:eastAsia="宋体" w:cs="宋体"/>
                <w:color w:val="auto"/>
                <w:spacing w:val="-3"/>
                <w:position w:val="8"/>
                <w:sz w:val="18"/>
                <w:szCs w:val="18"/>
              </w:rPr>
              <w:t>生态效</w:t>
            </w:r>
          </w:p>
          <w:p w14:paraId="74D6CD43">
            <w:pPr>
              <w:spacing w:line="220" w:lineRule="auto"/>
              <w:ind w:left="311"/>
              <w:jc w:val="center"/>
              <w:rPr>
                <w:rFonts w:ascii="宋体" w:hAnsi="宋体" w:eastAsia="宋体" w:cs="宋体"/>
                <w:color w:val="auto"/>
                <w:sz w:val="18"/>
                <w:szCs w:val="18"/>
              </w:rPr>
            </w:pPr>
            <w:r>
              <w:rPr>
                <w:rFonts w:hint="eastAsia" w:ascii="宋体" w:hAnsi="宋体" w:eastAsia="宋体" w:cs="宋体"/>
                <w:color w:val="auto"/>
                <w:spacing w:val="-3"/>
                <w:sz w:val="18"/>
                <w:szCs w:val="18"/>
              </w:rPr>
              <w:t>益指标</w:t>
            </w:r>
          </w:p>
        </w:tc>
        <w:tc>
          <w:tcPr>
            <w:tcW w:w="1209" w:type="dxa"/>
            <w:vAlign w:val="center"/>
          </w:tcPr>
          <w:p w14:paraId="6F8D6D49">
            <w:pPr>
              <w:jc w:val="center"/>
              <w:rPr>
                <w:rFonts w:ascii="宋体" w:hAnsi="宋体" w:eastAsia="宋体" w:cs="宋体"/>
                <w:color w:val="auto"/>
                <w:sz w:val="18"/>
                <w:szCs w:val="18"/>
              </w:rPr>
            </w:pPr>
            <w:r>
              <w:rPr>
                <w:rFonts w:hint="eastAsia" w:ascii="宋体" w:hAnsi="宋体" w:eastAsia="宋体" w:cs="宋体"/>
                <w:color w:val="auto"/>
                <w:sz w:val="18"/>
                <w:szCs w:val="18"/>
              </w:rPr>
              <w:t>维护河流健康生命</w:t>
            </w:r>
          </w:p>
        </w:tc>
        <w:tc>
          <w:tcPr>
            <w:tcW w:w="1119" w:type="dxa"/>
            <w:vAlign w:val="center"/>
          </w:tcPr>
          <w:p w14:paraId="1FA683BB">
            <w:pPr>
              <w:jc w:val="center"/>
              <w:rPr>
                <w:rFonts w:ascii="宋体" w:hAnsi="宋体" w:eastAsia="宋体" w:cs="宋体"/>
                <w:color w:val="auto"/>
                <w:sz w:val="18"/>
                <w:szCs w:val="18"/>
              </w:rPr>
            </w:pPr>
            <w:r>
              <w:rPr>
                <w:rFonts w:hint="eastAsia" w:ascii="宋体" w:hAnsi="宋体" w:eastAsia="宋体" w:cs="宋体"/>
                <w:color w:val="auto"/>
                <w:sz w:val="18"/>
                <w:szCs w:val="18"/>
              </w:rPr>
              <w:t>是</w:t>
            </w:r>
          </w:p>
        </w:tc>
        <w:tc>
          <w:tcPr>
            <w:tcW w:w="1109" w:type="dxa"/>
            <w:vAlign w:val="center"/>
          </w:tcPr>
          <w:p w14:paraId="52185A4D">
            <w:pPr>
              <w:jc w:val="center"/>
              <w:rPr>
                <w:rFonts w:ascii="宋体" w:hAnsi="宋体" w:eastAsia="宋体" w:cs="宋体"/>
                <w:color w:val="auto"/>
                <w:sz w:val="18"/>
                <w:szCs w:val="18"/>
              </w:rPr>
            </w:pPr>
            <w:r>
              <w:rPr>
                <w:rFonts w:hint="eastAsia" w:ascii="宋体" w:hAnsi="宋体" w:eastAsia="宋体" w:cs="宋体"/>
                <w:color w:val="auto"/>
                <w:sz w:val="18"/>
                <w:szCs w:val="18"/>
              </w:rPr>
              <w:t>是</w:t>
            </w:r>
          </w:p>
        </w:tc>
        <w:tc>
          <w:tcPr>
            <w:tcW w:w="819" w:type="dxa"/>
            <w:vAlign w:val="center"/>
          </w:tcPr>
          <w:p w14:paraId="0B4D0CC0">
            <w:pPr>
              <w:jc w:val="center"/>
              <w:rPr>
                <w:rFonts w:ascii="宋体" w:hAnsi="宋体" w:eastAsia="宋体" w:cs="宋体"/>
                <w:color w:val="auto"/>
                <w:sz w:val="18"/>
                <w:szCs w:val="18"/>
              </w:rPr>
            </w:pPr>
          </w:p>
        </w:tc>
        <w:tc>
          <w:tcPr>
            <w:tcW w:w="859" w:type="dxa"/>
            <w:vAlign w:val="center"/>
          </w:tcPr>
          <w:p w14:paraId="25EECDE2">
            <w:pPr>
              <w:jc w:val="center"/>
              <w:rPr>
                <w:rFonts w:ascii="宋体" w:hAnsi="宋体" w:eastAsia="宋体" w:cs="宋体"/>
                <w:color w:val="auto"/>
                <w:sz w:val="18"/>
                <w:szCs w:val="18"/>
              </w:rPr>
            </w:pPr>
          </w:p>
        </w:tc>
        <w:tc>
          <w:tcPr>
            <w:tcW w:w="1373" w:type="dxa"/>
            <w:vAlign w:val="center"/>
          </w:tcPr>
          <w:p w14:paraId="555D306A">
            <w:pPr>
              <w:jc w:val="center"/>
              <w:rPr>
                <w:rFonts w:ascii="宋体" w:hAnsi="宋体" w:eastAsia="宋体" w:cs="宋体"/>
                <w:color w:val="auto"/>
                <w:sz w:val="18"/>
                <w:szCs w:val="18"/>
              </w:rPr>
            </w:pPr>
          </w:p>
        </w:tc>
      </w:tr>
      <w:tr w14:paraId="21C28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1134" w:type="dxa"/>
            <w:vMerge w:val="continue"/>
            <w:tcBorders>
              <w:top w:val="nil"/>
              <w:bottom w:val="nil"/>
            </w:tcBorders>
            <w:textDirection w:val="tbRlV"/>
            <w:vAlign w:val="center"/>
          </w:tcPr>
          <w:p w14:paraId="5E0401DC">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5AC84709">
            <w:pPr>
              <w:jc w:val="center"/>
              <w:rPr>
                <w:rFonts w:ascii="宋体" w:hAnsi="宋体" w:eastAsia="宋体" w:cs="宋体"/>
                <w:color w:val="auto"/>
                <w:sz w:val="18"/>
                <w:szCs w:val="18"/>
              </w:rPr>
            </w:pPr>
          </w:p>
        </w:tc>
        <w:tc>
          <w:tcPr>
            <w:tcW w:w="1268" w:type="dxa"/>
            <w:vMerge w:val="continue"/>
            <w:tcBorders>
              <w:top w:val="nil"/>
            </w:tcBorders>
            <w:vAlign w:val="center"/>
          </w:tcPr>
          <w:p w14:paraId="505A169C">
            <w:pPr>
              <w:jc w:val="center"/>
              <w:rPr>
                <w:rFonts w:ascii="宋体" w:hAnsi="宋体" w:eastAsia="宋体" w:cs="宋体"/>
                <w:color w:val="auto"/>
                <w:sz w:val="18"/>
                <w:szCs w:val="18"/>
              </w:rPr>
            </w:pPr>
          </w:p>
        </w:tc>
        <w:tc>
          <w:tcPr>
            <w:tcW w:w="1209" w:type="dxa"/>
            <w:vAlign w:val="center"/>
          </w:tcPr>
          <w:p w14:paraId="2B223F8E">
            <w:pPr>
              <w:jc w:val="center"/>
              <w:rPr>
                <w:rFonts w:ascii="宋体" w:hAnsi="宋体" w:eastAsia="宋体" w:cs="宋体"/>
                <w:color w:val="auto"/>
                <w:sz w:val="18"/>
                <w:szCs w:val="18"/>
              </w:rPr>
            </w:pPr>
          </w:p>
        </w:tc>
        <w:tc>
          <w:tcPr>
            <w:tcW w:w="1119" w:type="dxa"/>
            <w:vAlign w:val="center"/>
          </w:tcPr>
          <w:p w14:paraId="5BECFF1B">
            <w:pPr>
              <w:jc w:val="center"/>
              <w:rPr>
                <w:rFonts w:ascii="宋体" w:hAnsi="宋体" w:eastAsia="宋体" w:cs="宋体"/>
                <w:color w:val="auto"/>
                <w:sz w:val="18"/>
                <w:szCs w:val="18"/>
              </w:rPr>
            </w:pPr>
          </w:p>
        </w:tc>
        <w:tc>
          <w:tcPr>
            <w:tcW w:w="1109" w:type="dxa"/>
            <w:vAlign w:val="center"/>
          </w:tcPr>
          <w:p w14:paraId="2E038474">
            <w:pPr>
              <w:jc w:val="center"/>
              <w:rPr>
                <w:rFonts w:ascii="宋体" w:hAnsi="宋体" w:eastAsia="宋体" w:cs="宋体"/>
                <w:color w:val="auto"/>
                <w:sz w:val="18"/>
                <w:szCs w:val="18"/>
              </w:rPr>
            </w:pPr>
          </w:p>
        </w:tc>
        <w:tc>
          <w:tcPr>
            <w:tcW w:w="819" w:type="dxa"/>
            <w:vAlign w:val="center"/>
          </w:tcPr>
          <w:p w14:paraId="57FD2138">
            <w:pPr>
              <w:jc w:val="center"/>
              <w:rPr>
                <w:rFonts w:ascii="宋体" w:hAnsi="宋体" w:eastAsia="宋体" w:cs="宋体"/>
                <w:color w:val="auto"/>
                <w:sz w:val="18"/>
                <w:szCs w:val="18"/>
              </w:rPr>
            </w:pPr>
          </w:p>
        </w:tc>
        <w:tc>
          <w:tcPr>
            <w:tcW w:w="859" w:type="dxa"/>
            <w:vAlign w:val="center"/>
          </w:tcPr>
          <w:p w14:paraId="24F03B56">
            <w:pPr>
              <w:jc w:val="center"/>
              <w:rPr>
                <w:rFonts w:ascii="宋体" w:hAnsi="宋体" w:eastAsia="宋体" w:cs="宋体"/>
                <w:color w:val="auto"/>
                <w:sz w:val="18"/>
                <w:szCs w:val="18"/>
              </w:rPr>
            </w:pPr>
          </w:p>
        </w:tc>
        <w:tc>
          <w:tcPr>
            <w:tcW w:w="1373" w:type="dxa"/>
            <w:vAlign w:val="center"/>
          </w:tcPr>
          <w:p w14:paraId="2F210B7D">
            <w:pPr>
              <w:jc w:val="center"/>
              <w:rPr>
                <w:rFonts w:ascii="宋体" w:hAnsi="宋体" w:eastAsia="宋体" w:cs="宋体"/>
                <w:color w:val="auto"/>
                <w:sz w:val="18"/>
                <w:szCs w:val="18"/>
              </w:rPr>
            </w:pPr>
          </w:p>
        </w:tc>
      </w:tr>
      <w:tr w14:paraId="28712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34" w:type="dxa"/>
            <w:vMerge w:val="continue"/>
            <w:tcBorders>
              <w:top w:val="nil"/>
              <w:bottom w:val="nil"/>
            </w:tcBorders>
            <w:textDirection w:val="tbRlV"/>
            <w:vAlign w:val="center"/>
          </w:tcPr>
          <w:p w14:paraId="3F70BBED">
            <w:pPr>
              <w:jc w:val="center"/>
              <w:rPr>
                <w:rFonts w:ascii="宋体" w:hAnsi="宋体" w:eastAsia="宋体" w:cs="宋体"/>
                <w:color w:val="auto"/>
                <w:sz w:val="18"/>
                <w:szCs w:val="18"/>
              </w:rPr>
            </w:pPr>
          </w:p>
        </w:tc>
        <w:tc>
          <w:tcPr>
            <w:tcW w:w="989" w:type="dxa"/>
            <w:vMerge w:val="continue"/>
            <w:tcBorders>
              <w:top w:val="nil"/>
              <w:bottom w:val="nil"/>
            </w:tcBorders>
            <w:vAlign w:val="center"/>
          </w:tcPr>
          <w:p w14:paraId="62E637CE">
            <w:pPr>
              <w:jc w:val="center"/>
              <w:rPr>
                <w:rFonts w:ascii="宋体" w:hAnsi="宋体" w:eastAsia="宋体" w:cs="宋体"/>
                <w:color w:val="auto"/>
                <w:sz w:val="18"/>
                <w:szCs w:val="18"/>
              </w:rPr>
            </w:pPr>
          </w:p>
        </w:tc>
        <w:tc>
          <w:tcPr>
            <w:tcW w:w="1268" w:type="dxa"/>
            <w:vMerge w:val="restart"/>
            <w:tcBorders>
              <w:bottom w:val="nil"/>
            </w:tcBorders>
            <w:vAlign w:val="center"/>
          </w:tcPr>
          <w:p w14:paraId="34F7C955">
            <w:pPr>
              <w:spacing w:before="117" w:line="219"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可持续影</w:t>
            </w:r>
          </w:p>
          <w:p w14:paraId="20F38026">
            <w:pPr>
              <w:spacing w:before="71" w:line="220" w:lineRule="auto"/>
              <w:ind w:left="311"/>
              <w:jc w:val="center"/>
              <w:rPr>
                <w:rFonts w:ascii="宋体" w:hAnsi="宋体" w:eastAsia="宋体" w:cs="宋体"/>
                <w:color w:val="auto"/>
                <w:sz w:val="18"/>
                <w:szCs w:val="18"/>
              </w:rPr>
            </w:pPr>
            <w:r>
              <w:rPr>
                <w:rFonts w:hint="eastAsia" w:ascii="宋体" w:hAnsi="宋体" w:eastAsia="宋体" w:cs="宋体"/>
                <w:color w:val="auto"/>
                <w:spacing w:val="2"/>
                <w:sz w:val="18"/>
                <w:szCs w:val="18"/>
              </w:rPr>
              <w:t>响指标</w:t>
            </w:r>
          </w:p>
        </w:tc>
        <w:tc>
          <w:tcPr>
            <w:tcW w:w="1209" w:type="dxa"/>
            <w:vAlign w:val="center"/>
          </w:tcPr>
          <w:p w14:paraId="3887E31C">
            <w:pPr>
              <w:jc w:val="center"/>
              <w:rPr>
                <w:rFonts w:ascii="宋体" w:hAnsi="宋体" w:eastAsia="宋体" w:cs="宋体"/>
                <w:color w:val="auto"/>
                <w:sz w:val="18"/>
                <w:szCs w:val="18"/>
              </w:rPr>
            </w:pPr>
            <w:r>
              <w:rPr>
                <w:rFonts w:hint="eastAsia" w:ascii="宋体" w:hAnsi="宋体" w:eastAsia="宋体" w:cs="宋体"/>
                <w:color w:val="auto"/>
                <w:sz w:val="18"/>
                <w:szCs w:val="18"/>
              </w:rPr>
              <w:t>无</w:t>
            </w:r>
          </w:p>
        </w:tc>
        <w:tc>
          <w:tcPr>
            <w:tcW w:w="1119" w:type="dxa"/>
            <w:vAlign w:val="center"/>
          </w:tcPr>
          <w:p w14:paraId="50207094">
            <w:pPr>
              <w:jc w:val="center"/>
              <w:rPr>
                <w:rFonts w:ascii="宋体" w:hAnsi="宋体" w:eastAsia="宋体" w:cs="宋体"/>
                <w:color w:val="auto"/>
                <w:sz w:val="18"/>
                <w:szCs w:val="18"/>
              </w:rPr>
            </w:pPr>
          </w:p>
        </w:tc>
        <w:tc>
          <w:tcPr>
            <w:tcW w:w="1109" w:type="dxa"/>
            <w:vAlign w:val="center"/>
          </w:tcPr>
          <w:p w14:paraId="078BBB94">
            <w:pPr>
              <w:jc w:val="center"/>
              <w:rPr>
                <w:rFonts w:ascii="宋体" w:hAnsi="宋体" w:eastAsia="宋体" w:cs="宋体"/>
                <w:color w:val="auto"/>
                <w:sz w:val="18"/>
                <w:szCs w:val="18"/>
              </w:rPr>
            </w:pPr>
          </w:p>
        </w:tc>
        <w:tc>
          <w:tcPr>
            <w:tcW w:w="819" w:type="dxa"/>
            <w:vAlign w:val="center"/>
          </w:tcPr>
          <w:p w14:paraId="16A7E021">
            <w:pPr>
              <w:jc w:val="center"/>
              <w:rPr>
                <w:rFonts w:ascii="宋体" w:hAnsi="宋体" w:eastAsia="宋体" w:cs="宋体"/>
                <w:color w:val="auto"/>
                <w:sz w:val="18"/>
                <w:szCs w:val="18"/>
              </w:rPr>
            </w:pPr>
          </w:p>
        </w:tc>
        <w:tc>
          <w:tcPr>
            <w:tcW w:w="859" w:type="dxa"/>
            <w:vAlign w:val="center"/>
          </w:tcPr>
          <w:p w14:paraId="414E10C7">
            <w:pPr>
              <w:jc w:val="center"/>
              <w:rPr>
                <w:rFonts w:ascii="宋体" w:hAnsi="宋体" w:eastAsia="宋体" w:cs="宋体"/>
                <w:color w:val="auto"/>
                <w:sz w:val="18"/>
                <w:szCs w:val="18"/>
              </w:rPr>
            </w:pPr>
          </w:p>
        </w:tc>
        <w:tc>
          <w:tcPr>
            <w:tcW w:w="1373" w:type="dxa"/>
            <w:vAlign w:val="center"/>
          </w:tcPr>
          <w:p w14:paraId="6AE6845F">
            <w:pPr>
              <w:jc w:val="center"/>
              <w:rPr>
                <w:rFonts w:ascii="宋体" w:hAnsi="宋体" w:eastAsia="宋体" w:cs="宋体"/>
                <w:color w:val="auto"/>
                <w:sz w:val="18"/>
                <w:szCs w:val="18"/>
              </w:rPr>
            </w:pPr>
          </w:p>
        </w:tc>
      </w:tr>
      <w:tr w14:paraId="6C8A1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textDirection w:val="tbRlV"/>
            <w:vAlign w:val="center"/>
          </w:tcPr>
          <w:p w14:paraId="18109D8B">
            <w:pPr>
              <w:jc w:val="center"/>
              <w:rPr>
                <w:rFonts w:ascii="宋体" w:hAnsi="宋体" w:eastAsia="宋体" w:cs="宋体"/>
                <w:color w:val="auto"/>
                <w:sz w:val="18"/>
                <w:szCs w:val="18"/>
              </w:rPr>
            </w:pPr>
          </w:p>
        </w:tc>
        <w:tc>
          <w:tcPr>
            <w:tcW w:w="989" w:type="dxa"/>
            <w:vMerge w:val="continue"/>
            <w:tcBorders>
              <w:top w:val="nil"/>
            </w:tcBorders>
            <w:vAlign w:val="center"/>
          </w:tcPr>
          <w:p w14:paraId="5078AE91">
            <w:pPr>
              <w:jc w:val="center"/>
              <w:rPr>
                <w:rFonts w:ascii="宋体" w:hAnsi="宋体" w:eastAsia="宋体" w:cs="宋体"/>
                <w:color w:val="auto"/>
                <w:sz w:val="18"/>
                <w:szCs w:val="18"/>
              </w:rPr>
            </w:pPr>
          </w:p>
        </w:tc>
        <w:tc>
          <w:tcPr>
            <w:tcW w:w="1268" w:type="dxa"/>
            <w:vMerge w:val="continue"/>
            <w:tcBorders>
              <w:top w:val="nil"/>
            </w:tcBorders>
            <w:vAlign w:val="center"/>
          </w:tcPr>
          <w:p w14:paraId="40CDDF0C">
            <w:pPr>
              <w:jc w:val="center"/>
              <w:rPr>
                <w:rFonts w:ascii="宋体" w:hAnsi="宋体" w:eastAsia="宋体" w:cs="宋体"/>
                <w:color w:val="auto"/>
                <w:sz w:val="18"/>
                <w:szCs w:val="18"/>
              </w:rPr>
            </w:pPr>
          </w:p>
        </w:tc>
        <w:tc>
          <w:tcPr>
            <w:tcW w:w="1209" w:type="dxa"/>
            <w:vAlign w:val="center"/>
          </w:tcPr>
          <w:p w14:paraId="34F29831">
            <w:pPr>
              <w:jc w:val="center"/>
              <w:rPr>
                <w:rFonts w:ascii="宋体" w:hAnsi="宋体" w:eastAsia="宋体" w:cs="宋体"/>
                <w:color w:val="auto"/>
                <w:sz w:val="18"/>
                <w:szCs w:val="18"/>
              </w:rPr>
            </w:pPr>
          </w:p>
        </w:tc>
        <w:tc>
          <w:tcPr>
            <w:tcW w:w="1119" w:type="dxa"/>
            <w:vAlign w:val="center"/>
          </w:tcPr>
          <w:p w14:paraId="59C5588E">
            <w:pPr>
              <w:jc w:val="center"/>
              <w:rPr>
                <w:rFonts w:ascii="宋体" w:hAnsi="宋体" w:eastAsia="宋体" w:cs="宋体"/>
                <w:color w:val="auto"/>
                <w:sz w:val="18"/>
                <w:szCs w:val="18"/>
              </w:rPr>
            </w:pPr>
          </w:p>
        </w:tc>
        <w:tc>
          <w:tcPr>
            <w:tcW w:w="1109" w:type="dxa"/>
            <w:vAlign w:val="center"/>
          </w:tcPr>
          <w:p w14:paraId="02E327BE">
            <w:pPr>
              <w:jc w:val="center"/>
              <w:rPr>
                <w:rFonts w:ascii="宋体" w:hAnsi="宋体" w:eastAsia="宋体" w:cs="宋体"/>
                <w:color w:val="auto"/>
                <w:sz w:val="18"/>
                <w:szCs w:val="18"/>
              </w:rPr>
            </w:pPr>
          </w:p>
        </w:tc>
        <w:tc>
          <w:tcPr>
            <w:tcW w:w="819" w:type="dxa"/>
            <w:vAlign w:val="center"/>
          </w:tcPr>
          <w:p w14:paraId="5F784391">
            <w:pPr>
              <w:jc w:val="center"/>
              <w:rPr>
                <w:rFonts w:ascii="宋体" w:hAnsi="宋体" w:eastAsia="宋体" w:cs="宋体"/>
                <w:color w:val="auto"/>
                <w:sz w:val="18"/>
                <w:szCs w:val="18"/>
              </w:rPr>
            </w:pPr>
          </w:p>
        </w:tc>
        <w:tc>
          <w:tcPr>
            <w:tcW w:w="859" w:type="dxa"/>
            <w:vAlign w:val="center"/>
          </w:tcPr>
          <w:p w14:paraId="23C4FD94">
            <w:pPr>
              <w:jc w:val="center"/>
              <w:rPr>
                <w:rFonts w:ascii="宋体" w:hAnsi="宋体" w:eastAsia="宋体" w:cs="宋体"/>
                <w:color w:val="auto"/>
                <w:sz w:val="18"/>
                <w:szCs w:val="18"/>
              </w:rPr>
            </w:pPr>
          </w:p>
        </w:tc>
        <w:tc>
          <w:tcPr>
            <w:tcW w:w="1373" w:type="dxa"/>
            <w:vAlign w:val="center"/>
          </w:tcPr>
          <w:p w14:paraId="5740D076">
            <w:pPr>
              <w:jc w:val="center"/>
              <w:rPr>
                <w:rFonts w:ascii="宋体" w:hAnsi="宋体" w:eastAsia="宋体" w:cs="宋体"/>
                <w:color w:val="auto"/>
                <w:sz w:val="18"/>
                <w:szCs w:val="18"/>
              </w:rPr>
            </w:pPr>
          </w:p>
        </w:tc>
      </w:tr>
      <w:tr w14:paraId="2D5718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1134" w:type="dxa"/>
            <w:vMerge w:val="continue"/>
            <w:tcBorders>
              <w:top w:val="nil"/>
              <w:bottom w:val="nil"/>
            </w:tcBorders>
            <w:textDirection w:val="tbRlV"/>
            <w:vAlign w:val="center"/>
          </w:tcPr>
          <w:p w14:paraId="0819727B">
            <w:pPr>
              <w:jc w:val="center"/>
              <w:rPr>
                <w:rFonts w:ascii="宋体" w:hAnsi="宋体" w:eastAsia="宋体" w:cs="宋体"/>
                <w:color w:val="auto"/>
                <w:sz w:val="18"/>
                <w:szCs w:val="18"/>
              </w:rPr>
            </w:pPr>
          </w:p>
        </w:tc>
        <w:tc>
          <w:tcPr>
            <w:tcW w:w="989" w:type="dxa"/>
            <w:vMerge w:val="restart"/>
            <w:tcBorders>
              <w:bottom w:val="nil"/>
            </w:tcBorders>
            <w:vAlign w:val="center"/>
          </w:tcPr>
          <w:p w14:paraId="53499FA4">
            <w:pPr>
              <w:spacing w:before="37" w:line="262" w:lineRule="auto"/>
              <w:ind w:left="171" w:right="132"/>
              <w:jc w:val="center"/>
              <w:rPr>
                <w:rFonts w:ascii="宋体" w:hAnsi="宋体" w:eastAsia="宋体" w:cs="宋体"/>
                <w:color w:val="auto"/>
                <w:sz w:val="18"/>
                <w:szCs w:val="18"/>
              </w:rPr>
            </w:pPr>
            <w:r>
              <w:rPr>
                <w:rFonts w:hint="eastAsia" w:ascii="宋体" w:hAnsi="宋体" w:eastAsia="宋体" w:cs="宋体"/>
                <w:color w:val="auto"/>
                <w:spacing w:val="14"/>
                <w:sz w:val="18"/>
                <w:szCs w:val="18"/>
              </w:rPr>
              <w:t>满意度</w:t>
            </w:r>
            <w:r>
              <w:rPr>
                <w:rFonts w:hint="eastAsia" w:ascii="宋体" w:hAnsi="宋体" w:eastAsia="宋体" w:cs="宋体"/>
                <w:color w:val="auto"/>
                <w:spacing w:val="18"/>
                <w:w w:val="118"/>
                <w:sz w:val="18"/>
                <w:szCs w:val="18"/>
              </w:rPr>
              <w:t>指标</w:t>
            </w:r>
            <w:r>
              <w:rPr>
                <w:rFonts w:hint="eastAsia" w:ascii="宋体" w:hAnsi="宋体" w:eastAsia="宋体" w:cs="宋体"/>
                <w:color w:val="auto"/>
                <w:spacing w:val="15"/>
                <w:sz w:val="18"/>
                <w:szCs w:val="18"/>
              </w:rPr>
              <w:t>(10分)</w:t>
            </w:r>
          </w:p>
        </w:tc>
        <w:tc>
          <w:tcPr>
            <w:tcW w:w="1268" w:type="dxa"/>
            <w:vMerge w:val="restart"/>
            <w:tcBorders>
              <w:bottom w:val="nil"/>
            </w:tcBorders>
            <w:vAlign w:val="center"/>
          </w:tcPr>
          <w:p w14:paraId="4A7E30F1">
            <w:pPr>
              <w:spacing w:before="47" w:line="219" w:lineRule="auto"/>
              <w:ind w:left="202"/>
              <w:jc w:val="center"/>
              <w:rPr>
                <w:rFonts w:ascii="宋体" w:hAnsi="宋体" w:eastAsia="宋体" w:cs="宋体"/>
                <w:color w:val="auto"/>
                <w:sz w:val="18"/>
                <w:szCs w:val="18"/>
              </w:rPr>
            </w:pPr>
            <w:r>
              <w:rPr>
                <w:rFonts w:hint="eastAsia" w:ascii="宋体" w:hAnsi="宋体" w:eastAsia="宋体" w:cs="宋体"/>
                <w:color w:val="auto"/>
                <w:spacing w:val="-2"/>
                <w:sz w:val="18"/>
                <w:szCs w:val="18"/>
              </w:rPr>
              <w:t>服务对象</w:t>
            </w:r>
          </w:p>
          <w:p w14:paraId="662869A3">
            <w:pPr>
              <w:spacing w:before="70" w:line="219" w:lineRule="auto"/>
              <w:ind w:left="202"/>
              <w:jc w:val="center"/>
              <w:rPr>
                <w:rFonts w:ascii="宋体" w:hAnsi="宋体" w:eastAsia="宋体" w:cs="宋体"/>
                <w:color w:val="auto"/>
                <w:sz w:val="18"/>
                <w:szCs w:val="18"/>
              </w:rPr>
            </w:pPr>
            <w:r>
              <w:rPr>
                <w:rFonts w:hint="eastAsia" w:ascii="宋体" w:hAnsi="宋体" w:eastAsia="宋体" w:cs="宋体"/>
                <w:color w:val="auto"/>
                <w:spacing w:val="3"/>
                <w:sz w:val="18"/>
                <w:szCs w:val="18"/>
              </w:rPr>
              <w:t>满意度指</w:t>
            </w:r>
          </w:p>
          <w:p w14:paraId="3769751F">
            <w:pPr>
              <w:spacing w:before="21" w:line="220" w:lineRule="auto"/>
              <w:ind w:left="501"/>
              <w:jc w:val="center"/>
              <w:rPr>
                <w:rFonts w:ascii="宋体" w:hAnsi="宋体" w:eastAsia="宋体" w:cs="宋体"/>
                <w:color w:val="auto"/>
                <w:sz w:val="18"/>
                <w:szCs w:val="18"/>
              </w:rPr>
            </w:pPr>
            <w:r>
              <w:rPr>
                <w:rFonts w:hint="eastAsia" w:ascii="宋体" w:hAnsi="宋体" w:eastAsia="宋体" w:cs="宋体"/>
                <w:color w:val="auto"/>
                <w:sz w:val="18"/>
                <w:szCs w:val="18"/>
              </w:rPr>
              <w:t>标</w:t>
            </w:r>
          </w:p>
        </w:tc>
        <w:tc>
          <w:tcPr>
            <w:tcW w:w="1209" w:type="dxa"/>
            <w:vAlign w:val="center"/>
          </w:tcPr>
          <w:p w14:paraId="63BEF71C">
            <w:pPr>
              <w:jc w:val="center"/>
              <w:rPr>
                <w:rFonts w:ascii="宋体" w:hAnsi="宋体" w:eastAsia="宋体" w:cs="宋体"/>
                <w:color w:val="auto"/>
                <w:sz w:val="18"/>
                <w:szCs w:val="18"/>
              </w:rPr>
            </w:pPr>
            <w:r>
              <w:rPr>
                <w:rFonts w:hint="eastAsia" w:ascii="宋体" w:hAnsi="宋体" w:eastAsia="宋体" w:cs="宋体"/>
                <w:color w:val="auto"/>
                <w:sz w:val="18"/>
                <w:szCs w:val="18"/>
              </w:rPr>
              <w:t>受益群众满意是否满意</w:t>
            </w:r>
          </w:p>
        </w:tc>
        <w:tc>
          <w:tcPr>
            <w:tcW w:w="1119" w:type="dxa"/>
            <w:vAlign w:val="center"/>
          </w:tcPr>
          <w:p w14:paraId="301AC6A3">
            <w:pPr>
              <w:jc w:val="center"/>
              <w:rPr>
                <w:rFonts w:ascii="宋体" w:hAnsi="宋体" w:eastAsia="宋体" w:cs="宋体"/>
                <w:color w:val="auto"/>
                <w:sz w:val="18"/>
                <w:szCs w:val="18"/>
              </w:rPr>
            </w:pPr>
            <w:r>
              <w:rPr>
                <w:rFonts w:hint="eastAsia" w:ascii="宋体" w:hAnsi="宋体" w:eastAsia="宋体" w:cs="宋体"/>
                <w:color w:val="auto"/>
                <w:sz w:val="18"/>
                <w:szCs w:val="18"/>
              </w:rPr>
              <w:t>是</w:t>
            </w:r>
          </w:p>
        </w:tc>
        <w:tc>
          <w:tcPr>
            <w:tcW w:w="1109" w:type="dxa"/>
            <w:vAlign w:val="center"/>
          </w:tcPr>
          <w:p w14:paraId="0E433069">
            <w:pPr>
              <w:jc w:val="center"/>
              <w:rPr>
                <w:rFonts w:ascii="宋体" w:hAnsi="宋体" w:eastAsia="宋体" w:cs="宋体"/>
                <w:color w:val="auto"/>
                <w:sz w:val="18"/>
                <w:szCs w:val="18"/>
              </w:rPr>
            </w:pPr>
            <w:r>
              <w:rPr>
                <w:rFonts w:hint="eastAsia" w:ascii="宋体" w:hAnsi="宋体" w:eastAsia="宋体" w:cs="宋体"/>
                <w:color w:val="auto"/>
                <w:sz w:val="18"/>
                <w:szCs w:val="18"/>
              </w:rPr>
              <w:t>是</w:t>
            </w:r>
          </w:p>
        </w:tc>
        <w:tc>
          <w:tcPr>
            <w:tcW w:w="819" w:type="dxa"/>
            <w:vAlign w:val="center"/>
          </w:tcPr>
          <w:p w14:paraId="42A4F3C7">
            <w:pPr>
              <w:jc w:val="center"/>
              <w:rPr>
                <w:rFonts w:ascii="宋体" w:hAnsi="宋体" w:eastAsia="宋体" w:cs="宋体"/>
                <w:color w:val="auto"/>
                <w:sz w:val="18"/>
                <w:szCs w:val="18"/>
              </w:rPr>
            </w:pPr>
          </w:p>
        </w:tc>
        <w:tc>
          <w:tcPr>
            <w:tcW w:w="859" w:type="dxa"/>
            <w:vAlign w:val="center"/>
          </w:tcPr>
          <w:p w14:paraId="4D28E5A5">
            <w:pPr>
              <w:jc w:val="center"/>
              <w:rPr>
                <w:rFonts w:ascii="宋体" w:hAnsi="宋体" w:eastAsia="宋体" w:cs="宋体"/>
                <w:color w:val="auto"/>
                <w:sz w:val="18"/>
                <w:szCs w:val="18"/>
              </w:rPr>
            </w:pPr>
          </w:p>
        </w:tc>
        <w:tc>
          <w:tcPr>
            <w:tcW w:w="1373" w:type="dxa"/>
            <w:vAlign w:val="center"/>
          </w:tcPr>
          <w:p w14:paraId="34FEC84E">
            <w:pPr>
              <w:jc w:val="center"/>
              <w:rPr>
                <w:rFonts w:ascii="宋体" w:hAnsi="宋体" w:eastAsia="宋体" w:cs="宋体"/>
                <w:color w:val="auto"/>
                <w:sz w:val="18"/>
                <w:szCs w:val="18"/>
              </w:rPr>
            </w:pPr>
          </w:p>
        </w:tc>
      </w:tr>
      <w:tr w14:paraId="257DA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jc w:val="center"/>
        </w:trPr>
        <w:tc>
          <w:tcPr>
            <w:tcW w:w="1134" w:type="dxa"/>
            <w:vMerge w:val="continue"/>
            <w:tcBorders>
              <w:top w:val="nil"/>
            </w:tcBorders>
            <w:textDirection w:val="tbRlV"/>
            <w:vAlign w:val="center"/>
          </w:tcPr>
          <w:p w14:paraId="014A26C5">
            <w:pPr>
              <w:jc w:val="center"/>
              <w:rPr>
                <w:rFonts w:ascii="宋体" w:hAnsi="宋体" w:eastAsia="宋体" w:cs="宋体"/>
                <w:color w:val="auto"/>
                <w:sz w:val="18"/>
                <w:szCs w:val="18"/>
              </w:rPr>
            </w:pPr>
          </w:p>
        </w:tc>
        <w:tc>
          <w:tcPr>
            <w:tcW w:w="989" w:type="dxa"/>
            <w:vMerge w:val="continue"/>
            <w:tcBorders>
              <w:top w:val="nil"/>
            </w:tcBorders>
            <w:vAlign w:val="center"/>
          </w:tcPr>
          <w:p w14:paraId="14BE0D0A">
            <w:pPr>
              <w:jc w:val="center"/>
              <w:rPr>
                <w:rFonts w:ascii="宋体" w:hAnsi="宋体" w:eastAsia="宋体" w:cs="宋体"/>
                <w:color w:val="auto"/>
                <w:sz w:val="18"/>
                <w:szCs w:val="18"/>
              </w:rPr>
            </w:pPr>
          </w:p>
        </w:tc>
        <w:tc>
          <w:tcPr>
            <w:tcW w:w="1268" w:type="dxa"/>
            <w:vMerge w:val="continue"/>
            <w:tcBorders>
              <w:top w:val="nil"/>
            </w:tcBorders>
            <w:vAlign w:val="center"/>
          </w:tcPr>
          <w:p w14:paraId="5A06F852">
            <w:pPr>
              <w:jc w:val="center"/>
              <w:rPr>
                <w:rFonts w:ascii="宋体" w:hAnsi="宋体" w:eastAsia="宋体" w:cs="宋体"/>
                <w:color w:val="auto"/>
                <w:sz w:val="18"/>
                <w:szCs w:val="18"/>
              </w:rPr>
            </w:pPr>
          </w:p>
        </w:tc>
        <w:tc>
          <w:tcPr>
            <w:tcW w:w="1209" w:type="dxa"/>
            <w:vAlign w:val="center"/>
          </w:tcPr>
          <w:p w14:paraId="58715644">
            <w:pPr>
              <w:jc w:val="center"/>
              <w:rPr>
                <w:rFonts w:ascii="宋体" w:hAnsi="宋体" w:eastAsia="宋体" w:cs="宋体"/>
                <w:color w:val="auto"/>
                <w:sz w:val="18"/>
                <w:szCs w:val="18"/>
              </w:rPr>
            </w:pPr>
          </w:p>
        </w:tc>
        <w:tc>
          <w:tcPr>
            <w:tcW w:w="1119" w:type="dxa"/>
            <w:vAlign w:val="center"/>
          </w:tcPr>
          <w:p w14:paraId="0F07433A">
            <w:pPr>
              <w:jc w:val="center"/>
              <w:rPr>
                <w:rFonts w:ascii="宋体" w:hAnsi="宋体" w:eastAsia="宋体" w:cs="宋体"/>
                <w:color w:val="auto"/>
                <w:sz w:val="18"/>
                <w:szCs w:val="18"/>
              </w:rPr>
            </w:pPr>
          </w:p>
        </w:tc>
        <w:tc>
          <w:tcPr>
            <w:tcW w:w="1109" w:type="dxa"/>
            <w:vAlign w:val="center"/>
          </w:tcPr>
          <w:p w14:paraId="24AAB75A">
            <w:pPr>
              <w:jc w:val="center"/>
              <w:rPr>
                <w:rFonts w:ascii="宋体" w:hAnsi="宋体" w:eastAsia="宋体" w:cs="宋体"/>
                <w:color w:val="auto"/>
                <w:sz w:val="18"/>
                <w:szCs w:val="18"/>
              </w:rPr>
            </w:pPr>
          </w:p>
        </w:tc>
        <w:tc>
          <w:tcPr>
            <w:tcW w:w="819" w:type="dxa"/>
            <w:vAlign w:val="center"/>
          </w:tcPr>
          <w:p w14:paraId="4448C2C6">
            <w:pPr>
              <w:jc w:val="center"/>
              <w:rPr>
                <w:rFonts w:ascii="宋体" w:hAnsi="宋体" w:eastAsia="宋体" w:cs="宋体"/>
                <w:color w:val="auto"/>
                <w:sz w:val="18"/>
                <w:szCs w:val="18"/>
              </w:rPr>
            </w:pPr>
          </w:p>
        </w:tc>
        <w:tc>
          <w:tcPr>
            <w:tcW w:w="859" w:type="dxa"/>
            <w:vAlign w:val="center"/>
          </w:tcPr>
          <w:p w14:paraId="3664FFEB">
            <w:pPr>
              <w:jc w:val="center"/>
              <w:rPr>
                <w:rFonts w:ascii="宋体" w:hAnsi="宋体" w:eastAsia="宋体" w:cs="宋体"/>
                <w:color w:val="auto"/>
                <w:sz w:val="18"/>
                <w:szCs w:val="18"/>
              </w:rPr>
            </w:pPr>
          </w:p>
        </w:tc>
        <w:tc>
          <w:tcPr>
            <w:tcW w:w="1373" w:type="dxa"/>
            <w:vAlign w:val="center"/>
          </w:tcPr>
          <w:p w14:paraId="5BBAB9FA">
            <w:pPr>
              <w:jc w:val="center"/>
              <w:rPr>
                <w:rFonts w:ascii="宋体" w:hAnsi="宋体" w:eastAsia="宋体" w:cs="宋体"/>
                <w:color w:val="auto"/>
                <w:sz w:val="18"/>
                <w:szCs w:val="18"/>
              </w:rPr>
            </w:pPr>
          </w:p>
        </w:tc>
      </w:tr>
      <w:tr w14:paraId="5294A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jc w:val="center"/>
        </w:trPr>
        <w:tc>
          <w:tcPr>
            <w:tcW w:w="6828" w:type="dxa"/>
            <w:gridSpan w:val="6"/>
            <w:vAlign w:val="center"/>
          </w:tcPr>
          <w:p w14:paraId="5FEFC2DA">
            <w:pPr>
              <w:spacing w:before="139" w:line="220" w:lineRule="auto"/>
              <w:ind w:left="2464"/>
              <w:jc w:val="center"/>
              <w:rPr>
                <w:rFonts w:ascii="宋体" w:hAnsi="宋体" w:eastAsia="宋体" w:cs="宋体"/>
                <w:color w:val="auto"/>
                <w:sz w:val="18"/>
                <w:szCs w:val="18"/>
              </w:rPr>
            </w:pPr>
            <w:r>
              <w:rPr>
                <w:rFonts w:hint="eastAsia" w:ascii="宋体" w:hAnsi="宋体" w:eastAsia="宋体" w:cs="宋体"/>
                <w:color w:val="auto"/>
                <w:spacing w:val="-7"/>
                <w:sz w:val="18"/>
                <w:szCs w:val="18"/>
              </w:rPr>
              <w:t>总分</w:t>
            </w:r>
          </w:p>
        </w:tc>
        <w:tc>
          <w:tcPr>
            <w:tcW w:w="819" w:type="dxa"/>
            <w:vAlign w:val="center"/>
          </w:tcPr>
          <w:p w14:paraId="0C131045">
            <w:pPr>
              <w:spacing w:before="191" w:line="184" w:lineRule="auto"/>
              <w:ind w:left="137"/>
              <w:jc w:val="center"/>
              <w:rPr>
                <w:rFonts w:ascii="宋体" w:hAnsi="宋体" w:eastAsia="宋体" w:cs="宋体"/>
                <w:color w:val="auto"/>
                <w:sz w:val="18"/>
                <w:szCs w:val="18"/>
              </w:rPr>
            </w:pPr>
            <w:r>
              <w:rPr>
                <w:rFonts w:hint="eastAsia" w:ascii="宋体" w:hAnsi="宋体" w:eastAsia="宋体" w:cs="宋体"/>
                <w:color w:val="auto"/>
                <w:spacing w:val="-6"/>
                <w:sz w:val="18"/>
                <w:szCs w:val="18"/>
              </w:rPr>
              <w:t>100</w:t>
            </w:r>
          </w:p>
        </w:tc>
        <w:tc>
          <w:tcPr>
            <w:tcW w:w="859" w:type="dxa"/>
            <w:vAlign w:val="center"/>
          </w:tcPr>
          <w:p w14:paraId="5F0292CB">
            <w:pPr>
              <w:jc w:val="center"/>
              <w:rPr>
                <w:rFonts w:ascii="宋体" w:hAnsi="宋体" w:eastAsia="宋体" w:cs="宋体"/>
                <w:color w:val="auto"/>
                <w:sz w:val="18"/>
                <w:szCs w:val="18"/>
              </w:rPr>
            </w:pPr>
            <w:r>
              <w:rPr>
                <w:rFonts w:hint="eastAsia" w:ascii="宋体" w:hAnsi="宋体" w:eastAsia="宋体" w:cs="宋体"/>
                <w:color w:val="auto"/>
                <w:sz w:val="18"/>
                <w:szCs w:val="18"/>
              </w:rPr>
              <w:t>87</w:t>
            </w:r>
          </w:p>
        </w:tc>
        <w:tc>
          <w:tcPr>
            <w:tcW w:w="1373" w:type="dxa"/>
            <w:vAlign w:val="center"/>
          </w:tcPr>
          <w:p w14:paraId="00C64D6B">
            <w:pPr>
              <w:jc w:val="center"/>
              <w:rPr>
                <w:rFonts w:ascii="宋体" w:hAnsi="宋体" w:eastAsia="宋体" w:cs="宋体"/>
                <w:color w:val="auto"/>
                <w:sz w:val="18"/>
                <w:szCs w:val="18"/>
              </w:rPr>
            </w:pPr>
          </w:p>
        </w:tc>
      </w:tr>
    </w:tbl>
    <w:p w14:paraId="015CDE7B">
      <w:pPr>
        <w:kinsoku/>
        <w:autoSpaceDE/>
        <w:autoSpaceDN/>
        <w:adjustRightInd/>
        <w:snapToGrid/>
        <w:spacing w:line="360" w:lineRule="auto"/>
        <w:textAlignment w:val="auto"/>
        <w:rPr>
          <w:rFonts w:ascii="仿宋" w:hAnsi="仿宋" w:eastAsia="仿宋"/>
          <w:color w:val="auto"/>
          <w:sz w:val="32"/>
          <w:szCs w:val="32"/>
        </w:rPr>
      </w:pPr>
    </w:p>
    <w:p w14:paraId="1CA5536A">
      <w:pPr>
        <w:kinsoku/>
        <w:autoSpaceDE/>
        <w:autoSpaceDN/>
        <w:adjustRightInd/>
        <w:snapToGrid/>
        <w:spacing w:line="360" w:lineRule="auto"/>
        <w:textAlignment w:val="auto"/>
        <w:rPr>
          <w:rFonts w:ascii="仿宋" w:hAnsi="仿宋" w:eastAsia="仿宋"/>
          <w:color w:val="auto"/>
          <w:sz w:val="32"/>
          <w:szCs w:val="32"/>
        </w:rPr>
      </w:pPr>
    </w:p>
    <w:p w14:paraId="30B8A851">
      <w:pPr>
        <w:kinsoku/>
        <w:autoSpaceDE/>
        <w:autoSpaceDN/>
        <w:adjustRightInd/>
        <w:snapToGrid/>
        <w:spacing w:line="360" w:lineRule="auto"/>
        <w:textAlignment w:val="auto"/>
        <w:rPr>
          <w:rFonts w:ascii="仿宋" w:hAnsi="仿宋" w:eastAsia="仿宋"/>
          <w:color w:val="auto"/>
          <w:sz w:val="32"/>
          <w:szCs w:val="32"/>
        </w:rPr>
      </w:pPr>
    </w:p>
    <w:sectPr>
      <w:footerReference r:id="rId3" w:type="default"/>
      <w:pgSz w:w="11860" w:h="16798"/>
      <w:pgMar w:top="1440" w:right="1803" w:bottom="1440" w:left="1803" w:header="0" w:footer="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 w:name="CESI仿宋-GB13000">
    <w:altName w:val="微软雅黑"/>
    <w:panose1 w:val="00000000000000000000"/>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BF933">
    <w:pPr>
      <w:spacing w:line="14" w:lineRule="auto"/>
      <w:rPr>
        <w:sz w:val="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4103AE"/>
    <w:multiLevelType w:val="multilevel"/>
    <w:tmpl w:val="5C4103AE"/>
    <w:lvl w:ilvl="0" w:tentative="0">
      <w:start w:val="1"/>
      <w:numFmt w:val="decimalEnclosedCircle"/>
      <w:lvlText w:val="%1"/>
      <w:lvlJc w:val="left"/>
      <w:pPr>
        <w:ind w:left="1069" w:hanging="360"/>
      </w:pPr>
      <w:rPr>
        <w:rFonts w:hint="default"/>
      </w:rPr>
    </w:lvl>
    <w:lvl w:ilvl="1" w:tentative="0">
      <w:start w:val="1"/>
      <w:numFmt w:val="lowerLetter"/>
      <w:lvlText w:val="%2)"/>
      <w:lvlJc w:val="left"/>
      <w:pPr>
        <w:ind w:left="1523" w:hanging="440"/>
      </w:pPr>
    </w:lvl>
    <w:lvl w:ilvl="2" w:tentative="0">
      <w:start w:val="1"/>
      <w:numFmt w:val="lowerRoman"/>
      <w:lvlText w:val="%3."/>
      <w:lvlJc w:val="right"/>
      <w:pPr>
        <w:ind w:left="1963" w:hanging="440"/>
      </w:pPr>
    </w:lvl>
    <w:lvl w:ilvl="3" w:tentative="0">
      <w:start w:val="1"/>
      <w:numFmt w:val="decimal"/>
      <w:lvlText w:val="%4."/>
      <w:lvlJc w:val="left"/>
      <w:pPr>
        <w:ind w:left="2403" w:hanging="440"/>
      </w:pPr>
    </w:lvl>
    <w:lvl w:ilvl="4" w:tentative="0">
      <w:start w:val="1"/>
      <w:numFmt w:val="lowerLetter"/>
      <w:lvlText w:val="%5)"/>
      <w:lvlJc w:val="left"/>
      <w:pPr>
        <w:ind w:left="2843" w:hanging="440"/>
      </w:pPr>
    </w:lvl>
    <w:lvl w:ilvl="5" w:tentative="0">
      <w:start w:val="1"/>
      <w:numFmt w:val="lowerRoman"/>
      <w:lvlText w:val="%6."/>
      <w:lvlJc w:val="right"/>
      <w:pPr>
        <w:ind w:left="3283" w:hanging="440"/>
      </w:pPr>
    </w:lvl>
    <w:lvl w:ilvl="6" w:tentative="0">
      <w:start w:val="1"/>
      <w:numFmt w:val="decimal"/>
      <w:lvlText w:val="%7."/>
      <w:lvlJc w:val="left"/>
      <w:pPr>
        <w:ind w:left="3723" w:hanging="440"/>
      </w:pPr>
    </w:lvl>
    <w:lvl w:ilvl="7" w:tentative="0">
      <w:start w:val="1"/>
      <w:numFmt w:val="lowerLetter"/>
      <w:lvlText w:val="%8)"/>
      <w:lvlJc w:val="left"/>
      <w:pPr>
        <w:ind w:left="4163" w:hanging="440"/>
      </w:pPr>
    </w:lvl>
    <w:lvl w:ilvl="8" w:tentative="0">
      <w:start w:val="1"/>
      <w:numFmt w:val="lowerRoman"/>
      <w:lvlText w:val="%9."/>
      <w:lvlJc w:val="right"/>
      <w:pPr>
        <w:ind w:left="4603"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embedSystemFonts/>
  <w:bordersDoNotSurroundHeader w:val="1"/>
  <w:bordersDoNotSurroundFooter w:val="1"/>
  <w:documentProtection w:enforcement="0"/>
  <w:defaultTabStop w:val="420"/>
  <w:drawingGridHorizontalSpacing w:val="210"/>
  <w:drawingGridVerticalSpacing w:val="-7946"/>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Q2YmIyNWM4ZmJkYWYzNmI5NjMwZWZjN2Q4ZWM4YWQifQ=="/>
  </w:docVars>
  <w:rsids>
    <w:rsidRoot w:val="0070009F"/>
    <w:rsid w:val="00023F00"/>
    <w:rsid w:val="000303CD"/>
    <w:rsid w:val="00050ABD"/>
    <w:rsid w:val="000A24CF"/>
    <w:rsid w:val="000F1D43"/>
    <w:rsid w:val="000F7925"/>
    <w:rsid w:val="0013115B"/>
    <w:rsid w:val="00134A75"/>
    <w:rsid w:val="0014050B"/>
    <w:rsid w:val="001861C6"/>
    <w:rsid w:val="001A156E"/>
    <w:rsid w:val="001D3072"/>
    <w:rsid w:val="00206E91"/>
    <w:rsid w:val="0022439B"/>
    <w:rsid w:val="00230725"/>
    <w:rsid w:val="00236700"/>
    <w:rsid w:val="002564A1"/>
    <w:rsid w:val="0025709E"/>
    <w:rsid w:val="00276B99"/>
    <w:rsid w:val="002841F1"/>
    <w:rsid w:val="002865F6"/>
    <w:rsid w:val="002A7F61"/>
    <w:rsid w:val="002C4B5D"/>
    <w:rsid w:val="002C50E5"/>
    <w:rsid w:val="002D7DEB"/>
    <w:rsid w:val="003150B6"/>
    <w:rsid w:val="00344443"/>
    <w:rsid w:val="003F5884"/>
    <w:rsid w:val="004054A7"/>
    <w:rsid w:val="00427DBF"/>
    <w:rsid w:val="0043456C"/>
    <w:rsid w:val="004363DF"/>
    <w:rsid w:val="00472B8A"/>
    <w:rsid w:val="004753E1"/>
    <w:rsid w:val="004A5394"/>
    <w:rsid w:val="004C6AA0"/>
    <w:rsid w:val="004D45BB"/>
    <w:rsid w:val="00504619"/>
    <w:rsid w:val="0050535C"/>
    <w:rsid w:val="005077BC"/>
    <w:rsid w:val="00596414"/>
    <w:rsid w:val="005E27E6"/>
    <w:rsid w:val="00646EC4"/>
    <w:rsid w:val="00653B5B"/>
    <w:rsid w:val="0068332B"/>
    <w:rsid w:val="006A395D"/>
    <w:rsid w:val="0070009F"/>
    <w:rsid w:val="007019A5"/>
    <w:rsid w:val="0072221F"/>
    <w:rsid w:val="00722A12"/>
    <w:rsid w:val="00756EFC"/>
    <w:rsid w:val="00777FA9"/>
    <w:rsid w:val="007878B7"/>
    <w:rsid w:val="007C4739"/>
    <w:rsid w:val="007D68D5"/>
    <w:rsid w:val="007F1FA3"/>
    <w:rsid w:val="00881222"/>
    <w:rsid w:val="00887169"/>
    <w:rsid w:val="008B673D"/>
    <w:rsid w:val="008D22EA"/>
    <w:rsid w:val="00912D63"/>
    <w:rsid w:val="00916CF1"/>
    <w:rsid w:val="00964671"/>
    <w:rsid w:val="009761B5"/>
    <w:rsid w:val="009E0BC2"/>
    <w:rsid w:val="00A0156D"/>
    <w:rsid w:val="00A4455F"/>
    <w:rsid w:val="00AA3CAF"/>
    <w:rsid w:val="00AA5185"/>
    <w:rsid w:val="00AB4352"/>
    <w:rsid w:val="00B00B72"/>
    <w:rsid w:val="00B06097"/>
    <w:rsid w:val="00B13298"/>
    <w:rsid w:val="00B454FA"/>
    <w:rsid w:val="00BA2506"/>
    <w:rsid w:val="00BA57D2"/>
    <w:rsid w:val="00C173AB"/>
    <w:rsid w:val="00C5080F"/>
    <w:rsid w:val="00C56EC6"/>
    <w:rsid w:val="00C91701"/>
    <w:rsid w:val="00CA0B77"/>
    <w:rsid w:val="00CA4169"/>
    <w:rsid w:val="00D04956"/>
    <w:rsid w:val="00D25B3C"/>
    <w:rsid w:val="00D47E72"/>
    <w:rsid w:val="00D526A5"/>
    <w:rsid w:val="00D86927"/>
    <w:rsid w:val="00D94305"/>
    <w:rsid w:val="00DA0C87"/>
    <w:rsid w:val="00DA1211"/>
    <w:rsid w:val="00DB0FBA"/>
    <w:rsid w:val="00DC2777"/>
    <w:rsid w:val="00DC3900"/>
    <w:rsid w:val="00DD62E0"/>
    <w:rsid w:val="00DF2056"/>
    <w:rsid w:val="00DF6893"/>
    <w:rsid w:val="00E24EA5"/>
    <w:rsid w:val="00E467EA"/>
    <w:rsid w:val="00EE4B95"/>
    <w:rsid w:val="00EF2D16"/>
    <w:rsid w:val="00EF4DF7"/>
    <w:rsid w:val="00EF542A"/>
    <w:rsid w:val="00F104BF"/>
    <w:rsid w:val="00F21288"/>
    <w:rsid w:val="00F53906"/>
    <w:rsid w:val="00FA0B53"/>
    <w:rsid w:val="00FB0E3B"/>
    <w:rsid w:val="00FD340B"/>
    <w:rsid w:val="04E134F7"/>
    <w:rsid w:val="0A5A06CB"/>
    <w:rsid w:val="1D9E3CD3"/>
    <w:rsid w:val="6A3E34C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pPr>
    <w:rPr>
      <w:sz w:val="18"/>
      <w:szCs w:val="18"/>
    </w:rPr>
  </w:style>
  <w:style w:type="paragraph" w:styleId="3">
    <w:name w:val="header"/>
    <w:basedOn w:val="1"/>
    <w:link w:val="6"/>
    <w:qFormat/>
    <w:uiPriority w:val="0"/>
    <w:pPr>
      <w:pBdr>
        <w:bottom w:val="single" w:color="auto" w:sz="6" w:space="1"/>
      </w:pBdr>
      <w:tabs>
        <w:tab w:val="center" w:pos="4153"/>
        <w:tab w:val="right" w:pos="8306"/>
      </w:tabs>
      <w:jc w:val="center"/>
    </w:pPr>
    <w:rPr>
      <w:sz w:val="18"/>
      <w:szCs w:val="18"/>
    </w:rPr>
  </w:style>
  <w:style w:type="character" w:customStyle="1" w:styleId="6">
    <w:name w:val="页眉 字符"/>
    <w:basedOn w:val="5"/>
    <w:link w:val="3"/>
    <w:qFormat/>
    <w:uiPriority w:val="0"/>
    <w:rPr>
      <w:rFonts w:ascii="Arial" w:hAnsi="Arial" w:cs="Arial" w:eastAsiaTheme="minorEastAsia"/>
      <w:snapToGrid w:val="0"/>
      <w:color w:val="000000"/>
      <w:sz w:val="18"/>
      <w:szCs w:val="18"/>
    </w:rPr>
  </w:style>
  <w:style w:type="character" w:customStyle="1" w:styleId="7">
    <w:name w:val="页脚 字符"/>
    <w:basedOn w:val="5"/>
    <w:link w:val="2"/>
    <w:qFormat/>
    <w:uiPriority w:val="0"/>
    <w:rPr>
      <w:rFonts w:ascii="Arial" w:hAnsi="Arial" w:cs="Arial" w:eastAsiaTheme="minorEastAsia"/>
      <w:snapToGrid w:val="0"/>
      <w:color w:val="000000"/>
      <w:sz w:val="18"/>
      <w:szCs w:val="18"/>
    </w:rPr>
  </w:style>
  <w:style w:type="table" w:customStyle="1" w:styleId="8">
    <w:name w:val="Table Normal"/>
    <w:semiHidden/>
    <w:unhideWhenUsed/>
    <w:qFormat/>
    <w:uiPriority w:val="0"/>
    <w:rPr>
      <w:rFonts w:ascii="Arial" w:hAnsi="Arial" w:cs="Arial" w:eastAsiaTheme="minorEastAsia"/>
      <w:snapToGrid w:val="0"/>
      <w:color w:val="000000"/>
      <w:sz w:val="21"/>
      <w:szCs w:val="21"/>
    </w:rPr>
    <w:tblPr>
      <w:tblCellMar>
        <w:top w:w="0" w:type="dxa"/>
        <w:left w:w="0" w:type="dxa"/>
        <w:bottom w:w="0" w:type="dxa"/>
        <w:right w:w="0" w:type="dxa"/>
      </w:tblCellMar>
    </w:tblPr>
  </w:style>
  <w:style w:type="character" w:customStyle="1" w:styleId="9">
    <w:name w:val="NormalCharacter"/>
    <w:semiHidden/>
    <w:qFormat/>
    <w:uiPriority w:val="0"/>
    <w:rPr>
      <w:rFonts w:eastAsia="宋体"/>
      <w:kern w:val="2"/>
      <w:sz w:val="21"/>
      <w:szCs w:val="24"/>
      <w:lang w:val="en-US" w:eastAsia="zh-CN" w:bidi="ar-SA"/>
    </w:rPr>
  </w:style>
  <w:style w:type="paragraph" w:styleId="10">
    <w:name w:val="List Paragraph"/>
    <w:basedOn w:val="1"/>
    <w:qFormat/>
    <w:uiPriority w:val="99"/>
    <w:pPr>
      <w:widowControl w:val="0"/>
      <w:kinsoku/>
      <w:autoSpaceDE/>
      <w:autoSpaceDN/>
      <w:adjustRightInd/>
      <w:snapToGrid/>
      <w:ind w:firstLine="420" w:firstLineChars="200"/>
      <w:jc w:val="both"/>
      <w:textAlignment w:val="auto"/>
    </w:pPr>
    <w:rPr>
      <w:rFonts w:ascii="Times New Roman" w:hAnsi="Times New Roman" w:eastAsia="宋体" w:cs="Times New Roman"/>
      <w:snapToGrid/>
      <w:color w:val="auto"/>
      <w:kern w:val="2"/>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C63AE6-AD4D-49C0-8A14-D535C0805F74}">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28</Pages>
  <Words>12953</Words>
  <Characters>13633</Characters>
  <Lines>101</Lines>
  <Paragraphs>28</Paragraphs>
  <TotalTime>33</TotalTime>
  <ScaleCrop>false</ScaleCrop>
  <LinksUpToDate>false</LinksUpToDate>
  <CharactersWithSpaces>13664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2023-08-25T07:07:00Z</dcterms:created>
  <dc:creator>Sky123.Org</dc:creator>
  <cp:lastModifiedBy>邓婷</cp:lastModifiedBy>
  <dcterms:modified xsi:type="dcterms:W3CDTF">2025-01-16T07:40:31Z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5034B9876E444CB58E68B8722A339177</vt:lpwstr>
  </property>
  <property fmtid="{D5CDD505-2E9C-101B-9397-08002B2CF9AE}" pid="4" name="KSOTemplateDocerSaveRecord">
    <vt:lpwstr>eyJoZGlkIjoiYjI3ZDJkMmNlYjY4NGYzMGFmNzM3Y2FhNWM3Zjc0Y2IiLCJ1c2VySWQiOiIxMDY5MjgzMDcxIn0=</vt:lpwstr>
  </property>
</Properties>
</file>