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eastAsia="黑体"/>
          <w:sz w:val="32"/>
          <w:szCs w:val="32"/>
          <w:lang w:val="en-US" w:eastAsia="zh-CN"/>
        </w:rPr>
      </w:pPr>
      <w:r>
        <w:rPr>
          <w:rFonts w:hint="eastAsia" w:ascii="黑体" w:eastAsia="黑体"/>
          <w:sz w:val="32"/>
          <w:szCs w:val="32"/>
          <w:lang w:val="en-US" w:eastAsia="zh-CN"/>
        </w:rPr>
        <w:t>附件1</w:t>
      </w:r>
    </w:p>
    <w:p>
      <w:pPr>
        <w:spacing w:line="360" w:lineRule="auto"/>
        <w:jc w:val="center"/>
        <w:rPr>
          <w:rFonts w:hint="default" w:ascii="方正小标宋_GBK" w:eastAsia="方正小标宋_GBK"/>
          <w:sz w:val="44"/>
          <w:szCs w:val="44"/>
          <w:lang w:val="en-US"/>
        </w:rPr>
      </w:pPr>
      <w:r>
        <w:rPr>
          <w:rFonts w:hint="eastAsia" w:ascii="方正小标宋_GBK" w:eastAsia="方正小标宋_GBK"/>
          <w:sz w:val="44"/>
          <w:szCs w:val="44"/>
          <w:lang w:val="en-US" w:eastAsia="zh-CN"/>
        </w:rPr>
        <w:t>2022年度部门整体支出绩效自评报告</w:t>
      </w:r>
    </w:p>
    <w:p>
      <w:pPr>
        <w:spacing w:line="360" w:lineRule="auto"/>
        <w:ind w:firstLine="402" w:firstLineChars="200"/>
        <w:jc w:val="center"/>
      </w:pPr>
    </w:p>
    <w:p>
      <w:pPr>
        <w:tabs>
          <w:tab w:val="center" w:pos="4473"/>
          <w:tab w:val="right" w:pos="8306"/>
        </w:tabs>
        <w:spacing w:line="360" w:lineRule="auto"/>
        <w:ind w:firstLine="622" w:firstLineChars="200"/>
        <w:jc w:val="left"/>
        <w:rPr>
          <w:rFonts w:hint="eastAsia" w:ascii="仿宋_GB2312" w:eastAsia="仿宋_GB2312"/>
          <w:sz w:val="32"/>
          <w:szCs w:val="32"/>
        </w:rPr>
      </w:pPr>
      <w:r>
        <w:rPr>
          <w:rFonts w:ascii="仿宋_GB2312" w:eastAsia="仿宋_GB2312"/>
          <w:sz w:val="32"/>
          <w:szCs w:val="32"/>
        </w:rPr>
        <w:tab/>
      </w:r>
      <w:r>
        <w:rPr>
          <w:rFonts w:hint="eastAsia" w:ascii="仿宋_GB2312" w:eastAsia="仿宋_GB2312"/>
          <w:b/>
          <w:bCs/>
          <w:sz w:val="44"/>
          <w:szCs w:val="44"/>
          <w:lang w:val="en-US" w:eastAsia="zh-CN"/>
        </w:rPr>
        <w:t>衡山县东湖镇人民政府</w:t>
      </w:r>
      <w:r>
        <w:rPr>
          <w:rFonts w:ascii="仿宋_GB2312" w:eastAsia="仿宋_GB2312"/>
          <w:sz w:val="32"/>
          <w:szCs w:val="32"/>
        </w:rPr>
        <w:tab/>
      </w:r>
    </w:p>
    <w:p>
      <w:pPr>
        <w:spacing w:line="360" w:lineRule="auto"/>
        <w:ind w:firstLine="402" w:firstLineChars="200"/>
        <w:rPr>
          <w:rFonts w:hint="eastAsia"/>
        </w:rPr>
      </w:pPr>
    </w:p>
    <w:p>
      <w:pPr>
        <w:spacing w:line="360" w:lineRule="auto"/>
        <w:ind w:firstLine="402" w:firstLineChars="200"/>
        <w:rPr>
          <w:rFonts w:hint="eastAsia"/>
        </w:rPr>
      </w:pPr>
    </w:p>
    <w:p>
      <w:pPr>
        <w:spacing w:line="360" w:lineRule="auto"/>
        <w:ind w:firstLine="402" w:firstLineChars="200"/>
        <w:rPr>
          <w:rFonts w:hint="eastAsia"/>
        </w:rPr>
      </w:pPr>
    </w:p>
    <w:p>
      <w:pPr>
        <w:spacing w:line="360" w:lineRule="auto"/>
        <w:ind w:firstLine="402" w:firstLineChars="200"/>
      </w:pPr>
    </w:p>
    <w:p>
      <w:pPr>
        <w:spacing w:line="360" w:lineRule="auto"/>
        <w:ind w:firstLine="402" w:firstLineChars="200"/>
      </w:pPr>
    </w:p>
    <w:p>
      <w:pPr>
        <w:spacing w:line="360" w:lineRule="auto"/>
        <w:ind w:firstLine="402" w:firstLineChars="200"/>
        <w:rPr>
          <w:rFonts w:hint="eastAsia"/>
        </w:rPr>
      </w:pPr>
    </w:p>
    <w:p>
      <w:pPr>
        <w:spacing w:line="360" w:lineRule="auto"/>
        <w:ind w:firstLine="402" w:firstLineChars="200"/>
        <w:rPr>
          <w:rFonts w:hint="eastAsia"/>
        </w:rPr>
      </w:pPr>
    </w:p>
    <w:p>
      <w:pPr>
        <w:spacing w:line="360" w:lineRule="auto"/>
        <w:ind w:firstLine="402" w:firstLineChars="200"/>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spacing w:line="360" w:lineRule="auto"/>
        <w:ind w:firstLine="402" w:firstLineChars="200"/>
        <w:rPr>
          <w:rFonts w:hint="eastAsia"/>
        </w:rPr>
      </w:pPr>
    </w:p>
    <w:p>
      <w:pPr>
        <w:spacing w:line="360" w:lineRule="auto"/>
        <w:ind w:firstLine="402" w:firstLineChars="200"/>
        <w:rPr>
          <w:rFonts w:hint="eastAsia"/>
        </w:rPr>
      </w:pPr>
    </w:p>
    <w:p>
      <w:pPr>
        <w:spacing w:line="360" w:lineRule="auto"/>
        <w:jc w:val="center"/>
        <w:rPr>
          <w:rFonts w:hint="eastAsia" w:ascii="仿宋_GB2312" w:eastAsia="仿宋_GB2312"/>
          <w:b/>
          <w:bCs/>
          <w:sz w:val="32"/>
          <w:szCs w:val="32"/>
        </w:rPr>
      </w:pPr>
      <w:r>
        <w:rPr>
          <w:rFonts w:hint="eastAsia" w:ascii="仿宋_GB2312" w:eastAsia="仿宋_GB2312"/>
          <w:b/>
          <w:bCs/>
          <w:sz w:val="32"/>
          <w:szCs w:val="32"/>
        </w:rPr>
        <w:t>报告日期：  20</w:t>
      </w:r>
      <w:r>
        <w:rPr>
          <w:rFonts w:ascii="仿宋_GB2312" w:eastAsia="仿宋_GB2312"/>
          <w:b/>
          <w:bCs/>
          <w:sz w:val="32"/>
          <w:szCs w:val="32"/>
        </w:rPr>
        <w:t>23</w:t>
      </w:r>
      <w:r>
        <w:rPr>
          <w:rFonts w:hint="eastAsia" w:ascii="仿宋_GB2312" w:eastAsia="仿宋_GB2312"/>
          <w:b/>
          <w:bCs/>
          <w:sz w:val="32"/>
          <w:szCs w:val="32"/>
        </w:rPr>
        <w:t xml:space="preserve"> 年 </w:t>
      </w:r>
      <w:r>
        <w:rPr>
          <w:rFonts w:hint="eastAsia" w:ascii="仿宋_GB2312" w:eastAsia="仿宋_GB2312"/>
          <w:b/>
          <w:bCs/>
          <w:sz w:val="32"/>
          <w:szCs w:val="32"/>
          <w:lang w:val="en-US" w:eastAsia="zh-CN"/>
        </w:rPr>
        <w:t>7</w:t>
      </w:r>
      <w:r>
        <w:rPr>
          <w:rFonts w:hint="eastAsia" w:ascii="仿宋_GB2312" w:eastAsia="仿宋_GB2312"/>
          <w:b/>
          <w:bCs/>
          <w:sz w:val="32"/>
          <w:szCs w:val="32"/>
        </w:rPr>
        <w:t xml:space="preserve"> 月 </w:t>
      </w:r>
      <w:r>
        <w:rPr>
          <w:rFonts w:hint="eastAsia" w:ascii="仿宋_GB2312" w:eastAsia="仿宋_GB2312"/>
          <w:b/>
          <w:bCs/>
          <w:sz w:val="32"/>
          <w:szCs w:val="32"/>
          <w:lang w:val="en-US" w:eastAsia="zh-CN"/>
        </w:rPr>
        <w:t>28</w:t>
      </w:r>
      <w:r>
        <w:rPr>
          <w:rFonts w:hint="eastAsia" w:ascii="仿宋_GB2312" w:eastAsia="仿宋_GB2312"/>
          <w:b/>
          <w:bCs/>
          <w:sz w:val="32"/>
          <w:szCs w:val="32"/>
        </w:rPr>
        <w:t xml:space="preserve"> 日</w:t>
      </w: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spacing w:line="600" w:lineRule="exact"/>
        <w:ind w:firstLine="54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为进一步规范财政资金管理，强化财政支出绩效</w:t>
      </w:r>
      <w:r>
        <w:rPr>
          <w:rFonts w:hint="eastAsia" w:asciiTheme="minorEastAsia" w:hAnsiTheme="minorEastAsia" w:eastAsiaTheme="minorEastAsia" w:cstheme="minorEastAsia"/>
          <w:sz w:val="28"/>
          <w:szCs w:val="28"/>
          <w:lang w:val="en-US" w:eastAsia="zh-CN"/>
        </w:rPr>
        <w:t>管理</w:t>
      </w:r>
      <w:r>
        <w:rPr>
          <w:rFonts w:hint="eastAsia" w:asciiTheme="minorEastAsia" w:hAnsiTheme="minorEastAsia" w:eastAsiaTheme="minorEastAsia" w:cstheme="minorEastAsia"/>
          <w:sz w:val="28"/>
          <w:szCs w:val="28"/>
        </w:rPr>
        <w:t>理念</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推动“绩效管理提升年”行动在衡山落地生效。</w:t>
      </w:r>
      <w:r>
        <w:rPr>
          <w:rFonts w:hint="eastAsia" w:asciiTheme="minorEastAsia" w:hAnsiTheme="minorEastAsia" w:eastAsiaTheme="minorEastAsia" w:cstheme="minorEastAsia"/>
          <w:sz w:val="28"/>
          <w:szCs w:val="28"/>
        </w:rPr>
        <w:t>切实提高财政资金使用效益，根据</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中华人民共和国预算法</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《中共中央国务院关于全面实施预算绩效管理的意见》（中发〔2018〕34号）、《中共湖南省委办公厅 湖南省人民政府办公厅关于全面实施预算绩效管理的实施意见》（湘办发〔2019〕10号）</w:t>
      </w:r>
      <w:r>
        <w:rPr>
          <w:rFonts w:hint="eastAsia" w:asciiTheme="minorEastAsia" w:hAnsiTheme="minorEastAsia" w:eastAsiaTheme="minorEastAsia" w:cstheme="minorEastAsia"/>
          <w:sz w:val="28"/>
          <w:szCs w:val="28"/>
          <w:lang w:val="en-US" w:eastAsia="zh-CN"/>
        </w:rPr>
        <w:t>和山财绩[2023]88号有关要求</w:t>
      </w:r>
      <w:r>
        <w:rPr>
          <w:rFonts w:hint="eastAsia" w:asciiTheme="minorEastAsia" w:hAnsiTheme="minorEastAsia" w:eastAsiaTheme="minorEastAsia" w:cstheme="minorEastAsia"/>
          <w:sz w:val="28"/>
          <w:szCs w:val="28"/>
        </w:rPr>
        <w:t>，现</w:t>
      </w:r>
      <w:r>
        <w:rPr>
          <w:rFonts w:hint="eastAsia" w:asciiTheme="minorEastAsia" w:hAnsiTheme="minorEastAsia" w:eastAsiaTheme="minorEastAsia" w:cstheme="minorEastAsia"/>
          <w:sz w:val="28"/>
          <w:szCs w:val="28"/>
          <w:lang w:eastAsia="zh-CN"/>
        </w:rPr>
        <w:t>将</w:t>
      </w:r>
      <w:r>
        <w:rPr>
          <w:rFonts w:hint="eastAsia" w:asciiTheme="minorEastAsia" w:hAnsiTheme="minorEastAsia" w:eastAsiaTheme="minorEastAsia" w:cstheme="minorEastAsia"/>
          <w:sz w:val="28"/>
          <w:szCs w:val="28"/>
          <w:lang w:val="en-US" w:eastAsia="zh-CN"/>
        </w:rPr>
        <w:t>衡山县东湖镇</w:t>
      </w:r>
      <w:r>
        <w:rPr>
          <w:rFonts w:hint="eastAsia" w:asciiTheme="minorEastAsia" w:hAnsiTheme="minorEastAsia" w:eastAsiaTheme="minorEastAsia" w:cstheme="minorEastAsia"/>
          <w:sz w:val="28"/>
          <w:szCs w:val="28"/>
          <w:lang w:eastAsia="zh-CN"/>
        </w:rPr>
        <w:t>人民政府2022</w:t>
      </w:r>
      <w:r>
        <w:rPr>
          <w:rFonts w:hint="eastAsia" w:asciiTheme="minorEastAsia" w:hAnsiTheme="minorEastAsia" w:eastAsiaTheme="minorEastAsia" w:cstheme="minorEastAsia"/>
          <w:sz w:val="28"/>
          <w:szCs w:val="28"/>
        </w:rPr>
        <w:t>年度财政支出绩效自评报告如下</w:t>
      </w:r>
      <w:r>
        <w:rPr>
          <w:rFonts w:hint="eastAsia" w:asciiTheme="minorEastAsia" w:hAnsiTheme="minorEastAsia" w:eastAsiaTheme="minorEastAsia" w:cstheme="minorEastAsia"/>
          <w:sz w:val="28"/>
          <w:szCs w:val="28"/>
          <w:lang w:eastAsia="zh-CN"/>
        </w:rPr>
        <w:t>：</w:t>
      </w:r>
    </w:p>
    <w:p>
      <w:pPr>
        <w:pStyle w:val="10"/>
        <w:rPr>
          <w:rFonts w:ascii="仿宋_GB2312" w:hAnsi="黑体" w:eastAsia="仿宋_GB2312"/>
          <w:sz w:val="32"/>
          <w:szCs w:val="32"/>
        </w:rPr>
      </w:pPr>
    </w:p>
    <w:p>
      <w:pPr>
        <w:pStyle w:val="27"/>
        <w:widowControl/>
        <w:numPr>
          <w:ilvl w:val="0"/>
          <w:numId w:val="0"/>
        </w:numPr>
        <w:spacing w:line="600" w:lineRule="exact"/>
        <w:rPr>
          <w:rFonts w:hint="eastAsia" w:ascii="黑体" w:hAnsi="黑体" w:eastAsia="黑体"/>
          <w:sz w:val="32"/>
          <w:szCs w:val="32"/>
          <w:lang w:eastAsia="zh-CN"/>
        </w:rPr>
      </w:pPr>
      <w:r>
        <w:rPr>
          <w:rFonts w:hint="eastAsia" w:ascii="黑体" w:hAnsi="黑体" w:eastAsia="黑体"/>
          <w:sz w:val="32"/>
          <w:szCs w:val="32"/>
          <w:lang w:val="en-US" w:eastAsia="zh-CN"/>
        </w:rPr>
        <w:t>一、</w:t>
      </w:r>
      <w:r>
        <w:rPr>
          <w:rFonts w:hint="default" w:ascii="黑体" w:hAnsi="黑体" w:eastAsia="黑体"/>
          <w:sz w:val="32"/>
          <w:szCs w:val="32"/>
          <w:lang w:eastAsia="zh-CN"/>
        </w:rPr>
        <w:t>单位基本情况</w:t>
      </w:r>
    </w:p>
    <w:p>
      <w:pPr>
        <w:pStyle w:val="27"/>
        <w:widowControl/>
        <w:numPr>
          <w:ilvl w:val="0"/>
          <w:numId w:val="0"/>
        </w:numPr>
        <w:spacing w:line="600" w:lineRule="exact"/>
        <w:rPr>
          <w:rFonts w:hint="default" w:ascii="黑体" w:hAnsi="黑体" w:eastAsia="黑体"/>
          <w:sz w:val="32"/>
          <w:szCs w:val="32"/>
          <w:lang w:val="en-US" w:eastAsia="zh-CN"/>
        </w:rPr>
      </w:pPr>
      <w:r>
        <w:rPr>
          <w:rFonts w:hint="eastAsia" w:ascii="黑体" w:hAnsi="黑体" w:eastAsia="黑体"/>
          <w:sz w:val="32"/>
          <w:szCs w:val="32"/>
          <w:lang w:eastAsia="zh-CN"/>
        </w:rPr>
        <w:t>（一）</w:t>
      </w:r>
      <w:r>
        <w:rPr>
          <w:rFonts w:hint="eastAsia" w:ascii="黑体" w:hAnsi="黑体" w:eastAsia="黑体"/>
          <w:sz w:val="32"/>
          <w:szCs w:val="32"/>
          <w:lang w:val="en-US" w:eastAsia="zh-CN"/>
        </w:rPr>
        <w:t>部门主要职责</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衡山县东湖镇人民政府的主要职责：</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东湖镇人民政府下设社会事业综合服务中心、农业事业综合服务中心、政务服务中心、综合执法大队、财政所、司法所等部门。</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其主要职能是：促进经济发展、增加农民收入，强化公共服务、着力改善民生，加强社会管理、维护农村稳定，推进基层民主、促进农村和谐。</w:t>
      </w:r>
    </w:p>
    <w:p>
      <w:pPr>
        <w:pStyle w:val="27"/>
        <w:widowControl/>
        <w:numPr>
          <w:ilvl w:val="0"/>
          <w:numId w:val="0"/>
        </w:numPr>
        <w:spacing w:line="600" w:lineRule="exact"/>
        <w:rPr>
          <w:rFonts w:hint="eastAsia" w:ascii="黑体" w:hAnsi="黑体" w:eastAsia="黑体"/>
          <w:sz w:val="32"/>
          <w:szCs w:val="32"/>
          <w:lang w:val="en-US" w:eastAsia="zh-CN"/>
        </w:rPr>
      </w:pPr>
      <w:r>
        <w:rPr>
          <w:rFonts w:hint="eastAsia" w:ascii="黑体" w:hAnsi="黑体" w:eastAsia="黑体"/>
          <w:sz w:val="32"/>
          <w:szCs w:val="32"/>
          <w:lang w:val="en-US" w:eastAsia="zh-CN"/>
        </w:rPr>
        <w:t>（二）人员编制情况</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核定衡山县东湖镇人民政府编制数合计50名，行政编制数23名，事业编制数 27 名,工勤人员编制数 0 名。现有在职在岗在编职工 50 人，离退休 23 人，临聘人员 3 人。</w:t>
      </w:r>
    </w:p>
    <w:p>
      <w:pPr>
        <w:pStyle w:val="10"/>
        <w:rPr>
          <w:rFonts w:hint="eastAsia"/>
          <w:lang w:val="en-US" w:eastAsia="zh-CN"/>
        </w:rPr>
      </w:pPr>
    </w:p>
    <w:p>
      <w:pPr>
        <w:pStyle w:val="27"/>
        <w:widowControl/>
        <w:numPr>
          <w:ilvl w:val="0"/>
          <w:numId w:val="0"/>
        </w:numPr>
        <w:spacing w:line="600" w:lineRule="exact"/>
        <w:rPr>
          <w:rFonts w:hint="eastAsia" w:ascii="黑体" w:hAnsi="黑体" w:eastAsia="黑体" w:cs="Times New Roman"/>
          <w:sz w:val="32"/>
          <w:szCs w:val="32"/>
          <w:lang w:eastAsia="zh-CN"/>
        </w:rPr>
      </w:pPr>
      <w:r>
        <w:rPr>
          <w:rFonts w:hint="eastAsia" w:eastAsia="黑体" w:cs="Times New Roman"/>
          <w:sz w:val="32"/>
          <w:szCs w:val="32"/>
          <w:lang w:val="en-US" w:eastAsia="zh-CN"/>
        </w:rPr>
        <w:t>二、预算支出及绩效情况</w:t>
      </w:r>
    </w:p>
    <w:p>
      <w:pPr>
        <w:pStyle w:val="27"/>
        <w:widowControl/>
        <w:numPr>
          <w:ilvl w:val="0"/>
          <w:numId w:val="0"/>
        </w:numPr>
        <w:spacing w:line="600" w:lineRule="exact"/>
        <w:rPr>
          <w:rFonts w:hint="eastAsia" w:ascii="Times New Roman" w:hAnsi="Times New Roman" w:eastAsia="黑体" w:cs="Times New Roman"/>
          <w:sz w:val="32"/>
          <w:szCs w:val="32"/>
          <w:lang w:eastAsia="zh-CN"/>
        </w:rPr>
      </w:pPr>
      <w:r>
        <w:rPr>
          <w:rFonts w:hint="eastAsia" w:eastAsia="黑体" w:cs="Times New Roman"/>
          <w:sz w:val="32"/>
          <w:szCs w:val="32"/>
          <w:lang w:val="en-US" w:eastAsia="zh-CN"/>
        </w:rPr>
        <w:t>（一）部门</w:t>
      </w:r>
      <w:r>
        <w:rPr>
          <w:rFonts w:hint="default" w:ascii="Times New Roman" w:hAnsi="Times New Roman" w:eastAsia="黑体" w:cs="Times New Roman"/>
          <w:sz w:val="32"/>
          <w:szCs w:val="32"/>
          <w:lang w:eastAsia="zh-CN"/>
        </w:rPr>
        <w:t>预决算情况</w:t>
      </w:r>
    </w:p>
    <w:p>
      <w:pPr>
        <w:spacing w:line="600" w:lineRule="exact"/>
        <w:ind w:firstLine="542" w:firstLineChars="200"/>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1、部门预算情况</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2022年度年初预算安排收入为1164.01万元，其中一般公共财政预算拨款1164.01万元。2022年度年初预算安排支出1164.01万元，其中：基本支出701.66万元，项目支出462.35万元。</w:t>
      </w:r>
    </w:p>
    <w:p>
      <w:pPr>
        <w:numPr>
          <w:ilvl w:val="0"/>
          <w:numId w:val="1"/>
        </w:numPr>
        <w:spacing w:line="600" w:lineRule="exact"/>
        <w:ind w:firstLine="54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部门决算情况（含年中预算追加情况）</w:t>
      </w:r>
    </w:p>
    <w:p>
      <w:pPr>
        <w:numPr>
          <w:ilvl w:val="0"/>
          <w:numId w:val="0"/>
        </w:num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2022年决算总收入3724.07万元，较预算增加2560.06万元，总支出3724.07万元，其中：基本支出806.97万元，占总支出的22%；项目支出2917.1万元，占总支出的78%。差异产生的原因是2022年我镇项目费用增加。</w:t>
      </w:r>
    </w:p>
    <w:p>
      <w:pPr>
        <w:numPr>
          <w:ilvl w:val="0"/>
          <w:numId w:val="1"/>
        </w:numPr>
        <w:spacing w:line="600" w:lineRule="exact"/>
        <w:ind w:firstLine="542" w:firstLineChars="200"/>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“三公”经费执行情况</w:t>
      </w:r>
    </w:p>
    <w:p>
      <w:pPr>
        <w:numPr>
          <w:ilvl w:val="0"/>
          <w:numId w:val="0"/>
        </w:num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三公”经费预算数为20.4万元，其中：因公出国（境）费0万元，公务用车购置及运行维护费1万元，公务接待费19.4万元。“三公”经费决算数为12万元，其中：因公出国（境）费0万元，公务用车购置及运行维护费1万元，公务接待费11万元。</w:t>
      </w:r>
    </w:p>
    <w:p>
      <w:pPr>
        <w:numPr>
          <w:ilvl w:val="0"/>
          <w:numId w:val="1"/>
        </w:numPr>
        <w:spacing w:line="600" w:lineRule="exact"/>
        <w:ind w:firstLine="542" w:firstLineChars="200"/>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政府采购执行情况</w:t>
      </w:r>
    </w:p>
    <w:p>
      <w:pPr>
        <w:numPr>
          <w:ilvl w:val="0"/>
          <w:numId w:val="0"/>
        </w:num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2022年政府采购支出0万元，其中：货物0万元，工程0万元，服务0万元。</w:t>
      </w:r>
    </w:p>
    <w:p>
      <w:pPr>
        <w:numPr>
          <w:ilvl w:val="0"/>
          <w:numId w:val="1"/>
        </w:numPr>
        <w:spacing w:line="600" w:lineRule="exact"/>
        <w:ind w:firstLine="542" w:firstLineChars="200"/>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资产管理情况</w:t>
      </w:r>
    </w:p>
    <w:p>
      <w:pPr>
        <w:numPr>
          <w:ilvl w:val="0"/>
          <w:numId w:val="0"/>
        </w:num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2022年年末资产总额693.92万元，负债总额491.88万元，净资产202.03万元。截止2022年12月31日，固定资产账面原值393.39万元，在用资产371.53万元，资产使用率95%。</w:t>
      </w:r>
    </w:p>
    <w:p>
      <w:pPr>
        <w:pStyle w:val="8"/>
        <w:rPr>
          <w:rFonts w:hint="eastAsia"/>
          <w:lang w:val="en-US" w:eastAsia="zh-CN"/>
        </w:rPr>
      </w:pPr>
    </w:p>
    <w:p>
      <w:pPr>
        <w:pStyle w:val="27"/>
        <w:widowControl/>
        <w:numPr>
          <w:ilvl w:val="0"/>
          <w:numId w:val="0"/>
        </w:numPr>
        <w:spacing w:line="600" w:lineRule="exact"/>
        <w:rPr>
          <w:rFonts w:hint="default" w:eastAsia="黑体" w:cs="Times New Roman"/>
          <w:sz w:val="32"/>
          <w:szCs w:val="32"/>
          <w:lang w:val="en-US" w:eastAsia="zh-CN"/>
        </w:rPr>
      </w:pPr>
      <w:r>
        <w:rPr>
          <w:rFonts w:hint="eastAsia" w:eastAsia="黑体" w:cs="Times New Roman"/>
          <w:sz w:val="32"/>
          <w:szCs w:val="32"/>
          <w:lang w:val="en-US" w:eastAsia="zh-CN"/>
        </w:rPr>
        <w:t>（二）资金使用及绩效情况</w:t>
      </w:r>
    </w:p>
    <w:p>
      <w:pPr>
        <w:numPr>
          <w:ilvl w:val="0"/>
          <w:numId w:val="0"/>
        </w:numPr>
        <w:spacing w:line="600" w:lineRule="exact"/>
        <w:ind w:firstLine="54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1、整体绩效目标完成情况</w:t>
      </w:r>
    </w:p>
    <w:p>
      <w:pPr>
        <w:numPr>
          <w:ilvl w:val="0"/>
          <w:numId w:val="0"/>
        </w:numPr>
        <w:spacing w:line="600" w:lineRule="exact"/>
        <w:ind w:firstLine="542" w:firstLineChars="200"/>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（1）绩效目标设定</w:t>
      </w:r>
    </w:p>
    <w:p>
      <w:pPr>
        <w:numPr>
          <w:ilvl w:val="0"/>
          <w:numId w:val="0"/>
        </w:num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目标1：进行精心细致严谨的预算，将有限的资金安排到关系民生提高人民幸福感获得感、保障社会稳定、促进辖区经济发展、保障机构正常运转等方面。</w:t>
      </w:r>
    </w:p>
    <w:p>
      <w:pPr>
        <w:numPr>
          <w:ilvl w:val="0"/>
          <w:numId w:val="0"/>
        </w:num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目标2：专项资金立项规范合理、指标明确，资金到位及时，资金使用规范，相关管理制度齐全，能够按时完成预定目标，项目质量有保障，项目效益明显，项目实施达到预期效果。</w:t>
      </w:r>
    </w:p>
    <w:p>
      <w:pPr>
        <w:numPr>
          <w:ilvl w:val="0"/>
          <w:numId w:val="0"/>
        </w:num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目标3：基本支出足额保障，</w:t>
      </w:r>
      <w:r>
        <w:rPr>
          <w:rFonts w:hint="default" w:asciiTheme="minorEastAsia" w:hAnsiTheme="minorEastAsia" w:eastAsiaTheme="minorEastAsia" w:cstheme="minorEastAsia"/>
          <w:sz w:val="28"/>
          <w:szCs w:val="28"/>
          <w:lang w:val="en-US" w:eastAsia="zh-CN"/>
        </w:rPr>
        <w:t>“三公经费”支出控制措施得当，预、决算信息公开及时完整，资产管理使用规范有效。</w:t>
      </w:r>
    </w:p>
    <w:p>
      <w:pPr>
        <w:numPr>
          <w:ilvl w:val="0"/>
          <w:numId w:val="0"/>
        </w:numPr>
        <w:spacing w:line="600" w:lineRule="exact"/>
        <w:ind w:firstLine="542" w:firstLineChars="200"/>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（2）实际完成情况</w:t>
      </w:r>
    </w:p>
    <w:p>
      <w:pPr>
        <w:pStyle w:val="8"/>
        <w:rPr>
          <w:rFonts w:hint="eastAsia"/>
          <w:lang w:val="en-US" w:eastAsia="zh-CN"/>
        </w:rPr>
      </w:pPr>
    </w:p>
    <w:p>
      <w:pPr>
        <w:numPr>
          <w:ilvl w:val="0"/>
          <w:numId w:val="0"/>
        </w:num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default" w:asciiTheme="minorEastAsia" w:hAnsiTheme="minorEastAsia" w:eastAsiaTheme="minorEastAsia" w:cstheme="minorEastAsia"/>
          <w:sz w:val="28"/>
          <w:szCs w:val="28"/>
          <w:lang w:val="en-US" w:eastAsia="zh-CN"/>
        </w:rPr>
        <w:t>坚持稳中求进，力促经济稳步健康发展。一是农业基础逐步夯实。坚决遏制耕地“非农化”“非粮化”，对违法违规占用基本农田问题发现一起，严厉打击一起。全年抛荒耕地复耕复种面积总计1215.64亩，种植作物以水稻为主，其他农作物为玉米、大豆，藕等；小水源供水能力恢复工程新增蓄水能力12900方，新增恢复灌溉面积440亩，改善灌溉面积114亩。今年全镇播种双季稻达8557.69亩，产量7702吨；播种中稻5845.29亩，产量3653吨；全镇所有农业机械建立了台账，并对拖拉机和联合收割机号牌、驾驶证发放情况进行了全面检查，实现上牌率、年检率、持证率均达到100%。目前全镇在册拖拉机5台，收割机14台，其他农业机械4383台，总动力达2.1734万千瓦。先后8次深入镇村庭院、田间地头检查纠正违章作业，实现无一起重大事故发生的目标，成功创建省级“平安农机”示范镇。二是重点项目全力推进。东湖新城一期已全部交房，商业街主体工程、农贸市场、火龙文化广场、服务中心、排污管道已完成建设，商业街已进驻粤客隆超市、京东家电城等大型商户，长沙银行二级支行已在装修阶段。第二期建设用地30余亩得到省人民政府批准，近期准备挂牌揭牌；传国康养文化艺术中心”项目已完成征地、土地储备，进入挂牌阶段，于4月底已完成围栏建设，待自保区调规后立即启动主体建设；东湖社区、马迹社区污水处理厂目前处于运行阶段，马迹社区污水处理厂附属防洪补救措施工程前期准备工作已于6月中旬完成，待县政府决定施工日期；矿山关闭退出生态修复项目已完成立项，计划于近期公开招标，由具有资质的企业实施项目；衡荣天然气项目为乡村振兴重点民生工程项目之一，于今年3月启动，截止目前已开通并投入使用4个村，整个项目进展有序，预计于2023年上半年实现全镇13个村全部开通并运行通气。三是村集体经济有序发展。目前我镇村级集体经济发展卓有成效：杏溪村种植高山云雾茶110余亩，年收入超过10万元；石潭村着力打造玄参中药材产品，集中培育油茶林1000余亩，建立东湖镇第一个县级油茶加工作坊，延伸产业链；坪田村集中流转农户土地100余亩种植香芋、艾草，油茶产业今年开始挂果；团山村艾草种植面积达100余亩；东湖社区联营打造草莓采摘园80亩；杉木桥村竹木加工厂为村集体带来每年8万元以上的稳定收益。实现了所有村（社区）集体经济收入突破5万元的目标</w:t>
      </w:r>
      <w:r>
        <w:rPr>
          <w:rFonts w:hint="eastAsia" w:asciiTheme="minorEastAsia" w:hAnsiTheme="minorEastAsia" w:eastAsiaTheme="minorEastAsia" w:cstheme="minorEastAsia"/>
          <w:sz w:val="28"/>
          <w:szCs w:val="28"/>
          <w:lang w:val="en-US" w:eastAsia="zh-CN"/>
        </w:rPr>
        <w:t>。</w:t>
      </w:r>
    </w:p>
    <w:p>
      <w:pPr>
        <w:numPr>
          <w:ilvl w:val="0"/>
          <w:numId w:val="0"/>
        </w:num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default" w:asciiTheme="minorEastAsia" w:hAnsiTheme="minorEastAsia" w:eastAsiaTheme="minorEastAsia" w:cstheme="minorEastAsia"/>
          <w:sz w:val="28"/>
          <w:szCs w:val="28"/>
          <w:lang w:val="en-US" w:eastAsia="zh-CN"/>
        </w:rPr>
        <w:t>聚焦美化提升，打造山水如画美丽乡村。一是城乡治理标准化卓有成效。重点打造“一区三场三线”示范点。对镇区街道占道经营、出店经营、流动摊点等违规行为进行清理取缔，重新规划车位、人行道划线，投资20余万元安装乡村振兴公益广告灯牌200余盏，高标准建设东湖社区、马迹社区、杉木桥村三个农贸市场，进一步规范了集镇秩序。结合城乡绿化标准化建设工作，选取紫薇、紫荆、碧桃、青钱柳、红叶石楠等珍稀树种3400余棵，打造了石潭村南河沿河风光带、天柱村红色旅游景观线路和东湖高速连接线景观带。二是农村人居环境整治持续推进。全镇共建设垃圾亭217个，月投入垃圾清运费</w:t>
      </w:r>
      <w:r>
        <w:rPr>
          <w:rFonts w:hint="eastAsia" w:asciiTheme="minorEastAsia" w:hAnsiTheme="minorEastAsia" w:eastAsiaTheme="minorEastAsia" w:cstheme="minorEastAsia"/>
          <w:sz w:val="28"/>
          <w:szCs w:val="28"/>
          <w:lang w:val="en-US" w:eastAsia="zh-CN"/>
        </w:rPr>
        <w:t>3</w:t>
      </w:r>
      <w:r>
        <w:rPr>
          <w:rFonts w:hint="default" w:asciiTheme="minorEastAsia" w:hAnsiTheme="minorEastAsia" w:eastAsiaTheme="minorEastAsia" w:cstheme="minorEastAsia"/>
          <w:sz w:val="28"/>
          <w:szCs w:val="28"/>
          <w:lang w:val="en-US" w:eastAsia="zh-CN"/>
        </w:rPr>
        <w:t>.5万元，年清理转运垃圾量近300余吨，垃圾中转站实现日产日清；完成改（新）建户厕42户，全部采用县统一采购的玻璃钢，通过“3+1”的模式进行改造，在县级奖补2200元/户的基础上，我镇另外奖补改厕资金每户200元，该项工作高质量通过了县级验收，群众满意度100%。坚持“绿水青山就是金山银山”的发展理念，认真落实河长制、林长制、田长制，严格环境监管，加大执法力度，积极引导企业进行技术改造和产业升级，实现高质量绿色发展。2022年，我镇被评为衡阳市卫生镇，杏溪村、东湖社区被评为衡阳市卫生村（社区）。</w:t>
      </w:r>
    </w:p>
    <w:p>
      <w:pPr>
        <w:numPr>
          <w:ilvl w:val="0"/>
          <w:numId w:val="0"/>
        </w:num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default" w:asciiTheme="minorEastAsia" w:hAnsiTheme="minorEastAsia" w:eastAsiaTheme="minorEastAsia" w:cstheme="minorEastAsia"/>
          <w:sz w:val="28"/>
          <w:szCs w:val="28"/>
          <w:lang w:val="en-US" w:eastAsia="zh-CN"/>
        </w:rPr>
        <w:t>厚植为民情怀，用心用情用力办好实事。一是巩固拓展脱贫攻坚成果。我镇共有脱贫人口1370人，已消除风险监测对象95人，未消除风险监测对象17人。我镇坚持树牢底线思维，持续压实责任，继续精准施策，切实做到早发现、早干预、早帮扶，坚决守住不发生规模性返贫底线。为14户农户实施农村危房改造，其中新建5户，修缮9户，均已通过竣工验收并及时拨付资金，落实资金40余万元；不断规范项目库建设，2022年申报项目27个，投入资金达1000万元，其中产业项目5个，基础设施建设22个，已开工10个，镇乡村振兴办全程进行监督，严格落实项目实施的各项步骤，确保资金使用规范。二是社会保障体系持续完善。对低保户、五保户、残疾人等弱势群体实行动态管理，今年新增办理残疾人两项补贴20人，新增低保户14户，为退役军人办理优待证658个；城乡居民养老保险新增参保60人，其中新增困难群体20人，为240名死亡人员申请丧葬费，落实补贴资金1.44万元；为135户农村独生子女户和两女户申请农村奖励扶助，积极配合县卫健局为我镇509户农村奖励扶助对象和13户农村特扶对象进行了年审，并成功发放了奖扶金和特扶金，无一差错。全年为育龄夫妇办理生育服务登记证145个，成功申报省级“计生协会示范乡镇”。三是全力化解群众“急难愁盼”。行政审批服务业务办件量及办结率有效提升。镇政务服务中心可办理行政审批及服务事项54项。一年来，共接待办理群众咨询事项543件，办理行政审批及服务事项2315件，办结率99.9%，外承诺办理时限压缩为10个工作日；对外推广工作成效明显。今年以来，推广“一件事一次办”微信小程序注册人数超1200人，让群众通过网上办事大厅和手机“APP”即可查询、咨询、办理事项，得到社会各界和办事群众广泛认可，政务服务中心政务服务评价率达64.44%，好评度100%，回访群众0人次，差评数为0，无不满意及投诉现象。</w:t>
      </w:r>
    </w:p>
    <w:p>
      <w:pPr>
        <w:numPr>
          <w:ilvl w:val="0"/>
          <w:numId w:val="0"/>
        </w:num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r>
        <w:rPr>
          <w:rFonts w:hint="default" w:asciiTheme="minorEastAsia" w:hAnsiTheme="minorEastAsia" w:eastAsiaTheme="minorEastAsia" w:cstheme="minorEastAsia"/>
          <w:sz w:val="28"/>
          <w:szCs w:val="28"/>
          <w:lang w:val="en-US" w:eastAsia="zh-CN"/>
        </w:rPr>
        <w:t>强化底线思维，巩固和谐稳定社会大局。一是</w:t>
      </w:r>
      <w:r>
        <w:rPr>
          <w:rFonts w:hint="eastAsia" w:asciiTheme="minorEastAsia" w:hAnsiTheme="minorEastAsia" w:eastAsiaTheme="minorEastAsia" w:cstheme="minorEastAsia"/>
          <w:sz w:val="28"/>
          <w:szCs w:val="28"/>
          <w:lang w:val="en-US" w:eastAsia="zh-CN"/>
        </w:rPr>
        <w:t>严格落实安全生产“一岗双责”</w:t>
      </w:r>
      <w:r>
        <w:rPr>
          <w:rFonts w:hint="default"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年初镇党委组织开展安全生产专题会议，按照“党政同责、一岗双责、齐抓共管、失职追责”的总体要求，明确了党政领导班子成员的安全生产责任。组织开展了打非治违专项行动，重点打击非煤矿山、道路交通、建筑施工、危险化学品、烟花爆竹等领域非法生产和经营建设行为。截至目前，共组织开展整治行动15次，出动执法检查人员70余人次，检查企业36家，发现隐患11处，督促整改到位11处。</w:t>
      </w:r>
      <w:r>
        <w:rPr>
          <w:rFonts w:hint="default" w:asciiTheme="minorEastAsia" w:hAnsiTheme="minorEastAsia" w:eastAsiaTheme="minorEastAsia" w:cstheme="minorEastAsia"/>
          <w:sz w:val="28"/>
          <w:szCs w:val="28"/>
          <w:lang w:val="en-US" w:eastAsia="zh-CN"/>
        </w:rPr>
        <w:t>在居民自建房安全专项整治百日攻坚行动中，我镇严格落实县委、县政府的工作部署，坚持人民至上、生命至上，全面开展了数据录入、房屋鉴定和隐患房屋整治工作，共录入8282栋房屋信息，完成率100%，其中经营性房屋279栋，已全部完成鉴定。今年汛期共劝离41户108人。共拆除D级房屋45栋，对104栋无人居住的空心房、闲置房，均已采取管控措施，并张贴警示标志。在森林防灭火工作中，面对连续数月的高温干旱天气，全体镇村干部进入临战状态，集中力量对重点林区、墓地、靠山田埂等火灾易发区进行全方位巡护，有烟必查，有火必灭，全年应急处置火警23次出动人员315人次，救援4次出动31人次，切实维护了人民群众生命财产安全。二是慎终如始抓牢疫情防控。今年，我镇共计摸排外省返（入）衡人员8978人，排查上级推送人员中非本地人员2236人，自主摸排和上级推送本镇人员6742人，其中涉疫人员和高风险返乡人员落实集中隔离对象412人，落实居家隔离的1321人，落实居家健康监测的5009人，为返（入）衡人员入户进行核酸采样约2万余人次；特护期内劝导非必要不返乡人员362人次，聚集性活动严格按审批程序进行审批的38起，劝导聚集性活动未举办酒宴的8起。一年来，镇机关干部严格落实防疫政策，严格遵守东湖高速出口健康服务站值班制度，累计值班1203班次，牢牢守住了返（入）衡第一道防线。三是全面打响禁毒人民战争。面对去年禁毒民调在全市排名靠后，被市禁毒办列为2022年度重点关注单位的不利局面，镇党委、政府痛定思痛、深挖原因、聚焦短板、重点整治，围绕“毒情大排查”“禁毒宣传进万家”和“禁毒民调”年度中心工作持续发力。今年以来，全镇共召开涉及禁毒宣传屋场恳谈会50余次，累计参与恳谈会群众1000余人次；分发禁毒宣传资料7000多份，签订禁毒承诺书3000余份，悬挂横幅34条，张贴标语340张，结合疫情防控、医保收缴“敲门行动”，镇村干部进村入户对禁毒民调进行再宣传、再次加深印象；自制“东湖镇禁毒倡议书”音频，利用宣传车、村村响滚动播放，引导群众对我镇禁毒工作作出客观、公正评价。选送禁毒宣传作品《珍爱生命 远离毒品》在县禁毒微视频大赛中获优胜奖。四是从严从实抓好综治维稳。按时开展日常矛盾纠纷排查，全年共调处因婚姻家庭、邻里关系、房屋宅基地、山林土地、小额债务、轻微侵权、民间借贷、土地征收款分配等各类矛盾纠纷140余件，涉及金额173万余元。镇政府、派出所、司法所介入并处置两起外地民工讨要工资事件，排查跟进涉婚恋家庭纠纷12件，没有发生民转治、民转刑、民转信等情况；在重要时间节点和重大政治活动期间，及时进行信访维稳工作调度，落实党政班子成员坐班接访、值班值守，重点人员落实“五包一”责任制，并纳入票务预警管控；推进“湾村明白人”“平安守护人”品牌创建工作。团山村三位“湾村明白人”热心服务，积极履职，协助村委会化解邻里矛盾获群众点赞，先进事迹在新湖南、衡阳智慧党建、法治衡阳、衡山政法等媒介刊发宣传。</w:t>
      </w:r>
    </w:p>
    <w:p>
      <w:pPr>
        <w:numPr>
          <w:ilvl w:val="0"/>
          <w:numId w:val="0"/>
        </w:num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r>
        <w:rPr>
          <w:rFonts w:hint="default" w:asciiTheme="minorEastAsia" w:hAnsiTheme="minorEastAsia" w:eastAsiaTheme="minorEastAsia" w:cstheme="minorEastAsia"/>
          <w:sz w:val="28"/>
          <w:szCs w:val="28"/>
          <w:lang w:val="en-US" w:eastAsia="zh-CN"/>
        </w:rPr>
        <w:t>夯实战斗堡垒，全面加强党的自身建设。一是强化思想认识，狠抓党建工作责任落实。2022年，镇党委召开15次党委会议研究部署党建工作，结合实际制定了党建重点工作计划和考核标准，全年开展全镇党建工作督查2次，每月按时召开党建专干例会，有效的形成了一级抓一级，层层抓落实的党建格局。二是加强品牌创建，推进基层党组织整建提质。以推行屋场恳谈会为抓手，将基层党组织整建提质工作与屋场恳谈会有效结合，持续落实党员联系服务群众。2022年我镇各村（社区）共召开屋场恳谈会103次，参加党员累830人次，群众累计1989人次，会议共覆盖72个屋场，共搜集并解决群众“急难愁盼”问题222条。三是立足党建引领，全力建设“清廉村居”示范点。在镇机关、同心村、团山村打造了清廉文化宣传栏、清廉宣传长廊等，营造浓郁的清廉宣传氛围，同时结合基层党组织整建提质专项行动，以屋场恳谈会的形式加强对清廉村居建设的宣传，增进党员群众对清廉村居建设的认同支持，进一步提升“清廉村居”创建的社会影响力和传播力，以“六无六好”为标准，把清廉文化输送到每位党员、群众，形成了清廉的党风、政风。四是严把标准程序，规范党员发展工作。我镇认真贯彻执行“控制总量、优化结构、提高质量、发挥作用”的方针，持续巩固深化农村发展党员违规违纪问题排查整顿工作成果，积极慎重的做好发展党员工作。2022年共发展党员11人，其中35周岁以下5人，大专以上文化3人，转正党员20人，培养入党积极分子15人，全镇党员队伍的综合素质、年龄结构、学历构成在不断优化。五是创新理论武装，学习贯彻党的二十大走深走实。严格落实中央、省委、市委、县委工作部署，抓好</w:t>
      </w:r>
      <w:r>
        <w:rPr>
          <w:rFonts w:hint="eastAsia" w:asciiTheme="minorEastAsia" w:hAnsiTheme="minorEastAsia" w:eastAsiaTheme="minorEastAsia" w:cstheme="minorEastAsia"/>
          <w:sz w:val="28"/>
          <w:szCs w:val="28"/>
          <w:lang w:val="en-US" w:eastAsia="zh-CN"/>
        </w:rPr>
        <w:t>党的</w:t>
      </w:r>
      <w:r>
        <w:rPr>
          <w:rFonts w:hint="default" w:asciiTheme="minorEastAsia" w:hAnsiTheme="minorEastAsia" w:eastAsiaTheme="minorEastAsia" w:cstheme="minorEastAsia"/>
          <w:sz w:val="28"/>
          <w:szCs w:val="28"/>
          <w:lang w:val="en-US" w:eastAsia="zh-CN"/>
        </w:rPr>
        <w:t>二十大精神学习贯彻。一方面党员干部领头学，以</w:t>
      </w:r>
      <w:r>
        <w:rPr>
          <w:rFonts w:hint="eastAsia" w:asciiTheme="minorEastAsia" w:hAnsiTheme="minorEastAsia" w:eastAsiaTheme="minorEastAsia" w:cstheme="minorEastAsia"/>
          <w:sz w:val="28"/>
          <w:szCs w:val="28"/>
          <w:lang w:val="en-US" w:eastAsia="zh-CN"/>
        </w:rPr>
        <w:t>党的</w:t>
      </w:r>
      <w:r>
        <w:rPr>
          <w:rFonts w:hint="default" w:asciiTheme="minorEastAsia" w:hAnsiTheme="minorEastAsia" w:eastAsiaTheme="minorEastAsia" w:cstheme="minorEastAsia"/>
          <w:sz w:val="28"/>
          <w:szCs w:val="28"/>
          <w:lang w:val="en-US" w:eastAsia="zh-CN"/>
        </w:rPr>
        <w:t>二十大精神统一思想、统一意志、统一行动，并结合工作进行研讨，以理论联系实际，贯彻落实会议精神。另一方面结合党员大会、屋场恳谈会、村村响、微信群、悬挂横幅、制作宣传栏等形式，在全镇掀起学习贯彻党的二十大</w:t>
      </w:r>
      <w:bookmarkStart w:id="0" w:name="_GoBack"/>
      <w:bookmarkEnd w:id="0"/>
      <w:r>
        <w:rPr>
          <w:rFonts w:hint="default" w:asciiTheme="minorEastAsia" w:hAnsiTheme="minorEastAsia" w:eastAsiaTheme="minorEastAsia" w:cstheme="minorEastAsia"/>
          <w:sz w:val="28"/>
          <w:szCs w:val="28"/>
          <w:lang w:val="en-US" w:eastAsia="zh-CN"/>
        </w:rPr>
        <w:t>精神热潮，共召开党的二十大学习屋场恳谈会13次，党员大会集中学习12次，同时坚持线上线下相结合，开展多层次、立体化的宣传，推动会议精神进企业、进学校、进屋场，确保全覆盖。</w:t>
      </w:r>
    </w:p>
    <w:p>
      <w:pPr>
        <w:numPr>
          <w:ilvl w:val="0"/>
          <w:numId w:val="0"/>
        </w:num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把握政治方向，坚守意识形态领域阵地。一是重视到位，坚持党的领导压实责任。严格落实党委书记第一责任，充分发挥党委书记“领头雁”作用，切实将意识形态工作抓好、抓实，认真履行意识形态“第一责任人”职责；深化落实党委主要领导主体责任与“一岗双责”制度，通过理论中心组学习理论知识，将理论同自身分管工作相结合，确保党管宣传、党管意识形态、意识形态引领工作进一步推进。二是组织到位，强化理论武装推动实践。</w:t>
      </w:r>
      <w:r>
        <w:rPr>
          <w:rFonts w:hint="default" w:asciiTheme="minorEastAsia" w:hAnsiTheme="minorEastAsia" w:eastAsiaTheme="minorEastAsia" w:cstheme="minorEastAsia"/>
          <w:sz w:val="28"/>
          <w:szCs w:val="28"/>
          <w:lang w:val="en-US" w:eastAsia="zh-CN"/>
        </w:rPr>
        <w:t>严格贯彻落实学习制度，进一步规范党委理论学习中心组学习研讨机制，按照《东湖镇党委理论学习中心组学习计划》，把理论学习成果转化为推动东湖发展的强劲动力</w:t>
      </w:r>
      <w:r>
        <w:rPr>
          <w:rFonts w:hint="eastAsia" w:asciiTheme="minorEastAsia" w:hAnsiTheme="minorEastAsia" w:eastAsiaTheme="minorEastAsia" w:cstheme="minorEastAsia"/>
          <w:sz w:val="28"/>
          <w:szCs w:val="28"/>
          <w:lang w:val="en-US" w:eastAsia="zh-CN"/>
        </w:rPr>
        <w:t>，</w:t>
      </w:r>
      <w:r>
        <w:rPr>
          <w:rFonts w:hint="default" w:asciiTheme="minorEastAsia" w:hAnsiTheme="minorEastAsia" w:eastAsiaTheme="minorEastAsia" w:cstheme="minorEastAsia"/>
          <w:sz w:val="28"/>
          <w:szCs w:val="28"/>
          <w:lang w:val="en-US" w:eastAsia="zh-CN"/>
        </w:rPr>
        <w:t>今年以来，镇党委理论学习中心组共组织集中学习及研讨交流1</w:t>
      </w:r>
      <w:r>
        <w:rPr>
          <w:rFonts w:hint="eastAsia" w:asciiTheme="minorEastAsia" w:hAnsiTheme="minorEastAsia" w:eastAsiaTheme="minorEastAsia" w:cstheme="minorEastAsia"/>
          <w:sz w:val="28"/>
          <w:szCs w:val="28"/>
          <w:lang w:val="en-US" w:eastAsia="zh-CN"/>
        </w:rPr>
        <w:t>2</w:t>
      </w:r>
      <w:r>
        <w:rPr>
          <w:rFonts w:hint="default" w:asciiTheme="minorEastAsia" w:hAnsiTheme="minorEastAsia" w:eastAsiaTheme="minorEastAsia" w:cstheme="minorEastAsia"/>
          <w:sz w:val="28"/>
          <w:szCs w:val="28"/>
          <w:lang w:val="en-US" w:eastAsia="zh-CN"/>
        </w:rPr>
        <w:t>次。着力强化</w:t>
      </w:r>
      <w:r>
        <w:rPr>
          <w:rFonts w:hint="eastAsia" w:asciiTheme="minorEastAsia" w:hAnsiTheme="minorEastAsia" w:eastAsiaTheme="minorEastAsia" w:cstheme="minorEastAsia"/>
          <w:sz w:val="28"/>
          <w:szCs w:val="28"/>
          <w:lang w:val="en-US" w:eastAsia="zh-CN"/>
        </w:rPr>
        <w:t>理论指导</w:t>
      </w:r>
      <w:r>
        <w:rPr>
          <w:rFonts w:hint="default" w:asciiTheme="minorEastAsia" w:hAnsiTheme="minorEastAsia" w:eastAsiaTheme="minorEastAsia" w:cstheme="minorEastAsia"/>
          <w:sz w:val="28"/>
          <w:szCs w:val="28"/>
          <w:lang w:val="en-US" w:eastAsia="zh-CN"/>
        </w:rPr>
        <w:t>实践，依托新时代文明实践所站、爱国主义教育基地等开展各类文明行为教育活动</w:t>
      </w:r>
      <w:r>
        <w:rPr>
          <w:rFonts w:hint="eastAsia" w:asciiTheme="minorEastAsia" w:hAnsiTheme="minorEastAsia" w:eastAsiaTheme="minorEastAsia" w:cstheme="minorEastAsia"/>
          <w:sz w:val="28"/>
          <w:szCs w:val="28"/>
          <w:lang w:val="en-US" w:eastAsia="zh-CN"/>
        </w:rPr>
        <w:t>，广泛发动党员群众参与到</w:t>
      </w:r>
      <w:r>
        <w:rPr>
          <w:rFonts w:hint="default" w:asciiTheme="minorEastAsia" w:hAnsiTheme="minorEastAsia" w:eastAsiaTheme="minorEastAsia" w:cstheme="minorEastAsia"/>
          <w:sz w:val="28"/>
          <w:szCs w:val="28"/>
          <w:lang w:val="en-US" w:eastAsia="zh-CN"/>
        </w:rPr>
        <w:t>义务植树、疫情防控、城乡治理标准化、粮食生产、社会关爱、环境保护、文明交通、文明经营、修路护路、巡山护林等志愿活动</w:t>
      </w:r>
      <w:r>
        <w:rPr>
          <w:rFonts w:hint="eastAsia" w:asciiTheme="minorEastAsia" w:hAnsiTheme="minorEastAsia" w:eastAsiaTheme="minorEastAsia" w:cstheme="minorEastAsia"/>
          <w:sz w:val="28"/>
          <w:szCs w:val="28"/>
          <w:lang w:val="en-US" w:eastAsia="zh-CN"/>
        </w:rPr>
        <w:t>中来。</w:t>
      </w:r>
      <w:r>
        <w:rPr>
          <w:rFonts w:hint="default" w:asciiTheme="minorEastAsia" w:hAnsiTheme="minorEastAsia" w:eastAsiaTheme="minorEastAsia" w:cstheme="minorEastAsia"/>
          <w:sz w:val="28"/>
          <w:szCs w:val="28"/>
          <w:lang w:val="en-US" w:eastAsia="zh-CN"/>
        </w:rPr>
        <w:t>2022年</w:t>
      </w:r>
      <w:r>
        <w:rPr>
          <w:rFonts w:hint="eastAsia" w:asciiTheme="minorEastAsia" w:hAnsiTheme="minorEastAsia" w:eastAsiaTheme="minorEastAsia" w:cstheme="minorEastAsia"/>
          <w:sz w:val="28"/>
          <w:szCs w:val="28"/>
          <w:lang w:val="en-US" w:eastAsia="zh-CN"/>
        </w:rPr>
        <w:t>“衡山县东湖镇：党员带头冲在前，防疫抗疫作表率”</w:t>
      </w:r>
      <w:r>
        <w:rPr>
          <w:rFonts w:hint="default" w:asciiTheme="minorEastAsia" w:hAnsiTheme="minorEastAsia" w:eastAsiaTheme="minorEastAsia" w:cstheme="minorEastAsia"/>
          <w:sz w:val="28"/>
          <w:szCs w:val="28"/>
          <w:lang w:val="en-US" w:eastAsia="zh-CN"/>
        </w:rPr>
        <w:t>“衡山县东湖镇：春耕一线志愿红”“衡山县东湖镇：植一抹青绿，蕴勃勃生机”等志愿</w:t>
      </w:r>
      <w:r>
        <w:rPr>
          <w:rFonts w:hint="eastAsia" w:asciiTheme="minorEastAsia" w:hAnsiTheme="minorEastAsia" w:eastAsiaTheme="minorEastAsia" w:cstheme="minorEastAsia"/>
          <w:sz w:val="28"/>
          <w:szCs w:val="28"/>
          <w:lang w:val="en-US" w:eastAsia="zh-CN"/>
        </w:rPr>
        <w:t>服务</w:t>
      </w:r>
      <w:r>
        <w:rPr>
          <w:rFonts w:hint="default" w:asciiTheme="minorEastAsia" w:hAnsiTheme="minorEastAsia" w:eastAsiaTheme="minorEastAsia" w:cstheme="minorEastAsia"/>
          <w:sz w:val="28"/>
          <w:szCs w:val="28"/>
          <w:lang w:val="en-US" w:eastAsia="zh-CN"/>
        </w:rPr>
        <w:t>活动被新湖南等媒体推介，社会效应良好。</w:t>
      </w:r>
      <w:r>
        <w:rPr>
          <w:rFonts w:hint="eastAsia" w:asciiTheme="minorEastAsia" w:hAnsiTheme="minorEastAsia" w:eastAsiaTheme="minorEastAsia" w:cstheme="minorEastAsia"/>
          <w:sz w:val="28"/>
          <w:szCs w:val="28"/>
          <w:lang w:val="en-US" w:eastAsia="zh-CN"/>
        </w:rPr>
        <w:t>三是宣传到位，围绕中心工作服务大局。一方面</w:t>
      </w:r>
      <w:r>
        <w:rPr>
          <w:rFonts w:hint="default" w:asciiTheme="minorEastAsia" w:hAnsiTheme="minorEastAsia" w:eastAsiaTheme="minorEastAsia" w:cstheme="minorEastAsia"/>
          <w:sz w:val="28"/>
          <w:szCs w:val="28"/>
          <w:lang w:val="en-US" w:eastAsia="zh-CN"/>
        </w:rPr>
        <w:t>坚持团结稳定鼓劲、正面宣传为主的原则，</w:t>
      </w:r>
      <w:r>
        <w:rPr>
          <w:rFonts w:hint="eastAsia" w:asciiTheme="minorEastAsia" w:hAnsiTheme="minorEastAsia" w:eastAsiaTheme="minorEastAsia" w:cstheme="minorEastAsia"/>
          <w:sz w:val="28"/>
          <w:szCs w:val="28"/>
          <w:lang w:val="en-US" w:eastAsia="zh-CN"/>
        </w:rPr>
        <w:t>认真落实政府网站和政务新媒体信息发布“三审”制,</w:t>
      </w:r>
      <w:r>
        <w:rPr>
          <w:rFonts w:hint="default" w:asciiTheme="minorEastAsia" w:hAnsiTheme="minorEastAsia" w:eastAsiaTheme="minorEastAsia" w:cstheme="minorEastAsia"/>
          <w:sz w:val="28"/>
          <w:szCs w:val="28"/>
          <w:lang w:val="en-US" w:eastAsia="zh-CN"/>
        </w:rPr>
        <w:t>加强与中国报道、新湖南、看衡阳、县融媒体中心等对接，</w:t>
      </w:r>
      <w:r>
        <w:rPr>
          <w:rFonts w:hint="eastAsia" w:asciiTheme="minorEastAsia" w:hAnsiTheme="minorEastAsia" w:eastAsiaTheme="minorEastAsia" w:cstheme="minorEastAsia"/>
          <w:sz w:val="28"/>
          <w:szCs w:val="28"/>
          <w:lang w:val="en-US" w:eastAsia="zh-CN"/>
        </w:rPr>
        <w:t>搭建信息互通的平台。2022年通过镇美篇对外发布宣传稿件35篇，精心挖掘、采录选送新闻稿件60余件，各类媒体上刊登新闻稿件40余篇次，</w:t>
      </w:r>
      <w:r>
        <w:rPr>
          <w:rFonts w:hint="default" w:asciiTheme="minorEastAsia" w:hAnsiTheme="minorEastAsia" w:eastAsiaTheme="minorEastAsia" w:cstheme="minorEastAsia"/>
          <w:sz w:val="28"/>
          <w:szCs w:val="28"/>
          <w:lang w:val="en-US" w:eastAsia="zh-CN"/>
        </w:rPr>
        <w:t>其中省级以上媒体上稿</w:t>
      </w:r>
      <w:r>
        <w:rPr>
          <w:rFonts w:hint="eastAsia" w:asciiTheme="minorEastAsia" w:hAnsiTheme="minorEastAsia" w:eastAsiaTheme="minorEastAsia" w:cstheme="minorEastAsia"/>
          <w:sz w:val="28"/>
          <w:szCs w:val="28"/>
          <w:lang w:val="en-US" w:eastAsia="zh-CN"/>
        </w:rPr>
        <w:t>18</w:t>
      </w:r>
      <w:r>
        <w:rPr>
          <w:rFonts w:hint="default" w:asciiTheme="minorEastAsia" w:hAnsiTheme="minorEastAsia" w:eastAsiaTheme="minorEastAsia" w:cstheme="minorEastAsia"/>
          <w:sz w:val="28"/>
          <w:szCs w:val="28"/>
          <w:lang w:val="en-US" w:eastAsia="zh-CN"/>
        </w:rPr>
        <w:t>篇</w:t>
      </w:r>
      <w:r>
        <w:rPr>
          <w:rFonts w:hint="eastAsia" w:asciiTheme="minorEastAsia" w:hAnsiTheme="minorEastAsia" w:eastAsiaTheme="minorEastAsia" w:cstheme="minorEastAsia"/>
          <w:sz w:val="28"/>
          <w:szCs w:val="28"/>
          <w:lang w:val="en-US" w:eastAsia="zh-CN"/>
        </w:rPr>
        <w:t>，切实将</w:t>
      </w:r>
      <w:r>
        <w:rPr>
          <w:rFonts w:hint="default" w:asciiTheme="minorEastAsia" w:hAnsiTheme="minorEastAsia" w:eastAsiaTheme="minorEastAsia" w:cstheme="minorEastAsia"/>
          <w:sz w:val="28"/>
          <w:szCs w:val="28"/>
          <w:lang w:val="en-US" w:eastAsia="zh-CN"/>
        </w:rPr>
        <w:t>我镇在工作中好的做法、突出表现</w:t>
      </w:r>
      <w:r>
        <w:rPr>
          <w:rFonts w:hint="eastAsia" w:asciiTheme="minorEastAsia" w:hAnsiTheme="minorEastAsia" w:eastAsiaTheme="minorEastAsia" w:cstheme="minorEastAsia"/>
          <w:sz w:val="28"/>
          <w:szCs w:val="28"/>
          <w:lang w:val="en-US" w:eastAsia="zh-CN"/>
        </w:rPr>
        <w:t>等</w:t>
      </w:r>
      <w:r>
        <w:rPr>
          <w:rFonts w:hint="default" w:asciiTheme="minorEastAsia" w:hAnsiTheme="minorEastAsia" w:eastAsiaTheme="minorEastAsia" w:cstheme="minorEastAsia"/>
          <w:sz w:val="28"/>
          <w:szCs w:val="28"/>
          <w:lang w:val="en-US" w:eastAsia="zh-CN"/>
        </w:rPr>
        <w:t>有价值的信息</w:t>
      </w:r>
      <w:r>
        <w:rPr>
          <w:rFonts w:hint="eastAsia" w:asciiTheme="minorEastAsia" w:hAnsiTheme="minorEastAsia" w:eastAsiaTheme="minorEastAsia" w:cstheme="minorEastAsia"/>
          <w:sz w:val="28"/>
          <w:szCs w:val="28"/>
          <w:lang w:val="en-US" w:eastAsia="zh-CN"/>
        </w:rPr>
        <w:t>对外进行了推介。四是监管到位，紧盯网络舆情迅速反应。</w:t>
      </w:r>
      <w:r>
        <w:rPr>
          <w:rFonts w:hint="default" w:asciiTheme="minorEastAsia" w:hAnsiTheme="minorEastAsia" w:eastAsiaTheme="minorEastAsia" w:cstheme="minorEastAsia"/>
          <w:sz w:val="28"/>
          <w:szCs w:val="28"/>
          <w:lang w:val="en-US" w:eastAsia="zh-CN"/>
        </w:rPr>
        <w:t>始终牢牢把握正确的舆论导向不动摇，</w:t>
      </w:r>
      <w:r>
        <w:rPr>
          <w:rFonts w:hint="eastAsia" w:asciiTheme="minorEastAsia" w:hAnsiTheme="minorEastAsia" w:eastAsiaTheme="minorEastAsia" w:cstheme="minorEastAsia"/>
          <w:sz w:val="28"/>
          <w:szCs w:val="28"/>
          <w:lang w:val="en-US" w:eastAsia="zh-CN"/>
        </w:rPr>
        <w:t>规定镇村干部在使用工作QQ 群、微信群时，要坚持“涉密不上网、上网不涉密”原则，做到“五不发”和“六不”。</w:t>
      </w:r>
      <w:r>
        <w:rPr>
          <w:rFonts w:hint="default" w:asciiTheme="minorEastAsia" w:hAnsiTheme="minorEastAsia" w:eastAsiaTheme="minorEastAsia" w:cstheme="minorEastAsia"/>
          <w:sz w:val="28"/>
          <w:szCs w:val="28"/>
          <w:lang w:val="en-US" w:eastAsia="zh-CN"/>
        </w:rPr>
        <w:t>以正确的舆论引导社会思潮，</w:t>
      </w:r>
      <w:r>
        <w:rPr>
          <w:rFonts w:hint="eastAsia" w:asciiTheme="minorEastAsia" w:hAnsiTheme="minorEastAsia" w:eastAsiaTheme="minorEastAsia" w:cstheme="minorEastAsia"/>
          <w:sz w:val="28"/>
          <w:szCs w:val="28"/>
          <w:lang w:val="en-US" w:eastAsia="zh-CN"/>
        </w:rPr>
        <w:t>对重大事件、突发性问题和一些苗头性现象,努力做到早预见、早发现、早介入。抢占宣传舆论的制高点，</w:t>
      </w:r>
      <w:r>
        <w:rPr>
          <w:rFonts w:hint="default" w:asciiTheme="minorEastAsia" w:hAnsiTheme="minorEastAsia" w:eastAsiaTheme="minorEastAsia" w:cstheme="minorEastAsia"/>
          <w:sz w:val="28"/>
          <w:szCs w:val="28"/>
          <w:lang w:val="en-US" w:eastAsia="zh-CN"/>
        </w:rPr>
        <w:t>弘扬社会正气、引导社会热点、疏导公众情绪、搞好舆论监督，努力在全社会形成积极健康、昂扬向上的主流舆论。</w:t>
      </w:r>
    </w:p>
    <w:p>
      <w:pPr>
        <w:pStyle w:val="2"/>
        <w:rPr>
          <w:rFonts w:hint="default" w:asciiTheme="minorEastAsia" w:hAnsiTheme="minorEastAsia" w:eastAsiaTheme="minorEastAsia" w:cstheme="minorEastAsia"/>
          <w:sz w:val="28"/>
          <w:szCs w:val="28"/>
          <w:lang w:val="en-US" w:eastAsia="zh-CN"/>
        </w:rPr>
      </w:pPr>
    </w:p>
    <w:p>
      <w:pPr>
        <w:numPr>
          <w:ilvl w:val="0"/>
          <w:numId w:val="2"/>
        </w:numPr>
        <w:spacing w:line="600" w:lineRule="exact"/>
        <w:ind w:firstLine="54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项目绩效目标完成情况</w:t>
      </w:r>
    </w:p>
    <w:p>
      <w:pPr>
        <w:numPr>
          <w:ilvl w:val="0"/>
          <w:numId w:val="3"/>
        </w:num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矿山关停补偿款。</w:t>
      </w:r>
    </w:p>
    <w:p>
      <w:pPr>
        <w:numPr>
          <w:ilvl w:val="0"/>
          <w:numId w:val="0"/>
        </w:num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default" w:asciiTheme="minorEastAsia" w:hAnsiTheme="minorEastAsia" w:eastAsiaTheme="minorEastAsia" w:cstheme="minorEastAsia"/>
          <w:sz w:val="28"/>
          <w:szCs w:val="28"/>
          <w:lang w:val="en-US" w:eastAsia="zh-CN"/>
        </w:rPr>
        <w:t>通过项目的实施消除治理存在的崩塌地质灾害隐患，改善地形地貌景观，改善治理地质生态环境，获得可利用的土地资源，从而促进当地经济持续发展</w:t>
      </w:r>
      <w:r>
        <w:rPr>
          <w:rFonts w:hint="eastAsia" w:asciiTheme="minorEastAsia" w:hAnsiTheme="minorEastAsia" w:eastAsiaTheme="minorEastAsia" w:cstheme="minorEastAsia"/>
          <w:sz w:val="28"/>
          <w:szCs w:val="28"/>
          <w:lang w:val="en-US" w:eastAsia="zh-CN"/>
        </w:rPr>
        <w:t>，2022年完成该项目资金1929.04万元的拨付工作，</w:t>
      </w:r>
      <w:r>
        <w:rPr>
          <w:rFonts w:hint="default" w:asciiTheme="minorEastAsia" w:hAnsiTheme="minorEastAsia" w:eastAsiaTheme="minorEastAsia" w:cstheme="minorEastAsia"/>
          <w:sz w:val="28"/>
          <w:szCs w:val="28"/>
          <w:lang w:val="en-US" w:eastAsia="zh-CN"/>
        </w:rPr>
        <w:t>消除了存在的地质灾害隐患，保证了人民群众生命财产安全，改善了周边人居环境，促进了当地的和谐社会建设。</w:t>
      </w:r>
    </w:p>
    <w:p>
      <w:pPr>
        <w:pStyle w:val="2"/>
        <w:numPr>
          <w:ilvl w:val="0"/>
          <w:numId w:val="0"/>
        </w:numPr>
        <w:rPr>
          <w:rFonts w:hint="default"/>
          <w:lang w:val="en-US" w:eastAsia="zh-CN"/>
        </w:rPr>
      </w:pPr>
    </w:p>
    <w:p>
      <w:pPr>
        <w:numPr>
          <w:ilvl w:val="0"/>
          <w:numId w:val="0"/>
        </w:numPr>
        <w:spacing w:line="360" w:lineRule="auto"/>
        <w:rPr>
          <w:rFonts w:hint="eastAsia" w:eastAsia="黑体" w:cs="Times New Roman"/>
          <w:kern w:val="2"/>
          <w:sz w:val="32"/>
          <w:szCs w:val="32"/>
          <w:lang w:val="en-US" w:eastAsia="zh-CN" w:bidi="ar-SA"/>
        </w:rPr>
      </w:pPr>
      <w:r>
        <w:rPr>
          <w:rFonts w:hint="eastAsia" w:eastAsia="黑体" w:cs="Times New Roman"/>
          <w:kern w:val="2"/>
          <w:sz w:val="32"/>
          <w:szCs w:val="32"/>
          <w:lang w:val="en-US" w:eastAsia="zh-CN" w:bidi="ar-SA"/>
        </w:rPr>
        <w:t>三、</w:t>
      </w:r>
      <w:r>
        <w:rPr>
          <w:rFonts w:hint="eastAsia" w:ascii="Times New Roman" w:hAnsi="Times New Roman" w:eastAsia="黑体" w:cs="Times New Roman"/>
          <w:kern w:val="2"/>
          <w:sz w:val="32"/>
          <w:szCs w:val="32"/>
          <w:lang w:val="en-US" w:eastAsia="zh-CN" w:bidi="ar-SA"/>
        </w:rPr>
        <w:t>存在的问题</w:t>
      </w:r>
      <w:r>
        <w:rPr>
          <w:rFonts w:hint="eastAsia" w:eastAsia="黑体" w:cs="Times New Roman"/>
          <w:kern w:val="2"/>
          <w:sz w:val="32"/>
          <w:szCs w:val="32"/>
          <w:lang w:val="en-US" w:eastAsia="zh-CN" w:bidi="ar-SA"/>
        </w:rPr>
        <w:t>及改进措施</w:t>
      </w:r>
    </w:p>
    <w:p>
      <w:pPr>
        <w:pStyle w:val="2"/>
        <w:rPr>
          <w:rFonts w:hint="default"/>
          <w:lang w:val="en-US" w:eastAsia="zh-CN"/>
        </w:rPr>
      </w:pPr>
      <w:r>
        <w:rPr>
          <w:rFonts w:hint="eastAsia" w:eastAsia="黑体" w:cs="Times New Roman"/>
          <w:kern w:val="2"/>
          <w:sz w:val="32"/>
          <w:szCs w:val="32"/>
          <w:lang w:val="en-US" w:eastAsia="zh-CN" w:bidi="ar-SA"/>
        </w:rPr>
        <w:t>存在问题：</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1、账务处理有待进一步规范，健全财务制度。</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2、预算编制的合理性有待提高。预算编制时的前瞻性不够。预算编制的质量不高，实际资金支出过程中因实际情况发生变化与预算支出经济科目数有时存在偏差，预算编制精准化还有待进一步提高。</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3、资金使用效益有待进一步提高，绩效目标设立不够明确、细化和量化。</w:t>
      </w:r>
    </w:p>
    <w:p>
      <w:p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4、固定资产有不少已经年代久远，已过使用年限，暂未做资产处置。</w:t>
      </w:r>
    </w:p>
    <w:p>
      <w:pPr>
        <w:widowControl/>
        <w:spacing w:line="600" w:lineRule="exact"/>
        <w:ind w:firstLine="622" w:firstLineChars="200"/>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改进措施</w:t>
      </w:r>
      <w:r>
        <w:rPr>
          <w:rFonts w:hint="eastAsia" w:eastAsia="黑体" w:cs="Times New Roman"/>
          <w:sz w:val="32"/>
          <w:szCs w:val="32"/>
          <w:lang w:eastAsia="zh-CN"/>
        </w:rPr>
        <w:t>：</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1、抓好财务预算管理，严格执行财务管理制度，充分发挥监督作用。</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2、严格财务支出审批。抓好审核和审批两个环节，在审核审批中严把支出关，切实维护财务纪律的严肃性。</w:t>
      </w:r>
    </w:p>
    <w:p>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3、强化经费管理。重点加强招待费和公务用车的管理，严格控制支出，降低经费支出。</w:t>
      </w:r>
    </w:p>
    <w:p>
      <w:pPr>
        <w:widowControl/>
        <w:spacing w:line="600" w:lineRule="exact"/>
        <w:jc w:val="left"/>
        <w:rPr>
          <w:rFonts w:hint="eastAsia" w:ascii="Times New Roman" w:hAnsi="Times New Roman" w:eastAsia="黑体" w:cs="Times New Roman"/>
          <w:sz w:val="32"/>
          <w:szCs w:val="32"/>
        </w:rPr>
      </w:pPr>
      <w:r>
        <w:rPr>
          <w:rFonts w:hint="eastAsia" w:eastAsia="黑体" w:cs="Times New Roman"/>
          <w:sz w:val="32"/>
          <w:szCs w:val="32"/>
          <w:lang w:val="en-US" w:eastAsia="zh-CN"/>
        </w:rPr>
        <w:t>四、</w:t>
      </w:r>
      <w:r>
        <w:rPr>
          <w:rFonts w:hint="eastAsia" w:ascii="Times New Roman" w:hAnsi="Times New Roman" w:eastAsia="黑体" w:cs="Times New Roman"/>
          <w:sz w:val="32"/>
          <w:szCs w:val="32"/>
        </w:rPr>
        <w:t>其他需要说明的情况</w:t>
      </w:r>
    </w:p>
    <w:p>
      <w:pPr>
        <w:spacing w:line="600" w:lineRule="exact"/>
        <w:ind w:firstLine="622" w:firstLineChars="200"/>
        <w:rPr>
          <w:rFonts w:hint="eastAsia" w:asciiTheme="minorEastAsia" w:hAnsiTheme="minorEastAsia" w:eastAsiaTheme="minorEastAsia" w:cstheme="minorEastAsia"/>
          <w:sz w:val="28"/>
          <w:szCs w:val="28"/>
          <w:lang w:val="en-US" w:eastAsia="zh-CN"/>
        </w:rPr>
      </w:pPr>
      <w:r>
        <w:rPr>
          <w:rFonts w:hint="eastAsia" w:ascii="Times New Roman" w:hAnsi="Times New Roman" w:eastAsia="黑体"/>
          <w:sz w:val="32"/>
          <w:szCs w:val="32"/>
        </w:rPr>
        <w:t xml:space="preserve">   </w:t>
      </w:r>
      <w:r>
        <w:rPr>
          <w:rFonts w:hint="eastAsia" w:asciiTheme="minorEastAsia" w:hAnsiTheme="minorEastAsia" w:eastAsiaTheme="minorEastAsia" w:cstheme="minorEastAsia"/>
          <w:sz w:val="28"/>
          <w:szCs w:val="28"/>
          <w:lang w:val="en-US" w:eastAsia="zh-CN"/>
        </w:rPr>
        <w:t>无</w:t>
      </w:r>
    </w:p>
    <w:p>
      <w:pPr>
        <w:pStyle w:val="8"/>
        <w:rPr>
          <w:rFonts w:hint="eastAsia" w:asciiTheme="minorEastAsia" w:hAnsiTheme="minorEastAsia" w:eastAsiaTheme="minorEastAsia" w:cstheme="minorEastAsia"/>
          <w:sz w:val="28"/>
          <w:szCs w:val="28"/>
          <w:lang w:val="en-US" w:eastAsia="zh-CN"/>
        </w:rPr>
      </w:pPr>
    </w:p>
    <w:p>
      <w:pPr>
        <w:pStyle w:val="8"/>
        <w:rPr>
          <w:rFonts w:hint="eastAsia" w:asciiTheme="minorEastAsia" w:hAnsiTheme="minorEastAsia" w:eastAsiaTheme="minorEastAsia" w:cstheme="minorEastAsia"/>
          <w:sz w:val="28"/>
          <w:szCs w:val="28"/>
          <w:lang w:val="en-US" w:eastAsia="zh-CN"/>
        </w:rPr>
      </w:pPr>
    </w:p>
    <w:p>
      <w:pPr>
        <w:pStyle w:val="8"/>
        <w:rPr>
          <w:rFonts w:hint="eastAsia" w:asciiTheme="minorEastAsia" w:hAnsiTheme="minorEastAsia" w:eastAsiaTheme="minorEastAsia" w:cstheme="minorEastAsia"/>
          <w:sz w:val="28"/>
          <w:szCs w:val="28"/>
          <w:lang w:val="en-US" w:eastAsia="zh-CN"/>
        </w:rPr>
      </w:pPr>
    </w:p>
    <w:p>
      <w:pPr>
        <w:pStyle w:val="8"/>
        <w:rPr>
          <w:rFonts w:hint="eastAsia" w:asciiTheme="minorEastAsia" w:hAnsiTheme="minorEastAsia" w:eastAsiaTheme="minorEastAsia" w:cstheme="minorEastAsia"/>
          <w:sz w:val="28"/>
          <w:szCs w:val="28"/>
          <w:lang w:val="en-US" w:eastAsia="zh-CN"/>
        </w:rPr>
      </w:pPr>
    </w:p>
    <w:p>
      <w:pPr>
        <w:pStyle w:val="8"/>
        <w:rPr>
          <w:rFonts w:hint="eastAsia" w:asciiTheme="minorEastAsia" w:hAnsiTheme="minorEastAsia" w:eastAsiaTheme="minorEastAsia" w:cstheme="minorEastAsia"/>
          <w:sz w:val="28"/>
          <w:szCs w:val="28"/>
          <w:lang w:val="en-US" w:eastAsia="zh-CN"/>
        </w:rPr>
      </w:pPr>
    </w:p>
    <w:p>
      <w:pPr>
        <w:pStyle w:val="8"/>
        <w:rPr>
          <w:rFonts w:hint="eastAsia" w:asciiTheme="minorEastAsia" w:hAnsiTheme="minorEastAsia" w:eastAsiaTheme="minorEastAsia" w:cstheme="minorEastAsia"/>
          <w:sz w:val="28"/>
          <w:szCs w:val="28"/>
          <w:lang w:val="en-US" w:eastAsia="zh-CN"/>
        </w:rPr>
      </w:pPr>
    </w:p>
    <w:p>
      <w:pPr>
        <w:spacing w:line="600" w:lineRule="exact"/>
        <w:ind w:firstLine="542" w:firstLineChars="200"/>
        <w:rPr>
          <w:rFonts w:hint="eastAsia" w:asciiTheme="minorEastAsia" w:hAnsiTheme="minorEastAsia" w:eastAsiaTheme="minorEastAsia" w:cstheme="minorEastAsia"/>
          <w:sz w:val="28"/>
          <w:szCs w:val="28"/>
          <w:lang w:val="en-US" w:eastAsia="zh-CN"/>
        </w:rPr>
      </w:pPr>
    </w:p>
    <w:p>
      <w:pPr>
        <w:pStyle w:val="8"/>
        <w:rPr>
          <w:rFonts w:hint="eastAsia" w:asciiTheme="minorEastAsia" w:hAnsiTheme="minorEastAsia" w:eastAsiaTheme="minorEastAsia" w:cstheme="minorEastAsia"/>
          <w:sz w:val="28"/>
          <w:szCs w:val="28"/>
          <w:lang w:val="en-US" w:eastAsia="zh-CN"/>
        </w:rPr>
      </w:pPr>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18</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B4686"/>
    <w:multiLevelType w:val="singleLevel"/>
    <w:tmpl w:val="A59B4686"/>
    <w:lvl w:ilvl="0" w:tentative="0">
      <w:start w:val="2"/>
      <w:numFmt w:val="decimal"/>
      <w:suff w:val="nothing"/>
      <w:lvlText w:val="%1、"/>
      <w:lvlJc w:val="left"/>
    </w:lvl>
  </w:abstractNum>
  <w:abstractNum w:abstractNumId="1">
    <w:nsid w:val="07B74342"/>
    <w:multiLevelType w:val="singleLevel"/>
    <w:tmpl w:val="07B74342"/>
    <w:lvl w:ilvl="0" w:tentative="0">
      <w:start w:val="1"/>
      <w:numFmt w:val="decimal"/>
      <w:suff w:val="nothing"/>
      <w:lvlText w:val="（%1）"/>
      <w:lvlJc w:val="left"/>
    </w:lvl>
  </w:abstractNum>
  <w:abstractNum w:abstractNumId="2">
    <w:nsid w:val="42BF46F7"/>
    <w:multiLevelType w:val="singleLevel"/>
    <w:tmpl w:val="42BF46F7"/>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ODc3YmZmNGFlYzNjMDZlNzMzMWQ4MGJhMjFkZDcifQ=="/>
  </w:docVars>
  <w:rsids>
    <w:rsidRoot w:val="00B843C7"/>
    <w:rsid w:val="00014E6E"/>
    <w:rsid w:val="00050D1D"/>
    <w:rsid w:val="00073D55"/>
    <w:rsid w:val="000C0358"/>
    <w:rsid w:val="000D369C"/>
    <w:rsid w:val="000D6FF6"/>
    <w:rsid w:val="00144823"/>
    <w:rsid w:val="0014763C"/>
    <w:rsid w:val="001C6A45"/>
    <w:rsid w:val="001D0712"/>
    <w:rsid w:val="00201244"/>
    <w:rsid w:val="00201531"/>
    <w:rsid w:val="0022488F"/>
    <w:rsid w:val="002328D0"/>
    <w:rsid w:val="002363C3"/>
    <w:rsid w:val="00255F32"/>
    <w:rsid w:val="002615B4"/>
    <w:rsid w:val="002668AA"/>
    <w:rsid w:val="00283BBB"/>
    <w:rsid w:val="002A5B65"/>
    <w:rsid w:val="002C3F4C"/>
    <w:rsid w:val="002C670C"/>
    <w:rsid w:val="002D50A5"/>
    <w:rsid w:val="002D577F"/>
    <w:rsid w:val="002E0BD9"/>
    <w:rsid w:val="002E0C96"/>
    <w:rsid w:val="002F0A30"/>
    <w:rsid w:val="003067DC"/>
    <w:rsid w:val="003143C5"/>
    <w:rsid w:val="00356230"/>
    <w:rsid w:val="00361B4E"/>
    <w:rsid w:val="003B6FC5"/>
    <w:rsid w:val="003D2B7D"/>
    <w:rsid w:val="003D4EA3"/>
    <w:rsid w:val="00406C45"/>
    <w:rsid w:val="00441580"/>
    <w:rsid w:val="004530A5"/>
    <w:rsid w:val="00460B27"/>
    <w:rsid w:val="004807E9"/>
    <w:rsid w:val="004F19B8"/>
    <w:rsid w:val="005129BF"/>
    <w:rsid w:val="00523D2A"/>
    <w:rsid w:val="00524457"/>
    <w:rsid w:val="0053174A"/>
    <w:rsid w:val="0055792B"/>
    <w:rsid w:val="005B343B"/>
    <w:rsid w:val="005D0F55"/>
    <w:rsid w:val="005E5320"/>
    <w:rsid w:val="00603C1B"/>
    <w:rsid w:val="00604693"/>
    <w:rsid w:val="00635442"/>
    <w:rsid w:val="00666085"/>
    <w:rsid w:val="00673270"/>
    <w:rsid w:val="00680E6F"/>
    <w:rsid w:val="0068448B"/>
    <w:rsid w:val="006C1FD1"/>
    <w:rsid w:val="006C2306"/>
    <w:rsid w:val="006E55AC"/>
    <w:rsid w:val="0070610E"/>
    <w:rsid w:val="00722E44"/>
    <w:rsid w:val="00730832"/>
    <w:rsid w:val="007416F1"/>
    <w:rsid w:val="00760862"/>
    <w:rsid w:val="00774704"/>
    <w:rsid w:val="007F2790"/>
    <w:rsid w:val="008A740B"/>
    <w:rsid w:val="00975263"/>
    <w:rsid w:val="00985826"/>
    <w:rsid w:val="00996EE6"/>
    <w:rsid w:val="009B3FCE"/>
    <w:rsid w:val="009B5053"/>
    <w:rsid w:val="009D72BC"/>
    <w:rsid w:val="009F3291"/>
    <w:rsid w:val="00A026CB"/>
    <w:rsid w:val="00A34793"/>
    <w:rsid w:val="00A4488B"/>
    <w:rsid w:val="00A5434A"/>
    <w:rsid w:val="00A71002"/>
    <w:rsid w:val="00A76F36"/>
    <w:rsid w:val="00A839FB"/>
    <w:rsid w:val="00AD27F1"/>
    <w:rsid w:val="00B4596F"/>
    <w:rsid w:val="00B8341F"/>
    <w:rsid w:val="00B843C7"/>
    <w:rsid w:val="00C03295"/>
    <w:rsid w:val="00C3144D"/>
    <w:rsid w:val="00C41DC4"/>
    <w:rsid w:val="00C476AF"/>
    <w:rsid w:val="00C55887"/>
    <w:rsid w:val="00C65C25"/>
    <w:rsid w:val="00C755C6"/>
    <w:rsid w:val="00C94CE2"/>
    <w:rsid w:val="00CD568F"/>
    <w:rsid w:val="00CD72BC"/>
    <w:rsid w:val="00CE1683"/>
    <w:rsid w:val="00D31D11"/>
    <w:rsid w:val="00DA3C02"/>
    <w:rsid w:val="00DB4976"/>
    <w:rsid w:val="00DB52C0"/>
    <w:rsid w:val="00DC2177"/>
    <w:rsid w:val="00E069E5"/>
    <w:rsid w:val="00E2418F"/>
    <w:rsid w:val="00E42011"/>
    <w:rsid w:val="00E728E2"/>
    <w:rsid w:val="00EA046D"/>
    <w:rsid w:val="00F03755"/>
    <w:rsid w:val="00F31FD4"/>
    <w:rsid w:val="00F43D48"/>
    <w:rsid w:val="00F47795"/>
    <w:rsid w:val="00F6233F"/>
    <w:rsid w:val="00F97A85"/>
    <w:rsid w:val="00FD5133"/>
    <w:rsid w:val="00FE49EB"/>
    <w:rsid w:val="00FF1A55"/>
    <w:rsid w:val="00FF7B91"/>
    <w:rsid w:val="016D47C9"/>
    <w:rsid w:val="01734162"/>
    <w:rsid w:val="0182165A"/>
    <w:rsid w:val="018F288D"/>
    <w:rsid w:val="01900359"/>
    <w:rsid w:val="01932756"/>
    <w:rsid w:val="0194248D"/>
    <w:rsid w:val="019D1DB1"/>
    <w:rsid w:val="01AA435B"/>
    <w:rsid w:val="01DA290A"/>
    <w:rsid w:val="021872CE"/>
    <w:rsid w:val="021F4265"/>
    <w:rsid w:val="02686B2D"/>
    <w:rsid w:val="026F3E10"/>
    <w:rsid w:val="02781EBE"/>
    <w:rsid w:val="02952E03"/>
    <w:rsid w:val="02B36958"/>
    <w:rsid w:val="02BE0B3D"/>
    <w:rsid w:val="02C01B9F"/>
    <w:rsid w:val="030C4EDD"/>
    <w:rsid w:val="035C4D5F"/>
    <w:rsid w:val="036255A5"/>
    <w:rsid w:val="038B058F"/>
    <w:rsid w:val="03F35D1F"/>
    <w:rsid w:val="03F471AB"/>
    <w:rsid w:val="03FD14BE"/>
    <w:rsid w:val="040626E8"/>
    <w:rsid w:val="04095165"/>
    <w:rsid w:val="040A27EA"/>
    <w:rsid w:val="041F7BF5"/>
    <w:rsid w:val="0440360D"/>
    <w:rsid w:val="045E2EDB"/>
    <w:rsid w:val="04657D52"/>
    <w:rsid w:val="04671F17"/>
    <w:rsid w:val="047E65A4"/>
    <w:rsid w:val="048A6E37"/>
    <w:rsid w:val="04D3335E"/>
    <w:rsid w:val="05034D5D"/>
    <w:rsid w:val="050701AB"/>
    <w:rsid w:val="05767D3B"/>
    <w:rsid w:val="05DA2490"/>
    <w:rsid w:val="060275FD"/>
    <w:rsid w:val="060F6E75"/>
    <w:rsid w:val="06C32529"/>
    <w:rsid w:val="07095BF8"/>
    <w:rsid w:val="073D0E36"/>
    <w:rsid w:val="074A2DEA"/>
    <w:rsid w:val="075B43C1"/>
    <w:rsid w:val="08434F52"/>
    <w:rsid w:val="087D1E0A"/>
    <w:rsid w:val="0886279C"/>
    <w:rsid w:val="08A729AF"/>
    <w:rsid w:val="08AA1CC0"/>
    <w:rsid w:val="08AB6F20"/>
    <w:rsid w:val="09173578"/>
    <w:rsid w:val="092051BC"/>
    <w:rsid w:val="095E2CD1"/>
    <w:rsid w:val="09F16EA8"/>
    <w:rsid w:val="0A3C40D6"/>
    <w:rsid w:val="0A462A4D"/>
    <w:rsid w:val="0A912DAF"/>
    <w:rsid w:val="0B1408C1"/>
    <w:rsid w:val="0B8A0F1D"/>
    <w:rsid w:val="0BA00BD8"/>
    <w:rsid w:val="0BB00AFE"/>
    <w:rsid w:val="0BB87D06"/>
    <w:rsid w:val="0BE11B92"/>
    <w:rsid w:val="0BE51572"/>
    <w:rsid w:val="0C050478"/>
    <w:rsid w:val="0C0855A6"/>
    <w:rsid w:val="0C103EDA"/>
    <w:rsid w:val="0C2159CB"/>
    <w:rsid w:val="0C517911"/>
    <w:rsid w:val="0C52219D"/>
    <w:rsid w:val="0CA6599C"/>
    <w:rsid w:val="0CFB518F"/>
    <w:rsid w:val="0D04341C"/>
    <w:rsid w:val="0D0F1CBB"/>
    <w:rsid w:val="0D5D17CB"/>
    <w:rsid w:val="0D7254BF"/>
    <w:rsid w:val="0DCD0581"/>
    <w:rsid w:val="0DFF2C91"/>
    <w:rsid w:val="0E3057C1"/>
    <w:rsid w:val="0F635E61"/>
    <w:rsid w:val="0FC62AE9"/>
    <w:rsid w:val="0FD415FA"/>
    <w:rsid w:val="106F0E5F"/>
    <w:rsid w:val="1077625D"/>
    <w:rsid w:val="109B53FF"/>
    <w:rsid w:val="10AE4901"/>
    <w:rsid w:val="10E25268"/>
    <w:rsid w:val="111F088F"/>
    <w:rsid w:val="1122248D"/>
    <w:rsid w:val="11476806"/>
    <w:rsid w:val="11E1762C"/>
    <w:rsid w:val="124F10CE"/>
    <w:rsid w:val="12753A2E"/>
    <w:rsid w:val="128B5D17"/>
    <w:rsid w:val="128D23DE"/>
    <w:rsid w:val="12902616"/>
    <w:rsid w:val="12902DDA"/>
    <w:rsid w:val="129A3494"/>
    <w:rsid w:val="13472D07"/>
    <w:rsid w:val="1370286E"/>
    <w:rsid w:val="13814B96"/>
    <w:rsid w:val="13B247C1"/>
    <w:rsid w:val="13B7762A"/>
    <w:rsid w:val="14226537"/>
    <w:rsid w:val="14791385"/>
    <w:rsid w:val="147C10A3"/>
    <w:rsid w:val="14B71108"/>
    <w:rsid w:val="14E774E4"/>
    <w:rsid w:val="14FF058F"/>
    <w:rsid w:val="1503001E"/>
    <w:rsid w:val="150F3CA7"/>
    <w:rsid w:val="152F3E53"/>
    <w:rsid w:val="15773A4F"/>
    <w:rsid w:val="15780735"/>
    <w:rsid w:val="157D4E69"/>
    <w:rsid w:val="15891CCA"/>
    <w:rsid w:val="159308FB"/>
    <w:rsid w:val="159E2D1B"/>
    <w:rsid w:val="15A01040"/>
    <w:rsid w:val="15DB6F44"/>
    <w:rsid w:val="15FE136C"/>
    <w:rsid w:val="16097C3A"/>
    <w:rsid w:val="16230541"/>
    <w:rsid w:val="164A7C92"/>
    <w:rsid w:val="164D68EE"/>
    <w:rsid w:val="16A609CB"/>
    <w:rsid w:val="16B47B76"/>
    <w:rsid w:val="16B50174"/>
    <w:rsid w:val="16B569A4"/>
    <w:rsid w:val="16CB72FE"/>
    <w:rsid w:val="171B0B8E"/>
    <w:rsid w:val="181C3419"/>
    <w:rsid w:val="185E1AC5"/>
    <w:rsid w:val="18604080"/>
    <w:rsid w:val="19032410"/>
    <w:rsid w:val="19063B32"/>
    <w:rsid w:val="19115E65"/>
    <w:rsid w:val="19124356"/>
    <w:rsid w:val="19216C57"/>
    <w:rsid w:val="19572795"/>
    <w:rsid w:val="19B20ADD"/>
    <w:rsid w:val="19BC55BD"/>
    <w:rsid w:val="19F26A0B"/>
    <w:rsid w:val="1A2C0B08"/>
    <w:rsid w:val="1AB5556E"/>
    <w:rsid w:val="1ABC5844"/>
    <w:rsid w:val="1AD60514"/>
    <w:rsid w:val="1AEF6A73"/>
    <w:rsid w:val="1B965F4E"/>
    <w:rsid w:val="1BB53C13"/>
    <w:rsid w:val="1BB630ED"/>
    <w:rsid w:val="1BD970A3"/>
    <w:rsid w:val="1BDC3D23"/>
    <w:rsid w:val="1C253E50"/>
    <w:rsid w:val="1C551466"/>
    <w:rsid w:val="1CC60963"/>
    <w:rsid w:val="1CF64B09"/>
    <w:rsid w:val="1CFA6E48"/>
    <w:rsid w:val="1CFE7ACD"/>
    <w:rsid w:val="1D440587"/>
    <w:rsid w:val="1DEC60F3"/>
    <w:rsid w:val="1E29579F"/>
    <w:rsid w:val="1E7A3316"/>
    <w:rsid w:val="1E7C4A53"/>
    <w:rsid w:val="1EC56A78"/>
    <w:rsid w:val="1EEC40F1"/>
    <w:rsid w:val="1F087BEB"/>
    <w:rsid w:val="1F2C09AC"/>
    <w:rsid w:val="1F896D6A"/>
    <w:rsid w:val="1FDD65A2"/>
    <w:rsid w:val="1FF24652"/>
    <w:rsid w:val="1FF757EC"/>
    <w:rsid w:val="20235F80"/>
    <w:rsid w:val="203120D9"/>
    <w:rsid w:val="203F1257"/>
    <w:rsid w:val="204C0723"/>
    <w:rsid w:val="205B2C83"/>
    <w:rsid w:val="2081662F"/>
    <w:rsid w:val="209F3794"/>
    <w:rsid w:val="20C65D37"/>
    <w:rsid w:val="20D748F4"/>
    <w:rsid w:val="21043305"/>
    <w:rsid w:val="210F5AE3"/>
    <w:rsid w:val="21417B2B"/>
    <w:rsid w:val="216D2575"/>
    <w:rsid w:val="21B26026"/>
    <w:rsid w:val="21C055A7"/>
    <w:rsid w:val="21C24DF5"/>
    <w:rsid w:val="21C97858"/>
    <w:rsid w:val="21DD2C53"/>
    <w:rsid w:val="21ED4025"/>
    <w:rsid w:val="22893B7C"/>
    <w:rsid w:val="22916662"/>
    <w:rsid w:val="22AD644E"/>
    <w:rsid w:val="22D77F2D"/>
    <w:rsid w:val="234C39B6"/>
    <w:rsid w:val="236C2C8F"/>
    <w:rsid w:val="23784FA1"/>
    <w:rsid w:val="237B40AF"/>
    <w:rsid w:val="23CF073A"/>
    <w:rsid w:val="23E05115"/>
    <w:rsid w:val="23E05ADF"/>
    <w:rsid w:val="23E80BCD"/>
    <w:rsid w:val="240C2C2D"/>
    <w:rsid w:val="24216770"/>
    <w:rsid w:val="2429670D"/>
    <w:rsid w:val="242E7BCF"/>
    <w:rsid w:val="24403802"/>
    <w:rsid w:val="24432C28"/>
    <w:rsid w:val="24822706"/>
    <w:rsid w:val="248D27F1"/>
    <w:rsid w:val="24E56458"/>
    <w:rsid w:val="24E95010"/>
    <w:rsid w:val="25524889"/>
    <w:rsid w:val="255511FD"/>
    <w:rsid w:val="25D17A6D"/>
    <w:rsid w:val="25F74447"/>
    <w:rsid w:val="26105170"/>
    <w:rsid w:val="263952BC"/>
    <w:rsid w:val="269909FD"/>
    <w:rsid w:val="26E37FC2"/>
    <w:rsid w:val="279E03A9"/>
    <w:rsid w:val="27BE69B4"/>
    <w:rsid w:val="27C85858"/>
    <w:rsid w:val="27D635F6"/>
    <w:rsid w:val="281C0E4C"/>
    <w:rsid w:val="282C384C"/>
    <w:rsid w:val="283820C1"/>
    <w:rsid w:val="28494B67"/>
    <w:rsid w:val="286B29C0"/>
    <w:rsid w:val="287005CD"/>
    <w:rsid w:val="2876773A"/>
    <w:rsid w:val="289A7777"/>
    <w:rsid w:val="28B167FE"/>
    <w:rsid w:val="28BD6F54"/>
    <w:rsid w:val="28DF57AF"/>
    <w:rsid w:val="28EF0649"/>
    <w:rsid w:val="291235BE"/>
    <w:rsid w:val="291F0508"/>
    <w:rsid w:val="29480176"/>
    <w:rsid w:val="29602183"/>
    <w:rsid w:val="29960FC5"/>
    <w:rsid w:val="29A47436"/>
    <w:rsid w:val="2A14120E"/>
    <w:rsid w:val="2A2E3E15"/>
    <w:rsid w:val="2A2F5948"/>
    <w:rsid w:val="2A850EF0"/>
    <w:rsid w:val="2AA35184"/>
    <w:rsid w:val="2B9E7FC8"/>
    <w:rsid w:val="2BA00B21"/>
    <w:rsid w:val="2BBB3A07"/>
    <w:rsid w:val="2BBC32E1"/>
    <w:rsid w:val="2C3768EE"/>
    <w:rsid w:val="2C491F06"/>
    <w:rsid w:val="2C794298"/>
    <w:rsid w:val="2CD954D3"/>
    <w:rsid w:val="2D435597"/>
    <w:rsid w:val="2D651ABE"/>
    <w:rsid w:val="2D9214E0"/>
    <w:rsid w:val="2DAB2B85"/>
    <w:rsid w:val="2DBA67A6"/>
    <w:rsid w:val="2DD03564"/>
    <w:rsid w:val="2DD41AF8"/>
    <w:rsid w:val="2E2418FE"/>
    <w:rsid w:val="2E4200BD"/>
    <w:rsid w:val="2E7F7FCF"/>
    <w:rsid w:val="2EE02BE2"/>
    <w:rsid w:val="2F1720D2"/>
    <w:rsid w:val="2F697751"/>
    <w:rsid w:val="2F7306AC"/>
    <w:rsid w:val="2F8B3642"/>
    <w:rsid w:val="2FA76993"/>
    <w:rsid w:val="2FAF1F37"/>
    <w:rsid w:val="2FF8219F"/>
    <w:rsid w:val="2FFA3109"/>
    <w:rsid w:val="301B3A0F"/>
    <w:rsid w:val="302A68EC"/>
    <w:rsid w:val="308E5F44"/>
    <w:rsid w:val="30B0385E"/>
    <w:rsid w:val="31172473"/>
    <w:rsid w:val="311F021B"/>
    <w:rsid w:val="31412A24"/>
    <w:rsid w:val="31596978"/>
    <w:rsid w:val="316D1AE5"/>
    <w:rsid w:val="319E392E"/>
    <w:rsid w:val="31A462B5"/>
    <w:rsid w:val="31BD5071"/>
    <w:rsid w:val="32653F0C"/>
    <w:rsid w:val="32BF59DF"/>
    <w:rsid w:val="32DA47D2"/>
    <w:rsid w:val="32FF69F4"/>
    <w:rsid w:val="330C4EAE"/>
    <w:rsid w:val="33601B46"/>
    <w:rsid w:val="33714570"/>
    <w:rsid w:val="338342C7"/>
    <w:rsid w:val="34080D6F"/>
    <w:rsid w:val="34233967"/>
    <w:rsid w:val="347E6F9C"/>
    <w:rsid w:val="34917010"/>
    <w:rsid w:val="349C4BC4"/>
    <w:rsid w:val="34D616D8"/>
    <w:rsid w:val="34DD673D"/>
    <w:rsid w:val="34E06479"/>
    <w:rsid w:val="350651EE"/>
    <w:rsid w:val="35103416"/>
    <w:rsid w:val="351574A3"/>
    <w:rsid w:val="354B3F67"/>
    <w:rsid w:val="355D4D38"/>
    <w:rsid w:val="35636047"/>
    <w:rsid w:val="3592207D"/>
    <w:rsid w:val="360A2F78"/>
    <w:rsid w:val="36355906"/>
    <w:rsid w:val="36723C5D"/>
    <w:rsid w:val="368C008F"/>
    <w:rsid w:val="36A55DE0"/>
    <w:rsid w:val="36F64E2B"/>
    <w:rsid w:val="371B5060"/>
    <w:rsid w:val="374003BF"/>
    <w:rsid w:val="377F6C58"/>
    <w:rsid w:val="37834FBC"/>
    <w:rsid w:val="37DE0AE7"/>
    <w:rsid w:val="38194E53"/>
    <w:rsid w:val="3820629B"/>
    <w:rsid w:val="382A0FC4"/>
    <w:rsid w:val="382B498B"/>
    <w:rsid w:val="38AD4365"/>
    <w:rsid w:val="3907572F"/>
    <w:rsid w:val="397A0196"/>
    <w:rsid w:val="39CE3F5A"/>
    <w:rsid w:val="39DC305B"/>
    <w:rsid w:val="39FC40D1"/>
    <w:rsid w:val="3A45399A"/>
    <w:rsid w:val="3A991F2C"/>
    <w:rsid w:val="3ABE4A8F"/>
    <w:rsid w:val="3AC069B8"/>
    <w:rsid w:val="3B3B5506"/>
    <w:rsid w:val="3BBF4EFF"/>
    <w:rsid w:val="3C1B08A2"/>
    <w:rsid w:val="3C414629"/>
    <w:rsid w:val="3C681C18"/>
    <w:rsid w:val="3D1267C3"/>
    <w:rsid w:val="3D3F45DA"/>
    <w:rsid w:val="3D50788D"/>
    <w:rsid w:val="3DB559E9"/>
    <w:rsid w:val="3DCA6C39"/>
    <w:rsid w:val="3DE03BA2"/>
    <w:rsid w:val="3E06414B"/>
    <w:rsid w:val="3E502AD5"/>
    <w:rsid w:val="3E8B1FB2"/>
    <w:rsid w:val="3ECA434E"/>
    <w:rsid w:val="3ED46E35"/>
    <w:rsid w:val="3F3F49F4"/>
    <w:rsid w:val="3FAA7701"/>
    <w:rsid w:val="40B03CFF"/>
    <w:rsid w:val="40E37392"/>
    <w:rsid w:val="412B5AE1"/>
    <w:rsid w:val="419C3990"/>
    <w:rsid w:val="41B425DB"/>
    <w:rsid w:val="41CC12CD"/>
    <w:rsid w:val="41E9698F"/>
    <w:rsid w:val="41FD496E"/>
    <w:rsid w:val="41FD6B3B"/>
    <w:rsid w:val="41FF2D77"/>
    <w:rsid w:val="42211C4D"/>
    <w:rsid w:val="42465772"/>
    <w:rsid w:val="428B37A5"/>
    <w:rsid w:val="42AA1E8B"/>
    <w:rsid w:val="43037EF5"/>
    <w:rsid w:val="4331610D"/>
    <w:rsid w:val="43724DEA"/>
    <w:rsid w:val="43822EC7"/>
    <w:rsid w:val="43B6162D"/>
    <w:rsid w:val="43E63353"/>
    <w:rsid w:val="44513178"/>
    <w:rsid w:val="448371E1"/>
    <w:rsid w:val="449648D1"/>
    <w:rsid w:val="44DB1D66"/>
    <w:rsid w:val="44EC6FAA"/>
    <w:rsid w:val="450D4587"/>
    <w:rsid w:val="456B517C"/>
    <w:rsid w:val="45D10BB0"/>
    <w:rsid w:val="45D347BC"/>
    <w:rsid w:val="468A7ACF"/>
    <w:rsid w:val="469A65B3"/>
    <w:rsid w:val="469D4663"/>
    <w:rsid w:val="469E66AC"/>
    <w:rsid w:val="46D46743"/>
    <w:rsid w:val="47680E90"/>
    <w:rsid w:val="47E14B18"/>
    <w:rsid w:val="481A5446"/>
    <w:rsid w:val="484F30E6"/>
    <w:rsid w:val="489408B0"/>
    <w:rsid w:val="493019D7"/>
    <w:rsid w:val="493D00FA"/>
    <w:rsid w:val="49772965"/>
    <w:rsid w:val="49FC4875"/>
    <w:rsid w:val="4A6E5C87"/>
    <w:rsid w:val="4AA069D5"/>
    <w:rsid w:val="4AA20A4B"/>
    <w:rsid w:val="4ADC1AE3"/>
    <w:rsid w:val="4ADE16A9"/>
    <w:rsid w:val="4AF8025B"/>
    <w:rsid w:val="4B7B7DAF"/>
    <w:rsid w:val="4B9D29BD"/>
    <w:rsid w:val="4BD07EA3"/>
    <w:rsid w:val="4CAD7BFD"/>
    <w:rsid w:val="4CEE387C"/>
    <w:rsid w:val="4D1D2D31"/>
    <w:rsid w:val="4D2E2B7B"/>
    <w:rsid w:val="4D5D054B"/>
    <w:rsid w:val="4D746C37"/>
    <w:rsid w:val="4D811AE8"/>
    <w:rsid w:val="4D8504C0"/>
    <w:rsid w:val="4DA07EEF"/>
    <w:rsid w:val="4E0847DF"/>
    <w:rsid w:val="4E491EA4"/>
    <w:rsid w:val="4E5A3E96"/>
    <w:rsid w:val="4E716A1B"/>
    <w:rsid w:val="4E8A64EF"/>
    <w:rsid w:val="4E90480D"/>
    <w:rsid w:val="4ED44F9C"/>
    <w:rsid w:val="4F3A2A60"/>
    <w:rsid w:val="4F620B20"/>
    <w:rsid w:val="4F8F6445"/>
    <w:rsid w:val="50210D71"/>
    <w:rsid w:val="50676F1C"/>
    <w:rsid w:val="50A875E4"/>
    <w:rsid w:val="50D55950"/>
    <w:rsid w:val="50F26E4A"/>
    <w:rsid w:val="51731B5E"/>
    <w:rsid w:val="51D04CBB"/>
    <w:rsid w:val="52154D19"/>
    <w:rsid w:val="521A547C"/>
    <w:rsid w:val="522E140F"/>
    <w:rsid w:val="524C793A"/>
    <w:rsid w:val="528024FB"/>
    <w:rsid w:val="52C601B8"/>
    <w:rsid w:val="52D516EA"/>
    <w:rsid w:val="52D82E91"/>
    <w:rsid w:val="52FC08F2"/>
    <w:rsid w:val="53391695"/>
    <w:rsid w:val="53475734"/>
    <w:rsid w:val="53554C77"/>
    <w:rsid w:val="539107AA"/>
    <w:rsid w:val="53AE46A8"/>
    <w:rsid w:val="53F6196D"/>
    <w:rsid w:val="546E7189"/>
    <w:rsid w:val="54B54D6E"/>
    <w:rsid w:val="550F7D3E"/>
    <w:rsid w:val="55292492"/>
    <w:rsid w:val="5556655C"/>
    <w:rsid w:val="55A16646"/>
    <w:rsid w:val="55AC0926"/>
    <w:rsid w:val="55B633D5"/>
    <w:rsid w:val="56855C04"/>
    <w:rsid w:val="56943826"/>
    <w:rsid w:val="5698059B"/>
    <w:rsid w:val="575A7A25"/>
    <w:rsid w:val="577B0FE1"/>
    <w:rsid w:val="577B69BD"/>
    <w:rsid w:val="579951E3"/>
    <w:rsid w:val="57D13DA7"/>
    <w:rsid w:val="580132D4"/>
    <w:rsid w:val="580C6D7B"/>
    <w:rsid w:val="585C48B5"/>
    <w:rsid w:val="587742C9"/>
    <w:rsid w:val="594A300B"/>
    <w:rsid w:val="594F1868"/>
    <w:rsid w:val="594F1B2D"/>
    <w:rsid w:val="599C01FB"/>
    <w:rsid w:val="59C56616"/>
    <w:rsid w:val="59CA63B4"/>
    <w:rsid w:val="5A4A002B"/>
    <w:rsid w:val="5A973B2D"/>
    <w:rsid w:val="5AC16FAC"/>
    <w:rsid w:val="5AD30440"/>
    <w:rsid w:val="5AFB7C62"/>
    <w:rsid w:val="5AFD51A0"/>
    <w:rsid w:val="5B3122F6"/>
    <w:rsid w:val="5B57329D"/>
    <w:rsid w:val="5BE544C8"/>
    <w:rsid w:val="5C2F7698"/>
    <w:rsid w:val="5C491ADD"/>
    <w:rsid w:val="5CB564CD"/>
    <w:rsid w:val="5CF827DC"/>
    <w:rsid w:val="5D446A6E"/>
    <w:rsid w:val="5DB3182C"/>
    <w:rsid w:val="5DB52CAF"/>
    <w:rsid w:val="5DD20FA9"/>
    <w:rsid w:val="5DD24E5D"/>
    <w:rsid w:val="5DFB347F"/>
    <w:rsid w:val="5E232516"/>
    <w:rsid w:val="5E427AE5"/>
    <w:rsid w:val="5E5105E9"/>
    <w:rsid w:val="5E6455DA"/>
    <w:rsid w:val="5E834960"/>
    <w:rsid w:val="5EA40919"/>
    <w:rsid w:val="5EE749B5"/>
    <w:rsid w:val="5F775FC8"/>
    <w:rsid w:val="5F942FDA"/>
    <w:rsid w:val="5FA32F55"/>
    <w:rsid w:val="5FB33DCA"/>
    <w:rsid w:val="5FC15FDD"/>
    <w:rsid w:val="5FD1017A"/>
    <w:rsid w:val="60024902"/>
    <w:rsid w:val="602C37E0"/>
    <w:rsid w:val="60517F12"/>
    <w:rsid w:val="605C4699"/>
    <w:rsid w:val="60B50314"/>
    <w:rsid w:val="60EC7DBC"/>
    <w:rsid w:val="617373C8"/>
    <w:rsid w:val="6199344A"/>
    <w:rsid w:val="619F0DCC"/>
    <w:rsid w:val="61A10BB9"/>
    <w:rsid w:val="61DD0548"/>
    <w:rsid w:val="62C366A0"/>
    <w:rsid w:val="62D817AF"/>
    <w:rsid w:val="63291AF7"/>
    <w:rsid w:val="638E0D2E"/>
    <w:rsid w:val="63BD2235"/>
    <w:rsid w:val="63C76EA4"/>
    <w:rsid w:val="63C86B61"/>
    <w:rsid w:val="64136FFB"/>
    <w:rsid w:val="6418534C"/>
    <w:rsid w:val="643B19AE"/>
    <w:rsid w:val="64403E42"/>
    <w:rsid w:val="64405E1A"/>
    <w:rsid w:val="6466112E"/>
    <w:rsid w:val="64A07F8B"/>
    <w:rsid w:val="64A15C74"/>
    <w:rsid w:val="64A27C08"/>
    <w:rsid w:val="64CC201F"/>
    <w:rsid w:val="64DA7699"/>
    <w:rsid w:val="64DD55CE"/>
    <w:rsid w:val="64E046DE"/>
    <w:rsid w:val="65127F2D"/>
    <w:rsid w:val="659F3559"/>
    <w:rsid w:val="65FD1943"/>
    <w:rsid w:val="66435A22"/>
    <w:rsid w:val="66452B66"/>
    <w:rsid w:val="665A2CC2"/>
    <w:rsid w:val="667B7134"/>
    <w:rsid w:val="66AE5D2F"/>
    <w:rsid w:val="671874F1"/>
    <w:rsid w:val="67363BB0"/>
    <w:rsid w:val="673E5EF5"/>
    <w:rsid w:val="67B478B7"/>
    <w:rsid w:val="67B52E73"/>
    <w:rsid w:val="680B4A81"/>
    <w:rsid w:val="68764CAD"/>
    <w:rsid w:val="69296276"/>
    <w:rsid w:val="694E5D13"/>
    <w:rsid w:val="69B94131"/>
    <w:rsid w:val="69D01A82"/>
    <w:rsid w:val="6A6E1F8C"/>
    <w:rsid w:val="6A9A68A9"/>
    <w:rsid w:val="6B1102D6"/>
    <w:rsid w:val="6B5F13AB"/>
    <w:rsid w:val="6B64183C"/>
    <w:rsid w:val="6BAD2468"/>
    <w:rsid w:val="6C0646E9"/>
    <w:rsid w:val="6C4A5890"/>
    <w:rsid w:val="6C4E1F68"/>
    <w:rsid w:val="6CEC0CBD"/>
    <w:rsid w:val="6D1E00BF"/>
    <w:rsid w:val="6DBF3A91"/>
    <w:rsid w:val="6E245261"/>
    <w:rsid w:val="6E354D6A"/>
    <w:rsid w:val="6E5451BE"/>
    <w:rsid w:val="6ECD0EE2"/>
    <w:rsid w:val="6ECE37AB"/>
    <w:rsid w:val="6ED90045"/>
    <w:rsid w:val="6EFB7F68"/>
    <w:rsid w:val="6F346B32"/>
    <w:rsid w:val="6F8C03BF"/>
    <w:rsid w:val="6FAE1B92"/>
    <w:rsid w:val="6FB26B7C"/>
    <w:rsid w:val="6FC24A2C"/>
    <w:rsid w:val="6FED2124"/>
    <w:rsid w:val="6FFD6FCF"/>
    <w:rsid w:val="70137C0F"/>
    <w:rsid w:val="705B5FDB"/>
    <w:rsid w:val="70906E2E"/>
    <w:rsid w:val="70DA4A8B"/>
    <w:rsid w:val="712958B8"/>
    <w:rsid w:val="717B4FE0"/>
    <w:rsid w:val="71B077E3"/>
    <w:rsid w:val="71BD011D"/>
    <w:rsid w:val="71C65D1B"/>
    <w:rsid w:val="71CA611F"/>
    <w:rsid w:val="7200639E"/>
    <w:rsid w:val="723E7E31"/>
    <w:rsid w:val="7274142B"/>
    <w:rsid w:val="72863049"/>
    <w:rsid w:val="72874010"/>
    <w:rsid w:val="72B104CE"/>
    <w:rsid w:val="72CC0DA8"/>
    <w:rsid w:val="72D47780"/>
    <w:rsid w:val="733A10F5"/>
    <w:rsid w:val="733F4028"/>
    <w:rsid w:val="73507E23"/>
    <w:rsid w:val="737C578B"/>
    <w:rsid w:val="74466692"/>
    <w:rsid w:val="74A55D48"/>
    <w:rsid w:val="74C70755"/>
    <w:rsid w:val="74DF6386"/>
    <w:rsid w:val="75146BA9"/>
    <w:rsid w:val="751766E8"/>
    <w:rsid w:val="75792336"/>
    <w:rsid w:val="75895260"/>
    <w:rsid w:val="76275B71"/>
    <w:rsid w:val="76334EBF"/>
    <w:rsid w:val="763C5112"/>
    <w:rsid w:val="76433C09"/>
    <w:rsid w:val="768838EB"/>
    <w:rsid w:val="770E0780"/>
    <w:rsid w:val="77437C26"/>
    <w:rsid w:val="77457AF1"/>
    <w:rsid w:val="77741FFB"/>
    <w:rsid w:val="77A86F6D"/>
    <w:rsid w:val="77BD0544"/>
    <w:rsid w:val="77D311C4"/>
    <w:rsid w:val="77E25534"/>
    <w:rsid w:val="77FE4BF8"/>
    <w:rsid w:val="780D0478"/>
    <w:rsid w:val="788C41F3"/>
    <w:rsid w:val="78DB2711"/>
    <w:rsid w:val="7904476E"/>
    <w:rsid w:val="79136370"/>
    <w:rsid w:val="79422037"/>
    <w:rsid w:val="795551C5"/>
    <w:rsid w:val="796F62A7"/>
    <w:rsid w:val="79751067"/>
    <w:rsid w:val="79A74F60"/>
    <w:rsid w:val="79BB10CB"/>
    <w:rsid w:val="7A560C0A"/>
    <w:rsid w:val="7A9748A9"/>
    <w:rsid w:val="7AA93CE3"/>
    <w:rsid w:val="7AED122F"/>
    <w:rsid w:val="7AFC0D4D"/>
    <w:rsid w:val="7B3867F0"/>
    <w:rsid w:val="7B5873A5"/>
    <w:rsid w:val="7B6A5130"/>
    <w:rsid w:val="7B7A71C1"/>
    <w:rsid w:val="7B7C16FF"/>
    <w:rsid w:val="7BD0195D"/>
    <w:rsid w:val="7C0E5F66"/>
    <w:rsid w:val="7C380996"/>
    <w:rsid w:val="7C500572"/>
    <w:rsid w:val="7C9C6094"/>
    <w:rsid w:val="7CC17A3E"/>
    <w:rsid w:val="7D254F0A"/>
    <w:rsid w:val="7D422777"/>
    <w:rsid w:val="7D7062C0"/>
    <w:rsid w:val="7D782718"/>
    <w:rsid w:val="7D7E0718"/>
    <w:rsid w:val="7D9F3364"/>
    <w:rsid w:val="7DA1776C"/>
    <w:rsid w:val="7DB56B06"/>
    <w:rsid w:val="7DC71FDC"/>
    <w:rsid w:val="7DD34175"/>
    <w:rsid w:val="7E4F5AC0"/>
    <w:rsid w:val="7E555498"/>
    <w:rsid w:val="7E65175D"/>
    <w:rsid w:val="7E891395"/>
    <w:rsid w:val="7E933D3D"/>
    <w:rsid w:val="7EDA1DAE"/>
    <w:rsid w:val="7F62208D"/>
    <w:rsid w:val="7F6F2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4"/>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szCs w:val="22"/>
    </w:rPr>
  </w:style>
  <w:style w:type="paragraph" w:styleId="3">
    <w:name w:val="annotation text"/>
    <w:basedOn w:val="1"/>
    <w:link w:val="21"/>
    <w:qFormat/>
    <w:uiPriority w:val="99"/>
    <w:pPr>
      <w:jc w:val="left"/>
    </w:pPr>
    <w:rPr>
      <w:rFonts w:asciiTheme="minorHAnsi" w:hAnsiTheme="minorHAnsi" w:eastAsiaTheme="minorEastAsia"/>
      <w:sz w:val="24"/>
    </w:rPr>
  </w:style>
  <w:style w:type="paragraph" w:styleId="4">
    <w:name w:val="Body Text"/>
    <w:basedOn w:val="1"/>
    <w:link w:val="22"/>
    <w:qFormat/>
    <w:uiPriority w:val="99"/>
    <w:rPr>
      <w:rFonts w:asciiTheme="minorHAnsi" w:hAnsiTheme="minorHAnsi" w:eastAsiaTheme="minorEastAsia"/>
      <w:sz w:val="24"/>
    </w:rPr>
  </w:style>
  <w:style w:type="paragraph" w:styleId="5">
    <w:name w:val="Body Text Indent"/>
    <w:basedOn w:val="1"/>
    <w:semiHidden/>
    <w:unhideWhenUsed/>
    <w:qFormat/>
    <w:uiPriority w:val="99"/>
    <w:pPr>
      <w:spacing w:after="120"/>
      <w:ind w:left="420" w:leftChars="200"/>
    </w:pPr>
  </w:style>
  <w:style w:type="paragraph" w:styleId="6">
    <w:name w:val="Plain Text"/>
    <w:basedOn w:val="1"/>
    <w:qFormat/>
    <w:uiPriority w:val="0"/>
    <w:rPr>
      <w:rFonts w:ascii="宋体" w:hAnsi="Courier New" w:cs="Courier New"/>
      <w:szCs w:val="21"/>
    </w:rPr>
  </w:style>
  <w:style w:type="paragraph" w:styleId="7">
    <w:name w:val="Balloon Text"/>
    <w:basedOn w:val="1"/>
    <w:link w:val="23"/>
    <w:semiHidden/>
    <w:qFormat/>
    <w:uiPriority w:val="99"/>
    <w:rPr>
      <w:rFonts w:asciiTheme="minorHAnsi" w:hAnsiTheme="minorHAnsi" w:eastAsiaTheme="minorEastAsia" w:cstheme="minorBidi"/>
      <w:sz w:val="16"/>
      <w:szCs w:val="16"/>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semiHidden/>
    <w:qFormat/>
    <w:uiPriority w:val="99"/>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5"/>
    <w:unhideWhenUsed/>
    <w:qFormat/>
    <w:uiPriority w:val="99"/>
    <w:pPr>
      <w:ind w:firstLine="420" w:firstLineChars="200"/>
    </w:pPr>
    <w:rPr>
      <w:rFonts w:ascii="Times New Roman" w:hAnsi="Times New Roman"/>
    </w:rPr>
  </w:style>
  <w:style w:type="character" w:styleId="15">
    <w:name w:val="Strong"/>
    <w:basedOn w:val="14"/>
    <w:qFormat/>
    <w:uiPriority w:val="0"/>
    <w:rPr>
      <w:b/>
    </w:rPr>
  </w:style>
  <w:style w:type="character" w:styleId="16">
    <w:name w:val="page number"/>
    <w:basedOn w:val="14"/>
    <w:qFormat/>
    <w:uiPriority w:val="99"/>
    <w:rPr>
      <w:rFonts w:cs="Times New Roman"/>
    </w:rPr>
  </w:style>
  <w:style w:type="character" w:styleId="17">
    <w:name w:val="Emphasis"/>
    <w:basedOn w:val="14"/>
    <w:qFormat/>
    <w:uiPriority w:val="0"/>
    <w:rPr>
      <w:i/>
      <w:iCs/>
    </w:rPr>
  </w:style>
  <w:style w:type="character" w:styleId="18">
    <w:name w:val="annotation reference"/>
    <w:basedOn w:val="14"/>
    <w:qFormat/>
    <w:uiPriority w:val="99"/>
    <w:rPr>
      <w:rFonts w:cs="Times New Roman"/>
      <w:sz w:val="21"/>
      <w:szCs w:val="21"/>
    </w:rPr>
  </w:style>
  <w:style w:type="character" w:customStyle="1" w:styleId="19">
    <w:name w:val="页眉 Char"/>
    <w:basedOn w:val="14"/>
    <w:link w:val="9"/>
    <w:qFormat/>
    <w:uiPriority w:val="99"/>
    <w:rPr>
      <w:sz w:val="18"/>
      <w:szCs w:val="18"/>
    </w:rPr>
  </w:style>
  <w:style w:type="character" w:customStyle="1" w:styleId="20">
    <w:name w:val="页脚 Char"/>
    <w:basedOn w:val="14"/>
    <w:link w:val="8"/>
    <w:qFormat/>
    <w:uiPriority w:val="99"/>
    <w:rPr>
      <w:sz w:val="18"/>
      <w:szCs w:val="18"/>
    </w:rPr>
  </w:style>
  <w:style w:type="character" w:customStyle="1" w:styleId="21">
    <w:name w:val="批注文字 Char"/>
    <w:basedOn w:val="14"/>
    <w:link w:val="3"/>
    <w:qFormat/>
    <w:locked/>
    <w:uiPriority w:val="99"/>
    <w:rPr>
      <w:rFonts w:cs="Times New Roman"/>
      <w:sz w:val="24"/>
      <w:szCs w:val="24"/>
    </w:rPr>
  </w:style>
  <w:style w:type="character" w:customStyle="1" w:styleId="22">
    <w:name w:val="正文文本 Char"/>
    <w:basedOn w:val="14"/>
    <w:link w:val="4"/>
    <w:qFormat/>
    <w:locked/>
    <w:uiPriority w:val="99"/>
    <w:rPr>
      <w:rFonts w:cs="Times New Roman"/>
      <w:sz w:val="24"/>
      <w:szCs w:val="24"/>
    </w:rPr>
  </w:style>
  <w:style w:type="character" w:customStyle="1" w:styleId="23">
    <w:name w:val="批注框文本 Char"/>
    <w:basedOn w:val="14"/>
    <w:link w:val="7"/>
    <w:semiHidden/>
    <w:qFormat/>
    <w:uiPriority w:val="99"/>
    <w:rPr>
      <w:sz w:val="16"/>
      <w:szCs w:val="16"/>
    </w:rPr>
  </w:style>
  <w:style w:type="character" w:customStyle="1" w:styleId="24">
    <w:name w:val="正文文本 Char1"/>
    <w:basedOn w:val="14"/>
    <w:semiHidden/>
    <w:qFormat/>
    <w:uiPriority w:val="99"/>
    <w:rPr>
      <w:rFonts w:ascii="Times New Roman" w:hAnsi="Times New Roman" w:eastAsia="宋体" w:cs="Times New Roman"/>
      <w:szCs w:val="24"/>
    </w:rPr>
  </w:style>
  <w:style w:type="character" w:customStyle="1" w:styleId="25">
    <w:name w:val="批注文字 Char1"/>
    <w:basedOn w:val="14"/>
    <w:semiHidden/>
    <w:qFormat/>
    <w:uiPriority w:val="99"/>
    <w:rPr>
      <w:rFonts w:ascii="Times New Roman" w:hAnsi="Times New Roman" w:eastAsia="宋体" w:cs="Times New Roman"/>
      <w:szCs w:val="24"/>
    </w:rPr>
  </w:style>
  <w:style w:type="character" w:customStyle="1" w:styleId="26">
    <w:name w:val="批注框文本 Char1"/>
    <w:basedOn w:val="14"/>
    <w:semiHidden/>
    <w:qFormat/>
    <w:uiPriority w:val="99"/>
    <w:rPr>
      <w:rFonts w:ascii="Times New Roman" w:hAnsi="Times New Roman" w:eastAsia="宋体" w:cs="Times New Roman"/>
      <w:sz w:val="18"/>
      <w:szCs w:val="18"/>
    </w:rPr>
  </w:style>
  <w:style w:type="paragraph" w:styleId="27">
    <w:name w:val="List Paragraph"/>
    <w:basedOn w:val="1"/>
    <w:qFormat/>
    <w:uiPriority w:val="99"/>
    <w:pPr>
      <w:ind w:firstLine="420" w:firstLineChars="200"/>
    </w:pPr>
  </w:style>
  <w:style w:type="paragraph" w:customStyle="1" w:styleId="28">
    <w:name w:val="列出段落1"/>
    <w:basedOn w:val="1"/>
    <w:qFormat/>
    <w:uiPriority w:val="99"/>
    <w:pPr>
      <w:ind w:firstLine="420" w:firstLineChars="200"/>
    </w:pPr>
  </w:style>
  <w:style w:type="character" w:customStyle="1" w:styleId="29">
    <w:name w:val="font51"/>
    <w:qFormat/>
    <w:uiPriority w:val="99"/>
    <w:rPr>
      <w:rFonts w:ascii="宋体" w:hAnsi="宋体" w:eastAsia="宋体"/>
      <w:color w:val="000000"/>
      <w:sz w:val="20"/>
      <w:u w:val="none"/>
    </w:rPr>
  </w:style>
  <w:style w:type="character" w:customStyle="1" w:styleId="30">
    <w:name w:val="font101"/>
    <w:qFormat/>
    <w:uiPriority w:val="99"/>
    <w:rPr>
      <w:rFonts w:ascii="仿宋_GB2312" w:eastAsia="仿宋_GB2312"/>
      <w:color w:val="000000"/>
      <w:sz w:val="20"/>
      <w:u w:val="none"/>
    </w:rPr>
  </w:style>
  <w:style w:type="character" w:customStyle="1" w:styleId="31">
    <w:name w:val="font31"/>
    <w:qFormat/>
    <w:uiPriority w:val="99"/>
    <w:rPr>
      <w:rFonts w:ascii="Times New Roman" w:hAnsi="Times New Roman"/>
      <w:color w:val="000000"/>
      <w:sz w:val="20"/>
      <w:u w:val="none"/>
    </w:rPr>
  </w:style>
  <w:style w:type="character" w:customStyle="1" w:styleId="32">
    <w:name w:val="font01"/>
    <w:qFormat/>
    <w:uiPriority w:val="99"/>
    <w:rPr>
      <w:rFonts w:ascii="Times New Roman" w:hAnsi="Times New Roman"/>
      <w:color w:val="000000"/>
      <w:sz w:val="20"/>
      <w:u w:val="none"/>
    </w:rPr>
  </w:style>
  <w:style w:type="paragraph" w:customStyle="1" w:styleId="33">
    <w:name w:val="PlainText"/>
    <w:basedOn w:val="1"/>
    <w:qFormat/>
    <w:uiPriority w:val="0"/>
    <w:pPr>
      <w:spacing w:line="240" w:lineRule="auto"/>
      <w:jc w:val="both"/>
      <w:textAlignment w:val="baseline"/>
    </w:pPr>
    <w:rPr>
      <w:rFonts w:ascii="宋体" w:hAnsi="Courier New"/>
      <w:kern w:val="2"/>
      <w:sz w:val="21"/>
      <w:szCs w:val="21"/>
      <w:lang w:val="en-US" w:eastAsia="zh-CN" w:bidi="ar-SA"/>
    </w:rPr>
  </w:style>
  <w:style w:type="character" w:customStyle="1" w:styleId="34">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35">
    <w:name w:val="15"/>
    <w:basedOn w:val="14"/>
    <w:qFormat/>
    <w:uiPriority w:val="0"/>
    <w:rPr>
      <w:rFonts w:hint="default"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11246-EB58-4AC5-A2B6-960889E0ADF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8025</Words>
  <Characters>8583</Characters>
  <Lines>78</Lines>
  <Paragraphs>22</Paragraphs>
  <TotalTime>18</TotalTime>
  <ScaleCrop>false</ScaleCrop>
  <LinksUpToDate>false</LinksUpToDate>
  <CharactersWithSpaces>9655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2020-10-10T00:47:00Z</dcterms:created>
  <dc:creator>Lenovo</dc:creator>
  <cp:lastModifiedBy>A。鷰子（湖南绿通蔬菜配送）</cp:lastModifiedBy>
  <dcterms:modified xsi:type="dcterms:W3CDTF">2023-09-04T07:51:44Z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E38FA6CEAA484BC4AB76BA0FB7BD6AE1_13</vt:lpwstr>
  </property>
</Properties>
</file>