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21</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单位名称（盖章）</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hAnsi="黑体" w:eastAsia="黑体"/>
          <w:sz w:val="32"/>
          <w:szCs w:val="32"/>
        </w:rPr>
      </w:pPr>
      <w:r>
        <w:rPr>
          <w:rFonts w:hint="eastAsia" w:ascii="仿宋_GB2312" w:eastAsia="仿宋_GB2312"/>
          <w:sz w:val="32"/>
          <w:szCs w:val="32"/>
        </w:rPr>
        <w:t>（此页为封面）</w:t>
      </w:r>
    </w:p>
    <w:p>
      <w:pPr>
        <w:pStyle w:val="8"/>
        <w:widowControl/>
        <w:spacing w:line="600" w:lineRule="exact"/>
        <w:ind w:firstLine="620"/>
        <w:rPr>
          <w:rFonts w:ascii="黑体" w:hAnsi="黑体" w:eastAsia="黑体"/>
          <w:sz w:val="32"/>
          <w:szCs w:val="32"/>
        </w:rPr>
      </w:pPr>
    </w:p>
    <w:p>
      <w:pPr>
        <w:pStyle w:val="8"/>
        <w:widowControl/>
        <w:spacing w:line="600" w:lineRule="exact"/>
        <w:ind w:firstLine="620"/>
        <w:rPr>
          <w:rFonts w:ascii="黑体" w:hAnsi="黑体" w:eastAsia="黑体"/>
          <w:sz w:val="32"/>
          <w:szCs w:val="32"/>
        </w:rPr>
      </w:pPr>
    </w:p>
    <w:p>
      <w:pPr>
        <w:pStyle w:val="8"/>
        <w:widowControl/>
        <w:spacing w:line="600" w:lineRule="exact"/>
        <w:ind w:firstLine="620"/>
        <w:rPr>
          <w:rFonts w:ascii="黑体" w:hAnsi="黑体" w:eastAsia="黑体"/>
          <w:sz w:val="32"/>
          <w:szCs w:val="32"/>
        </w:rPr>
      </w:pPr>
    </w:p>
    <w:p>
      <w:pPr>
        <w:pStyle w:val="8"/>
        <w:widowControl/>
        <w:numPr>
          <w:numId w:val="0"/>
        </w:numPr>
        <w:spacing w:line="600" w:lineRule="exact"/>
        <w:rPr>
          <w:rFonts w:hint="eastAsia" w:ascii="黑体" w:hAnsi="黑体" w:eastAsia="黑体"/>
          <w:sz w:val="32"/>
          <w:szCs w:val="32"/>
          <w:lang w:val="en-US" w:eastAsia="zh-CN"/>
        </w:rPr>
      </w:pPr>
    </w:p>
    <w:p>
      <w:pPr>
        <w:pStyle w:val="8"/>
        <w:widowControl/>
        <w:numPr>
          <w:numId w:val="0"/>
        </w:numPr>
        <w:spacing w:line="600" w:lineRule="exact"/>
        <w:ind w:firstLine="311" w:firstLineChars="100"/>
        <w:rPr>
          <w:rFonts w:hint="eastAsia"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部门、单位基本情况</w:t>
      </w:r>
    </w:p>
    <w:p>
      <w:pPr>
        <w:pStyle w:val="8"/>
        <w:widowControl/>
        <w:numPr>
          <w:ilvl w:val="0"/>
          <w:numId w:val="0"/>
        </w:numPr>
        <w:spacing w:line="600" w:lineRule="exact"/>
        <w:ind w:firstLine="622"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2021</w:t>
      </w:r>
      <w:r>
        <w:rPr>
          <w:rFonts w:hint="eastAsia" w:ascii="Times New Roman" w:hAnsi="Times New Roman" w:eastAsia="仿宋_GB2312" w:cs="Times New Roman"/>
          <w:kern w:val="2"/>
          <w:sz w:val="32"/>
          <w:szCs w:val="32"/>
          <w:lang w:val="en-US" w:eastAsia="zh-CN" w:bidi="ar-SA"/>
        </w:rPr>
        <w:t>年部门绩效自评长江镇政府是正科级全额拨款单位，下设财政所、社会事业综合服务中心、农业综合服务中心等部门，至20</w:t>
      </w:r>
      <w:r>
        <w:rPr>
          <w:rFonts w:hint="eastAsia" w:eastAsia="仿宋_GB2312" w:cs="Times New Roman"/>
          <w:kern w:val="2"/>
          <w:sz w:val="32"/>
          <w:szCs w:val="32"/>
          <w:lang w:val="en-US" w:eastAsia="zh-CN" w:bidi="ar-SA"/>
        </w:rPr>
        <w:t>21</w:t>
      </w:r>
      <w:r>
        <w:rPr>
          <w:rFonts w:hint="eastAsia" w:ascii="Times New Roman" w:hAnsi="Times New Roman" w:eastAsia="仿宋_GB2312" w:cs="Times New Roman"/>
          <w:kern w:val="2"/>
          <w:sz w:val="32"/>
          <w:szCs w:val="32"/>
          <w:lang w:val="en-US" w:eastAsia="zh-CN" w:bidi="ar-SA"/>
        </w:rPr>
        <w:t>年12月份，共有编制65个（行政编</w:t>
      </w:r>
      <w:r>
        <w:rPr>
          <w:rFonts w:hint="default" w:ascii="Times New Roman" w:hAnsi="Times New Roman" w:eastAsia="仿宋_GB2312" w:cs="Times New Roman"/>
          <w:kern w:val="2"/>
          <w:sz w:val="32"/>
          <w:szCs w:val="32"/>
          <w:lang w:val="en-US" w:eastAsia="zh-CN" w:bidi="ar-SA"/>
        </w:rPr>
        <w:t>25</w:t>
      </w:r>
      <w:r>
        <w:rPr>
          <w:rFonts w:hint="eastAsia" w:ascii="Times New Roman" w:hAnsi="Times New Roman" w:eastAsia="仿宋_GB2312" w:cs="Times New Roman"/>
          <w:kern w:val="2"/>
          <w:sz w:val="32"/>
          <w:szCs w:val="32"/>
          <w:lang w:val="en-US" w:eastAsia="zh-CN" w:bidi="ar-SA"/>
        </w:rPr>
        <w:t>个，事业编</w:t>
      </w:r>
      <w:r>
        <w:rPr>
          <w:rFonts w:hint="default" w:ascii="Times New Roman" w:hAnsi="Times New Roman" w:eastAsia="仿宋_GB2312" w:cs="Times New Roman"/>
          <w:kern w:val="2"/>
          <w:sz w:val="32"/>
          <w:szCs w:val="32"/>
          <w:lang w:val="en-US" w:eastAsia="zh-CN" w:bidi="ar-SA"/>
        </w:rPr>
        <w:t>40</w:t>
      </w:r>
      <w:r>
        <w:rPr>
          <w:rFonts w:hint="eastAsia" w:ascii="Times New Roman" w:hAnsi="Times New Roman" w:eastAsia="仿宋_GB2312" w:cs="Times New Roman"/>
          <w:kern w:val="2"/>
          <w:sz w:val="32"/>
          <w:szCs w:val="32"/>
          <w:lang w:val="en-US" w:eastAsia="zh-CN" w:bidi="ar-SA"/>
        </w:rPr>
        <w:t>个），实有人数</w:t>
      </w:r>
      <w:r>
        <w:rPr>
          <w:rFonts w:hint="eastAsia" w:eastAsia="仿宋_GB2312" w:cs="Times New Roman"/>
          <w:kern w:val="2"/>
          <w:sz w:val="32"/>
          <w:szCs w:val="32"/>
          <w:lang w:val="en-US" w:eastAsia="zh-CN" w:bidi="ar-SA"/>
        </w:rPr>
        <w:t>51</w:t>
      </w:r>
      <w:r>
        <w:rPr>
          <w:rFonts w:hint="eastAsia" w:ascii="Times New Roman" w:hAnsi="Times New Roman" w:eastAsia="仿宋_GB2312" w:cs="Times New Roman"/>
          <w:kern w:val="2"/>
          <w:sz w:val="32"/>
          <w:szCs w:val="32"/>
          <w:lang w:val="en-US" w:eastAsia="zh-CN" w:bidi="ar-SA"/>
        </w:rPr>
        <w:t>人，其中财政供养在职</w:t>
      </w:r>
      <w:r>
        <w:rPr>
          <w:rFonts w:hint="eastAsia" w:eastAsia="仿宋_GB2312" w:cs="Times New Roman"/>
          <w:kern w:val="2"/>
          <w:sz w:val="32"/>
          <w:szCs w:val="32"/>
          <w:lang w:val="en-US" w:eastAsia="zh-CN" w:bidi="ar-SA"/>
        </w:rPr>
        <w:t>51</w:t>
      </w:r>
      <w:r>
        <w:rPr>
          <w:rFonts w:hint="eastAsia" w:ascii="Times New Roman" w:hAnsi="Times New Roman" w:eastAsia="仿宋_GB2312" w:cs="Times New Roman"/>
          <w:kern w:val="2"/>
          <w:sz w:val="32"/>
          <w:szCs w:val="32"/>
          <w:lang w:val="en-US" w:eastAsia="zh-CN" w:bidi="ar-SA"/>
        </w:rPr>
        <w:t>人、离退休</w:t>
      </w:r>
      <w:r>
        <w:rPr>
          <w:rFonts w:hint="default" w:ascii="Times New Roman" w:hAnsi="Times New Roman" w:eastAsia="仿宋_GB2312" w:cs="Times New Roman"/>
          <w:kern w:val="2"/>
          <w:sz w:val="32"/>
          <w:szCs w:val="32"/>
          <w:lang w:val="en-US" w:eastAsia="zh-CN" w:bidi="ar-SA"/>
        </w:rPr>
        <w:t>1</w:t>
      </w: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人；公务用车无定编车辆台，现无车辆。</w:t>
      </w:r>
    </w:p>
    <w:p>
      <w:pPr>
        <w:pStyle w:val="8"/>
        <w:widowControl/>
        <w:numPr>
          <w:numId w:val="0"/>
        </w:numPr>
        <w:spacing w:line="600" w:lineRule="exact"/>
        <w:ind w:leftChars="200"/>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基本支出情况</w:t>
      </w:r>
    </w:p>
    <w:p>
      <w:pPr>
        <w:pStyle w:val="8"/>
        <w:widowControl/>
        <w:numPr>
          <w:ilvl w:val="0"/>
          <w:numId w:val="0"/>
        </w:numPr>
        <w:spacing w:line="600" w:lineRule="exact"/>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我单位20</w:t>
      </w:r>
      <w:r>
        <w:rPr>
          <w:rFonts w:hint="eastAsia" w:eastAsia="仿宋_GB2312" w:cs="Times New Roman"/>
          <w:kern w:val="2"/>
          <w:sz w:val="32"/>
          <w:szCs w:val="32"/>
          <w:lang w:val="en-US" w:eastAsia="zh-CN" w:bidi="ar-SA"/>
        </w:rPr>
        <w:t>21</w:t>
      </w:r>
      <w:r>
        <w:rPr>
          <w:rFonts w:hint="eastAsia" w:ascii="Times New Roman" w:hAnsi="Times New Roman" w:eastAsia="仿宋_GB2312" w:cs="Times New Roman"/>
          <w:kern w:val="2"/>
          <w:sz w:val="32"/>
          <w:szCs w:val="32"/>
          <w:lang w:val="en-US" w:eastAsia="zh-CN" w:bidi="ar-SA"/>
        </w:rPr>
        <w:t>年总支出2059.45万元，其中基本支出569.11万元，项目支出1490.34万元。</w:t>
      </w:r>
      <w:r>
        <w:rPr>
          <w:rFonts w:hint="eastAsia" w:ascii="Times New Roman" w:hAnsi="Times New Roman" w:eastAsia="仿宋_GB2312" w:cs="Times New Roman"/>
          <w:kern w:val="2"/>
          <w:sz w:val="32"/>
          <w:szCs w:val="32"/>
          <w:lang w:val="en-US" w:eastAsia="zh-CN" w:bidi="ar-SA"/>
        </w:rPr>
        <w:t>基本支出占总支出的27.63</w:t>
      </w:r>
      <w:r>
        <w:rPr>
          <w:rFonts w:hint="eastAsia" w:ascii="Times New Roman" w:hAnsi="Times New Roman" w:eastAsia="仿宋_GB2312" w:cs="Times New Roman"/>
          <w:kern w:val="2"/>
          <w:sz w:val="32"/>
          <w:szCs w:val="32"/>
          <w:lang w:val="en-US" w:eastAsia="zh-CN" w:bidi="ar-SA"/>
        </w:rPr>
        <w:t>%。</w:t>
      </w:r>
    </w:p>
    <w:p>
      <w:pPr>
        <w:pStyle w:val="8"/>
        <w:widowControl/>
        <w:numPr>
          <w:ilvl w:val="0"/>
          <w:numId w:val="0"/>
        </w:numPr>
        <w:spacing w:line="600" w:lineRule="exact"/>
        <w:ind w:firstLine="622" w:firstLineChars="200"/>
        <w:rPr>
          <w:rFonts w:hint="eastAsia"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lang w:val="en-US" w:eastAsia="zh-CN" w:bidi="ar-SA"/>
        </w:rPr>
        <w:t>2021</w:t>
      </w:r>
      <w:r>
        <w:rPr>
          <w:rFonts w:hint="eastAsia" w:ascii="Times New Roman" w:hAnsi="Times New Roman" w:eastAsia="仿宋_GB2312" w:cs="Times New Roman"/>
          <w:kern w:val="2"/>
          <w:sz w:val="32"/>
          <w:szCs w:val="32"/>
          <w:lang w:val="en-US" w:eastAsia="zh-CN" w:bidi="ar-SA"/>
        </w:rPr>
        <w:t>年部门决算支出总计</w:t>
      </w:r>
      <w:r>
        <w:rPr>
          <w:rFonts w:hint="eastAsia" w:eastAsia="仿宋_GB2312" w:cs="Times New Roman"/>
          <w:kern w:val="2"/>
          <w:sz w:val="32"/>
          <w:szCs w:val="32"/>
          <w:lang w:val="en-US" w:eastAsia="zh-CN" w:bidi="ar-SA"/>
        </w:rPr>
        <w:t>2059.45</w:t>
      </w:r>
      <w:r>
        <w:rPr>
          <w:rFonts w:hint="eastAsia" w:ascii="Times New Roman" w:hAnsi="Times New Roman" w:eastAsia="仿宋_GB2312" w:cs="Times New Roman"/>
          <w:kern w:val="2"/>
          <w:sz w:val="32"/>
          <w:szCs w:val="32"/>
          <w:lang w:val="en-US" w:eastAsia="zh-CN" w:bidi="ar-SA"/>
        </w:rPr>
        <w:t>万元，其中</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工资福利支出</w:t>
      </w:r>
      <w:r>
        <w:rPr>
          <w:rFonts w:hint="eastAsia" w:eastAsia="仿宋_GB2312" w:cs="Times New Roman"/>
          <w:kern w:val="2"/>
          <w:sz w:val="32"/>
          <w:szCs w:val="32"/>
          <w:lang w:val="en-US" w:eastAsia="zh-CN" w:bidi="ar-SA"/>
        </w:rPr>
        <w:t>715.67</w:t>
      </w:r>
      <w:r>
        <w:rPr>
          <w:rFonts w:hint="eastAsia" w:ascii="Times New Roman" w:hAnsi="Times New Roman" w:eastAsia="仿宋_GB2312" w:cs="Times New Roman"/>
          <w:kern w:val="2"/>
          <w:sz w:val="32"/>
          <w:szCs w:val="32"/>
          <w:lang w:val="en-US" w:eastAsia="zh-CN" w:bidi="ar-SA"/>
        </w:rPr>
        <w:t>万元；商品服务支出</w:t>
      </w:r>
      <w:r>
        <w:rPr>
          <w:rFonts w:hint="eastAsia" w:eastAsia="仿宋_GB2312" w:cs="Times New Roman"/>
          <w:kern w:val="2"/>
          <w:sz w:val="32"/>
          <w:szCs w:val="32"/>
          <w:lang w:val="en-US" w:eastAsia="zh-CN" w:bidi="ar-SA"/>
        </w:rPr>
        <w:t>287.37</w:t>
      </w:r>
      <w:r>
        <w:rPr>
          <w:rFonts w:hint="eastAsia" w:ascii="Times New Roman" w:hAnsi="Times New Roman" w:eastAsia="仿宋_GB2312" w:cs="Times New Roman"/>
          <w:kern w:val="2"/>
          <w:sz w:val="32"/>
          <w:szCs w:val="32"/>
          <w:lang w:val="en-US" w:eastAsia="zh-CN" w:bidi="ar-SA"/>
        </w:rPr>
        <w:t>万元；对个人和家庭补助支出</w:t>
      </w:r>
      <w:r>
        <w:rPr>
          <w:rFonts w:hint="eastAsia" w:eastAsia="仿宋_GB2312" w:cs="Times New Roman"/>
          <w:kern w:val="2"/>
          <w:sz w:val="32"/>
          <w:szCs w:val="32"/>
          <w:lang w:val="en-US" w:eastAsia="zh-CN" w:bidi="ar-SA"/>
        </w:rPr>
        <w:t>2</w:t>
      </w:r>
      <w:r>
        <w:rPr>
          <w:rFonts w:hint="eastAsia" w:eastAsia="仿宋_GB2312" w:cs="Times New Roman"/>
          <w:kern w:val="2"/>
          <w:sz w:val="32"/>
          <w:szCs w:val="32"/>
          <w:highlight w:val="none"/>
          <w:lang w:val="en-US" w:eastAsia="zh-CN" w:bidi="ar-SA"/>
        </w:rPr>
        <w:t>32.51</w:t>
      </w:r>
      <w:r>
        <w:rPr>
          <w:rFonts w:hint="eastAsia" w:ascii="Times New Roman" w:hAnsi="Times New Roman" w:eastAsia="仿宋_GB2312" w:cs="Times New Roman"/>
          <w:kern w:val="2"/>
          <w:sz w:val="32"/>
          <w:szCs w:val="32"/>
          <w:highlight w:val="none"/>
          <w:lang w:val="en-US" w:eastAsia="zh-CN" w:bidi="ar-SA"/>
        </w:rPr>
        <w:t>万元；资本性支出</w:t>
      </w:r>
      <w:r>
        <w:rPr>
          <w:rFonts w:hint="eastAsia" w:eastAsia="仿宋_GB2312" w:cs="Times New Roman"/>
          <w:kern w:val="2"/>
          <w:sz w:val="32"/>
          <w:szCs w:val="32"/>
          <w:highlight w:val="none"/>
          <w:lang w:val="en-US" w:eastAsia="zh-CN" w:bidi="ar-SA"/>
        </w:rPr>
        <w:t>823.90</w:t>
      </w:r>
      <w:r>
        <w:rPr>
          <w:rFonts w:hint="eastAsia" w:ascii="Times New Roman" w:hAnsi="Times New Roman" w:eastAsia="仿宋_GB2312" w:cs="Times New Roman"/>
          <w:kern w:val="2"/>
          <w:sz w:val="32"/>
          <w:szCs w:val="32"/>
          <w:highlight w:val="none"/>
          <w:lang w:val="en-US" w:eastAsia="zh-CN" w:bidi="ar-SA"/>
        </w:rPr>
        <w:t>万元。</w:t>
      </w:r>
    </w:p>
    <w:p>
      <w:pPr>
        <w:pStyle w:val="8"/>
        <w:widowControl/>
        <w:spacing w:line="600" w:lineRule="exact"/>
        <w:ind w:firstLine="620"/>
        <w:rPr>
          <w:rFonts w:ascii="黑体" w:hAnsi="黑体" w:eastAsia="黑体"/>
          <w:sz w:val="32"/>
          <w:szCs w:val="32"/>
          <w:highlight w:val="none"/>
        </w:rPr>
      </w:pPr>
      <w:r>
        <w:rPr>
          <w:rFonts w:hint="eastAsia" w:ascii="黑体" w:hAnsi="黑体" w:eastAsia="黑体"/>
          <w:sz w:val="32"/>
          <w:szCs w:val="32"/>
          <w:highlight w:val="none"/>
        </w:rPr>
        <w:t>三、项目支出情况</w:t>
      </w:r>
    </w:p>
    <w:p>
      <w:pPr>
        <w:widowControl/>
        <w:spacing w:line="600" w:lineRule="exact"/>
        <w:ind w:firstLine="622" w:firstLineChars="200"/>
        <w:jc w:val="left"/>
        <w:rPr>
          <w:rFonts w:hint="eastAsia"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2021</w:t>
      </w:r>
      <w:r>
        <w:rPr>
          <w:rFonts w:hint="eastAsia" w:ascii="Times New Roman" w:hAnsi="Times New Roman" w:eastAsia="仿宋_GB2312" w:cs="Times New Roman"/>
          <w:kern w:val="2"/>
          <w:sz w:val="32"/>
          <w:szCs w:val="32"/>
          <w:highlight w:val="none"/>
          <w:lang w:val="en-US" w:eastAsia="zh-CN" w:bidi="ar-SA"/>
        </w:rPr>
        <w:t>年工作经费专项资金年初预算</w:t>
      </w:r>
      <w:r>
        <w:rPr>
          <w:rFonts w:hint="eastAsia" w:eastAsia="仿宋_GB2312" w:cs="Times New Roman"/>
          <w:kern w:val="2"/>
          <w:sz w:val="32"/>
          <w:szCs w:val="32"/>
          <w:highlight w:val="none"/>
          <w:lang w:val="en-US" w:eastAsia="zh-CN" w:bidi="ar-SA"/>
        </w:rPr>
        <w:t>368.28</w:t>
      </w:r>
      <w:r>
        <w:rPr>
          <w:rFonts w:hint="eastAsia" w:ascii="Times New Roman" w:hAnsi="Times New Roman" w:eastAsia="仿宋_GB2312" w:cs="Times New Roman"/>
          <w:kern w:val="2"/>
          <w:sz w:val="32"/>
          <w:szCs w:val="32"/>
          <w:highlight w:val="none"/>
          <w:lang w:val="en-US" w:eastAsia="zh-CN" w:bidi="ar-SA"/>
        </w:rPr>
        <w:t>万元，上年结转专项资金0万元，本年</w:t>
      </w:r>
      <w:r>
        <w:rPr>
          <w:rFonts w:hint="eastAsia" w:eastAsia="仿宋_GB2312" w:cs="Times New Roman"/>
          <w:kern w:val="2"/>
          <w:sz w:val="32"/>
          <w:szCs w:val="32"/>
          <w:highlight w:val="none"/>
          <w:lang w:val="en-US" w:eastAsia="zh-CN" w:bidi="ar-SA"/>
        </w:rPr>
        <w:t>预算</w:t>
      </w:r>
      <w:r>
        <w:rPr>
          <w:rFonts w:hint="eastAsia" w:ascii="Times New Roman" w:hAnsi="Times New Roman" w:eastAsia="仿宋_GB2312" w:cs="Times New Roman"/>
          <w:kern w:val="2"/>
          <w:sz w:val="32"/>
          <w:szCs w:val="32"/>
          <w:highlight w:val="none"/>
          <w:lang w:val="en-US" w:eastAsia="zh-CN" w:bidi="ar-SA"/>
        </w:rPr>
        <w:t>项目支出</w:t>
      </w:r>
      <w:r>
        <w:rPr>
          <w:rFonts w:hint="eastAsia" w:eastAsia="仿宋_GB2312" w:cs="Times New Roman"/>
          <w:kern w:val="2"/>
          <w:sz w:val="32"/>
          <w:szCs w:val="32"/>
          <w:highlight w:val="none"/>
          <w:lang w:val="en-US" w:eastAsia="zh-CN" w:bidi="ar-SA"/>
        </w:rPr>
        <w:t>368.28</w:t>
      </w:r>
      <w:r>
        <w:rPr>
          <w:rFonts w:hint="eastAsia" w:ascii="Times New Roman" w:hAnsi="Times New Roman" w:eastAsia="仿宋_GB2312" w:cs="Times New Roman"/>
          <w:kern w:val="2"/>
          <w:sz w:val="32"/>
          <w:szCs w:val="32"/>
          <w:highlight w:val="none"/>
          <w:lang w:val="en-US" w:eastAsia="zh-CN" w:bidi="ar-SA"/>
        </w:rPr>
        <w:t>万元，无结余。项目资金执行完成率100%。</w:t>
      </w:r>
    </w:p>
    <w:p>
      <w:pPr>
        <w:widowControl/>
        <w:spacing w:line="600" w:lineRule="exact"/>
        <w:ind w:firstLine="645"/>
        <w:jc w:val="left"/>
        <w:rPr>
          <w:rFonts w:ascii="黑体" w:hAnsi="黑体" w:eastAsia="黑体"/>
          <w:sz w:val="32"/>
          <w:szCs w:val="32"/>
          <w:highlight w:val="none"/>
        </w:rPr>
      </w:pPr>
      <w:r>
        <w:rPr>
          <w:rFonts w:hint="eastAsia" w:ascii="黑体" w:hAnsi="黑体" w:eastAsia="黑体"/>
          <w:sz w:val="32"/>
          <w:szCs w:val="32"/>
          <w:highlight w:val="none"/>
        </w:rPr>
        <w:t>四、部门整体支出绩效情况</w:t>
      </w:r>
      <w:bookmarkStart w:id="0" w:name="_GoBack"/>
      <w:bookmarkEnd w:id="0"/>
    </w:p>
    <w:p>
      <w:pPr>
        <w:widowControl/>
        <w:spacing w:line="600" w:lineRule="exact"/>
        <w:ind w:firstLine="645"/>
        <w:jc w:val="left"/>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highlight w:val="none"/>
          <w:lang w:val="en-US" w:eastAsia="zh-CN" w:bidi="ar-SA"/>
        </w:rPr>
        <w:t>2021</w:t>
      </w:r>
      <w:r>
        <w:rPr>
          <w:rFonts w:hint="eastAsia" w:ascii="Times New Roman" w:hAnsi="Times New Roman" w:eastAsia="仿宋_GB2312" w:cs="Times New Roman"/>
          <w:kern w:val="2"/>
          <w:sz w:val="32"/>
          <w:szCs w:val="32"/>
          <w:highlight w:val="none"/>
          <w:lang w:val="en-US" w:eastAsia="zh-CN" w:bidi="ar-SA"/>
        </w:rPr>
        <w:t>年，我单位积极履职，强化管理，</w:t>
      </w:r>
      <w:r>
        <w:rPr>
          <w:rFonts w:hint="eastAsia" w:ascii="Times New Roman" w:hAnsi="Times New Roman" w:eastAsia="仿宋_GB2312" w:cs="Times New Roman"/>
          <w:kern w:val="2"/>
          <w:sz w:val="32"/>
          <w:szCs w:val="32"/>
          <w:lang w:val="en-US" w:eastAsia="zh-CN" w:bidi="ar-SA"/>
        </w:rPr>
        <w:t>较好的完成了年度工作目标。通过加强预算收支管理，不断建立健全内部管理制度，梳理内部管理流程，部门整体支出管理水平得到提升。</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rPr>
        <w:t>五、存在的主要问题及下一步改进措施</w:t>
      </w:r>
    </w:p>
    <w:p>
      <w:pPr>
        <w:pStyle w:val="3"/>
        <w:bidi w:val="0"/>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1、细化预算编制工作，认真做好预算的编制。进一步加强单位内部的预算管理意识，严格按照预算编制的相关制度和要求进行预算编制。</w:t>
      </w:r>
    </w:p>
    <w:p>
      <w:pPr>
        <w:pStyle w:val="3"/>
        <w:bidi w:val="0"/>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3"/>
        <w:bidi w:val="0"/>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3"/>
        <w:bidi w:val="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4、对相关人员加强培训，特别是针对《预算法》、《行政事业单位会计制度》等学习培训，规范部门预算收支核算，切实提高部门预算收支管理水平</w:t>
      </w:r>
      <w:r>
        <w:rPr>
          <w:rFonts w:hint="eastAsia" w:eastAsia="仿宋_GB2312" w:cs="Times New Roman"/>
          <w:kern w:val="2"/>
          <w:sz w:val="32"/>
          <w:szCs w:val="32"/>
          <w:lang w:val="en-US" w:eastAsia="zh-CN" w:bidi="ar-SA"/>
        </w:rPr>
        <w:t>。</w:t>
      </w:r>
    </w:p>
    <w:p>
      <w:pPr>
        <w:widowControl/>
        <w:spacing w:line="600" w:lineRule="exact"/>
        <w:ind w:firstLine="645"/>
        <w:jc w:val="left"/>
        <w:rPr>
          <w:rFonts w:hint="eastAsia" w:ascii="黑体" w:hAnsi="黑体" w:eastAsia="黑体"/>
          <w:sz w:val="32"/>
          <w:szCs w:val="32"/>
        </w:rPr>
      </w:pPr>
      <w:r>
        <w:rPr>
          <w:rFonts w:hint="eastAsia" w:ascii="黑体" w:hAnsi="黑体" w:eastAsia="黑体"/>
          <w:sz w:val="32"/>
          <w:szCs w:val="32"/>
        </w:rPr>
        <w:t>六、绩效自评结果拟应用和公开情况</w:t>
      </w:r>
    </w:p>
    <w:p>
      <w:pPr>
        <w:widowControl/>
        <w:spacing w:line="600" w:lineRule="exact"/>
        <w:ind w:firstLine="622"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绩效自评结果得分</w:t>
      </w:r>
      <w:r>
        <w:rPr>
          <w:rFonts w:hint="eastAsia" w:eastAsia="仿宋_GB2312" w:cs="Times New Roman"/>
          <w:kern w:val="2"/>
          <w:sz w:val="32"/>
          <w:szCs w:val="32"/>
          <w:lang w:val="en-US" w:eastAsia="zh-CN" w:bidi="ar-SA"/>
        </w:rPr>
        <w:t>98</w:t>
      </w:r>
      <w:r>
        <w:rPr>
          <w:rFonts w:hint="eastAsia" w:ascii="Times New Roman" w:hAnsi="Times New Roman" w:eastAsia="仿宋_GB2312" w:cs="Times New Roman"/>
          <w:kern w:val="2"/>
          <w:sz w:val="32"/>
          <w:szCs w:val="32"/>
          <w:lang w:val="en-US" w:eastAsia="zh-CN" w:bidi="ar-SA"/>
        </w:rPr>
        <w:t>分，详细情况在衡山县长江镇人民政府门户网站公示。</w:t>
      </w:r>
    </w:p>
    <w:p>
      <w:pPr>
        <w:widowControl/>
        <w:numPr>
          <w:ilvl w:val="0"/>
          <w:numId w:val="1"/>
        </w:numPr>
        <w:spacing w:line="600" w:lineRule="exact"/>
        <w:ind w:firstLine="645"/>
        <w:jc w:val="left"/>
        <w:rPr>
          <w:rFonts w:hint="default" w:ascii="黑体" w:hAnsi="黑体" w:eastAsia="黑体"/>
          <w:sz w:val="32"/>
          <w:szCs w:val="32"/>
          <w:lang w:val="en-US" w:eastAsia="zh-CN"/>
        </w:rPr>
      </w:pPr>
      <w:r>
        <w:rPr>
          <w:rFonts w:hint="eastAsia" w:ascii="黑体" w:hAnsi="黑体" w:eastAsia="黑体"/>
          <w:sz w:val="32"/>
          <w:szCs w:val="32"/>
        </w:rPr>
        <w:t>其他需要说明的情况</w:t>
      </w:r>
    </w:p>
    <w:p>
      <w:pPr>
        <w:widowControl/>
        <w:spacing w:line="600" w:lineRule="exact"/>
        <w:ind w:firstLine="622"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无</w:t>
      </w:r>
    </w:p>
    <w:p>
      <w:pPr>
        <w:widowControl/>
        <w:spacing w:line="600" w:lineRule="exact"/>
        <w:ind w:firstLine="645"/>
        <w:jc w:val="left"/>
        <w:rPr>
          <w:rFonts w:ascii="黑体" w:hAnsi="黑体" w:eastAsia="黑体"/>
          <w:sz w:val="32"/>
          <w:szCs w:val="32"/>
        </w:rPr>
      </w:pPr>
    </w:p>
    <w:p>
      <w:pPr>
        <w:widowControl/>
        <w:spacing w:line="600" w:lineRule="exact"/>
        <w:ind w:firstLine="645"/>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1580" w:firstLineChars="508"/>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1580" w:firstLineChars="508"/>
        <w:jc w:val="left"/>
      </w:pPr>
      <w:r>
        <w:rPr>
          <w:rFonts w:ascii="仿宋_GB2312" w:hAnsi="黑体" w:eastAsia="仿宋_GB2312"/>
          <w:sz w:val="32"/>
          <w:szCs w:val="32"/>
        </w:rPr>
        <w:t>3</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4"/>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left"/>
              <w:rPr>
                <w:rFonts w:hint="default" w:eastAsia="宋体"/>
                <w:kern w:val="0"/>
                <w:sz w:val="24"/>
                <w:lang w:val="en-US" w:eastAsia="zh-CN"/>
              </w:rPr>
            </w:pPr>
            <w:r>
              <w:rPr>
                <w:rFonts w:hint="eastAsia"/>
                <w:kern w:val="0"/>
                <w:sz w:val="24"/>
              </w:rPr>
              <w:t>　</w:t>
            </w:r>
            <w:r>
              <w:rPr>
                <w:rFonts w:hint="eastAsia"/>
                <w:kern w:val="0"/>
                <w:sz w:val="24"/>
                <w:lang w:val="en-US" w:eastAsia="zh-CN"/>
              </w:rPr>
              <w:t>9</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lang w:eastAsia="zh-CN"/>
        </w:rPr>
        <w:t>单位：万元</w:t>
      </w:r>
      <w:r>
        <w:rPr>
          <w:rFonts w:eastAsia="仿宋_GB2312"/>
          <w:kern w:val="0"/>
          <w:sz w:val="24"/>
        </w:rPr>
        <w:tab/>
      </w:r>
      <w:r>
        <w:rPr>
          <w:rFonts w:eastAsia="仿宋_GB2312"/>
          <w:kern w:val="0"/>
          <w:sz w:val="24"/>
        </w:rPr>
        <w:tab/>
      </w:r>
    </w:p>
    <w:tbl>
      <w:tblPr>
        <w:tblStyle w:val="4"/>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51</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100%</w:t>
            </w: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年决算数</w:t>
            </w:r>
          </w:p>
        </w:tc>
      </w:tr>
      <w:tr>
        <w:tblPrEx>
          <w:tblCellMar>
            <w:top w:w="0" w:type="dxa"/>
            <w:left w:w="108" w:type="dxa"/>
            <w:bottom w:w="0" w:type="dxa"/>
            <w:right w:w="108" w:type="dxa"/>
          </w:tblCellMar>
        </w:tblPrEx>
        <w:trPr>
          <w:trHeight w:val="42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3.20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8.89</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3.20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8.89</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2307.96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368.28</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1490.33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2307.96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368.28</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1490.33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w:t>
            </w:r>
            <w:r>
              <w:rPr>
                <w:rFonts w:hint="eastAsia" w:eastAsia="仿宋_GB2312"/>
                <w:kern w:val="0"/>
                <w:szCs w:val="21"/>
                <w:lang w:eastAsia="zh-CN"/>
              </w:rPr>
              <w:t>省、</w:t>
            </w:r>
            <w:r>
              <w:rPr>
                <w:rFonts w:hint="eastAsia" w:eastAsia="仿宋_GB2312"/>
                <w:kern w:val="0"/>
                <w:szCs w:val="21"/>
              </w:rPr>
              <w:t>市级专项资金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92.51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872.91</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69.95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24.34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20</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24.34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楼堂馆所控制情况</w:t>
            </w:r>
            <w:r>
              <w:rPr>
                <w:rFonts w:eastAsia="仿宋_GB2312"/>
                <w:kern w:val="0"/>
                <w:szCs w:val="21"/>
              </w:rPr>
              <w:br w:type="textWrapping"/>
            </w: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21</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批复规模</w:t>
            </w:r>
            <w:r>
              <w:rPr>
                <w:rFonts w:eastAsia="仿宋_GB2312"/>
                <w:b/>
                <w:bCs/>
                <w:kern w:val="0"/>
                <w:szCs w:val="21"/>
              </w:rPr>
              <w:br w:type="textWrapping"/>
            </w: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84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12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111"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96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863"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2021</w:t>
      </w:r>
      <w:r>
        <w:rPr>
          <w:rFonts w:hint="eastAsia" w:ascii="方正小标宋_GBK" w:hAnsi="宋体" w:eastAsia="方正小标宋_GBK" w:cs="宋体"/>
          <w:kern w:val="0"/>
          <w:sz w:val="36"/>
          <w:szCs w:val="36"/>
        </w:rPr>
        <w:t>年度县级专项资金绩效目标自评表</w:t>
      </w:r>
    </w:p>
    <w:tbl>
      <w:tblPr>
        <w:tblStyle w:val="4"/>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230"/>
        <w:gridCol w:w="1784"/>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扶贫项目财政专项扶贫资金</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李晓珊 13873496198</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衡山县财政局</w:t>
            </w:r>
            <w:r>
              <w:rPr>
                <w:rFonts w:hint="eastAsia" w:ascii="仿宋_GB2312" w:hAnsi="宋体" w:eastAsia="仿宋_GB2312" w:cs="宋体"/>
                <w:kern w:val="0"/>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衡山县长江镇人民政府</w:t>
            </w:r>
          </w:p>
        </w:tc>
      </w:tr>
      <w:tr>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186.506</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178.110</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95.50%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49.34</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49.34</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137.166</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128.77</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95.50%</w:t>
            </w:r>
          </w:p>
        </w:tc>
      </w:tr>
      <w:tr>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对贫困人口2194人进行帮扶</w:t>
            </w:r>
            <w:r>
              <w:rPr>
                <w:rFonts w:hint="eastAsia" w:ascii="仿宋_GB2312" w:hAnsi="宋体" w:eastAsia="仿宋_GB2312"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对贫困人口2194人进行帮扶</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303"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78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农村道路建设项目</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highlight w:val="none"/>
              </w:rPr>
            </w:pPr>
            <w:r>
              <w:rPr>
                <w:rFonts w:hint="eastAsia" w:ascii="仿宋_GB2312" w:hAnsi="宋体" w:eastAsia="仿宋_GB2312" w:cs="宋体"/>
                <w:kern w:val="0"/>
                <w:sz w:val="18"/>
                <w:szCs w:val="18"/>
                <w:highlight w:val="none"/>
              </w:rPr>
              <w:t>　</w:t>
            </w: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 w:val="18"/>
                <w:szCs w:val="18"/>
                <w:highlight w:val="none"/>
                <w:lang w:val="en-US" w:eastAsia="zh-CN"/>
              </w:rPr>
              <w:t>57</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57</w:t>
            </w:r>
          </w:p>
        </w:tc>
        <w:tc>
          <w:tcPr>
            <w:tcW w:w="1784" w:type="dxa"/>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Cs w:val="21"/>
                <w:highlight w:val="none"/>
                <w:lang w:val="en-US" w:eastAsia="zh-CN"/>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农村产业发展项目</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65.506</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65.506</w:t>
            </w:r>
          </w:p>
        </w:tc>
        <w:tc>
          <w:tcPr>
            <w:tcW w:w="1784"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基础建设建设</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highlight w:val="none"/>
              </w:rPr>
            </w:pP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64</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55.6036</w:t>
            </w:r>
          </w:p>
        </w:tc>
        <w:tc>
          <w:tcPr>
            <w:tcW w:w="1784"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lang w:val="en-US" w:eastAsia="zh-CN"/>
              </w:rPr>
              <w:t>部分基础设施正在施工中，暂未报付</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highlight w:val="green"/>
                <w:lang w:val="en-US" w:eastAsia="zh-CN"/>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highlight w:val="green"/>
                <w:lang w:val="en-US" w:eastAsia="zh-CN"/>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highlight w:val="green"/>
                <w:lang w:val="en-US" w:eastAsia="zh-CN"/>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完成时限</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2021.12.31前</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2021.12.31前</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总投入成本</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186.506</w:t>
            </w:r>
          </w:p>
        </w:tc>
        <w:tc>
          <w:tcPr>
            <w:tcW w:w="1303"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178.110</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产生经济小于</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产生生态效益</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大于5年</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大于5年</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产生可持续影响</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大于5年</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大于5年</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群众满意度</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大于95%</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大于95%</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843"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276"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303" w:type="dxa"/>
            <w:gridSpan w:val="2"/>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c>
          <w:tcPr>
            <w:tcW w:w="1784"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lang w:val="en-US" w:eastAsia="zh-CN"/>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843"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276"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303" w:type="dxa"/>
            <w:gridSpan w:val="2"/>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784"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r>
      <w:tr>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843"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276"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303" w:type="dxa"/>
            <w:gridSpan w:val="2"/>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c>
          <w:tcPr>
            <w:tcW w:w="1784" w:type="dxa"/>
            <w:tcBorders>
              <w:top w:val="single" w:color="auto" w:sz="4" w:space="0"/>
              <w:left w:val="nil"/>
              <w:bottom w:val="nil"/>
              <w:right w:val="single" w:color="000000" w:sz="4" w:space="0"/>
            </w:tcBorders>
            <w:noWrap/>
            <w:vAlign w:val="bottom"/>
          </w:tcPr>
          <w:p>
            <w:pPr>
              <w:widowControl/>
              <w:jc w:val="left"/>
              <w:rPr>
                <w:rFonts w:ascii="仿宋_GB2312" w:hAnsi="宋体" w:eastAsia="仿宋_GB2312" w:cs="宋体"/>
                <w:kern w:val="0"/>
                <w:szCs w:val="21"/>
              </w:rPr>
            </w:pPr>
          </w:p>
        </w:tc>
      </w:tr>
      <w:tr>
        <w:trPr>
          <w:trHeight w:val="952" w:hRule="atLeast"/>
          <w:jc w:val="center"/>
        </w:trPr>
        <w:tc>
          <w:tcPr>
            <w:tcW w:w="769" w:type="dxa"/>
            <w:vMerge w:val="continue"/>
            <w:tcBorders>
              <w:top w:val="single" w:color="auto" w:sz="4" w:space="0"/>
              <w:left w:val="single" w:color="auto" w:sz="4" w:space="0"/>
              <w:bottom w:val="nil"/>
              <w:right w:val="single" w:color="auto" w:sz="4" w:space="0"/>
            </w:tcBorders>
            <w:noWrap/>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nil"/>
              <w:bottom w:val="nil"/>
              <w:right w:val="single" w:color="000000" w:sz="4" w:space="0"/>
            </w:tcBorders>
            <w:noWrap/>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nil"/>
              <w:bottom w:val="nil"/>
              <w:right w:val="single" w:color="000000" w:sz="4" w:space="0"/>
            </w:tcBorders>
            <w:noWrap/>
            <w:vAlign w:val="center"/>
          </w:tcPr>
          <w:p>
            <w:pPr>
              <w:widowControl/>
              <w:jc w:val="left"/>
            </w:pPr>
          </w:p>
        </w:tc>
        <w:tc>
          <w:tcPr>
            <w:tcW w:w="1701" w:type="dxa"/>
            <w:tcBorders>
              <w:top w:val="single" w:color="auto" w:sz="4" w:space="0"/>
              <w:left w:val="nil"/>
              <w:bottom w:val="nil"/>
              <w:right w:val="single" w:color="000000" w:sz="4" w:space="0"/>
            </w:tcBorders>
            <w:noWrap/>
            <w:vAlign w:val="bottom"/>
          </w:tcPr>
          <w:p>
            <w:pPr>
              <w:widowControl/>
              <w:jc w:val="left"/>
            </w:pPr>
          </w:p>
        </w:tc>
        <w:tc>
          <w:tcPr>
            <w:tcW w:w="1843" w:type="dxa"/>
            <w:tcBorders>
              <w:top w:val="single" w:color="auto" w:sz="4" w:space="0"/>
              <w:left w:val="nil"/>
              <w:bottom w:val="nil"/>
              <w:right w:val="single" w:color="000000" w:sz="4" w:space="0"/>
            </w:tcBorders>
            <w:noWrap/>
            <w:vAlign w:val="bottom"/>
          </w:tcPr>
          <w:p>
            <w:pPr>
              <w:widowControl/>
              <w:jc w:val="left"/>
            </w:pPr>
          </w:p>
        </w:tc>
        <w:tc>
          <w:tcPr>
            <w:tcW w:w="1276" w:type="dxa"/>
            <w:tcBorders>
              <w:top w:val="single" w:color="auto" w:sz="4" w:space="0"/>
              <w:left w:val="nil"/>
              <w:bottom w:val="nil"/>
              <w:right w:val="single" w:color="000000" w:sz="4" w:space="0"/>
            </w:tcBorders>
            <w:noWrap/>
            <w:vAlign w:val="bottom"/>
          </w:tcPr>
          <w:p>
            <w:pPr>
              <w:widowControl/>
              <w:jc w:val="left"/>
            </w:pPr>
          </w:p>
        </w:tc>
        <w:tc>
          <w:tcPr>
            <w:tcW w:w="1303" w:type="dxa"/>
            <w:gridSpan w:val="2"/>
            <w:tcBorders>
              <w:top w:val="single" w:color="auto" w:sz="4" w:space="0"/>
              <w:left w:val="nil"/>
              <w:bottom w:val="nil"/>
              <w:right w:val="single" w:color="000000" w:sz="4" w:space="0"/>
            </w:tcBorders>
            <w:noWrap/>
            <w:vAlign w:val="bottom"/>
          </w:tcPr>
          <w:p>
            <w:pPr>
              <w:widowControl/>
              <w:jc w:val="left"/>
            </w:pPr>
          </w:p>
        </w:tc>
        <w:tc>
          <w:tcPr>
            <w:tcW w:w="1784" w:type="dxa"/>
            <w:tcBorders>
              <w:top w:val="single" w:color="auto" w:sz="4" w:space="0"/>
              <w:left w:val="nil"/>
              <w:bottom w:val="nil"/>
              <w:right w:val="single" w:color="000000" w:sz="4" w:space="0"/>
            </w:tcBorders>
            <w:noWrap/>
            <w:vAlign w:val="bottom"/>
          </w:tcPr>
          <w:p>
            <w:pPr>
              <w:widowControl/>
              <w:jc w:val="left"/>
            </w:pP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6CC5A"/>
    <w:multiLevelType w:val="singleLevel"/>
    <w:tmpl w:val="ABF6CC5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YjFiOWQ4MzMyYmJjMWM3OTBmODMzZGVjM2I2OTcifQ=="/>
  </w:docVars>
  <w:rsids>
    <w:rsidRoot w:val="00000000"/>
    <w:rsid w:val="025E6655"/>
    <w:rsid w:val="02606269"/>
    <w:rsid w:val="045F0CEE"/>
    <w:rsid w:val="07F1400C"/>
    <w:rsid w:val="09BB5D90"/>
    <w:rsid w:val="0ADB7197"/>
    <w:rsid w:val="11B20C52"/>
    <w:rsid w:val="127B7C1A"/>
    <w:rsid w:val="12BC0EF8"/>
    <w:rsid w:val="13631AD8"/>
    <w:rsid w:val="139B2C71"/>
    <w:rsid w:val="15FA2BC8"/>
    <w:rsid w:val="17966920"/>
    <w:rsid w:val="17C97A33"/>
    <w:rsid w:val="1A2E499F"/>
    <w:rsid w:val="1C170489"/>
    <w:rsid w:val="1D0762A7"/>
    <w:rsid w:val="1E5B4615"/>
    <w:rsid w:val="1FEC1ACE"/>
    <w:rsid w:val="219E4D4F"/>
    <w:rsid w:val="22372AAE"/>
    <w:rsid w:val="228C1857"/>
    <w:rsid w:val="22CF0F38"/>
    <w:rsid w:val="23103A2A"/>
    <w:rsid w:val="23BD5235"/>
    <w:rsid w:val="25DC4098"/>
    <w:rsid w:val="29F15C38"/>
    <w:rsid w:val="2C0530BD"/>
    <w:rsid w:val="2D4523E9"/>
    <w:rsid w:val="2D5B2814"/>
    <w:rsid w:val="2E9372BE"/>
    <w:rsid w:val="2EDA0478"/>
    <w:rsid w:val="315E797C"/>
    <w:rsid w:val="31962DB5"/>
    <w:rsid w:val="335B432D"/>
    <w:rsid w:val="33C40EC2"/>
    <w:rsid w:val="350D04D7"/>
    <w:rsid w:val="362A0508"/>
    <w:rsid w:val="364D6DA2"/>
    <w:rsid w:val="391060DB"/>
    <w:rsid w:val="39161217"/>
    <w:rsid w:val="3B1704E7"/>
    <w:rsid w:val="3F2F75D3"/>
    <w:rsid w:val="3FCD0AA5"/>
    <w:rsid w:val="40FF07E3"/>
    <w:rsid w:val="42F273CF"/>
    <w:rsid w:val="43403C3F"/>
    <w:rsid w:val="43DE17C9"/>
    <w:rsid w:val="44D2693A"/>
    <w:rsid w:val="47A86E12"/>
    <w:rsid w:val="47C46432"/>
    <w:rsid w:val="489B4C86"/>
    <w:rsid w:val="48AF264D"/>
    <w:rsid w:val="491C0184"/>
    <w:rsid w:val="4CE95268"/>
    <w:rsid w:val="548337AD"/>
    <w:rsid w:val="565D2D98"/>
    <w:rsid w:val="56EB430F"/>
    <w:rsid w:val="58466FCB"/>
    <w:rsid w:val="585479B9"/>
    <w:rsid w:val="58B06B3A"/>
    <w:rsid w:val="5A317807"/>
    <w:rsid w:val="5A84657D"/>
    <w:rsid w:val="5BD13050"/>
    <w:rsid w:val="5BDB5C7C"/>
    <w:rsid w:val="5CFF599B"/>
    <w:rsid w:val="5E42709B"/>
    <w:rsid w:val="5E8D254F"/>
    <w:rsid w:val="5EA225BC"/>
    <w:rsid w:val="61D174DD"/>
    <w:rsid w:val="65153FD8"/>
    <w:rsid w:val="65DB5097"/>
    <w:rsid w:val="6D910891"/>
    <w:rsid w:val="6F7A1350"/>
    <w:rsid w:val="71145A61"/>
    <w:rsid w:val="71257C6E"/>
    <w:rsid w:val="71DD44F4"/>
    <w:rsid w:val="75153B55"/>
    <w:rsid w:val="76FB1516"/>
    <w:rsid w:val="772306F8"/>
    <w:rsid w:val="79D16AD3"/>
    <w:rsid w:val="7A24483B"/>
    <w:rsid w:val="7AE53FCA"/>
    <w:rsid w:val="7B735A7A"/>
    <w:rsid w:val="7C923759"/>
    <w:rsid w:val="7E1370A0"/>
    <w:rsid w:val="7F2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sz w:val="32"/>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 w:type="paragraph" w:customStyle="1" w:styleId="7">
    <w:name w:val="列出段落1"/>
    <w:basedOn w:val="1"/>
    <w:qFormat/>
    <w:uiPriority w:val="99"/>
    <w:pPr>
      <w:ind w:firstLine="420" w:firstLineChars="200"/>
    </w:p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3578</Words>
  <Characters>4016</Characters>
  <Lines>0</Lines>
  <Paragraphs>0</Paragraphs>
  <TotalTime>3</TotalTime>
  <ScaleCrop>false</ScaleCrop>
  <LinksUpToDate>false</LinksUpToDate>
  <CharactersWithSpaces>4581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冷暖自知</cp:lastModifiedBy>
  <dcterms:modified xsi:type="dcterms:W3CDTF">2023-04-21T01:25:29Z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8D14A0C1FFB649FD86AA8D7389BA35E5</vt:lpwstr>
  </property>
</Properties>
</file>