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rPr>
          <w:rFonts w:ascii="黑体" w:eastAsia="黑体"/>
          <w:sz w:val="32"/>
          <w:szCs w:val="32"/>
        </w:rPr>
      </w:pPr>
    </w:p>
    <w:p>
      <w:pPr>
        <w:jc w:val="center"/>
        <w:rPr>
          <w:rFonts w:ascii="方正小标宋_GBK" w:eastAsia="方正小标宋_GBK"/>
          <w:sz w:val="48"/>
          <w:szCs w:val="48"/>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rPr>
        <w:t>2</w:t>
      </w:r>
      <w:r>
        <w:rPr>
          <w:rFonts w:hint="eastAsia" w:ascii="方正小标宋_GBK" w:eastAsia="方正小标宋_GBK"/>
          <w:sz w:val="48"/>
          <w:szCs w:val="48"/>
          <w:lang w:val="en-US" w:eastAsia="zh-CN"/>
        </w:rPr>
        <w:t>1</w:t>
      </w:r>
      <w:r>
        <w:rPr>
          <w:rFonts w:hint="eastAsia" w:ascii="方正小标宋_GBK" w:eastAsia="方正小标宋_GBK"/>
          <w:sz w:val="48"/>
          <w:szCs w:val="48"/>
        </w:rPr>
        <w:t>年度部门整体支出绩效自评报告</w:t>
      </w:r>
    </w:p>
    <w:p>
      <w:pPr>
        <w:jc w:val="center"/>
        <w:rPr>
          <w:rFonts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rPr>
        <w:t>单位名称（盖章）衡山县审计局</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pStyle w:val="18"/>
        <w:widowControl/>
        <w:spacing w:line="600" w:lineRule="exact"/>
        <w:ind w:firstLine="620"/>
        <w:rPr>
          <w:rFonts w:ascii="黑体" w:hAnsi="黑体" w:eastAsia="黑体"/>
          <w:sz w:val="32"/>
          <w:szCs w:val="32"/>
        </w:rPr>
      </w:pPr>
    </w:p>
    <w:p>
      <w:pPr>
        <w:pStyle w:val="18"/>
        <w:widowControl/>
        <w:spacing w:line="600" w:lineRule="exact"/>
        <w:ind w:firstLine="620"/>
        <w:rPr>
          <w:rFonts w:ascii="黑体" w:hAnsi="黑体" w:eastAsia="黑体"/>
          <w:sz w:val="32"/>
          <w:szCs w:val="32"/>
        </w:rPr>
      </w:pPr>
    </w:p>
    <w:p>
      <w:pPr>
        <w:pStyle w:val="18"/>
        <w:widowControl/>
        <w:spacing w:line="600" w:lineRule="exact"/>
        <w:ind w:firstLine="620"/>
        <w:rPr>
          <w:rFonts w:ascii="黑体" w:hAnsi="黑体" w:eastAsia="黑体"/>
          <w:sz w:val="32"/>
          <w:szCs w:val="32"/>
        </w:rPr>
      </w:pPr>
    </w:p>
    <w:p>
      <w:pPr>
        <w:widowControl/>
        <w:spacing w:line="560" w:lineRule="exact"/>
        <w:ind w:firstLine="645"/>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、部门整体支出绩效情况</w:t>
      </w:r>
    </w:p>
    <w:p>
      <w:pPr>
        <w:widowControl/>
        <w:spacing w:line="560" w:lineRule="exact"/>
        <w:ind w:firstLine="645"/>
        <w:rPr>
          <w:rFonts w:ascii="黑体" w:hAnsi="黑体" w:eastAsia="黑体"/>
          <w:sz w:val="32"/>
          <w:szCs w:val="32"/>
        </w:rPr>
      </w:pPr>
      <w:r>
        <w:rPr>
          <w:rFonts w:ascii="仿宋" w:hAnsi="仿宋" w:eastAsia="仿宋" w:cs="仿宋"/>
          <w:sz w:val="32"/>
          <w:szCs w:val="32"/>
          <w:shd w:val="clear" w:color="auto" w:fill="FFFFFF"/>
        </w:rPr>
        <w:t>20</w:t>
      </w:r>
      <w:r>
        <w:rPr>
          <w:rFonts w:hint="eastAsia" w:ascii="仿宋" w:hAnsi="仿宋" w:eastAsia="仿宋" w:cs="仿宋"/>
          <w:sz w:val="32"/>
          <w:szCs w:val="32"/>
          <w:shd w:val="clear" w:color="auto" w:fill="FFFFFF"/>
        </w:rPr>
        <w:t>2</w:t>
      </w:r>
      <w:r>
        <w:rPr>
          <w:rFonts w:hint="eastAsia" w:ascii="仿宋" w:hAnsi="仿宋" w:eastAsia="仿宋" w:cs="仿宋"/>
          <w:sz w:val="32"/>
          <w:szCs w:val="32"/>
          <w:shd w:val="clear" w:color="auto" w:fill="FFFFFF"/>
          <w:lang w:val="en-US" w:eastAsia="zh-CN"/>
        </w:rPr>
        <w:t>1</w:t>
      </w:r>
      <w:r>
        <w:rPr>
          <w:rFonts w:ascii="仿宋" w:hAnsi="仿宋" w:eastAsia="仿宋" w:cs="仿宋"/>
          <w:sz w:val="32"/>
          <w:szCs w:val="32"/>
          <w:shd w:val="clear" w:color="auto" w:fill="FFFFFF"/>
        </w:rPr>
        <w:t>年，衡山</w:t>
      </w:r>
      <w:r>
        <w:rPr>
          <w:rFonts w:hint="eastAsia" w:ascii="仿宋" w:hAnsi="仿宋" w:eastAsia="仿宋"/>
          <w:color w:val="000000"/>
          <w:sz w:val="32"/>
          <w:szCs w:val="32"/>
          <w:shd w:val="clear" w:color="auto" w:fill="FFFFFF"/>
        </w:rPr>
        <w:t>县审计局整体支出资金</w:t>
      </w:r>
      <w:r>
        <w:rPr>
          <w:rFonts w:ascii="仿宋" w:hAnsi="仿宋" w:eastAsia="仿宋"/>
          <w:color w:val="000000"/>
          <w:sz w:val="32"/>
          <w:szCs w:val="32"/>
          <w:shd w:val="clear" w:color="auto" w:fill="FFFFFF"/>
        </w:rPr>
        <w:t>、</w:t>
      </w:r>
      <w:r>
        <w:rPr>
          <w:rFonts w:hint="eastAsia" w:ascii="仿宋" w:hAnsi="仿宋" w:eastAsia="仿宋"/>
          <w:color w:val="000000"/>
          <w:sz w:val="32"/>
          <w:szCs w:val="32"/>
          <w:shd w:val="clear" w:color="auto" w:fill="FFFFFF"/>
        </w:rPr>
        <w:t>资金使用基本上符合政策要求，合理合法，使用有效，管理较规范，</w:t>
      </w:r>
      <w:r>
        <w:rPr>
          <w:rFonts w:ascii="仿宋" w:hAnsi="仿宋" w:eastAsia="仿宋" w:cs="仿宋"/>
          <w:sz w:val="30"/>
          <w:szCs w:val="30"/>
          <w:shd w:val="clear" w:color="auto" w:fill="FFFFFF"/>
        </w:rPr>
        <w:t>根据部门整体支出绩效评价指标体系，我单位20</w:t>
      </w:r>
      <w:r>
        <w:rPr>
          <w:rFonts w:hint="eastAsia" w:ascii="仿宋" w:hAnsi="仿宋" w:eastAsia="仿宋" w:cs="仿宋"/>
          <w:sz w:val="30"/>
          <w:szCs w:val="30"/>
          <w:shd w:val="clear" w:color="auto" w:fill="FFFFFF"/>
        </w:rPr>
        <w:t>2</w:t>
      </w:r>
      <w:r>
        <w:rPr>
          <w:rFonts w:hint="eastAsia" w:ascii="仿宋" w:hAnsi="仿宋" w:eastAsia="仿宋" w:cs="仿宋"/>
          <w:sz w:val="30"/>
          <w:szCs w:val="30"/>
          <w:shd w:val="clear" w:color="auto" w:fill="FFFFFF"/>
          <w:lang w:val="en-US" w:eastAsia="zh-CN"/>
        </w:rPr>
        <w:t>1</w:t>
      </w:r>
      <w:r>
        <w:rPr>
          <w:rFonts w:ascii="仿宋" w:hAnsi="仿宋" w:eastAsia="仿宋" w:cs="仿宋"/>
          <w:sz w:val="30"/>
          <w:szCs w:val="30"/>
          <w:shd w:val="clear" w:color="auto" w:fill="FFFFFF"/>
        </w:rPr>
        <w:t>年度评价得分</w:t>
      </w:r>
      <w:r>
        <w:rPr>
          <w:rFonts w:hint="eastAsia" w:ascii="仿宋" w:hAnsi="仿宋" w:eastAsia="仿宋"/>
          <w:color w:val="000000"/>
          <w:sz w:val="32"/>
          <w:szCs w:val="32"/>
          <w:shd w:val="clear" w:color="auto" w:fill="FFFFFF"/>
        </w:rPr>
        <w:t>为</w:t>
      </w:r>
      <w:r>
        <w:rPr>
          <w:rFonts w:hint="eastAsia" w:ascii="仿宋" w:hAnsi="仿宋" w:eastAsia="仿宋"/>
          <w:color w:val="000000"/>
          <w:sz w:val="32"/>
          <w:szCs w:val="32"/>
          <w:shd w:val="clear" w:color="auto" w:fill="FFFFFF"/>
          <w:lang w:val="en-US" w:eastAsia="zh-CN"/>
        </w:rPr>
        <w:t>97</w:t>
      </w:r>
      <w:r>
        <w:rPr>
          <w:rFonts w:ascii="仿宋" w:hAnsi="仿宋" w:eastAsia="仿宋" w:cs="仿宋"/>
          <w:sz w:val="30"/>
          <w:szCs w:val="30"/>
          <w:shd w:val="clear" w:color="auto" w:fill="FFFFFF"/>
        </w:rPr>
        <w:t>分（详见附件1）。</w:t>
      </w:r>
    </w:p>
    <w:p>
      <w:pPr>
        <w:widowControl/>
        <w:spacing w:line="560" w:lineRule="exact"/>
        <w:ind w:firstLine="622"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、存在的主要问题及下一步改进措施</w:t>
      </w:r>
    </w:p>
    <w:p>
      <w:pPr>
        <w:widowControl/>
        <w:shd w:val="clear" w:color="auto" w:fill="FFFFFF"/>
        <w:spacing w:line="560" w:lineRule="exact"/>
        <w:ind w:firstLine="480"/>
        <w:rPr>
          <w:rFonts w:ascii="仿宋" w:hAnsi="仿宋" w:eastAsia="仿宋" w:cs="宋体"/>
          <w:color w:val="000000"/>
          <w:kern w:val="0"/>
          <w:sz w:val="32"/>
          <w:szCs w:val="32"/>
        </w:rPr>
      </w:pPr>
      <w:r>
        <w:rPr>
          <w:rFonts w:hint="eastAsia" w:ascii="仿宋" w:hAnsi="仿宋" w:eastAsia="仿宋" w:cs="宋体"/>
          <w:color w:val="000000"/>
          <w:kern w:val="0"/>
          <w:sz w:val="32"/>
          <w:szCs w:val="32"/>
        </w:rPr>
        <w:t>科学合理编制预算，严格执行预算。在预算金额内严格控制费用的支出，控制超支现象的发生。在费用报账支付时，严格审核，控制费用跨年度报账，确保费用核算的及时性和完整性；按照费用的实际使用用途进行资金支付和财务列报，严格按照行政事业单位会计制度进行财务核算。完善财务管理制度，严格规范现金使用的范围，确保单位资产安全和完整。</w:t>
      </w:r>
    </w:p>
    <w:p>
      <w:pPr>
        <w:widowControl/>
        <w:numPr>
          <w:numId w:val="0"/>
        </w:numPr>
        <w:spacing w:line="560" w:lineRule="exact"/>
        <w:ind w:firstLine="622"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绩效自评结果拟应用和公开情况</w:t>
      </w:r>
    </w:p>
    <w:p>
      <w:pPr>
        <w:widowControl/>
        <w:spacing w:line="560" w:lineRule="exact"/>
        <w:ind w:firstLine="582" w:firstLineChars="200"/>
        <w:rPr>
          <w:rFonts w:ascii="仿宋" w:hAnsi="仿宋" w:eastAsia="仿宋" w:cs="仿宋"/>
          <w:sz w:val="30"/>
          <w:szCs w:val="30"/>
        </w:rPr>
      </w:pPr>
      <w:r>
        <w:rPr>
          <w:rFonts w:hint="eastAsia" w:ascii="仿宋" w:hAnsi="仿宋" w:eastAsia="仿宋" w:cs="仿宋"/>
          <w:sz w:val="30"/>
          <w:szCs w:val="30"/>
        </w:rPr>
        <w:t>绩效自评结果得分</w:t>
      </w:r>
      <w:r>
        <w:rPr>
          <w:rFonts w:hint="eastAsia" w:ascii="仿宋" w:hAnsi="仿宋" w:eastAsia="仿宋"/>
          <w:color w:val="000000"/>
          <w:sz w:val="32"/>
          <w:szCs w:val="32"/>
          <w:shd w:val="clear" w:color="auto" w:fill="FFFFFF"/>
        </w:rPr>
        <w:t>9</w:t>
      </w:r>
      <w:r>
        <w:rPr>
          <w:rFonts w:hint="eastAsia" w:ascii="仿宋" w:hAnsi="仿宋" w:eastAsia="仿宋"/>
          <w:color w:val="000000"/>
          <w:sz w:val="32"/>
          <w:szCs w:val="32"/>
          <w:shd w:val="clear" w:color="auto" w:fill="FFFFFF"/>
          <w:lang w:val="en-US" w:eastAsia="zh-CN"/>
        </w:rPr>
        <w:t>7</w:t>
      </w:r>
      <w:r>
        <w:rPr>
          <w:rFonts w:hint="eastAsia" w:ascii="仿宋" w:hAnsi="仿宋" w:eastAsia="仿宋"/>
          <w:color w:val="000000"/>
          <w:sz w:val="32"/>
          <w:szCs w:val="32"/>
          <w:shd w:val="clear" w:color="auto" w:fill="FFFFFF"/>
        </w:rPr>
        <w:t>分，</w:t>
      </w:r>
      <w:r>
        <w:rPr>
          <w:rFonts w:hint="eastAsia" w:ascii="仿宋" w:hAnsi="仿宋" w:eastAsia="仿宋" w:cs="仿宋"/>
          <w:sz w:val="30"/>
          <w:szCs w:val="30"/>
        </w:rPr>
        <w:t>详细情况在衡山县审计局门户网站公示。</w:t>
      </w:r>
    </w:p>
    <w:p>
      <w:pPr>
        <w:widowControl/>
        <w:spacing w:line="560" w:lineRule="exact"/>
        <w:ind w:firstLine="645"/>
        <w:rPr>
          <w:rFonts w:ascii="黑体" w:hAnsi="黑体" w:eastAsia="黑体"/>
          <w:sz w:val="32"/>
          <w:szCs w:val="32"/>
        </w:rPr>
      </w:pPr>
      <w:r>
        <w:rPr>
          <w:rFonts w:hint="eastAsia" w:ascii="黑体" w:hAnsi="黑体" w:eastAsia="黑体"/>
          <w:sz w:val="32"/>
          <w:szCs w:val="32"/>
          <w:lang w:eastAsia="zh-CN"/>
        </w:rPr>
        <w:t>四</w:t>
      </w:r>
      <w:bookmarkStart w:id="0" w:name="_GoBack"/>
      <w:bookmarkEnd w:id="0"/>
      <w:r>
        <w:rPr>
          <w:rFonts w:hint="eastAsia" w:ascii="黑体" w:hAnsi="黑体" w:eastAsia="黑体"/>
          <w:sz w:val="32"/>
          <w:szCs w:val="32"/>
        </w:rPr>
        <w:t>、其他需要说明的情况</w:t>
      </w:r>
    </w:p>
    <w:p>
      <w:pPr>
        <w:widowControl/>
        <w:spacing w:line="560" w:lineRule="exact"/>
        <w:ind w:firstLine="1266" w:firstLineChars="407"/>
        <w:rPr>
          <w:rFonts w:ascii="黑体" w:hAnsi="黑体" w:eastAsia="黑体"/>
          <w:sz w:val="32"/>
          <w:szCs w:val="32"/>
        </w:rPr>
      </w:pPr>
      <w:r>
        <w:rPr>
          <w:rFonts w:hint="eastAsia" w:ascii="黑体" w:hAnsi="黑体" w:eastAsia="黑体"/>
          <w:sz w:val="32"/>
          <w:szCs w:val="32"/>
        </w:rPr>
        <w:t>无</w:t>
      </w:r>
    </w:p>
    <w:p>
      <w:pPr>
        <w:widowControl/>
        <w:spacing w:line="560" w:lineRule="exact"/>
        <w:ind w:firstLine="645"/>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widowControl/>
        <w:spacing w:line="560" w:lineRule="exact"/>
        <w:ind w:firstLine="1580" w:firstLineChars="508"/>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spacing w:afterLines="100" w:line="560" w:lineRule="exact"/>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8"/>
        <w:tblW w:w="8930" w:type="dxa"/>
        <w:jc w:val="center"/>
        <w:tblInd w:w="0" w:type="dxa"/>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Layout w:type="fixed"/>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Layout w:type="fixed"/>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Layout w:type="fixed"/>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eastAsia="zh-CN"/>
              </w:rPr>
            </w:pPr>
            <w:r>
              <w:rPr>
                <w:rFonts w:hint="eastAsia"/>
                <w:kern w:val="0"/>
                <w:sz w:val="24"/>
              </w:rPr>
              <w:t>　</w:t>
            </w:r>
            <w:r>
              <w:rPr>
                <w:rFonts w:hint="eastAsia"/>
                <w:kern w:val="0"/>
                <w:sz w:val="24"/>
                <w:lang w:val="en-US" w:eastAsia="zh-CN"/>
              </w:rPr>
              <w:t>5</w:t>
            </w:r>
          </w:p>
        </w:tc>
      </w:tr>
      <w:tr>
        <w:tblPrEx>
          <w:tblLayout w:type="fixed"/>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eastAsia="zh-CN"/>
              </w:rPr>
            </w:pPr>
            <w:r>
              <w:rPr>
                <w:rFonts w:hint="eastAsia"/>
                <w:kern w:val="0"/>
                <w:sz w:val="24"/>
              </w:rPr>
              <w:t>　</w:t>
            </w:r>
            <w:r>
              <w:rPr>
                <w:rFonts w:hint="eastAsia"/>
                <w:kern w:val="0"/>
                <w:sz w:val="24"/>
                <w:lang w:val="en-US" w:eastAsia="zh-CN"/>
              </w:rPr>
              <w:t>4</w:t>
            </w:r>
          </w:p>
        </w:tc>
      </w:tr>
      <w:tr>
        <w:tblPrEx>
          <w:tblLayout w:type="fixed"/>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Layout w:type="fixed"/>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Layout w:type="fixed"/>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eastAsia="zh-CN"/>
              </w:rPr>
            </w:pPr>
            <w:r>
              <w:rPr>
                <w:rFonts w:hint="eastAsia"/>
                <w:kern w:val="0"/>
                <w:sz w:val="24"/>
              </w:rPr>
              <w:t>　</w:t>
            </w:r>
            <w:r>
              <w:rPr>
                <w:rFonts w:hint="eastAsia"/>
                <w:kern w:val="0"/>
                <w:sz w:val="24"/>
                <w:lang w:val="en-US" w:eastAsia="zh-CN"/>
              </w:rPr>
              <w:t>8</w:t>
            </w:r>
          </w:p>
        </w:tc>
      </w:tr>
      <w:tr>
        <w:tblPrEx>
          <w:tblLayout w:type="fixed"/>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7</w:t>
            </w:r>
          </w:p>
        </w:tc>
      </w:tr>
      <w:tr>
        <w:tblPrEx>
          <w:tblLayout w:type="fixed"/>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eastAsia="zh-CN"/>
              </w:rPr>
            </w:pPr>
            <w:r>
              <w:rPr>
                <w:rFonts w:hint="eastAsia"/>
                <w:kern w:val="0"/>
                <w:sz w:val="24"/>
              </w:rPr>
              <w:t>　</w:t>
            </w:r>
            <w:r>
              <w:rPr>
                <w:rFonts w:hint="eastAsia"/>
                <w:kern w:val="0"/>
                <w:sz w:val="24"/>
                <w:lang w:val="en-US" w:eastAsia="zh-CN"/>
              </w:rPr>
              <w:t>4</w:t>
            </w:r>
          </w:p>
        </w:tc>
      </w:tr>
      <w:tr>
        <w:tblPrEx>
          <w:tblLayout w:type="fixed"/>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Layout w:type="fixed"/>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jc w:val="center"/>
              <w:rPr>
                <w:rFonts w:eastAsia="仿宋_GB2312"/>
                <w:kern w:val="0"/>
                <w:sz w:val="20"/>
                <w:szCs w:val="20"/>
              </w:rPr>
            </w:pPr>
            <w:r>
              <w:rPr>
                <w:rFonts w:hint="eastAsia" w:eastAsia="仿宋_GB2312"/>
                <w:kern w:val="0"/>
                <w:sz w:val="20"/>
                <w:szCs w:val="20"/>
              </w:rPr>
              <w:t>过程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r>
        <w:tblPrEx>
          <w:tblLayout w:type="fixed"/>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Layout w:type="fixed"/>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2018年重点民生项目“化解大班额”省定目标计划化解43个，至2018年12月止完成61个，完成率达141.86%。</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Layout w:type="fixed"/>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履职效益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vAlign w:val="center"/>
          </w:tcPr>
          <w:p>
            <w:pPr>
              <w:widowControl/>
              <w:jc w:val="left"/>
              <w:rPr>
                <w:kern w:val="0"/>
                <w:sz w:val="24"/>
              </w:rPr>
            </w:pPr>
            <w:r>
              <w:rPr>
                <w:rFonts w:hint="eastAsia"/>
                <w:kern w:val="0"/>
                <w:sz w:val="24"/>
              </w:rPr>
              <w:t>　10</w:t>
            </w:r>
          </w:p>
        </w:tc>
      </w:tr>
      <w:tr>
        <w:tblPrEx>
          <w:tblLayout w:type="fixed"/>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widowControl/>
              <w:ind w:firstLine="231" w:firstLineChars="100"/>
              <w:jc w:val="left"/>
              <w:rPr>
                <w:rFonts w:hint="eastAsia" w:eastAsia="宋体"/>
                <w:kern w:val="0"/>
                <w:sz w:val="24"/>
                <w:lang w:eastAsia="zh-CN"/>
              </w:rPr>
            </w:pPr>
            <w:r>
              <w:rPr>
                <w:rFonts w:hint="eastAsia"/>
                <w:kern w:val="0"/>
                <w:sz w:val="24"/>
                <w:lang w:val="en-US" w:eastAsia="zh-CN"/>
              </w:rPr>
              <w:t>6</w:t>
            </w:r>
          </w:p>
        </w:tc>
      </w:tr>
      <w:tr>
        <w:tblPrEx>
          <w:tblLayout w:type="fixed"/>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bl>
    <w:p/>
    <w:p/>
    <w:p/>
    <w:p/>
    <w:p/>
    <w:p/>
    <w:p/>
    <w:p/>
    <w:p/>
    <w:p/>
    <w:p/>
    <w:p/>
    <w:p/>
    <w:p/>
    <w:p/>
    <w:p/>
    <w:p/>
    <w:p>
      <w:pPr>
        <w:jc w:val="center"/>
        <w:rPr>
          <w:rFonts w:eastAsia="方正小标宋_GBK"/>
          <w:kern w:val="0"/>
          <w:sz w:val="36"/>
          <w:szCs w:val="36"/>
        </w:rPr>
      </w:pPr>
      <w:r>
        <w:br w:type="page"/>
      </w: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填报单位：衡山县审计局</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8"/>
        <w:tblW w:w="9464" w:type="dxa"/>
        <w:jc w:val="center"/>
        <w:tblInd w:w="0" w:type="dxa"/>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Layout w:type="fixed"/>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控制率</w:t>
            </w:r>
          </w:p>
        </w:tc>
      </w:tr>
      <w:tr>
        <w:tblPrEx>
          <w:tblLayout w:type="fixed"/>
          <w:tblCellMar>
            <w:top w:w="0" w:type="dxa"/>
            <w:left w:w="108" w:type="dxa"/>
            <w:bottom w:w="0" w:type="dxa"/>
            <w:right w:w="108" w:type="dxa"/>
          </w:tblCellMar>
        </w:tblPrEx>
        <w:trPr>
          <w:trHeight w:val="90"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31</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31</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100%　</w:t>
            </w:r>
          </w:p>
        </w:tc>
      </w:tr>
      <w:tr>
        <w:tblPrEx>
          <w:tblLayout w:type="fixed"/>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年决算数</w:t>
            </w:r>
          </w:p>
        </w:tc>
      </w:tr>
      <w:tr>
        <w:tblPrEx>
          <w:tblLayout w:type="fixed"/>
          <w:tblCellMar>
            <w:top w:w="0" w:type="dxa"/>
            <w:left w:w="108" w:type="dxa"/>
            <w:bottom w:w="0" w:type="dxa"/>
            <w:right w:w="108" w:type="dxa"/>
          </w:tblCellMar>
        </w:tblPrEx>
        <w:trPr>
          <w:trHeight w:val="388"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54596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auto"/>
                <w:kern w:val="0"/>
                <w:szCs w:val="21"/>
                <w:highlight w:val="none"/>
              </w:rPr>
            </w:pPr>
            <w:r>
              <w:rPr>
                <w:rFonts w:hint="eastAsia" w:eastAsia="仿宋_GB2312"/>
                <w:color w:val="auto"/>
                <w:kern w:val="0"/>
                <w:szCs w:val="21"/>
                <w:highlight w:val="none"/>
                <w:lang w:val="en-US" w:eastAsia="zh-CN"/>
              </w:rPr>
              <w:t>18</w:t>
            </w:r>
            <w:r>
              <w:rPr>
                <w:rFonts w:hint="eastAsia" w:eastAsia="仿宋_GB2312"/>
                <w:color w:val="auto"/>
                <w:kern w:val="0"/>
                <w:szCs w:val="21"/>
                <w:highlight w:val="none"/>
              </w:rPr>
              <w:t>0000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28420.14</w:t>
            </w:r>
          </w:p>
        </w:tc>
      </w:tr>
      <w:tr>
        <w:tblPrEx>
          <w:tblLayout w:type="fixed"/>
          <w:tblCellMar>
            <w:top w:w="0" w:type="dxa"/>
            <w:left w:w="108" w:type="dxa"/>
            <w:bottom w:w="0" w:type="dxa"/>
            <w:right w:w="108" w:type="dxa"/>
          </w:tblCellMar>
        </w:tblPrEx>
        <w:trPr>
          <w:trHeight w:val="358"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41264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color w:val="auto"/>
                <w:kern w:val="0"/>
                <w:szCs w:val="21"/>
                <w:highlight w:val="none"/>
                <w:lang w:val="en-US" w:eastAsia="zh-CN"/>
              </w:rPr>
            </w:pPr>
            <w:r>
              <w:rPr>
                <w:rFonts w:hint="eastAsia" w:eastAsia="仿宋_GB2312"/>
                <w:color w:val="auto"/>
                <w:kern w:val="0"/>
                <w:szCs w:val="21"/>
                <w:highlight w:val="none"/>
              </w:rPr>
              <w:t>1</w:t>
            </w:r>
            <w:r>
              <w:rPr>
                <w:rFonts w:hint="eastAsia" w:eastAsia="仿宋_GB2312"/>
                <w:color w:val="auto"/>
                <w:kern w:val="0"/>
                <w:szCs w:val="21"/>
                <w:highlight w:val="none"/>
                <w:lang w:val="en-US" w:eastAsia="zh-CN"/>
              </w:rPr>
              <w:t>20000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16571.14</w:t>
            </w:r>
          </w:p>
        </w:tc>
      </w:tr>
      <w:tr>
        <w:tblPrEx>
          <w:tblLayout w:type="fixed"/>
          <w:tblCellMar>
            <w:top w:w="0" w:type="dxa"/>
            <w:left w:w="108" w:type="dxa"/>
            <w:bottom w:w="0" w:type="dxa"/>
            <w:right w:w="108" w:type="dxa"/>
          </w:tblCellMar>
        </w:tblPrEx>
        <w:trPr>
          <w:trHeight w:val="358"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auto"/>
                <w:kern w:val="0"/>
                <w:szCs w:val="21"/>
                <w:highlight w:val="none"/>
              </w:rPr>
            </w:pPr>
            <w:r>
              <w:rPr>
                <w:rFonts w:hint="eastAsia" w:eastAsia="仿宋_GB2312"/>
                <w:color w:val="auto"/>
                <w:kern w:val="0"/>
                <w:szCs w:val="21"/>
                <w:highlight w:val="none"/>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highlight w:val="none"/>
              </w:rPr>
            </w:pPr>
            <w:r>
              <w:rPr>
                <w:rFonts w:hint="eastAsia" w:eastAsia="仿宋_GB2312"/>
                <w:kern w:val="0"/>
                <w:szCs w:val="21"/>
                <w:highlight w:val="none"/>
              </w:rPr>
              <w:t>　</w:t>
            </w:r>
          </w:p>
        </w:tc>
      </w:tr>
      <w:tr>
        <w:tblPrEx>
          <w:tblLayout w:type="fixed"/>
          <w:tblCellMar>
            <w:top w:w="0" w:type="dxa"/>
            <w:left w:w="108" w:type="dxa"/>
            <w:bottom w:w="0" w:type="dxa"/>
            <w:right w:w="108" w:type="dxa"/>
          </w:tblCellMar>
        </w:tblPrEx>
        <w:trPr>
          <w:trHeight w:val="33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41264</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auto"/>
                <w:kern w:val="0"/>
                <w:szCs w:val="21"/>
                <w:highlight w:val="none"/>
              </w:rPr>
            </w:pPr>
            <w:r>
              <w:rPr>
                <w:rFonts w:hint="eastAsia" w:eastAsia="仿宋_GB2312"/>
                <w:color w:val="auto"/>
                <w:kern w:val="0"/>
                <w:szCs w:val="21"/>
                <w:highlight w:val="none"/>
              </w:rPr>
              <w:t>1</w:t>
            </w:r>
            <w:r>
              <w:rPr>
                <w:rFonts w:hint="eastAsia" w:eastAsia="仿宋_GB2312"/>
                <w:color w:val="auto"/>
                <w:kern w:val="0"/>
                <w:szCs w:val="21"/>
                <w:highlight w:val="none"/>
                <w:lang w:val="en-US" w:eastAsia="zh-CN"/>
              </w:rPr>
              <w:t>2</w:t>
            </w:r>
            <w:r>
              <w:rPr>
                <w:rFonts w:hint="eastAsia" w:eastAsia="仿宋_GB2312"/>
                <w:color w:val="auto"/>
                <w:kern w:val="0"/>
                <w:szCs w:val="21"/>
                <w:highlight w:val="none"/>
              </w:rPr>
              <w:t>0000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rPr>
            </w:pPr>
            <w:r>
              <w:rPr>
                <w:rFonts w:hint="eastAsia" w:eastAsia="仿宋_GB2312"/>
                <w:kern w:val="0"/>
                <w:szCs w:val="21"/>
                <w:highlight w:val="none"/>
                <w:lang w:val="en-US" w:eastAsia="zh-CN"/>
              </w:rPr>
              <w:t>16571.14</w:t>
            </w:r>
          </w:p>
        </w:tc>
      </w:tr>
      <w:tr>
        <w:tblPrEx>
          <w:tblLayout w:type="fixed"/>
          <w:tblCellMar>
            <w:top w:w="0" w:type="dxa"/>
            <w:left w:w="108" w:type="dxa"/>
            <w:bottom w:w="0" w:type="dxa"/>
            <w:right w:w="108" w:type="dxa"/>
          </w:tblCellMar>
        </w:tblPrEx>
        <w:trPr>
          <w:trHeight w:val="27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auto"/>
                <w:kern w:val="0"/>
                <w:szCs w:val="21"/>
                <w:highlight w:val="none"/>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highlight w:val="none"/>
              </w:rPr>
            </w:pPr>
            <w:r>
              <w:rPr>
                <w:rFonts w:hint="eastAsia" w:eastAsia="仿宋_GB2312"/>
                <w:kern w:val="0"/>
                <w:szCs w:val="21"/>
                <w:highlight w:val="none"/>
              </w:rPr>
              <w:t>　</w:t>
            </w:r>
          </w:p>
        </w:tc>
      </w:tr>
      <w:tr>
        <w:tblPrEx>
          <w:tblLayout w:type="fixed"/>
          <w:tblCellMar>
            <w:top w:w="0" w:type="dxa"/>
            <w:left w:w="108" w:type="dxa"/>
            <w:bottom w:w="0" w:type="dxa"/>
            <w:right w:w="108" w:type="dxa"/>
          </w:tblCellMar>
        </w:tblPrEx>
        <w:trPr>
          <w:trHeight w:val="358"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13332</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auto"/>
                <w:kern w:val="0"/>
                <w:szCs w:val="21"/>
                <w:highlight w:val="none"/>
              </w:rPr>
            </w:pPr>
            <w:r>
              <w:rPr>
                <w:rFonts w:hint="eastAsia" w:eastAsia="仿宋_GB2312"/>
                <w:color w:val="auto"/>
                <w:kern w:val="0"/>
                <w:szCs w:val="21"/>
                <w:highlight w:val="none"/>
                <w:lang w:val="en-US" w:eastAsia="zh-CN"/>
              </w:rPr>
              <w:t>6</w:t>
            </w:r>
            <w:r>
              <w:rPr>
                <w:rFonts w:hint="eastAsia" w:eastAsia="仿宋_GB2312"/>
                <w:color w:val="auto"/>
                <w:kern w:val="0"/>
                <w:szCs w:val="21"/>
                <w:highlight w:val="none"/>
              </w:rPr>
              <w:t>0000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11849</w:t>
            </w:r>
          </w:p>
        </w:tc>
      </w:tr>
      <w:tr>
        <w:tblPrEx>
          <w:tblLayout w:type="fixed"/>
          <w:tblCellMar>
            <w:top w:w="0" w:type="dxa"/>
            <w:left w:w="108" w:type="dxa"/>
            <w:bottom w:w="0" w:type="dxa"/>
            <w:right w:w="108" w:type="dxa"/>
          </w:tblCellMar>
        </w:tblPrEx>
        <w:trPr>
          <w:trHeight w:val="31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auto"/>
                <w:kern w:val="0"/>
                <w:szCs w:val="21"/>
                <w:highlight w:val="none"/>
              </w:rPr>
            </w:pPr>
            <w:r>
              <w:rPr>
                <w:rFonts w:hint="eastAsia" w:eastAsia="仿宋_GB2312"/>
                <w:color w:val="auto"/>
                <w:kern w:val="0"/>
                <w:szCs w:val="21"/>
                <w:highlight w:val="none"/>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highlight w:val="none"/>
              </w:rPr>
            </w:pPr>
            <w:r>
              <w:rPr>
                <w:rFonts w:hint="eastAsia" w:eastAsia="仿宋_GB2312"/>
                <w:kern w:val="0"/>
                <w:szCs w:val="21"/>
                <w:highlight w:val="none"/>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、业务工作专项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1</w:t>
            </w:r>
            <w:r>
              <w:rPr>
                <w:rFonts w:hint="eastAsia" w:eastAsia="仿宋_GB2312"/>
                <w:kern w:val="0"/>
                <w:szCs w:val="21"/>
                <w:lang w:val="en-US" w:eastAsia="zh-CN"/>
              </w:rPr>
              <w:t>865255.28</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color w:val="auto"/>
                <w:kern w:val="0"/>
                <w:szCs w:val="21"/>
                <w:highlight w:val="none"/>
                <w:lang w:val="en-US" w:eastAsia="zh-CN"/>
              </w:rPr>
            </w:pPr>
            <w:r>
              <w:rPr>
                <w:rFonts w:hint="eastAsia" w:eastAsia="仿宋_GB2312"/>
                <w:color w:val="auto"/>
                <w:kern w:val="0"/>
                <w:szCs w:val="21"/>
                <w:highlight w:val="none"/>
                <w:lang w:val="en-US" w:eastAsia="zh-CN"/>
              </w:rPr>
              <w:t>730800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659151.72</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、运行维护专项</w:t>
            </w:r>
            <w:r>
              <w:rPr>
                <w:rFonts w:eastAsia="仿宋_GB2312"/>
                <w:kern w:val="0"/>
                <w:szCs w:val="21"/>
              </w:rPr>
              <w:t>(</w:t>
            </w:r>
            <w:r>
              <w:rPr>
                <w:rFonts w:hint="eastAsia" w:eastAsia="仿宋_GB2312"/>
                <w:kern w:val="0"/>
                <w:szCs w:val="21"/>
              </w:rPr>
              <w:t>一个项目一行</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color w:val="FF0000"/>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Cs w:val="21"/>
                <w:highlight w:val="yellow"/>
              </w:rPr>
            </w:pPr>
            <w:r>
              <w:rPr>
                <w:rFonts w:hint="eastAsia" w:eastAsia="仿宋_GB2312"/>
                <w:color w:val="FF0000"/>
                <w:kern w:val="0"/>
                <w:szCs w:val="21"/>
                <w:highlight w:val="none"/>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highlight w:val="none"/>
              </w:rPr>
            </w:pPr>
            <w:r>
              <w:rPr>
                <w:rFonts w:hint="eastAsia" w:eastAsia="仿宋_GB2312"/>
                <w:color w:val="FF0000"/>
                <w:kern w:val="0"/>
                <w:szCs w:val="21"/>
                <w:highlight w:val="none"/>
              </w:rPr>
              <w:t>　</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Cs w:val="21"/>
                <w:highlight w:val="yellow"/>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Cs w:val="21"/>
                <w:highlight w:val="yellow"/>
              </w:rPr>
            </w:pP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698067.44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highlight w:val="none"/>
                <w:lang w:val="en-US" w:eastAsia="zh-CN"/>
              </w:rPr>
            </w:pPr>
            <w:r>
              <w:rPr>
                <w:rFonts w:hint="eastAsia" w:eastAsia="仿宋_GB2312"/>
                <w:kern w:val="0"/>
                <w:szCs w:val="21"/>
                <w:highlight w:val="none"/>
                <w:lang w:val="en-US" w:eastAsia="zh-CN"/>
              </w:rPr>
              <w:t>830800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yellow"/>
                <w:lang w:val="en-US" w:eastAsia="zh-CN"/>
              </w:rPr>
            </w:pPr>
            <w:r>
              <w:rPr>
                <w:rFonts w:hint="eastAsia" w:eastAsia="仿宋_GB2312"/>
                <w:kern w:val="0"/>
                <w:szCs w:val="21"/>
                <w:highlight w:val="none"/>
                <w:lang w:val="en-US" w:eastAsia="zh-CN"/>
              </w:rPr>
              <w:t>1110494.08</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5690.4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highlight w:val="none"/>
                <w:lang w:val="en-US" w:eastAsia="zh-CN"/>
              </w:rPr>
            </w:pPr>
            <w:r>
              <w:rPr>
                <w:rFonts w:hint="eastAsia" w:eastAsia="仿宋_GB2312"/>
                <w:kern w:val="0"/>
                <w:szCs w:val="21"/>
                <w:highlight w:val="none"/>
                <w:lang w:val="en-US" w:eastAsia="zh-CN"/>
              </w:rPr>
              <w:t>50000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yellow"/>
                <w:lang w:val="en-US" w:eastAsia="zh-CN"/>
              </w:rPr>
            </w:pPr>
            <w:r>
              <w:rPr>
                <w:rFonts w:hint="eastAsia" w:eastAsia="仿宋_GB2312"/>
                <w:kern w:val="0"/>
                <w:szCs w:val="21"/>
                <w:highlight w:val="none"/>
                <w:lang w:val="en-US" w:eastAsia="zh-CN"/>
              </w:rPr>
              <w:t>113486.17</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公务接待费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13332</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highlight w:val="none"/>
                <w:lang w:val="en-US" w:eastAsia="zh-CN"/>
              </w:rPr>
            </w:pPr>
            <w:r>
              <w:rPr>
                <w:rFonts w:hint="eastAsia" w:eastAsia="仿宋_GB2312"/>
                <w:kern w:val="0"/>
                <w:szCs w:val="21"/>
                <w:highlight w:val="none"/>
                <w:lang w:val="en-US" w:eastAsia="zh-CN"/>
              </w:rPr>
              <w:t>50000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yellow"/>
                <w:lang w:val="en-US" w:eastAsia="zh-CN"/>
              </w:rPr>
            </w:pPr>
            <w:r>
              <w:rPr>
                <w:rFonts w:hint="eastAsia" w:eastAsia="仿宋_GB2312"/>
                <w:kern w:val="0"/>
                <w:szCs w:val="21"/>
                <w:highlight w:val="none"/>
                <w:lang w:val="en-US" w:eastAsia="zh-CN"/>
              </w:rPr>
              <w:t>11849</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水费、电费、差旅费、维护费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140940.84</w:t>
            </w:r>
          </w:p>
        </w:tc>
        <w:tc>
          <w:tcPr>
            <w:tcW w:w="2240" w:type="dxa"/>
            <w:gridSpan w:val="2"/>
            <w:tcBorders>
              <w:top w:val="single" w:color="auto" w:sz="4" w:space="0"/>
              <w:left w:val="nil"/>
              <w:bottom w:val="single" w:color="auto" w:sz="4" w:space="0"/>
              <w:right w:val="single" w:color="000000" w:sz="4" w:space="0"/>
            </w:tcBorders>
            <w:vAlign w:val="center"/>
          </w:tcPr>
          <w:p>
            <w:pPr>
              <w:widowControl/>
              <w:ind w:firstLine="804" w:firstLineChars="400"/>
              <w:jc w:val="both"/>
              <w:rPr>
                <w:rFonts w:hint="default" w:eastAsia="仿宋_GB2312"/>
                <w:kern w:val="0"/>
                <w:szCs w:val="21"/>
                <w:highlight w:val="none"/>
                <w:lang w:val="en-US" w:eastAsia="zh-CN"/>
              </w:rPr>
            </w:pPr>
            <w:r>
              <w:rPr>
                <w:rFonts w:hint="eastAsia" w:eastAsia="仿宋_GB2312"/>
                <w:kern w:val="0"/>
                <w:szCs w:val="21"/>
                <w:highlight w:val="none"/>
                <w:lang w:val="en-US" w:eastAsia="zh-CN"/>
              </w:rPr>
              <w:t>80000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yellow"/>
                <w:lang w:val="en-US" w:eastAsia="zh-CN"/>
              </w:rPr>
            </w:pPr>
            <w:r>
              <w:rPr>
                <w:rFonts w:hint="eastAsia" w:eastAsia="仿宋_GB2312"/>
                <w:kern w:val="0"/>
                <w:szCs w:val="21"/>
                <w:highlight w:val="none"/>
                <w:lang w:val="en-US" w:eastAsia="zh-CN"/>
              </w:rPr>
              <w:t>416603</w:t>
            </w:r>
          </w:p>
        </w:tc>
      </w:tr>
      <w:tr>
        <w:tblPrEx>
          <w:tblLayout w:type="fixed"/>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会议费、培训费、劳务费、其他交通费、其他商品服务支出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215268</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177000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yellow"/>
                <w:lang w:val="en-US" w:eastAsia="zh-CN"/>
              </w:rPr>
            </w:pPr>
            <w:r>
              <w:rPr>
                <w:rFonts w:hint="eastAsia" w:eastAsia="仿宋_GB2312"/>
                <w:kern w:val="0"/>
                <w:szCs w:val="21"/>
                <w:highlight w:val="none"/>
                <w:lang w:val="en-US" w:eastAsia="zh-CN"/>
              </w:rPr>
              <w:t>175652.77</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643169</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none"/>
                <w:lang w:val="en-US" w:eastAsia="zh-CN"/>
              </w:rPr>
            </w:pPr>
            <w:r>
              <w:rPr>
                <w:rFonts w:hint="eastAsia" w:eastAsia="仿宋_GB2312"/>
                <w:kern w:val="0"/>
                <w:szCs w:val="21"/>
                <w:highlight w:val="none"/>
                <w:lang w:val="en-US" w:eastAsia="zh-CN"/>
              </w:rPr>
              <w:t>920000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highlight w:val="yellow"/>
                <w:lang w:val="en-US" w:eastAsia="zh-CN"/>
              </w:rPr>
            </w:pPr>
            <w:r>
              <w:rPr>
                <w:rFonts w:hint="eastAsia" w:eastAsia="仿宋_GB2312"/>
                <w:kern w:val="0"/>
                <w:szCs w:val="21"/>
                <w:highlight w:val="none"/>
                <w:lang w:val="en-US" w:eastAsia="zh-CN"/>
              </w:rPr>
              <w:t>433360</w:t>
            </w:r>
          </w:p>
        </w:tc>
      </w:tr>
      <w:tr>
        <w:tblPrEx>
          <w:tblLayout w:type="fixed"/>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部门基本支出预算调整</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Cs w:val="21"/>
              </w:rPr>
            </w:pPr>
            <w:r>
              <w:rPr>
                <w:rFonts w:hint="eastAsia" w:eastAsia="仿宋_GB2312"/>
                <w:color w:val="FF0000"/>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Cs w:val="21"/>
              </w:rPr>
            </w:pPr>
            <w:r>
              <w:rPr>
                <w:rFonts w:hint="eastAsia" w:eastAsia="仿宋_GB2312"/>
                <w:color w:val="FF0000"/>
                <w:kern w:val="0"/>
                <w:szCs w:val="21"/>
              </w:rPr>
              <w:t>　</w:t>
            </w:r>
          </w:p>
        </w:tc>
      </w:tr>
      <w:tr>
        <w:tblPrEx>
          <w:tblLayout w:type="fixed"/>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楼堂馆所控制情况</w:t>
            </w:r>
            <w:r>
              <w:rPr>
                <w:rFonts w:eastAsia="仿宋_GB2312"/>
                <w:kern w:val="0"/>
                <w:szCs w:val="21"/>
              </w:rPr>
              <w:br w:type="textWrapping"/>
            </w:r>
            <w:r>
              <w:rPr>
                <w:rFonts w:hint="eastAsia" w:eastAsia="仿宋_GB2312"/>
                <w:kern w:val="0"/>
                <w:szCs w:val="21"/>
              </w:rPr>
              <w:t>（</w:t>
            </w:r>
            <w:r>
              <w:rPr>
                <w:rFonts w:eastAsia="仿宋_GB2312"/>
                <w:kern w:val="0"/>
                <w:szCs w:val="21"/>
              </w:rPr>
              <w:t>20</w:t>
            </w:r>
            <w:r>
              <w:rPr>
                <w:rFonts w:hint="eastAsia" w:eastAsia="仿宋_GB2312"/>
                <w:kern w:val="0"/>
                <w:szCs w:val="21"/>
                <w:lang w:val="en-US" w:eastAsia="zh-CN"/>
              </w:rPr>
              <w:t>21</w:t>
            </w:r>
            <w:r>
              <w:rPr>
                <w:rFonts w:hint="eastAsia" w:eastAsia="仿宋_GB2312"/>
                <w:kern w:val="0"/>
                <w:szCs w:val="21"/>
              </w:rPr>
              <w:t>年完工项目）</w:t>
            </w:r>
          </w:p>
        </w:tc>
        <w:tc>
          <w:tcPr>
            <w:tcW w:w="118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批复规模</w:t>
            </w:r>
            <w:r>
              <w:rPr>
                <w:rFonts w:eastAsia="仿宋_GB2312"/>
                <w:b/>
                <w:bCs/>
                <w:kern w:val="0"/>
                <w:szCs w:val="21"/>
              </w:rPr>
              <w:br w:type="textWrapping"/>
            </w: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Layout w:type="fixed"/>
          <w:tblCellMar>
            <w:top w:w="0" w:type="dxa"/>
            <w:left w:w="108" w:type="dxa"/>
            <w:bottom w:w="0" w:type="dxa"/>
            <w:right w:w="108" w:type="dxa"/>
          </w:tblCellMar>
        </w:tblPrEx>
        <w:trPr>
          <w:trHeight w:val="33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0</w:t>
            </w:r>
          </w:p>
        </w:tc>
        <w:tc>
          <w:tcPr>
            <w:tcW w:w="84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112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111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96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c>
          <w:tcPr>
            <w:tcW w:w="863"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0</w:t>
            </w:r>
          </w:p>
        </w:tc>
      </w:tr>
      <w:tr>
        <w:tblPrEx>
          <w:tblLayout w:type="fixed"/>
          <w:tblCellMar>
            <w:top w:w="0" w:type="dxa"/>
            <w:left w:w="108" w:type="dxa"/>
            <w:bottom w:w="0" w:type="dxa"/>
            <w:right w:w="108" w:type="dxa"/>
          </w:tblCellMar>
        </w:tblPrEx>
        <w:trPr>
          <w:trHeight w:val="85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ascii="仿宋" w:hAnsi="仿宋" w:eastAsia="仿宋" w:cs="仿宋"/>
                <w:sz w:val="18"/>
                <w:szCs w:val="18"/>
                <w:shd w:val="clear" w:color="auto" w:fill="FFFFFF"/>
              </w:rPr>
              <w:t>加强财务管理，严格财务审核。加强单位财务管理，健全单位财务管理制度体系，规范单位财务行为。在费用报账支付时，按照预算规定的费用项目和用途进行资金使用审核、列报支付、财务核算，杜绝超支现象的发生。</w:t>
            </w:r>
            <w:r>
              <w:rPr>
                <w:rFonts w:hint="eastAsia" w:eastAsia="仿宋_GB2312"/>
                <w:kern w:val="0"/>
                <w:sz w:val="18"/>
                <w:szCs w:val="18"/>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sectPr>
      <w:footerReference r:id="rId3" w:type="default"/>
      <w:footerReference r:id="rId4" w:type="even"/>
      <w:pgSz w:w="11906" w:h="16838"/>
      <w:pgMar w:top="1559" w:right="1287" w:bottom="1440" w:left="1622" w:header="851" w:footer="1021" w:gutter="0"/>
      <w:cols w:space="425"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C3008"/>
    <w:rsid w:val="0003350F"/>
    <w:rsid w:val="00041FF7"/>
    <w:rsid w:val="00053AC8"/>
    <w:rsid w:val="00091B01"/>
    <w:rsid w:val="000967CF"/>
    <w:rsid w:val="000A5AA1"/>
    <w:rsid w:val="000C2790"/>
    <w:rsid w:val="00115F30"/>
    <w:rsid w:val="00133659"/>
    <w:rsid w:val="00191481"/>
    <w:rsid w:val="00223AA5"/>
    <w:rsid w:val="0027740E"/>
    <w:rsid w:val="002B0325"/>
    <w:rsid w:val="002B0F48"/>
    <w:rsid w:val="003209DE"/>
    <w:rsid w:val="00320D3F"/>
    <w:rsid w:val="003348D8"/>
    <w:rsid w:val="0034371D"/>
    <w:rsid w:val="003963BE"/>
    <w:rsid w:val="004051E0"/>
    <w:rsid w:val="0042421D"/>
    <w:rsid w:val="00465E16"/>
    <w:rsid w:val="00492D5A"/>
    <w:rsid w:val="004C732E"/>
    <w:rsid w:val="00542CE7"/>
    <w:rsid w:val="006360D0"/>
    <w:rsid w:val="00651D89"/>
    <w:rsid w:val="006A293F"/>
    <w:rsid w:val="006C6679"/>
    <w:rsid w:val="007141E3"/>
    <w:rsid w:val="0075048D"/>
    <w:rsid w:val="0075231A"/>
    <w:rsid w:val="007913B1"/>
    <w:rsid w:val="007961C3"/>
    <w:rsid w:val="007C5AEB"/>
    <w:rsid w:val="007D5687"/>
    <w:rsid w:val="007F452C"/>
    <w:rsid w:val="00824B45"/>
    <w:rsid w:val="00825D60"/>
    <w:rsid w:val="00836EE6"/>
    <w:rsid w:val="008416EB"/>
    <w:rsid w:val="008F2FB1"/>
    <w:rsid w:val="00920862"/>
    <w:rsid w:val="009A1601"/>
    <w:rsid w:val="009C56B4"/>
    <w:rsid w:val="009D4A2F"/>
    <w:rsid w:val="00A364DE"/>
    <w:rsid w:val="00A56181"/>
    <w:rsid w:val="00AD7D86"/>
    <w:rsid w:val="00AF3825"/>
    <w:rsid w:val="00AF6727"/>
    <w:rsid w:val="00B01087"/>
    <w:rsid w:val="00B50FF3"/>
    <w:rsid w:val="00B80F60"/>
    <w:rsid w:val="00BA4F96"/>
    <w:rsid w:val="00BD5B46"/>
    <w:rsid w:val="00BD71CC"/>
    <w:rsid w:val="00BE3020"/>
    <w:rsid w:val="00C43FE7"/>
    <w:rsid w:val="00CA763A"/>
    <w:rsid w:val="00CC3008"/>
    <w:rsid w:val="00CD1C3C"/>
    <w:rsid w:val="00DA2F63"/>
    <w:rsid w:val="00DC6F3D"/>
    <w:rsid w:val="00DF38D3"/>
    <w:rsid w:val="00E25E12"/>
    <w:rsid w:val="00EB3927"/>
    <w:rsid w:val="00ED2940"/>
    <w:rsid w:val="00EF2DF2"/>
    <w:rsid w:val="00F16FB3"/>
    <w:rsid w:val="00F71D6E"/>
    <w:rsid w:val="033168B2"/>
    <w:rsid w:val="055718AE"/>
    <w:rsid w:val="096B5405"/>
    <w:rsid w:val="138F3B76"/>
    <w:rsid w:val="13985EC3"/>
    <w:rsid w:val="17D077E9"/>
    <w:rsid w:val="18323233"/>
    <w:rsid w:val="21DC150C"/>
    <w:rsid w:val="23D37CF7"/>
    <w:rsid w:val="25386C2B"/>
    <w:rsid w:val="34F80718"/>
    <w:rsid w:val="3D0475C5"/>
    <w:rsid w:val="3D6A297A"/>
    <w:rsid w:val="475A0447"/>
    <w:rsid w:val="487B7913"/>
    <w:rsid w:val="4F846A62"/>
    <w:rsid w:val="52B907D6"/>
    <w:rsid w:val="52F62D1C"/>
    <w:rsid w:val="5352178D"/>
    <w:rsid w:val="54F1499C"/>
    <w:rsid w:val="5A360F6C"/>
    <w:rsid w:val="5B2E70FD"/>
    <w:rsid w:val="5CB905F4"/>
    <w:rsid w:val="5CCE5093"/>
    <w:rsid w:val="5D1C3E87"/>
    <w:rsid w:val="60484B86"/>
    <w:rsid w:val="64D640A0"/>
    <w:rsid w:val="653C7A0E"/>
    <w:rsid w:val="66D90F71"/>
    <w:rsid w:val="6C007B57"/>
    <w:rsid w:val="6C0A29D0"/>
    <w:rsid w:val="6E3A1312"/>
    <w:rsid w:val="71F26F56"/>
    <w:rsid w:val="73856DD3"/>
    <w:rsid w:val="7CF6398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name="Hyperlink" w:locked="1"/>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ody Text"/>
    <w:basedOn w:val="1"/>
    <w:link w:val="16"/>
    <w:qFormat/>
    <w:uiPriority w:val="99"/>
    <w:rPr>
      <w:sz w:val="32"/>
    </w:rPr>
  </w:style>
  <w:style w:type="paragraph" w:styleId="4">
    <w:name w:val="Balloon Text"/>
    <w:basedOn w:val="1"/>
    <w:link w:val="20"/>
    <w:semiHidden/>
    <w:qFormat/>
    <w:locked/>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39"/>
    <w:semiHidden/>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locked/>
    <w:uiPriority w:val="99"/>
    <w:pPr>
      <w:jc w:val="left"/>
    </w:pPr>
    <w:rPr>
      <w:rFonts w:hint="eastAsia" w:ascii="微软雅黑" w:hAnsi="微软雅黑" w:eastAsia="微软雅黑"/>
      <w:kern w:val="0"/>
      <w:sz w:val="24"/>
    </w:rPr>
  </w:style>
  <w:style w:type="character" w:styleId="10">
    <w:name w:val="page number"/>
    <w:basedOn w:val="9"/>
    <w:qFormat/>
    <w:uiPriority w:val="99"/>
    <w:rPr>
      <w:rFonts w:cs="Times New Roman"/>
    </w:rPr>
  </w:style>
  <w:style w:type="character" w:styleId="11">
    <w:name w:val="FollowedHyperlink"/>
    <w:basedOn w:val="9"/>
    <w:semiHidden/>
    <w:unhideWhenUsed/>
    <w:qFormat/>
    <w:locked/>
    <w:uiPriority w:val="99"/>
    <w:rPr>
      <w:color w:val="333333"/>
      <w:u w:val="none"/>
    </w:rPr>
  </w:style>
  <w:style w:type="character" w:styleId="12">
    <w:name w:val="Emphasis"/>
    <w:basedOn w:val="9"/>
    <w:qFormat/>
    <w:locked/>
    <w:uiPriority w:val="20"/>
    <w:rPr>
      <w:rFonts w:ascii="微软雅黑" w:hAnsi="微软雅黑" w:eastAsia="微软雅黑" w:cs="微软雅黑"/>
    </w:rPr>
  </w:style>
  <w:style w:type="character" w:styleId="13">
    <w:name w:val="Hyperlink"/>
    <w:basedOn w:val="9"/>
    <w:semiHidden/>
    <w:unhideWhenUsed/>
    <w:qFormat/>
    <w:locked/>
    <w:uiPriority w:val="99"/>
    <w:rPr>
      <w:color w:val="333333"/>
      <w:u w:val="none"/>
    </w:rPr>
  </w:style>
  <w:style w:type="character" w:styleId="14">
    <w:name w:val="annotation reference"/>
    <w:basedOn w:val="9"/>
    <w:qFormat/>
    <w:uiPriority w:val="99"/>
    <w:rPr>
      <w:rFonts w:cs="Times New Roman"/>
      <w:sz w:val="21"/>
      <w:szCs w:val="21"/>
    </w:rPr>
  </w:style>
  <w:style w:type="character" w:customStyle="1" w:styleId="15">
    <w:name w:val="批注文字 Char"/>
    <w:basedOn w:val="9"/>
    <w:link w:val="2"/>
    <w:semiHidden/>
    <w:qFormat/>
    <w:locked/>
    <w:uiPriority w:val="99"/>
    <w:rPr>
      <w:rFonts w:cs="Times New Roman"/>
      <w:sz w:val="24"/>
      <w:szCs w:val="24"/>
    </w:rPr>
  </w:style>
  <w:style w:type="character" w:customStyle="1" w:styleId="16">
    <w:name w:val="正文文本 Char"/>
    <w:basedOn w:val="9"/>
    <w:link w:val="3"/>
    <w:semiHidden/>
    <w:qFormat/>
    <w:locked/>
    <w:uiPriority w:val="99"/>
    <w:rPr>
      <w:rFonts w:cs="Times New Roman"/>
      <w:sz w:val="24"/>
      <w:szCs w:val="24"/>
    </w:rPr>
  </w:style>
  <w:style w:type="paragraph" w:customStyle="1" w:styleId="17">
    <w:name w:val="列出段落1"/>
    <w:basedOn w:val="1"/>
    <w:qFormat/>
    <w:uiPriority w:val="99"/>
    <w:pPr>
      <w:ind w:firstLine="420" w:firstLineChars="200"/>
    </w:pPr>
  </w:style>
  <w:style w:type="paragraph" w:styleId="18">
    <w:name w:val="List Paragraph"/>
    <w:basedOn w:val="1"/>
    <w:qFormat/>
    <w:uiPriority w:val="99"/>
    <w:pPr>
      <w:ind w:firstLine="420" w:firstLineChars="200"/>
    </w:pPr>
  </w:style>
  <w:style w:type="character" w:customStyle="1" w:styleId="19">
    <w:name w:val="页脚 Char"/>
    <w:basedOn w:val="9"/>
    <w:link w:val="5"/>
    <w:semiHidden/>
    <w:qFormat/>
    <w:locked/>
    <w:uiPriority w:val="99"/>
    <w:rPr>
      <w:rFonts w:cs="Times New Roman"/>
      <w:sz w:val="18"/>
      <w:szCs w:val="18"/>
    </w:rPr>
  </w:style>
  <w:style w:type="character" w:customStyle="1" w:styleId="20">
    <w:name w:val="批注框文本 Char"/>
    <w:basedOn w:val="9"/>
    <w:link w:val="4"/>
    <w:semiHidden/>
    <w:qFormat/>
    <w:uiPriority w:val="99"/>
    <w:rPr>
      <w:sz w:val="0"/>
      <w:szCs w:val="0"/>
    </w:rPr>
  </w:style>
  <w:style w:type="character" w:customStyle="1" w:styleId="21">
    <w:name w:val="wx-space"/>
    <w:basedOn w:val="9"/>
    <w:qFormat/>
    <w:uiPriority w:val="0"/>
  </w:style>
  <w:style w:type="character" w:customStyle="1" w:styleId="22">
    <w:name w:val="wx-space1"/>
    <w:basedOn w:val="9"/>
    <w:qFormat/>
    <w:uiPriority w:val="0"/>
  </w:style>
  <w:style w:type="character" w:customStyle="1" w:styleId="23">
    <w:name w:val="after"/>
    <w:basedOn w:val="9"/>
    <w:qFormat/>
    <w:uiPriority w:val="0"/>
    <w:rPr>
      <w:shd w:val="clear" w:color="auto" w:fill="FFFFFF"/>
    </w:rPr>
  </w:style>
  <w:style w:type="character" w:customStyle="1" w:styleId="24">
    <w:name w:val="last"/>
    <w:basedOn w:val="9"/>
    <w:qFormat/>
    <w:uiPriority w:val="0"/>
  </w:style>
  <w:style w:type="character" w:customStyle="1" w:styleId="25">
    <w:name w:val="hover20"/>
    <w:basedOn w:val="9"/>
    <w:qFormat/>
    <w:uiPriority w:val="0"/>
    <w:rPr>
      <w:color w:val="000000"/>
      <w:shd w:val="clear" w:color="auto" w:fill="FFFFFF"/>
    </w:rPr>
  </w:style>
  <w:style w:type="character" w:customStyle="1" w:styleId="26">
    <w:name w:val="text"/>
    <w:basedOn w:val="9"/>
    <w:qFormat/>
    <w:uiPriority w:val="0"/>
    <w:rPr>
      <w:color w:val="666666"/>
    </w:rPr>
  </w:style>
  <w:style w:type="character" w:customStyle="1" w:styleId="27">
    <w:name w:val="a1"/>
    <w:basedOn w:val="9"/>
    <w:qFormat/>
    <w:uiPriority w:val="0"/>
  </w:style>
  <w:style w:type="character" w:customStyle="1" w:styleId="28">
    <w:name w:val="hover29"/>
    <w:basedOn w:val="9"/>
    <w:qFormat/>
    <w:uiPriority w:val="0"/>
    <w:rPr>
      <w:color w:val="000000"/>
      <w:shd w:val="clear" w:color="auto" w:fill="FFFFFF"/>
    </w:rPr>
  </w:style>
  <w:style w:type="character" w:customStyle="1" w:styleId="29">
    <w:name w:val="n4"/>
    <w:basedOn w:val="9"/>
    <w:qFormat/>
    <w:uiPriority w:val="0"/>
  </w:style>
  <w:style w:type="character" w:customStyle="1" w:styleId="30">
    <w:name w:val="a2"/>
    <w:basedOn w:val="9"/>
    <w:qFormat/>
    <w:uiPriority w:val="0"/>
  </w:style>
  <w:style w:type="character" w:customStyle="1" w:styleId="31">
    <w:name w:val="a4"/>
    <w:basedOn w:val="9"/>
    <w:qFormat/>
    <w:uiPriority w:val="0"/>
  </w:style>
  <w:style w:type="character" w:customStyle="1" w:styleId="32">
    <w:name w:val="a3"/>
    <w:basedOn w:val="9"/>
    <w:qFormat/>
    <w:uiPriority w:val="0"/>
  </w:style>
  <w:style w:type="character" w:customStyle="1" w:styleId="33">
    <w:name w:val="n5"/>
    <w:basedOn w:val="9"/>
    <w:qFormat/>
    <w:uiPriority w:val="0"/>
  </w:style>
  <w:style w:type="character" w:customStyle="1" w:styleId="34">
    <w:name w:val="n1"/>
    <w:basedOn w:val="9"/>
    <w:qFormat/>
    <w:uiPriority w:val="0"/>
  </w:style>
  <w:style w:type="character" w:customStyle="1" w:styleId="35">
    <w:name w:val="n2"/>
    <w:basedOn w:val="9"/>
    <w:qFormat/>
    <w:uiPriority w:val="0"/>
  </w:style>
  <w:style w:type="character" w:customStyle="1" w:styleId="36">
    <w:name w:val="n3"/>
    <w:basedOn w:val="9"/>
    <w:qFormat/>
    <w:uiPriority w:val="0"/>
  </w:style>
  <w:style w:type="character" w:customStyle="1" w:styleId="37">
    <w:name w:val="line"/>
    <w:basedOn w:val="9"/>
    <w:qFormat/>
    <w:uiPriority w:val="0"/>
  </w:style>
  <w:style w:type="character" w:customStyle="1" w:styleId="38">
    <w:name w:val="line1"/>
    <w:basedOn w:val="9"/>
    <w:qFormat/>
    <w:uiPriority w:val="0"/>
  </w:style>
  <w:style w:type="character" w:customStyle="1" w:styleId="39">
    <w:name w:val="页眉 Char"/>
    <w:basedOn w:val="9"/>
    <w:link w:val="6"/>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842</Words>
  <Characters>4803</Characters>
  <Lines>40</Lines>
  <Paragraphs>11</Paragraphs>
  <TotalTime>16</TotalTime>
  <ScaleCrop>false</ScaleCrop>
  <LinksUpToDate>false</LinksUpToDate>
  <CharactersWithSpaces>5634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2019-10-10T10:43:00Z</dcterms:created>
  <dc:creator>Administrator</dc:creator>
  <cp:lastModifiedBy>Administrator</cp:lastModifiedBy>
  <cp:lastPrinted>2022-08-01T01:51:00Z</cp:lastPrinted>
  <dcterms:modified xsi:type="dcterms:W3CDTF">2023-04-21T00:12:35Z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9D8D2E5DD28840F69C58CDA2B20A83F1</vt:lpwstr>
  </property>
</Properties>
</file>