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kern w:val="0"/>
          <w:sz w:val="36"/>
          <w:szCs w:val="36"/>
        </w:rPr>
      </w:pPr>
      <w:bookmarkStart w:id="0" w:name="_GoBack"/>
      <w:bookmarkEnd w:id="0"/>
      <w:r>
        <w:rPr>
          <w:rFonts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375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</w:rPr>
        <w:t>衡山县退役军人事务局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>单位：万元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2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5"/>
        <w:gridCol w:w="1188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27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23</w:t>
            </w: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 w:asciiTheme="minorHAnsi" w:hAnsiTheme="minorHAns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 w:asciiTheme="minorHAnsi" w:hAnsiTheme="minorHAns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 w:cs="Times New Roman" w:asciiTheme="minorHAnsi" w:hAnsiTheme="minorHAnsi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三公经费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4.67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11.5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1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其中：公车购置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0　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公车运行维护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0.99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2、出国经费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0　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　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3、公务接待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3.68　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8.5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项目支出：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1、业务工作专项(一个项目一行)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hAnsi="仿宋_GB2312" w:eastAsia="仿宋_GB2312"/>
                <w:kern w:val="0"/>
                <w:szCs w:val="21"/>
              </w:rPr>
              <w:t>服务中心体系建设工作经费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生存核查工作经费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退役军人专场招聘会经费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HAnsi" w:hAnsiTheme="minorHAnsi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公用经费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其中：办公经费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050" w:firstLineChars="5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公务接待费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水费、电费、差旅费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 w:asciiTheme="minorHAnsi" w:hAnsiTheme="minorHAns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会议费、培训费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维护费、工会费、咨询费、邮电费、印刷费、手续费、劳务费、福利费、其他交通费、其他商品服务支出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政府采购金额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部门基本支出预算调整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33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eastAsia="仿宋_GB2312"/>
                <w:kern w:val="0"/>
                <w:szCs w:val="21"/>
              </w:rPr>
              <w:t>楼堂馆所控制情况</w:t>
            </w:r>
          </w:p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（202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批复规模</w:t>
            </w:r>
          </w:p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（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实际规模（</w:t>
            </w:r>
            <w:r>
              <w:rPr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1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规模控制率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预算投资（万元）</w:t>
            </w:r>
          </w:p>
        </w:tc>
        <w:tc>
          <w:tcPr>
            <w:tcW w:w="96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实际投资（万元）</w:t>
            </w:r>
          </w:p>
        </w:tc>
        <w:tc>
          <w:tcPr>
            <w:tcW w:w="86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kern w:val="0"/>
                <w:sz w:val="18"/>
                <w:szCs w:val="18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3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0</w:t>
            </w:r>
          </w:p>
        </w:tc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0</w:t>
            </w:r>
          </w:p>
        </w:tc>
        <w:tc>
          <w:tcPr>
            <w:tcW w:w="112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0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0</w:t>
            </w:r>
          </w:p>
        </w:tc>
        <w:tc>
          <w:tcPr>
            <w:tcW w:w="96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0</w:t>
            </w:r>
          </w:p>
        </w:tc>
        <w:tc>
          <w:tcPr>
            <w:tcW w:w="86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09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加强财务管理，严格财务审核。加强单位财务管理，健全单位财管理制度体系，单位 财务行为。在费用报账支付时，按时预算规定的费用项目和用途进行资金使用审核、列报支付、财务核算，杜绝超支现象的发生。</w:t>
            </w:r>
          </w:p>
        </w:tc>
      </w:tr>
    </w:tbl>
    <w:p>
      <w:r>
        <w:rPr>
          <w:rFonts w:eastAsia="仿宋_GB2312"/>
          <w:kern w:val="0"/>
          <w:sz w:val="22"/>
          <w:szCs w:val="22"/>
        </w:rPr>
        <w:t>说明：“项目支出”需要填报基本支出以外的所有项目支出情况，包括业务工作项目、运行维护项目和市级专项资金等；“公用经费”填报基本支出中的一般商品和服务支出。</w: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jFhNzY1MWEzMWM0NGM2NmMxMWVmYzE5NjhjNGYifQ=="/>
  </w:docVars>
  <w:rsids>
    <w:rsidRoot w:val="00000000"/>
    <w:rsid w:val="0ED65C38"/>
    <w:rsid w:val="38914135"/>
    <w:rsid w:val="74B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669</Characters>
  <Lines>0</Lines>
  <Paragraphs>0</Paragraphs>
  <TotalTime>1</TotalTime>
  <ScaleCrop>false</ScaleCrop>
  <LinksUpToDate>false</LinksUpToDate>
  <CharactersWithSpaces>759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2023-04-20T09:12:00Z</dcterms:created>
  <dc:creator>Administrator</dc:creator>
  <cp:lastModifiedBy>孤独换杯酒</cp:lastModifiedBy>
  <dcterms:modified xsi:type="dcterms:W3CDTF">2023-09-26T07:51:14Z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4557A9F01C804D7FB094078E0B933F34_13</vt:lpwstr>
  </property>
</Properties>
</file>