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rPr>
        <w:t>2</w:t>
      </w:r>
      <w:r>
        <w:rPr>
          <w:rFonts w:hint="eastAsia" w:ascii="方正小标宋_GBK" w:eastAsia="方正小标宋_GBK"/>
          <w:sz w:val="48"/>
          <w:szCs w:val="48"/>
          <w:lang w:val="en-US" w:eastAsia="zh-CN"/>
        </w:rPr>
        <w:t>2</w:t>
      </w:r>
      <w:r>
        <w:rPr>
          <w:rFonts w:hint="eastAsia" w:ascii="方正小标宋_GBK" w:eastAsia="方正小标宋_GBK"/>
          <w:sz w:val="48"/>
          <w:szCs w:val="48"/>
        </w:rPr>
        <w:t>年度部门整体支出绩效自评报告</w:t>
      </w:r>
    </w:p>
    <w:p>
      <w:pP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eastAsia="zh-CN"/>
        </w:rPr>
        <w:t>衡山县</w:t>
      </w:r>
      <w:r>
        <w:rPr>
          <w:rFonts w:hint="eastAsia" w:ascii="黑体" w:eastAsia="黑体"/>
          <w:sz w:val="44"/>
          <w:szCs w:val="44"/>
        </w:rPr>
        <w:t>文化旅游广电体育局</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r>
        <w:rPr>
          <w:rFonts w:hint="eastAsia" w:ascii="仿宋_GB2312" w:eastAsia="仿宋_GB2312"/>
          <w:sz w:val="32"/>
          <w:szCs w:val="32"/>
        </w:rPr>
        <w:t>（此页为封面）</w:t>
      </w: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ind w:firstLine="582" w:firstLineChars="200"/>
        <w:rPr>
          <w:rFonts w:ascii="黑体" w:hAnsi="黑体" w:eastAsia="黑体" w:cs="黑体"/>
          <w:b/>
          <w:bCs/>
          <w:sz w:val="30"/>
          <w:szCs w:val="32"/>
        </w:rPr>
      </w:pPr>
      <w:r>
        <w:rPr>
          <w:rFonts w:hint="eastAsia" w:ascii="黑体" w:hAnsi="黑体" w:eastAsia="黑体" w:cs="黑体"/>
          <w:b/>
          <w:bCs/>
          <w:sz w:val="30"/>
          <w:szCs w:val="32"/>
        </w:rPr>
        <w:t>一、部门、单位基本情况</w:t>
      </w:r>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（一）单位主要职责</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1、贯彻党和国家有关文化(文物)、体育、广播电影电视、新闻出版、版权管理(以下简称文体广新)工作的方针政策和法律法规;拟订全县文体广新工作的有关规范性文件及发展规划，并组织实施。</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2、指导、推进文化、体育、广播电影电视、新闻出版领域体制改革、机制创新，推动多元化文化体育广电新闻出版服务体系建设。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3、推进文化、体育、广播电影电视、新闻出版(版权)领域的公共服务，会同有关部门统筹安排文体广新相关事业经费；规划、指导全县文化体育广电新闻出版产品生产；组织、指导、协调全县重点公共文化、体育、广播电影电视、新闻出版设施建设和基层公共文化、体育设施建设；负责指导公共图书馆、文化馆（站）、美术馆、博物馆、纪念馆、体育场（馆）等基层公共文化体育事业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4、管理全县文化、体育、艺术事业；指导、协调艺术创作与艺术生产；扶植地方性、代表性、示范性、实验性文化艺术品种和体育项目，推动各门类艺术的发展;管理、指导艺术教育事业；指导、组织、协调全县性重大文化和体育活动。</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5、指导、监督管理全县文化市场综合执法和文物行政执法工作；监管全县文体广新市场经营活动；负责对从事演艺活动的民办机构和网络游戏服务进行监管（不含网络游戏的网上出版前置审批）；承担县“扫黄打非”工作小组办公室的日常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6、统筹规划全县群众体育发展；负责推行全民健身计划，指导群众性体育活动的开展，指导县直机关、企事业单位群众体育机构和队伍建设，监督实施国家体育锻炼标准；推动国民体质监测和社会体育指导工作队伍制度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7、制定全县竞技体育发展规划，研究全县体育竞赛项目的设置与布局，组织管理体育训练、体育竞赛、运动队伍建设，协调运动员社会保障工作；统筹规划青少年体育发展，加强体育后备人才建设，指导和推进青少年体育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8、指导和监督全县广播电影电视事业，实施准入和退出管理；拟订全县广播电影电视发展规划；负责对全县广播电视播出机构所播出的节目内容、质量及传输、监测、播出、覆盖等进行监管；负责对从事广播电影电视节目制作的民办机构进行监管；负责对广播电影电视节目的进口和收录进行监管；指导全县广播影视事业建设并实施行业管理;指导、协调电信网、广播电视网、互联网融合中的相关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9、管理和指导全县电影发行、放映工作；拟订全县电影发行放映事业的发展规划和市场管理办法，并组织实施。</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10、管理全县出版行业及印刷复制行业；负责对全县出版、印刷、复制、发行单位进行监管；负责对全县出版内容（包括电子出版活动、互联网出版活动等数字出版物内容）进行监管；负责全县新闻单位记者证的审核、报批、管理工作；负责全县报刊社及内部刊物的监管；负责全县著作权行政管理工作；负责全县软件正版化工作；根据上级新闻出版部门委托实施相关事项的管理。</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11、管理全县文物、博物事业；协调和指导全县文物的保护、管理和利用工作；管理全县非物质文化遗产保护工作，拟订非物质文化遗产保护规划并组织实施；负责优秀民族文化的传承普及工作。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12、指导、协调全县文体广新系统产业的建设和发展，推进产业交流与合作；拟订全县动漫、游戏产业发展规划，指导、协调全县动漫、游戏产业发展；指导、管理对外文化体育交流与合作。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13、指导、协调全县文体广新领域有关单位和部门执行相关技术标准，推进科技信息建设。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14、拟订全县文体广新系统人才教育、培训规划并组织实施;负责相关系列专业技术职称评审工作。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15、承办县人民政府交办的其他事项。</w:t>
      </w:r>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（二）机构设置及人员情况</w:t>
      </w:r>
    </w:p>
    <w:p>
      <w:pPr>
        <w:widowControl/>
        <w:shd w:val="clear" w:color="auto" w:fill="FFFFFF"/>
        <w:spacing w:line="420" w:lineRule="atLeast"/>
        <w:ind w:left="640" w:firstLine="678" w:firstLineChars="250"/>
        <w:jc w:val="left"/>
        <w:textAlignment w:val="bottom"/>
        <w:rPr>
          <w:rFonts w:ascii="仿宋" w:hAnsi="仿宋" w:eastAsia="仿宋"/>
          <w:sz w:val="28"/>
          <w:szCs w:val="28"/>
        </w:rPr>
      </w:pPr>
      <w:r>
        <w:rPr>
          <w:rFonts w:hint="eastAsia" w:ascii="仿宋" w:hAnsi="仿宋" w:eastAsia="仿宋"/>
          <w:color w:val="000000"/>
          <w:sz w:val="28"/>
          <w:szCs w:val="28"/>
        </w:rPr>
        <w:t>衡山县</w:t>
      </w:r>
      <w:r>
        <w:rPr>
          <w:rFonts w:ascii="仿宋" w:hAnsi="仿宋" w:eastAsia="仿宋"/>
          <w:color w:val="000000"/>
          <w:sz w:val="28"/>
          <w:szCs w:val="28"/>
        </w:rPr>
        <w:t>文化旅游广电体育局</w:t>
      </w:r>
      <w:r>
        <w:rPr>
          <w:rFonts w:ascii="仿宋" w:hAnsi="仿宋" w:eastAsia="仿宋"/>
          <w:sz w:val="28"/>
          <w:szCs w:val="28"/>
        </w:rPr>
        <w:t>是</w:t>
      </w:r>
      <w:r>
        <w:rPr>
          <w:rFonts w:ascii="仿宋" w:hAnsi="仿宋" w:eastAsia="仿宋"/>
          <w:color w:val="000000"/>
          <w:sz w:val="28"/>
          <w:szCs w:val="28"/>
        </w:rPr>
        <w:t>正科</w:t>
      </w:r>
      <w:r>
        <w:rPr>
          <w:rFonts w:ascii="仿宋" w:hAnsi="仿宋" w:eastAsia="仿宋"/>
          <w:sz w:val="28"/>
          <w:szCs w:val="28"/>
        </w:rPr>
        <w:t>级</w:t>
      </w:r>
      <w:r>
        <w:rPr>
          <w:rFonts w:hint="eastAsia" w:ascii="仿宋" w:hAnsi="仿宋" w:eastAsia="仿宋"/>
          <w:color w:val="000000"/>
          <w:sz w:val="28"/>
          <w:szCs w:val="28"/>
        </w:rPr>
        <w:t>全</w:t>
      </w:r>
      <w:r>
        <w:rPr>
          <w:rFonts w:ascii="仿宋" w:hAnsi="仿宋" w:eastAsia="仿宋"/>
          <w:color w:val="000000"/>
          <w:sz w:val="28"/>
          <w:szCs w:val="28"/>
        </w:rPr>
        <w:t>额</w:t>
      </w:r>
      <w:r>
        <w:rPr>
          <w:rFonts w:ascii="仿宋" w:hAnsi="仿宋" w:eastAsia="仿宋"/>
          <w:sz w:val="28"/>
          <w:szCs w:val="28"/>
        </w:rPr>
        <w:t>拨款单位，</w:t>
      </w:r>
      <w:r>
        <w:rPr>
          <w:rFonts w:hint="eastAsia" w:ascii="仿宋" w:hAnsi="仿宋" w:eastAsia="仿宋"/>
          <w:sz w:val="28"/>
          <w:szCs w:val="28"/>
        </w:rPr>
        <w:t>内设机构13个（办公室、人事股、行政审批服务股、公共文化服务股、文化艺术股、文化遗产股、产业规划发展股、旅游管理股、市场管理股、</w:t>
      </w:r>
      <w:r>
        <w:rPr>
          <w:rFonts w:hint="eastAsia" w:ascii="仿宋" w:hAnsi="仿宋" w:eastAsia="仿宋"/>
          <w:bCs/>
          <w:sz w:val="28"/>
          <w:szCs w:val="28"/>
        </w:rPr>
        <w:t>广播电视管理股</w:t>
      </w:r>
      <w:r>
        <w:rPr>
          <w:rFonts w:hint="eastAsia" w:ascii="仿宋" w:hAnsi="仿宋" w:eastAsia="仿宋"/>
          <w:sz w:val="28"/>
          <w:szCs w:val="28"/>
        </w:rPr>
        <w:t>、群体竟训股、计划财务股、宣传信息股），</w:t>
      </w:r>
      <w:r>
        <w:rPr>
          <w:rFonts w:ascii="仿宋" w:hAnsi="仿宋" w:eastAsia="仿宋"/>
          <w:sz w:val="28"/>
          <w:szCs w:val="28"/>
        </w:rPr>
        <w:t>有二级预算单位</w:t>
      </w:r>
      <w:r>
        <w:rPr>
          <w:rFonts w:ascii="仿宋" w:hAnsi="仿宋" w:eastAsia="仿宋"/>
          <w:color w:val="000000"/>
          <w:sz w:val="28"/>
          <w:szCs w:val="28"/>
        </w:rPr>
        <w:t>1</w:t>
      </w:r>
      <w:r>
        <w:rPr>
          <w:rFonts w:ascii="仿宋" w:hAnsi="仿宋" w:eastAsia="仿宋"/>
          <w:sz w:val="28"/>
          <w:szCs w:val="28"/>
        </w:rPr>
        <w:t>个，共有编制</w:t>
      </w:r>
      <w:r>
        <w:rPr>
          <w:rFonts w:hint="eastAsia" w:ascii="仿宋" w:hAnsi="仿宋" w:eastAsia="仿宋"/>
          <w:color w:val="000000"/>
          <w:sz w:val="28"/>
          <w:szCs w:val="28"/>
        </w:rPr>
        <w:t>8</w:t>
      </w:r>
      <w:r>
        <w:rPr>
          <w:rFonts w:hint="eastAsia" w:ascii="仿宋" w:hAnsi="仿宋" w:eastAsia="仿宋"/>
          <w:color w:val="000000"/>
          <w:sz w:val="28"/>
          <w:szCs w:val="28"/>
          <w:lang w:val="en-US" w:eastAsia="zh-CN"/>
        </w:rPr>
        <w:t>4</w:t>
      </w:r>
      <w:r>
        <w:rPr>
          <w:rFonts w:ascii="仿宋" w:hAnsi="仿宋" w:eastAsia="仿宋"/>
          <w:sz w:val="28"/>
          <w:szCs w:val="28"/>
        </w:rPr>
        <w:t>名，实有人数</w:t>
      </w:r>
      <w:r>
        <w:rPr>
          <w:rFonts w:hint="eastAsia" w:ascii="仿宋" w:hAnsi="仿宋" w:eastAsia="仿宋"/>
          <w:sz w:val="28"/>
          <w:szCs w:val="28"/>
        </w:rPr>
        <w:t>136</w:t>
      </w:r>
      <w:r>
        <w:rPr>
          <w:rFonts w:ascii="仿宋" w:hAnsi="仿宋" w:eastAsia="仿宋"/>
          <w:sz w:val="28"/>
          <w:szCs w:val="28"/>
        </w:rPr>
        <w:t>人，其中财政供养在职</w:t>
      </w:r>
      <w:r>
        <w:rPr>
          <w:rFonts w:ascii="仿宋" w:hAnsi="仿宋" w:eastAsia="仿宋"/>
          <w:color w:val="000000"/>
          <w:sz w:val="28"/>
          <w:szCs w:val="28"/>
        </w:rPr>
        <w:t>8</w:t>
      </w:r>
      <w:r>
        <w:rPr>
          <w:rFonts w:hint="eastAsia" w:ascii="仿宋" w:hAnsi="仿宋" w:eastAsia="仿宋"/>
          <w:color w:val="000000"/>
          <w:sz w:val="28"/>
          <w:szCs w:val="28"/>
          <w:lang w:val="en-US" w:eastAsia="zh-CN"/>
        </w:rPr>
        <w:t>4</w:t>
      </w:r>
      <w:r>
        <w:rPr>
          <w:rFonts w:ascii="仿宋" w:hAnsi="仿宋" w:eastAsia="仿宋"/>
          <w:sz w:val="28"/>
          <w:szCs w:val="28"/>
        </w:rPr>
        <w:t>人 、离退休</w:t>
      </w:r>
      <w:r>
        <w:rPr>
          <w:rFonts w:ascii="仿宋" w:hAnsi="仿宋" w:eastAsia="仿宋"/>
          <w:color w:val="000000"/>
          <w:sz w:val="28"/>
          <w:szCs w:val="28"/>
        </w:rPr>
        <w:t>5</w:t>
      </w:r>
      <w:r>
        <w:rPr>
          <w:rFonts w:hint="eastAsia" w:ascii="仿宋" w:hAnsi="仿宋" w:eastAsia="仿宋"/>
          <w:color w:val="000000"/>
          <w:sz w:val="28"/>
          <w:szCs w:val="28"/>
          <w:lang w:val="en-US" w:eastAsia="zh-CN"/>
        </w:rPr>
        <w:t>5</w:t>
      </w:r>
      <w:r>
        <w:rPr>
          <w:rFonts w:ascii="仿宋" w:hAnsi="仿宋" w:eastAsia="仿宋"/>
          <w:color w:val="000000"/>
          <w:sz w:val="28"/>
          <w:szCs w:val="28"/>
        </w:rPr>
        <w:t>.00</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rPr>
        <w:t>现有车辆</w:t>
      </w:r>
      <w:r>
        <w:rPr>
          <w:rFonts w:ascii="仿宋" w:hAnsi="仿宋" w:eastAsia="仿宋"/>
          <w:color w:val="000000"/>
          <w:sz w:val="28"/>
          <w:szCs w:val="28"/>
        </w:rPr>
        <w:t>1</w:t>
      </w:r>
      <w:r>
        <w:rPr>
          <w:rFonts w:ascii="仿宋" w:hAnsi="仿宋" w:eastAsia="仿宋"/>
          <w:sz w:val="28"/>
          <w:szCs w:val="28"/>
        </w:rPr>
        <w:t>台。</w:t>
      </w:r>
    </w:p>
    <w:p>
      <w:pPr>
        <w:widowControl/>
        <w:shd w:val="clear" w:color="auto" w:fill="FFFFFF"/>
        <w:spacing w:line="420" w:lineRule="atLeast"/>
        <w:ind w:left="640"/>
        <w:jc w:val="left"/>
        <w:textAlignment w:val="bottom"/>
        <w:rPr>
          <w:rFonts w:ascii="黑体" w:hAnsi="黑体" w:eastAsia="黑体" w:cs="黑体"/>
          <w:b/>
          <w:bCs/>
          <w:sz w:val="30"/>
          <w:szCs w:val="32"/>
        </w:rPr>
      </w:pPr>
      <w:r>
        <w:rPr>
          <w:rFonts w:hint="eastAsia" w:ascii="黑体" w:hAnsi="黑体" w:eastAsia="黑体"/>
          <w:sz w:val="30"/>
          <w:szCs w:val="30"/>
        </w:rPr>
        <w:t>二、</w:t>
      </w:r>
      <w:r>
        <w:rPr>
          <w:rFonts w:hint="eastAsia" w:ascii="黑体" w:hAnsi="黑体" w:eastAsia="黑体" w:cs="黑体"/>
          <w:b/>
          <w:bCs/>
          <w:sz w:val="30"/>
          <w:szCs w:val="32"/>
        </w:rPr>
        <w:t>基本支出情况</w:t>
      </w:r>
    </w:p>
    <w:p>
      <w:pPr>
        <w:widowControl/>
        <w:shd w:val="clear" w:color="auto" w:fill="FFFFFF"/>
        <w:spacing w:line="420" w:lineRule="atLeast"/>
        <w:ind w:firstLine="873" w:firstLineChars="300"/>
        <w:jc w:val="left"/>
        <w:textAlignment w:val="bottom"/>
        <w:rPr>
          <w:rFonts w:eastAsia="仿宋"/>
          <w:kern w:val="0"/>
          <w:sz w:val="30"/>
          <w:szCs w:val="28"/>
        </w:rPr>
      </w:pPr>
      <w:r>
        <w:rPr>
          <w:rFonts w:hint="eastAsia" w:ascii="仿宋" w:hAnsi="仿宋" w:eastAsia="仿宋" w:cs="Calibri"/>
          <w:color w:val="000000"/>
          <w:kern w:val="0"/>
          <w:sz w:val="30"/>
          <w:szCs w:val="32"/>
        </w:rPr>
        <w:t>根据山财预</w:t>
      </w:r>
      <w:r>
        <w:rPr>
          <w:rFonts w:hint="eastAsia" w:ascii="仿宋" w:hAnsi="仿宋" w:eastAsia="仿宋" w:cs="Calibri"/>
          <w:color w:val="000000"/>
          <w:kern w:val="0"/>
          <w:sz w:val="30"/>
          <w:szCs w:val="32"/>
          <w:lang w:eastAsia="zh-CN"/>
        </w:rPr>
        <w:t>字</w:t>
      </w:r>
      <w:r>
        <w:rPr>
          <w:rFonts w:hint="eastAsia" w:ascii="仿宋" w:hAnsi="仿宋" w:eastAsia="仿宋" w:cs="Calibri"/>
          <w:color w:val="000000"/>
          <w:kern w:val="0"/>
          <w:sz w:val="30"/>
          <w:szCs w:val="32"/>
        </w:rPr>
        <w:t>【202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w:t>
      </w:r>
      <w:r>
        <w:rPr>
          <w:rFonts w:hint="eastAsia" w:ascii="仿宋" w:hAnsi="仿宋" w:eastAsia="仿宋" w:cs="Calibri"/>
          <w:color w:val="000000"/>
          <w:kern w:val="0"/>
          <w:sz w:val="30"/>
          <w:szCs w:val="32"/>
          <w:lang w:val="en-US" w:eastAsia="zh-CN"/>
        </w:rPr>
        <w:t>58</w:t>
      </w:r>
      <w:r>
        <w:rPr>
          <w:rFonts w:hint="eastAsia" w:ascii="仿宋" w:hAnsi="仿宋" w:eastAsia="仿宋" w:cs="Calibri"/>
          <w:color w:val="000000"/>
          <w:kern w:val="0"/>
          <w:sz w:val="30"/>
          <w:szCs w:val="32"/>
        </w:rPr>
        <w:t>号文件，衡山县文旅广体部门202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年收入预算</w:t>
      </w:r>
      <w:r>
        <w:rPr>
          <w:rFonts w:hint="eastAsia" w:ascii="仿宋" w:hAnsi="仿宋" w:eastAsia="仿宋" w:cs="Calibri"/>
          <w:color w:val="000000"/>
          <w:kern w:val="0"/>
          <w:sz w:val="30"/>
          <w:szCs w:val="32"/>
          <w:lang w:val="en-US" w:eastAsia="zh-CN"/>
        </w:rPr>
        <w:t>1362.30</w:t>
      </w:r>
      <w:r>
        <w:rPr>
          <w:rFonts w:hint="eastAsia" w:ascii="仿宋" w:hAnsi="仿宋" w:eastAsia="仿宋" w:cs="Calibri"/>
          <w:color w:val="000000"/>
          <w:kern w:val="0"/>
          <w:sz w:val="30"/>
          <w:szCs w:val="32"/>
        </w:rPr>
        <w:t>万元，其中：一般公共预算财政拨款</w:t>
      </w:r>
      <w:r>
        <w:rPr>
          <w:rFonts w:hint="eastAsia" w:ascii="仿宋" w:hAnsi="仿宋" w:eastAsia="仿宋" w:cs="Calibri"/>
          <w:color w:val="000000"/>
          <w:kern w:val="0"/>
          <w:sz w:val="30"/>
          <w:szCs w:val="32"/>
          <w:lang w:val="en-US" w:eastAsia="zh-CN"/>
        </w:rPr>
        <w:t>1332.30</w:t>
      </w:r>
      <w:r>
        <w:rPr>
          <w:rFonts w:hint="eastAsia" w:ascii="仿宋" w:hAnsi="仿宋" w:eastAsia="仿宋" w:cs="Calibri"/>
          <w:color w:val="000000"/>
          <w:kern w:val="0"/>
          <w:sz w:val="30"/>
          <w:szCs w:val="32"/>
        </w:rPr>
        <w:t>万元，纳入预算管理的非税收入拨款</w:t>
      </w:r>
      <w:r>
        <w:rPr>
          <w:rFonts w:hint="eastAsia" w:ascii="仿宋" w:hAnsi="仿宋" w:eastAsia="仿宋" w:cs="Calibri"/>
          <w:color w:val="000000"/>
          <w:kern w:val="0"/>
          <w:sz w:val="30"/>
          <w:szCs w:val="32"/>
          <w:lang w:val="en-US" w:eastAsia="zh-CN"/>
        </w:rPr>
        <w:t>30</w:t>
      </w:r>
      <w:r>
        <w:rPr>
          <w:rFonts w:hint="eastAsia" w:ascii="仿宋" w:hAnsi="仿宋" w:eastAsia="仿宋" w:cs="Calibri"/>
          <w:color w:val="000000"/>
          <w:kern w:val="0"/>
          <w:sz w:val="30"/>
          <w:szCs w:val="32"/>
        </w:rPr>
        <w:t>万元。全年支出预算总计</w:t>
      </w:r>
      <w:r>
        <w:rPr>
          <w:rFonts w:hint="eastAsia" w:ascii="仿宋" w:hAnsi="仿宋" w:eastAsia="仿宋" w:cs="Calibri"/>
          <w:color w:val="000000"/>
          <w:kern w:val="0"/>
          <w:sz w:val="30"/>
          <w:szCs w:val="32"/>
          <w:lang w:val="en-US" w:eastAsia="zh-CN"/>
        </w:rPr>
        <w:t>1362.30</w:t>
      </w:r>
      <w:r>
        <w:rPr>
          <w:rFonts w:hint="eastAsia" w:ascii="仿宋" w:hAnsi="仿宋" w:eastAsia="仿宋" w:cs="Calibri"/>
          <w:color w:val="000000"/>
          <w:kern w:val="0"/>
          <w:sz w:val="30"/>
          <w:szCs w:val="32"/>
        </w:rPr>
        <w:t>万元，其中基本支出</w:t>
      </w:r>
      <w:r>
        <w:rPr>
          <w:rFonts w:hint="eastAsia" w:ascii="仿宋" w:hAnsi="仿宋" w:eastAsia="仿宋" w:cs="Calibri"/>
          <w:color w:val="000000"/>
          <w:kern w:val="0"/>
          <w:sz w:val="30"/>
          <w:szCs w:val="32"/>
          <w:lang w:val="en-US" w:eastAsia="zh-CN"/>
        </w:rPr>
        <w:t>920.76</w:t>
      </w:r>
      <w:r>
        <w:rPr>
          <w:rFonts w:hint="eastAsia" w:ascii="仿宋" w:hAnsi="仿宋" w:eastAsia="仿宋" w:cs="Calibri"/>
          <w:color w:val="000000"/>
          <w:kern w:val="0"/>
          <w:sz w:val="30"/>
          <w:szCs w:val="32"/>
        </w:rPr>
        <w:t>万元（工资福利支出</w:t>
      </w:r>
      <w:r>
        <w:rPr>
          <w:rFonts w:hint="eastAsia" w:ascii="仿宋" w:hAnsi="仿宋" w:eastAsia="仿宋" w:cs="Calibri"/>
          <w:color w:val="000000"/>
          <w:kern w:val="0"/>
          <w:sz w:val="30"/>
          <w:szCs w:val="32"/>
          <w:lang w:val="en-US" w:eastAsia="zh-CN"/>
        </w:rPr>
        <w:t>778.61</w:t>
      </w:r>
      <w:r>
        <w:rPr>
          <w:rFonts w:hint="eastAsia" w:ascii="仿宋" w:hAnsi="仿宋" w:eastAsia="仿宋" w:cs="Calibri"/>
          <w:color w:val="000000"/>
          <w:kern w:val="0"/>
          <w:sz w:val="30"/>
          <w:szCs w:val="32"/>
        </w:rPr>
        <w:t>万元、一般商品和服务支出</w:t>
      </w:r>
      <w:r>
        <w:rPr>
          <w:rFonts w:hint="eastAsia" w:ascii="仿宋" w:hAnsi="仿宋" w:eastAsia="仿宋" w:cs="Calibri"/>
          <w:color w:val="000000"/>
          <w:kern w:val="0"/>
          <w:sz w:val="30"/>
          <w:szCs w:val="32"/>
          <w:lang w:val="en-US" w:eastAsia="zh-CN"/>
        </w:rPr>
        <w:t>123.94</w:t>
      </w:r>
      <w:r>
        <w:rPr>
          <w:rFonts w:hint="eastAsia" w:ascii="仿宋" w:hAnsi="仿宋" w:eastAsia="仿宋" w:cs="Calibri"/>
          <w:color w:val="000000"/>
          <w:kern w:val="0"/>
          <w:sz w:val="30"/>
          <w:szCs w:val="32"/>
        </w:rPr>
        <w:t>万元、对个人和家庭的补助</w:t>
      </w:r>
      <w:r>
        <w:rPr>
          <w:rFonts w:hint="eastAsia" w:ascii="仿宋" w:hAnsi="仿宋" w:eastAsia="仿宋" w:cs="Calibri"/>
          <w:color w:val="000000"/>
          <w:kern w:val="0"/>
          <w:sz w:val="30"/>
          <w:szCs w:val="32"/>
          <w:lang w:val="en-US" w:eastAsia="zh-CN"/>
        </w:rPr>
        <w:t>18.21</w:t>
      </w:r>
      <w:r>
        <w:rPr>
          <w:rFonts w:hint="eastAsia" w:ascii="仿宋" w:hAnsi="仿宋" w:eastAsia="仿宋" w:cs="Calibri"/>
          <w:color w:val="000000"/>
          <w:kern w:val="0"/>
          <w:sz w:val="30"/>
          <w:szCs w:val="32"/>
        </w:rPr>
        <w:t>万元）、项目支出</w:t>
      </w:r>
      <w:r>
        <w:rPr>
          <w:rFonts w:hint="eastAsia" w:ascii="仿宋" w:hAnsi="仿宋" w:eastAsia="仿宋" w:cs="Calibri"/>
          <w:color w:val="000000"/>
          <w:kern w:val="0"/>
          <w:sz w:val="30"/>
          <w:szCs w:val="32"/>
          <w:lang w:val="en-US" w:eastAsia="zh-CN"/>
        </w:rPr>
        <w:t>441.54</w:t>
      </w:r>
      <w:r>
        <w:rPr>
          <w:rFonts w:hint="eastAsia" w:ascii="仿宋" w:hAnsi="仿宋" w:eastAsia="仿宋" w:cs="Calibri"/>
          <w:color w:val="000000"/>
          <w:kern w:val="0"/>
          <w:sz w:val="30"/>
          <w:szCs w:val="32"/>
        </w:rPr>
        <w:t>万元。</w:t>
      </w:r>
    </w:p>
    <w:p>
      <w:pPr>
        <w:pStyle w:val="9"/>
        <w:widowControl/>
        <w:spacing w:line="600" w:lineRule="exact"/>
        <w:ind w:firstLine="582"/>
        <w:rPr>
          <w:rFonts w:ascii="黑体" w:hAnsi="黑体" w:eastAsia="黑体" w:cs="黑体"/>
          <w:b/>
          <w:bCs/>
          <w:sz w:val="30"/>
          <w:szCs w:val="32"/>
        </w:rPr>
      </w:pPr>
      <w:r>
        <w:rPr>
          <w:rFonts w:hint="eastAsia" w:ascii="黑体" w:hAnsi="黑体" w:eastAsia="黑体" w:cs="黑体"/>
          <w:b/>
          <w:bCs/>
          <w:sz w:val="30"/>
          <w:szCs w:val="32"/>
        </w:rPr>
        <w:t>三、项目支出情况</w:t>
      </w:r>
    </w:p>
    <w:p>
      <w:pPr>
        <w:widowControl/>
        <w:spacing w:line="600" w:lineRule="exact"/>
        <w:ind w:firstLine="582" w:firstLineChars="200"/>
        <w:jc w:val="left"/>
        <w:rPr>
          <w:rFonts w:ascii="仿宋" w:hAnsi="仿宋" w:eastAsia="仿宋" w:cs="宋体"/>
          <w:color w:val="333333"/>
          <w:kern w:val="0"/>
          <w:sz w:val="30"/>
          <w:szCs w:val="30"/>
        </w:rPr>
      </w:pPr>
      <w:r>
        <w:rPr>
          <w:rFonts w:hint="eastAsia" w:ascii="仿宋" w:hAnsi="仿宋" w:eastAsia="仿宋" w:cs="SimSun-Identity-H"/>
          <w:color w:val="000000"/>
          <w:kern w:val="0"/>
          <w:sz w:val="30"/>
          <w:szCs w:val="32"/>
        </w:rPr>
        <w:t>根据《财政部关于印发&lt;财政支出绩效评价管理暂行办法&gt;的通知》（财预〔</w:t>
      </w:r>
      <w:r>
        <w:rPr>
          <w:rFonts w:hint="eastAsia" w:eastAsia="仿宋"/>
          <w:color w:val="000000"/>
          <w:kern w:val="0"/>
          <w:sz w:val="30"/>
          <w:szCs w:val="32"/>
        </w:rPr>
        <w:t>2011〕285</w:t>
      </w:r>
      <w:r>
        <w:rPr>
          <w:rFonts w:hint="eastAsia" w:ascii="仿宋" w:hAnsi="仿宋" w:eastAsia="仿宋" w:cs="SimSun-Identity-H"/>
          <w:color w:val="000000"/>
          <w:kern w:val="0"/>
          <w:sz w:val="30"/>
          <w:szCs w:val="32"/>
        </w:rPr>
        <w:t>号）、《湖南省人民政府关于深化预算管理制度改革的实施意见》（湘政发</w:t>
      </w:r>
      <w:r>
        <w:rPr>
          <w:rFonts w:eastAsia="仿宋"/>
          <w:color w:val="000000"/>
          <w:kern w:val="0"/>
          <w:sz w:val="30"/>
          <w:szCs w:val="32"/>
        </w:rPr>
        <w:t>〔201</w:t>
      </w:r>
      <w:r>
        <w:rPr>
          <w:rFonts w:hint="eastAsia" w:eastAsia="仿宋"/>
          <w:color w:val="000000"/>
          <w:kern w:val="0"/>
          <w:sz w:val="30"/>
          <w:szCs w:val="32"/>
        </w:rPr>
        <w:t>5</w:t>
      </w:r>
      <w:r>
        <w:rPr>
          <w:rFonts w:eastAsia="仿宋"/>
          <w:color w:val="000000"/>
          <w:kern w:val="0"/>
          <w:sz w:val="30"/>
          <w:szCs w:val="32"/>
        </w:rPr>
        <w:t>〕</w:t>
      </w:r>
      <w:r>
        <w:rPr>
          <w:rFonts w:hint="eastAsia" w:eastAsia="仿宋"/>
          <w:color w:val="000000"/>
          <w:kern w:val="0"/>
          <w:sz w:val="30"/>
          <w:szCs w:val="32"/>
        </w:rPr>
        <w:t>8</w:t>
      </w:r>
      <w:r>
        <w:rPr>
          <w:rFonts w:eastAsia="仿宋"/>
          <w:color w:val="000000"/>
          <w:kern w:val="0"/>
          <w:sz w:val="30"/>
          <w:szCs w:val="32"/>
        </w:rPr>
        <w:t>号</w:t>
      </w:r>
      <w:r>
        <w:rPr>
          <w:rFonts w:hint="eastAsia" w:ascii="仿宋" w:hAnsi="仿宋" w:eastAsia="仿宋" w:cs="SimSun-Identity-H"/>
          <w:color w:val="000000"/>
          <w:kern w:val="0"/>
          <w:sz w:val="30"/>
          <w:szCs w:val="32"/>
        </w:rPr>
        <w:t>）、《湖南省文化综合发展专项资金管理办法》（湘财教〔2015〕54号）、《衡山县县级财政专项资金管理办法》（</w:t>
      </w:r>
      <w:r>
        <w:rPr>
          <w:rFonts w:hint="eastAsia" w:ascii="仿宋" w:hAnsi="仿宋" w:eastAsia="仿宋" w:cs="SimSun-Identity-H"/>
          <w:color w:val="000000"/>
          <w:kern w:val="0"/>
          <w:sz w:val="30"/>
          <w:szCs w:val="32"/>
        </w:rPr>
        <w:tab/>
      </w:r>
      <w:r>
        <w:rPr>
          <w:rFonts w:hint="eastAsia" w:ascii="仿宋" w:hAnsi="仿宋" w:eastAsia="仿宋" w:cs="SimSun-Identity-H"/>
          <w:color w:val="000000"/>
          <w:kern w:val="0"/>
          <w:sz w:val="30"/>
          <w:szCs w:val="32"/>
        </w:rPr>
        <w:t>山财办</w:t>
      </w:r>
      <w:r>
        <w:rPr>
          <w:rFonts w:hint="eastAsia" w:eastAsia="仿宋"/>
          <w:color w:val="000000"/>
          <w:kern w:val="0"/>
          <w:sz w:val="30"/>
          <w:szCs w:val="32"/>
        </w:rPr>
        <w:t>〔2016〕110</w:t>
      </w:r>
      <w:r>
        <w:rPr>
          <w:rFonts w:hint="eastAsia" w:ascii="仿宋" w:hAnsi="仿宋" w:eastAsia="仿宋" w:cs="SimSun-Identity-H"/>
          <w:color w:val="000000"/>
          <w:kern w:val="0"/>
          <w:sz w:val="30"/>
          <w:szCs w:val="32"/>
        </w:rPr>
        <w:t>号）及《中华人民共和国预算法》、《中华人民共和国政府采购法》及相关财务会计制度等规定对财政预算资金进行管理。</w:t>
      </w:r>
      <w:r>
        <w:rPr>
          <w:rFonts w:hint="eastAsia" w:eastAsia="仿宋"/>
          <w:bCs/>
          <w:color w:val="000000"/>
          <w:kern w:val="0"/>
          <w:sz w:val="30"/>
          <w:szCs w:val="32"/>
        </w:rPr>
        <w:t>文体广新局资金使用符合国家财经法规和财务管理制度规定以及有关专项资金管理办法，符合部门预算批复的用途，不存在截留、挤占、挪用、虚列支出等情况。</w:t>
      </w:r>
      <w:r>
        <w:rPr>
          <w:rFonts w:hint="eastAsia" w:ascii="仿宋" w:hAnsi="仿宋" w:eastAsia="仿宋" w:cs="宋体"/>
          <w:color w:val="333333"/>
          <w:kern w:val="0"/>
          <w:sz w:val="30"/>
          <w:szCs w:val="30"/>
        </w:rPr>
        <w:t>专项资金严格按照专项资金使用用途，专款专用。项目组织实施情况项目资金的支出进度和范围等与申报计划的相符，资金的支出合理、合法和合规，单位相应的制定了相关的管理制度。</w:t>
      </w:r>
    </w:p>
    <w:p>
      <w:pPr>
        <w:widowControl/>
        <w:spacing w:line="600" w:lineRule="exact"/>
        <w:ind w:left="640"/>
        <w:jc w:val="left"/>
        <w:rPr>
          <w:rFonts w:ascii="黑体" w:hAnsi="黑体" w:eastAsia="黑体" w:cs="黑体"/>
          <w:b/>
          <w:bCs/>
          <w:sz w:val="30"/>
          <w:szCs w:val="32"/>
        </w:rPr>
      </w:pPr>
      <w:r>
        <w:rPr>
          <w:rFonts w:hint="eastAsia" w:ascii="黑体" w:hAnsi="黑体" w:eastAsia="黑体" w:cs="黑体"/>
          <w:b/>
          <w:bCs/>
          <w:sz w:val="30"/>
          <w:szCs w:val="32"/>
        </w:rPr>
        <w:t>四、部门整体支出绩效情况</w:t>
      </w:r>
    </w:p>
    <w:p>
      <w:pPr>
        <w:pStyle w:val="5"/>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sz w:val="30"/>
          <w:szCs w:val="30"/>
          <w:shd w:val="clear" w:color="auto" w:fill="FFFFFF"/>
        </w:rPr>
        <w:t>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年度评价得分为 98 分。部门整体支出绩效情况如下：</w:t>
      </w:r>
    </w:p>
    <w:p>
      <w:pPr>
        <w:spacing w:afterLines="100"/>
        <w:jc w:val="center"/>
        <w:rPr>
          <w:kern w:val="0"/>
          <w:sz w:val="24"/>
        </w:rPr>
      </w:pPr>
      <w:r>
        <w:rPr>
          <w:rFonts w:hint="eastAsia" w:eastAsia="方正小标宋_GBK"/>
          <w:kern w:val="0"/>
          <w:sz w:val="36"/>
          <w:szCs w:val="36"/>
        </w:rPr>
        <w:t>部门整体支出绩效评价指标评分表</w:t>
      </w:r>
    </w:p>
    <w:tbl>
      <w:tblPr>
        <w:tblStyle w:val="6"/>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Pr>
        <w:widowControl/>
        <w:spacing w:line="600" w:lineRule="exact"/>
        <w:ind w:firstLine="873" w:firstLineChars="300"/>
        <w:jc w:val="left"/>
        <w:rPr>
          <w:rFonts w:ascii="黑体" w:hAnsi="黑体" w:eastAsia="黑体" w:cs="黑体"/>
          <w:b/>
          <w:bCs/>
          <w:color w:val="666666"/>
          <w:sz w:val="30"/>
          <w:szCs w:val="30"/>
        </w:rPr>
      </w:pPr>
      <w:r>
        <w:rPr>
          <w:rFonts w:hint="eastAsia" w:ascii="黑体" w:hAnsi="黑体" w:eastAsia="黑体" w:cs="黑体"/>
          <w:b/>
          <w:bCs/>
          <w:sz w:val="30"/>
          <w:szCs w:val="32"/>
        </w:rPr>
        <w:t>五、存在的主要问题及下一步改进措施</w:t>
      </w:r>
    </w:p>
    <w:p>
      <w:pPr>
        <w:pStyle w:val="5"/>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color w:val="666666"/>
          <w:sz w:val="30"/>
          <w:szCs w:val="30"/>
        </w:rPr>
        <w:t xml:space="preserve"> </w:t>
      </w:r>
      <w:r>
        <w:rPr>
          <w:rFonts w:ascii="仿宋" w:hAnsi="仿宋" w:eastAsia="仿宋" w:cs="仿宋"/>
          <w:sz w:val="30"/>
          <w:szCs w:val="30"/>
          <w:shd w:val="clear" w:color="auto" w:fill="FFFFFF"/>
        </w:rPr>
        <w:t>1、细化预算编制工作，认真做好预算的编制。进一步加强单位内部机构各股室的预算管理意识，严格按照预算编制的相关制度和要求进行预算编制。</w:t>
      </w:r>
    </w:p>
    <w:p>
      <w:pPr>
        <w:pStyle w:val="5"/>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5"/>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5"/>
        <w:widowControl/>
        <w:shd w:val="clear" w:color="auto" w:fill="FFFFFF"/>
        <w:spacing w:before="360" w:line="360" w:lineRule="atLeast"/>
        <w:ind w:firstLine="560"/>
        <w:jc w:val="both"/>
        <w:rPr>
          <w:rFonts w:hint="default" w:ascii="仿宋" w:hAnsi="仿宋" w:eastAsia="仿宋" w:cs="仿宋"/>
          <w:sz w:val="30"/>
          <w:szCs w:val="30"/>
        </w:rPr>
      </w:pPr>
      <w:r>
        <w:rPr>
          <w:rFonts w:ascii="仿宋" w:hAnsi="仿宋" w:eastAsia="仿宋" w:cs="仿宋"/>
          <w:sz w:val="30"/>
          <w:szCs w:val="30"/>
          <w:shd w:val="clear" w:color="auto" w:fill="FFFFFF"/>
        </w:rPr>
        <w:t>4、对相关人员加强培训，特别是针对《预算法》、《行政事业单位会计制度》等学习培训，规范部门预算收支核算，切实提高部门预算收支管理水平</w:t>
      </w:r>
    </w:p>
    <w:p>
      <w:pPr>
        <w:widowControl/>
        <w:spacing w:before="100" w:beforeAutospacing="1" w:afterAutospacing="1" w:line="420" w:lineRule="atLeast"/>
        <w:ind w:firstLine="582" w:firstLineChars="200"/>
        <w:jc w:val="left"/>
        <w:rPr>
          <w:rFonts w:ascii="黑体" w:hAnsi="黑体" w:eastAsia="黑体" w:cs="黑体"/>
          <w:b/>
          <w:bCs/>
          <w:sz w:val="30"/>
          <w:szCs w:val="32"/>
        </w:rPr>
      </w:pPr>
      <w:r>
        <w:rPr>
          <w:rFonts w:hint="eastAsia" w:ascii="黑体" w:hAnsi="黑体" w:eastAsia="黑体" w:cs="黑体"/>
          <w:b/>
          <w:bCs/>
          <w:sz w:val="30"/>
          <w:szCs w:val="32"/>
        </w:rPr>
        <w:t>六、绩效自评结果拟应用和公开情况</w:t>
      </w:r>
    </w:p>
    <w:p>
      <w:pPr>
        <w:ind w:firstLine="582" w:firstLineChars="2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我局非常重视专项资金预算执行工作，严格按照国家的法律法规加强预算管理，不断完善内控制度，取得了良好的预算执行效果。专项资金的有效使用，对改善基层公共文化体育设施条件，加快构建现代公共文化服务体系，促进基本公共文化服务标准化、均等化、保障广大群众读书看报、观看电影、开展文化体育活动等基本权益起到了很好的引导和支持作用，群众满意度达到了100%，基本达到了预期的经济效益、社会效益和可持续影响。绩效自评结果得分98分。</w:t>
      </w:r>
    </w:p>
    <w:p>
      <w:pPr>
        <w:widowControl/>
        <w:spacing w:line="600" w:lineRule="exact"/>
        <w:ind w:firstLine="645"/>
        <w:jc w:val="left"/>
        <w:rPr>
          <w:rFonts w:ascii="仿宋_GB2312" w:hAnsi="黑体" w:eastAsia="仿宋"/>
          <w:sz w:val="30"/>
          <w:szCs w:val="32"/>
        </w:rPr>
      </w:pPr>
      <w:r>
        <w:rPr>
          <w:rFonts w:hint="eastAsia" w:ascii="仿宋_GB2312" w:hAnsi="黑体" w:eastAsia="仿宋"/>
          <w:sz w:val="30"/>
          <w:szCs w:val="32"/>
        </w:rPr>
        <w:t>附件：</w:t>
      </w:r>
      <w:r>
        <w:rPr>
          <w:rFonts w:ascii="仿宋_GB2312" w:hAnsi="黑体" w:eastAsia="仿宋"/>
          <w:sz w:val="30"/>
          <w:szCs w:val="32"/>
        </w:rPr>
        <w:t>1.</w:t>
      </w:r>
      <w:r>
        <w:rPr>
          <w:rFonts w:hint="eastAsia" w:ascii="仿宋_GB2312" w:hAnsi="黑体" w:eastAsia="仿宋"/>
          <w:sz w:val="30"/>
          <w:szCs w:val="32"/>
        </w:rPr>
        <w:t>部门整体支出绩效评价指标评分表</w:t>
      </w:r>
    </w:p>
    <w:p>
      <w:pPr>
        <w:widowControl/>
        <w:spacing w:line="600" w:lineRule="exact"/>
        <w:ind w:firstLine="1479" w:firstLineChars="508"/>
        <w:jc w:val="left"/>
        <w:rPr>
          <w:rFonts w:ascii="仿宋_GB2312" w:hAnsi="黑体" w:eastAsia="仿宋"/>
          <w:sz w:val="30"/>
          <w:szCs w:val="32"/>
        </w:rPr>
      </w:pPr>
      <w:r>
        <w:rPr>
          <w:rFonts w:ascii="仿宋_GB2312" w:hAnsi="黑体" w:eastAsia="仿宋"/>
          <w:sz w:val="30"/>
          <w:szCs w:val="32"/>
        </w:rPr>
        <w:t>2.</w:t>
      </w:r>
      <w:r>
        <w:rPr>
          <w:rFonts w:hint="eastAsia" w:ascii="仿宋_GB2312" w:hAnsi="黑体" w:eastAsia="仿宋"/>
          <w:sz w:val="30"/>
          <w:szCs w:val="32"/>
        </w:rPr>
        <w:t>部门整体支出绩效评价基础数据表</w:t>
      </w:r>
    </w:p>
    <w:p>
      <w:pPr>
        <w:widowControl/>
        <w:spacing w:line="600" w:lineRule="exact"/>
        <w:ind w:firstLine="1479" w:firstLineChars="508"/>
        <w:jc w:val="left"/>
        <w:rPr>
          <w:rFonts w:eastAsia="仿宋"/>
          <w:sz w:val="30"/>
        </w:rPr>
      </w:pPr>
      <w:r>
        <w:rPr>
          <w:rFonts w:ascii="仿宋_GB2312" w:hAnsi="黑体" w:eastAsia="仿宋"/>
          <w:sz w:val="30"/>
          <w:szCs w:val="32"/>
        </w:rPr>
        <w:t>3.20</w:t>
      </w:r>
      <w:r>
        <w:rPr>
          <w:rFonts w:hint="eastAsia" w:ascii="仿宋_GB2312" w:hAnsi="黑体" w:eastAsia="仿宋"/>
          <w:sz w:val="30"/>
          <w:szCs w:val="32"/>
        </w:rPr>
        <w:t>2</w:t>
      </w:r>
      <w:r>
        <w:rPr>
          <w:rFonts w:hint="eastAsia" w:ascii="仿宋_GB2312" w:hAnsi="黑体" w:eastAsia="仿宋"/>
          <w:sz w:val="30"/>
          <w:szCs w:val="32"/>
          <w:lang w:val="en-US" w:eastAsia="zh-CN"/>
        </w:rPr>
        <w:t>1</w:t>
      </w:r>
      <w:r>
        <w:rPr>
          <w:rFonts w:hint="eastAsia" w:ascii="仿宋_GB2312" w:hAnsi="黑体" w:eastAsia="仿宋"/>
          <w:sz w:val="30"/>
          <w:szCs w:val="32"/>
        </w:rPr>
        <w:t>年度县级专项资金绩效目标自评表</w:t>
      </w:r>
    </w:p>
    <w:p>
      <w:r>
        <w:rPr>
          <w:rFonts w:eastAsia="方正小标宋_GBK"/>
          <w:kern w:val="0"/>
          <w:sz w:val="36"/>
          <w:szCs w:val="36"/>
        </w:rPr>
        <w:br w:type="page"/>
      </w:r>
    </w:p>
    <w:p>
      <w:pPr>
        <w:ind w:firstLine="1755" w:firstLineChars="500"/>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84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84</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1"/>
                <w:szCs w:val="21"/>
                <w:lang w:val="en-US" w:eastAsia="zh-CN" w:bidi="ar-SA"/>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4.76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1.95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1.95</w:t>
            </w:r>
          </w:p>
        </w:tc>
        <w:tc>
          <w:tcPr>
            <w:tcW w:w="2240" w:type="dxa"/>
            <w:gridSpan w:val="2"/>
            <w:tcBorders>
              <w:top w:val="single" w:color="auto" w:sz="4" w:space="0"/>
              <w:left w:val="nil"/>
              <w:bottom w:val="single" w:color="auto" w:sz="4" w:space="0"/>
              <w:right w:val="single" w:color="000000" w:sz="4" w:space="0"/>
            </w:tcBorders>
            <w:vAlign w:val="center"/>
          </w:tcPr>
          <w:p>
            <w:pPr>
              <w:pStyle w:val="9"/>
              <w:widowControl/>
              <w:ind w:left="360" w:firstLine="503" w:firstLineChars="250"/>
              <w:rPr>
                <w:rFonts w:hint="eastAsia" w:eastAsia="仿宋_GB2312"/>
                <w:kern w:val="0"/>
                <w:szCs w:val="21"/>
                <w:lang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2.81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eastAsia="仿宋_GB2312"/>
                <w:kern w:val="0"/>
                <w:szCs w:val="21"/>
              </w:rPr>
            </w:pPr>
            <w:r>
              <w:rPr>
                <w:rFonts w:hint="eastAsia" w:ascii="仿宋_GB2312" w:eastAsia="仿宋_GB2312"/>
                <w:kern w:val="0"/>
                <w:szCs w:val="21"/>
              </w:rPr>
              <w:t>工作经费专项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935.74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1558.32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123.94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98.97</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52.95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25.78</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33.12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28.86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0.64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5.28</w:t>
            </w:r>
            <w:r>
              <w:rPr>
                <w:rFonts w:hint="eastAsia" w:eastAsia="仿宋_GB2312"/>
                <w:kern w:val="0"/>
                <w:szCs w:val="21"/>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947.40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910.53</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201</w:t>
            </w:r>
            <w:r>
              <w:rPr>
                <w:rFonts w:hint="eastAsia" w:eastAsia="仿宋_GB2312"/>
                <w:kern w:val="0"/>
                <w:szCs w:val="21"/>
              </w:rPr>
              <w:t>9年完工项目）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rPr>
        <w:t>2</w:t>
      </w:r>
      <w:r>
        <w:rPr>
          <w:rFonts w:hint="eastAsia" w:ascii="方正小标宋_GBK" w:hAnsi="宋体" w:eastAsia="方正小标宋_GBK" w:cs="宋体"/>
          <w:kern w:val="0"/>
          <w:sz w:val="36"/>
          <w:szCs w:val="36"/>
          <w:lang w:val="en-US" w:eastAsia="zh-CN"/>
        </w:rPr>
        <w:t>1</w:t>
      </w:r>
      <w:r>
        <w:rPr>
          <w:rFonts w:hint="eastAsia" w:ascii="方正小标宋_GBK" w:hAnsi="宋体" w:eastAsia="方正小标宋_GBK" w:cs="宋体"/>
          <w:kern w:val="0"/>
          <w:sz w:val="36"/>
          <w:szCs w:val="36"/>
        </w:rPr>
        <w:t>年度县级专项资金绩效目标自评表</w:t>
      </w:r>
    </w:p>
    <w:tbl>
      <w:tblPr>
        <w:tblStyle w:val="6"/>
        <w:tblW w:w="10060" w:type="dxa"/>
        <w:jc w:val="center"/>
        <w:tblLayout w:type="fixed"/>
        <w:tblCellMar>
          <w:top w:w="0" w:type="dxa"/>
          <w:left w:w="108" w:type="dxa"/>
          <w:bottom w:w="0" w:type="dxa"/>
          <w:right w:w="108" w:type="dxa"/>
        </w:tblCellMar>
      </w:tblPr>
      <w:tblGrid>
        <w:gridCol w:w="769"/>
        <w:gridCol w:w="675"/>
        <w:gridCol w:w="709"/>
        <w:gridCol w:w="1923"/>
        <w:gridCol w:w="1621"/>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单位专项业务工作经费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both"/>
              <w:rPr>
                <w:rFonts w:hint="eastAsia" w:ascii="宋体" w:eastAsia="宋体" w:cs="宋体"/>
                <w:kern w:val="0"/>
                <w:szCs w:val="21"/>
                <w:lang w:eastAsia="zh-CN"/>
              </w:rPr>
            </w:pPr>
            <w:r>
              <w:rPr>
                <w:rFonts w:hint="eastAsia" w:ascii="宋体" w:hAnsi="宋体" w:cs="宋体"/>
                <w:kern w:val="0"/>
                <w:szCs w:val="21"/>
                <w:lang w:eastAsia="zh-CN"/>
              </w:rPr>
              <w:t>阳果</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衡山县人民政府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衡山县文化旅游广电体育局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275.82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1392.6</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504</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275.82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1392.6</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504</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47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基层文化服务建设，丰富居民的日常生活。</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群众文化，提升文化恵民水平。</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全民健身，增强体魄。</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促进衡山旅游业发展。</w:t>
            </w:r>
          </w:p>
          <w:p>
            <w:pPr>
              <w:widowControl/>
              <w:jc w:val="center"/>
              <w:rPr>
                <w:rFonts w:ascii="宋体" w:cs="宋体"/>
                <w:kern w:val="0"/>
                <w:szCs w:val="21"/>
              </w:rPr>
            </w:pPr>
          </w:p>
        </w:tc>
        <w:tc>
          <w:tcPr>
            <w:tcW w:w="4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02" w:firstLineChars="200"/>
              <w:jc w:val="both"/>
              <w:textAlignment w:val="auto"/>
              <w:rPr>
                <w:rFonts w:hint="eastAsia"/>
                <w:sz w:val="21"/>
                <w:szCs w:val="21"/>
                <w:lang w:val="en-US" w:eastAsia="zh-CN"/>
              </w:rPr>
            </w:pPr>
            <w:r>
              <w:rPr>
                <w:rFonts w:hint="eastAsia" w:ascii="仿宋_GB2312" w:hAnsi="Times New Roman" w:eastAsia="仿宋_GB2312" w:cs="Times New Roman"/>
                <w:color w:val="000000" w:themeColor="text1"/>
                <w:sz w:val="21"/>
                <w:szCs w:val="21"/>
                <w14:textFill>
                  <w14:solidFill>
                    <w14:schemeClr w14:val="tx1"/>
                  </w14:solidFill>
                </w14:textFill>
              </w:rPr>
              <w:t>举办“美丽新衡山▪欢乐中国年”—“文明衡山▪我们的节日”为主题的2021年春节线上系列群众文化活动、</w:t>
            </w:r>
            <w:r>
              <w:rPr>
                <w:rFonts w:hint="eastAsia" w:ascii="仿宋_GB2312" w:hAnsi="Times New Roman" w:eastAsia="仿宋_GB2312" w:cs="Times New Roman"/>
                <w:color w:val="000000" w:themeColor="text1"/>
                <w:sz w:val="21"/>
                <w:szCs w:val="21"/>
                <w:lang w:eastAsia="zh-CN"/>
                <w14:textFill>
                  <w14:solidFill>
                    <w14:schemeClr w14:val="tx1"/>
                  </w14:solidFill>
                </w14:textFill>
              </w:rPr>
              <w:t>庆祝中国共产党成立100周年“幸福衡山”美术书法摄影展、</w:t>
            </w:r>
            <w:r>
              <w:rPr>
                <w:rFonts w:hint="eastAsia" w:ascii="仿宋_GB2312" w:hAnsi="Times New Roman" w:eastAsia="仿宋_GB2312" w:cs="Times New Roman"/>
                <w:color w:val="000000" w:themeColor="text1"/>
                <w:sz w:val="21"/>
                <w:szCs w:val="21"/>
                <w14:textFill>
                  <w14:solidFill>
                    <w14:schemeClr w14:val="tx1"/>
                  </w14:solidFill>
                </w14:textFill>
              </w:rPr>
              <w:t>衡山县庆祝中国共产党成立100周年“奋进新时代 颂歌献给党”歌手大赛</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衡山县“欢乐潇湘・知党恩听党话跟党走”庆祝中国共产党成立100周年合唱比赛</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邀请省戏剧研究院的李薇薇老师进行《毛泽建》剧本的新创作</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小戏更名为《不负青春》，入选湖南省第七届艺术节，并被</w:t>
            </w:r>
            <w:r>
              <w:rPr>
                <w:rFonts w:hint="eastAsia" w:ascii="仿宋_GB2312" w:hAnsi="Times New Roman" w:eastAsia="仿宋_GB2312" w:cs="Times New Roman"/>
                <w:color w:val="000000" w:themeColor="text1"/>
                <w:sz w:val="21"/>
                <w:szCs w:val="21"/>
                <w14:textFill>
                  <w14:solidFill>
                    <w14:schemeClr w14:val="tx1"/>
                  </w14:solidFill>
                </w14:textFill>
              </w:rPr>
              <w:t>列入衡阳 2021 年重点剧目</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文化艺术中心排练的山歌剧《头班茶》，被评选上第七届艺术节展演。惠民活动方面，剧团</w:t>
            </w:r>
            <w:r>
              <w:rPr>
                <w:rFonts w:hint="eastAsia" w:ascii="仿宋_GB2312" w:hAnsi="Times New Roman" w:eastAsia="仿宋_GB2312" w:cs="Times New Roman"/>
                <w:color w:val="000000" w:themeColor="text1"/>
                <w:sz w:val="21"/>
                <w:szCs w:val="21"/>
                <w14:textFill>
                  <w14:solidFill>
                    <w14:schemeClr w14:val="tx1"/>
                  </w14:solidFill>
                </w14:textFill>
              </w:rPr>
              <w:t>共完成“演艺惠民送戏下乡”</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任务100</w:t>
            </w:r>
            <w:r>
              <w:rPr>
                <w:rFonts w:hint="eastAsia" w:ascii="仿宋_GB2312" w:hAnsi="Times New Roman" w:eastAsia="仿宋_GB2312" w:cs="Times New Roman"/>
                <w:color w:val="000000" w:themeColor="text1"/>
                <w:sz w:val="21"/>
                <w:szCs w:val="21"/>
                <w14:textFill>
                  <w14:solidFill>
                    <w14:schemeClr w14:val="tx1"/>
                  </w14:solidFill>
                </w14:textFill>
              </w:rPr>
              <w:t>场</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广及县内12个乡镇</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县院线服务站组建了9支农村电影放映队，2支广场、社区流动放映队</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完成</w:t>
            </w:r>
            <w:r>
              <w:rPr>
                <w:rFonts w:hint="eastAsia" w:ascii="仿宋_GB2312" w:hAnsi="Times New Roman" w:eastAsia="仿宋_GB2312" w:cs="Times New Roman"/>
                <w:color w:val="000000" w:themeColor="text1"/>
                <w:sz w:val="21"/>
                <w:szCs w:val="21"/>
                <w14:textFill>
                  <w14:solidFill>
                    <w14:schemeClr w14:val="tx1"/>
                  </w14:solidFill>
                </w14:textFill>
              </w:rPr>
              <w:t>农村公益电影全县放映场次为1945场</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 w:hAnsi="仿宋" w:eastAsia="仿宋" w:cs="仿宋"/>
                <w:sz w:val="21"/>
                <w:szCs w:val="21"/>
                <w:shd w:val="clear" w:color="auto" w:fill="FFFFFF"/>
              </w:rPr>
              <w:t>参加市第十一届运动会，</w:t>
            </w:r>
            <w:r>
              <w:rPr>
                <w:rFonts w:hint="eastAsia" w:ascii="仿宋" w:hAnsi="仿宋" w:eastAsia="仿宋" w:cs="仿宋"/>
                <w:sz w:val="21"/>
                <w:szCs w:val="21"/>
                <w:shd w:val="clear" w:color="auto" w:fill="FFFFFF"/>
                <w:lang w:eastAsia="zh-CN"/>
              </w:rPr>
              <w:t>取得历史最佳成绩。</w:t>
            </w:r>
            <w:r>
              <w:rPr>
                <w:rFonts w:hint="eastAsia" w:ascii="仿宋" w:hAnsi="仿宋" w:eastAsia="仿宋" w:cs="仿宋"/>
                <w:sz w:val="21"/>
                <w:szCs w:val="21"/>
                <w:shd w:val="clear" w:color="auto" w:fill="FFFFFF"/>
              </w:rPr>
              <w:t>在青少年组24个项目、成年组13个项目、老年组5个项目比赛中，</w:t>
            </w:r>
            <w:r>
              <w:rPr>
                <w:rFonts w:hint="eastAsia" w:ascii="仿宋" w:hAnsi="仿宋" w:eastAsia="仿宋" w:cs="仿宋"/>
                <w:sz w:val="21"/>
                <w:szCs w:val="21"/>
                <w:shd w:val="clear" w:color="auto" w:fill="FFFFFF"/>
                <w:lang w:val="en-US" w:eastAsia="zh-CN"/>
              </w:rPr>
              <w:t xml:space="preserve"> 取得</w:t>
            </w:r>
            <w:r>
              <w:rPr>
                <w:rFonts w:hint="eastAsia" w:ascii="仿宋" w:hAnsi="仿宋" w:eastAsia="仿宋" w:cs="仿宋"/>
                <w:sz w:val="21"/>
                <w:szCs w:val="21"/>
                <w:shd w:val="clear" w:color="auto" w:fill="FFFFFF"/>
              </w:rPr>
              <w:t>金牌总数43.5枚，获县市组第三名</w:t>
            </w:r>
            <w:r>
              <w:rPr>
                <w:rFonts w:hint="eastAsia" w:ascii="仿宋" w:hAnsi="仿宋" w:eastAsia="仿宋" w:cs="仿宋"/>
                <w:sz w:val="21"/>
                <w:szCs w:val="21"/>
                <w:shd w:val="clear" w:color="auto" w:fill="FFFFFF"/>
                <w:lang w:eastAsia="zh-CN"/>
              </w:rPr>
              <w:t>。其中</w:t>
            </w:r>
            <w:r>
              <w:rPr>
                <w:rFonts w:hint="eastAsia" w:ascii="仿宋" w:hAnsi="仿宋" w:eastAsia="仿宋" w:cs="仿宋"/>
                <w:sz w:val="21"/>
                <w:szCs w:val="21"/>
                <w:shd w:val="clear" w:color="auto" w:fill="FFFFFF"/>
              </w:rPr>
              <w:t>成年组金牌12枚，获县市组第一名，成老年组总分280分，获县市组第二名；</w:t>
            </w:r>
            <w:r>
              <w:rPr>
                <w:rFonts w:hint="eastAsia" w:ascii="仿宋" w:hAnsi="仿宋" w:eastAsia="仿宋" w:cs="仿宋"/>
                <w:sz w:val="21"/>
                <w:szCs w:val="21"/>
                <w:shd w:val="clear" w:color="auto" w:fill="FFFFFF"/>
                <w:lang w:eastAsia="zh-CN"/>
              </w:rPr>
              <w:t>并</w:t>
            </w:r>
            <w:r>
              <w:rPr>
                <w:rFonts w:hint="eastAsia" w:ascii="仿宋" w:hAnsi="仿宋" w:eastAsia="仿宋" w:cs="仿宋"/>
                <w:sz w:val="21"/>
                <w:szCs w:val="21"/>
                <w:shd w:val="clear" w:color="auto" w:fill="FFFFFF"/>
              </w:rPr>
              <w:t>获</w:t>
            </w:r>
            <w:r>
              <w:rPr>
                <w:rFonts w:hint="eastAsia" w:ascii="仿宋" w:hAnsi="仿宋" w:eastAsia="仿宋" w:cs="仿宋"/>
                <w:sz w:val="21"/>
                <w:szCs w:val="21"/>
                <w:shd w:val="clear" w:color="auto" w:fill="FFFFFF"/>
                <w:lang w:eastAsia="zh-CN"/>
              </w:rPr>
              <w:t>得代表团</w:t>
            </w:r>
            <w:r>
              <w:rPr>
                <w:rFonts w:hint="eastAsia" w:ascii="仿宋" w:hAnsi="仿宋" w:eastAsia="仿宋" w:cs="仿宋"/>
                <w:sz w:val="21"/>
                <w:szCs w:val="21"/>
                <w:shd w:val="clear" w:color="auto" w:fill="FFFFFF"/>
              </w:rPr>
              <w:t>体育道德风尚奖。</w:t>
            </w: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国庆期间我县花果山景区门票收入位居全省第八；衡山双全旅游区接待人数全省排名第七。</w:t>
            </w:r>
          </w:p>
          <w:p>
            <w:pPr>
              <w:widowControl/>
              <w:jc w:val="center"/>
              <w:rPr>
                <w:rFonts w:hint="eastAsia" w:ascii="仿宋_GB2312" w:hAnsi="宋体" w:eastAsia="仿宋_GB2312" w:cs="宋体"/>
                <w:kern w:val="0"/>
                <w:szCs w:val="21"/>
                <w:lang w:eastAsia="zh-CN"/>
              </w:rPr>
            </w:pP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2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2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文艺作品</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　2</w:t>
            </w:r>
            <w:r>
              <w:rPr>
                <w:rFonts w:hint="eastAsia" w:ascii="仿宋_GB2312" w:hAnsi="宋体" w:eastAsia="仿宋_GB2312" w:cs="宋体"/>
                <w:kern w:val="0"/>
                <w:szCs w:val="21"/>
                <w:lang w:val="en-US" w:eastAsia="zh-CN"/>
              </w:rPr>
              <w:t>3</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val="en-US" w:eastAsia="zh-CN"/>
              </w:rPr>
              <w:t>3</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rPr>
            </w:pPr>
            <w:r>
              <w:rPr>
                <w:rFonts w:hint="eastAsia" w:ascii="仿宋_GB2312" w:hAnsi="宋体" w:eastAsia="仿宋_GB2312" w:cs="宋体"/>
                <w:kern w:val="0"/>
                <w:szCs w:val="21"/>
              </w:rPr>
              <w:t>体育竞赛</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rPr>
            </w:pPr>
            <w:r>
              <w:rPr>
                <w:rFonts w:hint="eastAsia" w:ascii="仿宋_GB2312" w:hAnsi="宋体" w:eastAsia="仿宋_GB2312" w:cs="宋体"/>
                <w:kern w:val="0"/>
                <w:szCs w:val="21"/>
              </w:rPr>
              <w:t>健身路径</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受益群众</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w:t>
            </w:r>
            <w:r>
              <w:rPr>
                <w:rFonts w:hint="eastAsia" w:ascii="仿宋_GB2312" w:hAnsi="宋体" w:eastAsia="仿宋_GB2312" w:cs="宋体"/>
                <w:kern w:val="0"/>
                <w:szCs w:val="21"/>
              </w:rPr>
              <w:t>000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w:t>
            </w:r>
            <w:r>
              <w:rPr>
                <w:rFonts w:hint="eastAsia" w:ascii="仿宋_GB2312" w:hAnsi="宋体" w:eastAsia="仿宋_GB2312" w:cs="宋体"/>
                <w:kern w:val="0"/>
                <w:szCs w:val="21"/>
              </w:rPr>
              <w:t>000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项目验收合格率</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ascii="仿宋_GB2312" w:hAnsi="宋体" w:eastAsia="仿宋_GB2312" w:cs="宋体"/>
                <w:kern w:val="0"/>
                <w:szCs w:val="21"/>
              </w:rPr>
            </w:pPr>
            <w:r>
              <w:rPr>
                <w:rFonts w:hint="eastAsia" w:ascii="仿宋_GB2312" w:hAnsi="宋体" w:eastAsia="仿宋_GB2312" w:cs="宋体"/>
                <w:kern w:val="0"/>
                <w:szCs w:val="21"/>
              </w:rPr>
              <w:t>100%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按时完成</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73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09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2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广大职工及群众</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非常满意</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67" w:hRule="atLeast"/>
          <w:jc w:val="center"/>
        </w:trPr>
        <w:tc>
          <w:tcPr>
            <w:tcW w:w="7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bl>
    <w:p>
      <w:pPr>
        <w:rPr>
          <w:rFonts w:eastAsia="仿宋_GB2312"/>
          <w:kern w:val="0"/>
          <w:sz w:val="22"/>
          <w:szCs w:val="22"/>
        </w:rPr>
      </w:pPr>
    </w:p>
    <w:p/>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6"/>
        <w:tblW w:w="9820" w:type="dxa"/>
        <w:jc w:val="center"/>
        <w:tblLayout w:type="fixed"/>
        <w:tblCellMar>
          <w:top w:w="0" w:type="dxa"/>
          <w:left w:w="108" w:type="dxa"/>
          <w:bottom w:w="0" w:type="dxa"/>
          <w:right w:w="108" w:type="dxa"/>
        </w:tblCellMar>
      </w:tblPr>
      <w:tblGrid>
        <w:gridCol w:w="750"/>
        <w:gridCol w:w="658"/>
        <w:gridCol w:w="693"/>
        <w:gridCol w:w="1877"/>
        <w:gridCol w:w="1582"/>
        <w:gridCol w:w="1245"/>
        <w:gridCol w:w="1047"/>
        <w:gridCol w:w="30"/>
        <w:gridCol w:w="1938"/>
      </w:tblGrid>
      <w:tr>
        <w:tblPrEx>
          <w:tblCellMar>
            <w:top w:w="0" w:type="dxa"/>
            <w:left w:w="108" w:type="dxa"/>
            <w:bottom w:w="0" w:type="dxa"/>
            <w:right w:w="108" w:type="dxa"/>
          </w:tblCellMar>
        </w:tblPrEx>
        <w:trPr>
          <w:trHeight w:val="90" w:hRule="atLeast"/>
          <w:jc w:val="center"/>
        </w:trPr>
        <w:tc>
          <w:tcPr>
            <w:tcW w:w="982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90" w:hRule="atLeast"/>
          <w:jc w:val="center"/>
        </w:trPr>
        <w:tc>
          <w:tcPr>
            <w:tcW w:w="21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459"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非遗剧场建设项目</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15"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阳果</w:t>
            </w:r>
          </w:p>
        </w:tc>
      </w:tr>
      <w:tr>
        <w:tblPrEx>
          <w:tblCellMar>
            <w:top w:w="0" w:type="dxa"/>
            <w:left w:w="108" w:type="dxa"/>
            <w:bottom w:w="0" w:type="dxa"/>
            <w:right w:w="108" w:type="dxa"/>
          </w:tblCellMar>
        </w:tblPrEx>
        <w:trPr>
          <w:trHeight w:val="90" w:hRule="atLeast"/>
          <w:jc w:val="center"/>
        </w:trPr>
        <w:tc>
          <w:tcPr>
            <w:tcW w:w="21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45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衡山县人民政府　</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15"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衡山县文化旅游广电体育局</w:t>
            </w:r>
          </w:p>
        </w:tc>
      </w:tr>
      <w:tr>
        <w:tblPrEx>
          <w:tblCellMar>
            <w:top w:w="0" w:type="dxa"/>
            <w:left w:w="108" w:type="dxa"/>
            <w:bottom w:w="0" w:type="dxa"/>
            <w:right w:w="108" w:type="dxa"/>
          </w:tblCellMar>
        </w:tblPrEx>
        <w:trPr>
          <w:trHeight w:val="90" w:hRule="atLeast"/>
          <w:jc w:val="center"/>
        </w:trPr>
        <w:tc>
          <w:tcPr>
            <w:tcW w:w="210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165.72</w:t>
            </w: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81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ascii="仿宋" w:hAnsi="仿宋" w:eastAsia="仿宋"/>
                <w:szCs w:val="21"/>
              </w:rPr>
              <w:t>衡山县皮影戏非遗展示剧场是我县2020年重点建设项目</w:t>
            </w:r>
            <w:r>
              <w:rPr>
                <w:rFonts w:hint="eastAsia" w:ascii="仿宋" w:hAnsi="仿宋" w:eastAsia="仿宋"/>
                <w:szCs w:val="21"/>
              </w:rPr>
              <w:t>，</w:t>
            </w:r>
            <w:r>
              <w:rPr>
                <w:rFonts w:ascii="仿宋" w:hAnsi="仿宋" w:eastAsia="仿宋"/>
                <w:szCs w:val="21"/>
              </w:rPr>
              <w:t>项目总建筑面积2792.85平方米，主要包括非遗剧场、皮影艺术产研中心、文化活动中心、非遗展示馆、办公及管理用房等设施。项目计划总投资2000万左右，已完成投资12</w:t>
            </w:r>
            <w:r>
              <w:rPr>
                <w:rFonts w:hint="eastAsia" w:ascii="仿宋" w:hAnsi="仿宋" w:eastAsia="仿宋"/>
                <w:szCs w:val="21"/>
              </w:rPr>
              <w:t>8</w:t>
            </w:r>
            <w:r>
              <w:rPr>
                <w:rFonts w:ascii="仿宋" w:hAnsi="仿宋" w:eastAsia="仿宋"/>
                <w:szCs w:val="21"/>
              </w:rPr>
              <w:t>0万元。</w:t>
            </w:r>
          </w:p>
        </w:tc>
        <w:tc>
          <w:tcPr>
            <w:tcW w:w="4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上半年完成了项目主体工程竣工验收工作，然后进行项目室外装修工程，目前项目室内装修已接近尾声。</w:t>
            </w:r>
            <w:r>
              <w:rPr>
                <w:rFonts w:hint="eastAsia" w:ascii="宋体" w:hAnsi="宋体" w:cs="宋体"/>
                <w:kern w:val="0"/>
                <w:szCs w:val="21"/>
              </w:rPr>
              <w:t>　</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58"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8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07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受益群众</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25000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25000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项目验收合格率</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ascii="仿宋_GB2312" w:hAnsi="宋体" w:eastAsia="仿宋_GB2312" w:cs="宋体"/>
                <w:kern w:val="0"/>
                <w:szCs w:val="21"/>
              </w:rPr>
            </w:pPr>
            <w:r>
              <w:rPr>
                <w:rFonts w:hint="eastAsia" w:ascii="仿宋_GB2312" w:hAnsi="宋体" w:eastAsia="仿宋_GB2312" w:cs="宋体"/>
                <w:kern w:val="0"/>
                <w:szCs w:val="21"/>
              </w:rPr>
              <w:t>100%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按时完成</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5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77"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广大职工及群众</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非常满意</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070" w:type="dxa"/>
            <w:gridSpan w:val="8"/>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A1164"/>
    <w:multiLevelType w:val="multilevel"/>
    <w:tmpl w:val="3C5A11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mI3NDg4NDM4OWZmODA3ZDYzMmE1YjlhYjg1MTAifQ=="/>
  </w:docVars>
  <w:rsids>
    <w:rsidRoot w:val="76CA2446"/>
    <w:rsid w:val="00022D25"/>
    <w:rsid w:val="00060F2F"/>
    <w:rsid w:val="000A5542"/>
    <w:rsid w:val="000B4A69"/>
    <w:rsid w:val="000D3CE1"/>
    <w:rsid w:val="000E6B8C"/>
    <w:rsid w:val="00135F14"/>
    <w:rsid w:val="001651B7"/>
    <w:rsid w:val="001A03F7"/>
    <w:rsid w:val="001A627D"/>
    <w:rsid w:val="001C4444"/>
    <w:rsid w:val="00220759"/>
    <w:rsid w:val="00223DBD"/>
    <w:rsid w:val="0023676C"/>
    <w:rsid w:val="0027014E"/>
    <w:rsid w:val="00286A0E"/>
    <w:rsid w:val="00296904"/>
    <w:rsid w:val="00310C50"/>
    <w:rsid w:val="003872A3"/>
    <w:rsid w:val="003C48BD"/>
    <w:rsid w:val="00440310"/>
    <w:rsid w:val="00483CA9"/>
    <w:rsid w:val="004B21B2"/>
    <w:rsid w:val="004B56CB"/>
    <w:rsid w:val="004F1787"/>
    <w:rsid w:val="00524F6E"/>
    <w:rsid w:val="00527B92"/>
    <w:rsid w:val="00541081"/>
    <w:rsid w:val="0055589A"/>
    <w:rsid w:val="00566410"/>
    <w:rsid w:val="00580C0E"/>
    <w:rsid w:val="006004E5"/>
    <w:rsid w:val="0066181F"/>
    <w:rsid w:val="00667C76"/>
    <w:rsid w:val="00674811"/>
    <w:rsid w:val="007E05B3"/>
    <w:rsid w:val="008222BA"/>
    <w:rsid w:val="0083351F"/>
    <w:rsid w:val="00856095"/>
    <w:rsid w:val="008568EE"/>
    <w:rsid w:val="00860D04"/>
    <w:rsid w:val="00894F28"/>
    <w:rsid w:val="008B1005"/>
    <w:rsid w:val="008F51F5"/>
    <w:rsid w:val="00902C2A"/>
    <w:rsid w:val="0097553A"/>
    <w:rsid w:val="00982D8A"/>
    <w:rsid w:val="00A12869"/>
    <w:rsid w:val="00A424C4"/>
    <w:rsid w:val="00A5400C"/>
    <w:rsid w:val="00A86759"/>
    <w:rsid w:val="00A8716A"/>
    <w:rsid w:val="00B26D88"/>
    <w:rsid w:val="00B66E3E"/>
    <w:rsid w:val="00BA6B0F"/>
    <w:rsid w:val="00BC320E"/>
    <w:rsid w:val="00C26F20"/>
    <w:rsid w:val="00C27722"/>
    <w:rsid w:val="00C667B3"/>
    <w:rsid w:val="00C76C37"/>
    <w:rsid w:val="00CD4190"/>
    <w:rsid w:val="00CF7B2A"/>
    <w:rsid w:val="00DA054B"/>
    <w:rsid w:val="00E31312"/>
    <w:rsid w:val="00E90B7D"/>
    <w:rsid w:val="00EB4475"/>
    <w:rsid w:val="00ED6745"/>
    <w:rsid w:val="00F0408F"/>
    <w:rsid w:val="00F2616D"/>
    <w:rsid w:val="00F47AFE"/>
    <w:rsid w:val="00F63D80"/>
    <w:rsid w:val="00FD1F6B"/>
    <w:rsid w:val="13B50BBD"/>
    <w:rsid w:val="193E6884"/>
    <w:rsid w:val="1E6F53A1"/>
    <w:rsid w:val="3D3710B0"/>
    <w:rsid w:val="407F75B0"/>
    <w:rsid w:val="459C6ADE"/>
    <w:rsid w:val="463C1155"/>
    <w:rsid w:val="558D6683"/>
    <w:rsid w:val="593221FB"/>
    <w:rsid w:val="6BBA3B00"/>
    <w:rsid w:val="6BBB094C"/>
    <w:rsid w:val="76CA2446"/>
    <w:rsid w:val="7B5B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rFonts w:hint="eastAsia" w:ascii="微软雅黑" w:hAnsi="微软雅黑" w:eastAsia="微软雅黑"/>
      <w:kern w:val="0"/>
      <w:sz w:val="24"/>
    </w:rPr>
  </w:style>
  <w:style w:type="character" w:styleId="8">
    <w:name w:val="page number"/>
    <w:basedOn w:val="7"/>
    <w:qFormat/>
    <w:uiPriority w:val="99"/>
    <w:rPr>
      <w:rFonts w:cs="Times New Roman"/>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6190</Words>
  <Characters>6686</Characters>
  <Lines>55</Lines>
  <Paragraphs>15</Paragraphs>
  <TotalTime>2</TotalTime>
  <ScaleCrop>false</ScaleCrop>
  <LinksUpToDate>false</LinksUpToDate>
  <CharactersWithSpaces>7271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2021-03-30T02:48:00Z</dcterms:created>
  <dc:creator>Administrator</dc:creator>
  <cp:lastModifiedBy>Administrator</cp:lastModifiedBy>
  <dcterms:modified xsi:type="dcterms:W3CDTF">2023-11-17T03:41:25Z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CA704616CEFF4C5DA504BF2BED90C2B1_13</vt:lpwstr>
  </property>
</Properties>
</file>