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rPr>
          <w:rFonts w:ascii="宋体" w:hAnsi="宋体" w:cs="宋体"/>
          <w:bCs/>
          <w:sz w:val="72"/>
          <w:szCs w:val="72"/>
        </w:rPr>
      </w:pPr>
      <w:r>
        <w:rPr>
          <w:rFonts w:hint="eastAsia" w:ascii="宋体" w:hAnsi="宋体" w:cs="宋体"/>
          <w:bCs/>
          <w:sz w:val="72"/>
          <w:szCs w:val="72"/>
        </w:rPr>
        <w:t>建设项目环境影响报告表</w:t>
      </w:r>
    </w:p>
    <w:p>
      <w:pPr>
        <w:adjustRightInd w:val="0"/>
        <w:snapToGrid w:val="0"/>
        <w:spacing w:before="192" w:beforeLines="80"/>
        <w:jc w:val="center"/>
        <w:rPr>
          <w:rFonts w:ascii="宋体" w:hAnsi="宋体" w:cs="宋体"/>
          <w:bCs/>
          <w:sz w:val="48"/>
          <w:szCs w:val="48"/>
        </w:rPr>
      </w:pPr>
      <w:r>
        <w:rPr>
          <w:rFonts w:hint="eastAsia" w:ascii="宋体" w:hAnsi="宋体" w:cs="宋体"/>
          <w:bCs/>
          <w:sz w:val="48"/>
          <w:szCs w:val="48"/>
        </w:rPr>
        <w:t>（污染影响类）</w:t>
      </w:r>
    </w:p>
    <w:p>
      <w:pPr>
        <w:adjustRightInd w:val="0"/>
        <w:snapToGrid w:val="0"/>
        <w:spacing w:line="288" w:lineRule="auto"/>
        <w:jc w:val="center"/>
        <w:rPr>
          <w:rFonts w:ascii="宋体" w:hAnsi="宋体" w:cs="宋体"/>
          <w:color w:val="000000"/>
          <w:kern w:val="44"/>
          <w:sz w:val="44"/>
          <w:szCs w:val="44"/>
        </w:rPr>
      </w:pPr>
    </w:p>
    <w:p>
      <w:pPr>
        <w:jc w:val="center"/>
        <w:rPr>
          <w:rFonts w:ascii="宋体" w:hAnsi="宋体" w:cs="宋体"/>
          <w:sz w:val="52"/>
          <w:szCs w:val="52"/>
        </w:rPr>
      </w:pPr>
    </w:p>
    <w:p>
      <w:pPr>
        <w:ind w:firstLine="1040"/>
        <w:rPr>
          <w:rFonts w:ascii="宋体" w:hAnsi="宋体" w:cs="宋体"/>
          <w:sz w:val="44"/>
          <w:szCs w:val="44"/>
        </w:rPr>
      </w:pPr>
    </w:p>
    <w:p>
      <w:pPr>
        <w:ind w:firstLine="1040"/>
        <w:rPr>
          <w:rFonts w:ascii="宋体" w:hAnsi="宋体" w:cs="宋体"/>
          <w:sz w:val="44"/>
          <w:szCs w:val="44"/>
        </w:rPr>
      </w:pPr>
    </w:p>
    <w:p>
      <w:pPr>
        <w:ind w:firstLine="1040"/>
        <w:rPr>
          <w:rFonts w:ascii="宋体" w:hAnsi="宋体" w:cs="宋体"/>
          <w:sz w:val="44"/>
          <w:szCs w:val="44"/>
        </w:rPr>
      </w:pPr>
    </w:p>
    <w:p>
      <w:pPr>
        <w:ind w:firstLine="1040"/>
        <w:rPr>
          <w:rFonts w:ascii="宋体" w:hAnsi="宋体" w:cs="宋体"/>
          <w:sz w:val="44"/>
          <w:szCs w:val="44"/>
        </w:rPr>
      </w:pPr>
    </w:p>
    <w:p>
      <w:pPr>
        <w:adjustRightInd w:val="0"/>
        <w:snapToGrid w:val="0"/>
        <w:spacing w:line="288" w:lineRule="auto"/>
        <w:ind w:left="2160" w:hanging="2160" w:hangingChars="600"/>
        <w:jc w:val="center"/>
        <w:rPr>
          <w:rFonts w:ascii="宋体" w:hAnsi="宋体" w:cs="宋体"/>
          <w:sz w:val="36"/>
          <w:szCs w:val="36"/>
          <w:u w:val="single"/>
        </w:rPr>
      </w:pPr>
      <w:r>
        <w:rPr>
          <w:rFonts w:hint="eastAsia" w:ascii="宋体" w:hAnsi="宋体" w:cs="宋体"/>
          <w:sz w:val="36"/>
          <w:szCs w:val="36"/>
        </w:rPr>
        <w:t>项目名称：</w:t>
      </w:r>
      <w:r>
        <w:rPr>
          <w:rFonts w:hint="eastAsia" w:ascii="宋体" w:hAnsi="宋体" w:cs="宋体"/>
          <w:sz w:val="36"/>
          <w:szCs w:val="36"/>
          <w:u w:val="single"/>
        </w:rPr>
        <w:t xml:space="preserve">衡山君瑞生物科技有限公司废弃物利用制环保炭及余热烘干钾钠长石粉项目 </w:t>
      </w:r>
    </w:p>
    <w:p>
      <w:pPr>
        <w:adjustRightInd w:val="0"/>
        <w:snapToGrid w:val="0"/>
        <w:spacing w:line="288" w:lineRule="auto"/>
        <w:rPr>
          <w:rFonts w:ascii="宋体" w:hAnsi="宋体" w:cs="宋体"/>
          <w:sz w:val="36"/>
          <w:szCs w:val="36"/>
          <w:u w:val="single"/>
        </w:rPr>
      </w:pPr>
      <w:r>
        <w:rPr>
          <w:rFonts w:hint="eastAsia" w:ascii="宋体" w:hAnsi="宋体" w:cs="宋体"/>
          <w:sz w:val="36"/>
          <w:szCs w:val="36"/>
        </w:rPr>
        <w:t>建设单位（盖章）：</w:t>
      </w:r>
      <w:r>
        <w:rPr>
          <w:rFonts w:hint="eastAsia" w:ascii="宋体" w:hAnsi="宋体" w:cs="宋体"/>
          <w:sz w:val="36"/>
          <w:szCs w:val="36"/>
          <w:u w:val="single"/>
        </w:rPr>
        <w:t xml:space="preserve">    衡山君瑞生物科技有限公司  </w:t>
      </w:r>
    </w:p>
    <w:p>
      <w:pPr>
        <w:adjustRightInd w:val="0"/>
        <w:snapToGrid w:val="0"/>
        <w:spacing w:line="288" w:lineRule="auto"/>
        <w:rPr>
          <w:rFonts w:ascii="宋体" w:hAnsi="宋体" w:cs="宋体"/>
          <w:sz w:val="36"/>
          <w:szCs w:val="36"/>
          <w:u w:val="single"/>
        </w:rPr>
      </w:pPr>
      <w:r>
        <w:rPr>
          <w:rFonts w:hint="eastAsia" w:ascii="宋体" w:hAnsi="宋体" w:cs="宋体"/>
          <w:sz w:val="36"/>
          <w:szCs w:val="36"/>
        </w:rPr>
        <w:t>编制日期：</w:t>
      </w:r>
      <w:r>
        <w:rPr>
          <w:rFonts w:hint="eastAsia" w:ascii="宋体" w:hAnsi="宋体" w:cs="宋体"/>
          <w:sz w:val="36"/>
          <w:szCs w:val="36"/>
          <w:u w:val="single"/>
        </w:rPr>
        <w:t xml:space="preserve">              202</w:t>
      </w:r>
      <w:r>
        <w:rPr>
          <w:rFonts w:ascii="宋体" w:hAnsi="宋体" w:cs="宋体"/>
          <w:sz w:val="36"/>
          <w:szCs w:val="36"/>
          <w:u w:val="single"/>
        </w:rPr>
        <w:t>4</w:t>
      </w:r>
      <w:r>
        <w:rPr>
          <w:rFonts w:hint="eastAsia" w:ascii="宋体" w:hAnsi="宋体" w:cs="宋体"/>
          <w:sz w:val="36"/>
          <w:szCs w:val="36"/>
          <w:u w:val="single"/>
        </w:rPr>
        <w:t>年</w:t>
      </w:r>
      <w:r>
        <w:rPr>
          <w:rFonts w:ascii="宋体" w:hAnsi="宋体" w:cs="宋体"/>
          <w:sz w:val="36"/>
          <w:szCs w:val="36"/>
          <w:u w:val="single"/>
        </w:rPr>
        <w:t>3</w:t>
      </w:r>
      <w:r>
        <w:rPr>
          <w:rFonts w:hint="eastAsia" w:ascii="宋体" w:hAnsi="宋体" w:cs="宋体"/>
          <w:sz w:val="36"/>
          <w:szCs w:val="36"/>
          <w:u w:val="single"/>
        </w:rPr>
        <w:t xml:space="preserve">月            </w:t>
      </w:r>
    </w:p>
    <w:p>
      <w:pPr>
        <w:adjustRightInd w:val="0"/>
        <w:snapToGrid w:val="0"/>
        <w:spacing w:line="288" w:lineRule="auto"/>
        <w:ind w:firstLine="1040"/>
        <w:rPr>
          <w:rFonts w:ascii="宋体" w:hAnsi="宋体" w:cs="宋体"/>
          <w:sz w:val="36"/>
          <w:szCs w:val="36"/>
          <w:u w:val="single"/>
        </w:rPr>
      </w:pPr>
      <w:bookmarkStart w:id="0" w:name="_Hlk57884087"/>
    </w:p>
    <w:p>
      <w:pPr>
        <w:adjustRightInd w:val="0"/>
        <w:snapToGrid w:val="0"/>
        <w:spacing w:line="288" w:lineRule="auto"/>
        <w:ind w:firstLine="1040"/>
        <w:rPr>
          <w:rFonts w:ascii="宋体" w:hAnsi="宋体" w:cs="宋体"/>
          <w:sz w:val="36"/>
          <w:szCs w:val="36"/>
        </w:rPr>
      </w:pPr>
    </w:p>
    <w:p>
      <w:pPr>
        <w:adjustRightInd w:val="0"/>
        <w:snapToGrid w:val="0"/>
        <w:spacing w:line="288" w:lineRule="auto"/>
        <w:ind w:firstLine="1040"/>
        <w:rPr>
          <w:rFonts w:ascii="宋体" w:hAnsi="宋体" w:cs="宋体"/>
          <w:sz w:val="36"/>
          <w:szCs w:val="36"/>
        </w:rPr>
      </w:pPr>
    </w:p>
    <w:p>
      <w:pPr>
        <w:adjustRightInd w:val="0"/>
        <w:snapToGrid w:val="0"/>
        <w:spacing w:line="288" w:lineRule="auto"/>
        <w:ind w:firstLine="1040"/>
        <w:rPr>
          <w:rFonts w:ascii="宋体" w:hAnsi="宋体" w:cs="宋体"/>
          <w:sz w:val="36"/>
          <w:szCs w:val="36"/>
        </w:rPr>
      </w:pPr>
    </w:p>
    <w:p>
      <w:pPr>
        <w:adjustRightInd w:val="0"/>
        <w:snapToGrid w:val="0"/>
        <w:spacing w:line="288" w:lineRule="auto"/>
        <w:ind w:firstLine="1040"/>
        <w:rPr>
          <w:rFonts w:ascii="宋体" w:hAnsi="宋体" w:cs="宋体"/>
          <w:sz w:val="36"/>
          <w:szCs w:val="36"/>
        </w:rPr>
      </w:pPr>
    </w:p>
    <w:bookmarkEnd w:id="0"/>
    <w:p>
      <w:pPr>
        <w:adjustRightInd w:val="0"/>
        <w:snapToGrid w:val="0"/>
        <w:spacing w:line="288" w:lineRule="auto"/>
        <w:jc w:val="center"/>
        <w:rPr>
          <w:rFonts w:ascii="楷体_GB2312" w:eastAsia="楷体_GB2312"/>
          <w:sz w:val="36"/>
          <w:szCs w:val="36"/>
        </w:rPr>
      </w:pPr>
      <w:r>
        <w:rPr>
          <w:rFonts w:hint="eastAsia" w:ascii="宋体" w:hAnsi="宋体" w:cs="宋体"/>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jc w:val="center"/>
        <w:rPr>
          <w:sz w:val="28"/>
          <w:szCs w:val="28"/>
        </w:rPr>
      </w:pPr>
      <w:r>
        <w:rPr>
          <w:rFonts w:ascii="宋体" w:hAnsi="宋体"/>
          <w:sz w:val="28"/>
          <w:szCs w:val="28"/>
        </w:rPr>
        <w:t>目录</w:t>
      </w:r>
    </w:p>
    <w:p>
      <w:pPr>
        <w:pStyle w:val="63"/>
        <w:tabs>
          <w:tab w:val="right" w:leader="dot" w:pos="8844"/>
        </w:tabs>
        <w:rPr>
          <w:sz w:val="28"/>
          <w:szCs w:val="28"/>
        </w:rPr>
      </w:pPr>
      <w:r>
        <w:rPr>
          <w:rFonts w:hint="eastAsia" w:ascii="宋体" w:hAnsi="宋体" w:cs="宋体"/>
          <w:snapToGrid w:val="0"/>
          <w:sz w:val="28"/>
          <w:szCs w:val="28"/>
        </w:rPr>
        <w:fldChar w:fldCharType="begin"/>
      </w:r>
      <w:r>
        <w:rPr>
          <w:rFonts w:hint="eastAsia" w:ascii="宋体" w:hAnsi="宋体" w:cs="宋体"/>
          <w:snapToGrid w:val="0"/>
          <w:sz w:val="28"/>
          <w:szCs w:val="28"/>
        </w:rPr>
        <w:instrText xml:space="preserve">TOC \o "1-1" \h \u </w:instrText>
      </w:r>
      <w:r>
        <w:rPr>
          <w:rFonts w:hint="eastAsia" w:ascii="宋体" w:hAnsi="宋体" w:cs="宋体"/>
          <w:snapToGrid w:val="0"/>
          <w:sz w:val="28"/>
          <w:szCs w:val="28"/>
        </w:rPr>
        <w:fldChar w:fldCharType="separate"/>
      </w:r>
      <w:r>
        <w:fldChar w:fldCharType="begin"/>
      </w:r>
      <w:r>
        <w:instrText xml:space="preserve"> HYPERLINK \l "_Toc13488" </w:instrText>
      </w:r>
      <w:r>
        <w:fldChar w:fldCharType="separate"/>
      </w:r>
      <w:r>
        <w:rPr>
          <w:snapToGrid w:val="0"/>
          <w:sz w:val="28"/>
          <w:szCs w:val="28"/>
        </w:rPr>
        <w:t>一、建设项目基本情况</w:t>
      </w:r>
      <w:r>
        <w:rPr>
          <w:sz w:val="28"/>
          <w:szCs w:val="28"/>
        </w:rPr>
        <w:tab/>
      </w:r>
      <w:r>
        <w:rPr>
          <w:sz w:val="28"/>
          <w:szCs w:val="28"/>
        </w:rPr>
        <w:fldChar w:fldCharType="begin"/>
      </w:r>
      <w:r>
        <w:rPr>
          <w:sz w:val="28"/>
          <w:szCs w:val="28"/>
        </w:rPr>
        <w:instrText xml:space="preserve"> PAGEREF _Toc13488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"_Toc12621" </w:instrText>
      </w:r>
      <w:r>
        <w:fldChar w:fldCharType="separate"/>
      </w:r>
      <w:r>
        <w:rPr>
          <w:snapToGrid w:val="0"/>
          <w:sz w:val="28"/>
          <w:szCs w:val="28"/>
        </w:rPr>
        <w:t>二、建设项目工程分析</w:t>
      </w:r>
      <w:r>
        <w:rPr>
          <w:sz w:val="28"/>
          <w:szCs w:val="28"/>
        </w:rPr>
        <w:tab/>
      </w:r>
      <w:r>
        <w:rPr>
          <w:sz w:val="28"/>
          <w:szCs w:val="28"/>
        </w:rPr>
        <w:fldChar w:fldCharType="begin"/>
      </w:r>
      <w:r>
        <w:rPr>
          <w:sz w:val="28"/>
          <w:szCs w:val="28"/>
        </w:rPr>
        <w:instrText xml:space="preserve"> PAGEREF _Toc12621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"_Toc26667" </w:instrText>
      </w:r>
      <w:r>
        <w:fldChar w:fldCharType="separate"/>
      </w:r>
      <w:r>
        <w:rPr>
          <w:snapToGrid w:val="0"/>
          <w:sz w:val="28"/>
          <w:szCs w:val="28"/>
        </w:rPr>
        <w:t>三、区域环境质量现状、环境保护目标及评价标准</w:t>
      </w:r>
      <w:r>
        <w:rPr>
          <w:sz w:val="28"/>
          <w:szCs w:val="28"/>
        </w:rPr>
        <w:tab/>
      </w:r>
      <w:r>
        <w:rPr>
          <w:sz w:val="28"/>
          <w:szCs w:val="28"/>
        </w:rPr>
        <w:fldChar w:fldCharType="begin"/>
      </w:r>
      <w:r>
        <w:rPr>
          <w:sz w:val="28"/>
          <w:szCs w:val="28"/>
        </w:rPr>
        <w:instrText xml:space="preserve"> PAGEREF _Toc26667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"_Toc31524" </w:instrText>
      </w:r>
      <w:r>
        <w:fldChar w:fldCharType="separate"/>
      </w:r>
      <w:r>
        <w:rPr>
          <w:snapToGrid w:val="0"/>
          <w:sz w:val="28"/>
          <w:szCs w:val="28"/>
        </w:rPr>
        <w:t>四、主要环境影响和保护措施</w:t>
      </w:r>
      <w:r>
        <w:rPr>
          <w:sz w:val="28"/>
          <w:szCs w:val="28"/>
        </w:rPr>
        <w:tab/>
      </w:r>
      <w:r>
        <w:rPr>
          <w:sz w:val="28"/>
          <w:szCs w:val="28"/>
        </w:rPr>
        <w:fldChar w:fldCharType="begin"/>
      </w:r>
      <w:r>
        <w:rPr>
          <w:sz w:val="28"/>
          <w:szCs w:val="28"/>
        </w:rPr>
        <w:instrText xml:space="preserve"> PAGEREF _Toc31524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"_Toc8809" </w:instrText>
      </w:r>
      <w:r>
        <w:fldChar w:fldCharType="separate"/>
      </w:r>
      <w:r>
        <w:rPr>
          <w:snapToGrid w:val="0"/>
          <w:sz w:val="28"/>
          <w:szCs w:val="28"/>
        </w:rPr>
        <w:t>五、环境保护措施监督检查清单</w:t>
      </w:r>
      <w:r>
        <w:rPr>
          <w:sz w:val="28"/>
          <w:szCs w:val="28"/>
        </w:rPr>
        <w:tab/>
      </w:r>
      <w:r>
        <w:rPr>
          <w:sz w:val="28"/>
          <w:szCs w:val="28"/>
        </w:rPr>
        <w:fldChar w:fldCharType="begin"/>
      </w:r>
      <w:r>
        <w:rPr>
          <w:sz w:val="28"/>
          <w:szCs w:val="28"/>
        </w:rPr>
        <w:instrText xml:space="preserve"> PAGEREF _Toc8809 \h </w:instrText>
      </w:r>
      <w:r>
        <w:rPr>
          <w:sz w:val="28"/>
          <w:szCs w:val="28"/>
        </w:rPr>
        <w:fldChar w:fldCharType="separate"/>
      </w:r>
      <w:r>
        <w:rPr>
          <w:sz w:val="28"/>
          <w:szCs w:val="28"/>
        </w:rPr>
        <w:t>65</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"_Toc14135" </w:instrText>
      </w:r>
      <w:r>
        <w:fldChar w:fldCharType="separate"/>
      </w:r>
      <w:r>
        <w:rPr>
          <w:snapToGrid w:val="0"/>
          <w:sz w:val="28"/>
          <w:szCs w:val="28"/>
        </w:rPr>
        <w:t>六、结论</w:t>
      </w:r>
      <w:r>
        <w:rPr>
          <w:sz w:val="28"/>
          <w:szCs w:val="28"/>
        </w:rPr>
        <w:tab/>
      </w:r>
      <w:r>
        <w:rPr>
          <w:sz w:val="28"/>
          <w:szCs w:val="28"/>
        </w:rPr>
        <w:fldChar w:fldCharType="begin"/>
      </w:r>
      <w:r>
        <w:rPr>
          <w:sz w:val="28"/>
          <w:szCs w:val="28"/>
        </w:rPr>
        <w:instrText xml:space="preserve"> PAGEREF _Toc14135 \h </w:instrText>
      </w:r>
      <w:r>
        <w:rPr>
          <w:sz w:val="28"/>
          <w:szCs w:val="28"/>
        </w:rPr>
        <w:fldChar w:fldCharType="separate"/>
      </w:r>
      <w:r>
        <w:rPr>
          <w:sz w:val="28"/>
          <w:szCs w:val="28"/>
        </w:rPr>
        <w:t>67</w:t>
      </w:r>
      <w:r>
        <w:rPr>
          <w:sz w:val="28"/>
          <w:szCs w:val="28"/>
        </w:rPr>
        <w:fldChar w:fldCharType="end"/>
      </w:r>
      <w:r>
        <w:rPr>
          <w:sz w:val="28"/>
          <w:szCs w:val="28"/>
        </w:rPr>
        <w:fldChar w:fldCharType="end"/>
      </w:r>
    </w:p>
    <w:p>
      <w:pPr>
        <w:pStyle w:val="63"/>
        <w:tabs>
          <w:tab w:val="right" w:leader="dot" w:pos="8844"/>
        </w:tabs>
        <w:rPr>
          <w:sz w:val="28"/>
          <w:szCs w:val="28"/>
        </w:rPr>
      </w:pPr>
      <w:r>
        <w:fldChar w:fldCharType="begin"/>
      </w:r>
      <w:r>
        <w:instrText xml:space="preserve"> HYPERLINK \l "_Toc5991" </w:instrText>
      </w:r>
      <w:r>
        <w:fldChar w:fldCharType="separate"/>
      </w:r>
      <w:r>
        <w:rPr>
          <w:snapToGrid w:val="0"/>
          <w:sz w:val="28"/>
          <w:szCs w:val="28"/>
        </w:rPr>
        <w:t>附表</w:t>
      </w:r>
      <w:r>
        <w:rPr>
          <w:sz w:val="28"/>
          <w:szCs w:val="28"/>
        </w:rPr>
        <w:tab/>
      </w:r>
      <w:r>
        <w:rPr>
          <w:sz w:val="28"/>
          <w:szCs w:val="28"/>
        </w:rPr>
        <w:fldChar w:fldCharType="begin"/>
      </w:r>
      <w:r>
        <w:rPr>
          <w:sz w:val="28"/>
          <w:szCs w:val="28"/>
        </w:rPr>
        <w:instrText xml:space="preserve"> PAGEREF _Toc5991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63"/>
        <w:tabs>
          <w:tab w:val="right" w:leader="dot" w:pos="8844"/>
        </w:tabs>
        <w:rPr>
          <w:rFonts w:ascii="宋体" w:hAnsi="宋体" w:cs="宋体"/>
          <w:sz w:val="28"/>
          <w:szCs w:val="28"/>
        </w:rPr>
      </w:pPr>
      <w:r>
        <w:fldChar w:fldCharType="begin"/>
      </w:r>
      <w:r>
        <w:instrText xml:space="preserve"> HYPERLINK \l "_Toc8125" </w:instrText>
      </w:r>
      <w:r>
        <w:fldChar w:fldCharType="separate"/>
      </w:r>
      <w:r>
        <w:rPr>
          <w:snapToGrid w:val="0"/>
          <w:sz w:val="28"/>
          <w:szCs w:val="28"/>
        </w:rPr>
        <w:t>建设项目污染物排放量汇总表</w:t>
      </w:r>
      <w:r>
        <w:rPr>
          <w:sz w:val="28"/>
          <w:szCs w:val="28"/>
        </w:rPr>
        <w:tab/>
      </w:r>
      <w:r>
        <w:rPr>
          <w:sz w:val="28"/>
          <w:szCs w:val="28"/>
        </w:rPr>
        <w:fldChar w:fldCharType="begin"/>
      </w:r>
      <w:r>
        <w:rPr>
          <w:sz w:val="28"/>
          <w:szCs w:val="28"/>
        </w:rPr>
        <w:instrText xml:space="preserve"> PAGEREF _Toc8125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63"/>
        <w:tabs>
          <w:tab w:val="right" w:leader="dot" w:pos="8844"/>
        </w:tabs>
        <w:rPr>
          <w:sz w:val="28"/>
          <w:szCs w:val="28"/>
        </w:rPr>
      </w:pPr>
    </w:p>
    <w:p>
      <w:pPr>
        <w:rPr>
          <w:snapToGrid w:val="0"/>
          <w:sz w:val="24"/>
        </w:rPr>
      </w:pPr>
      <w:r>
        <w:rPr>
          <w:rFonts w:hint="eastAsia" w:ascii="宋体" w:hAnsi="宋体" w:cs="宋体"/>
          <w:snapToGrid w:val="0"/>
          <w:sz w:val="28"/>
          <w:szCs w:val="28"/>
        </w:rPr>
        <w:fldChar w:fldCharType="end"/>
      </w:r>
      <w:r>
        <w:rPr>
          <w:snapToGrid w:val="0"/>
          <w:sz w:val="24"/>
        </w:rPr>
        <w:t>附件</w:t>
      </w:r>
    </w:p>
    <w:p>
      <w:pPr>
        <w:rPr>
          <w:snapToGrid w:val="0"/>
          <w:sz w:val="24"/>
        </w:rPr>
      </w:pPr>
      <w:r>
        <w:rPr>
          <w:snapToGrid w:val="0"/>
          <w:sz w:val="24"/>
        </w:rPr>
        <w:t xml:space="preserve">附件1 </w:t>
      </w:r>
      <w:r>
        <w:rPr>
          <w:rFonts w:hint="eastAsia"/>
          <w:snapToGrid w:val="0"/>
          <w:sz w:val="24"/>
        </w:rPr>
        <w:t>项目备案文件</w:t>
      </w:r>
    </w:p>
    <w:p>
      <w:pPr>
        <w:rPr>
          <w:snapToGrid w:val="0"/>
          <w:sz w:val="24"/>
        </w:rPr>
      </w:pPr>
      <w:r>
        <w:rPr>
          <w:snapToGrid w:val="0"/>
          <w:sz w:val="24"/>
        </w:rPr>
        <w:t>附件</w:t>
      </w:r>
      <w:r>
        <w:rPr>
          <w:rFonts w:hint="eastAsia"/>
          <w:snapToGrid w:val="0"/>
          <w:sz w:val="24"/>
        </w:rPr>
        <w:t>2</w:t>
      </w:r>
      <w:r>
        <w:rPr>
          <w:snapToGrid w:val="0"/>
          <w:sz w:val="24"/>
        </w:rPr>
        <w:t xml:space="preserve"> </w:t>
      </w:r>
      <w:r>
        <w:rPr>
          <w:rFonts w:hint="eastAsia"/>
          <w:snapToGrid w:val="0"/>
          <w:sz w:val="24"/>
        </w:rPr>
        <w:t>土地手续</w:t>
      </w:r>
    </w:p>
    <w:p>
      <w:pPr>
        <w:rPr>
          <w:snapToGrid w:val="0"/>
          <w:sz w:val="24"/>
        </w:rPr>
      </w:pPr>
      <w:r>
        <w:rPr>
          <w:rFonts w:hint="eastAsia"/>
          <w:snapToGrid w:val="0"/>
          <w:sz w:val="24"/>
        </w:rPr>
        <w:t>附件3 委托书</w:t>
      </w:r>
    </w:p>
    <w:p>
      <w:pPr>
        <w:rPr>
          <w:snapToGrid w:val="0"/>
          <w:sz w:val="24"/>
        </w:rPr>
      </w:pPr>
      <w:r>
        <w:rPr>
          <w:rFonts w:hint="eastAsia"/>
          <w:snapToGrid w:val="0"/>
          <w:sz w:val="24"/>
        </w:rPr>
        <w:t>附件</w:t>
      </w:r>
      <w:r>
        <w:rPr>
          <w:snapToGrid w:val="0"/>
          <w:sz w:val="24"/>
        </w:rPr>
        <w:t>4</w:t>
      </w:r>
      <w:r>
        <w:rPr>
          <w:rFonts w:hint="eastAsia"/>
          <w:snapToGrid w:val="0"/>
          <w:sz w:val="24"/>
        </w:rPr>
        <w:t xml:space="preserve"> </w:t>
      </w:r>
      <w:r>
        <w:rPr>
          <w:rFonts w:hint="eastAsia"/>
          <w:color w:val="000000"/>
          <w:kern w:val="0"/>
          <w:sz w:val="24"/>
        </w:rPr>
        <w:t>项目</w:t>
      </w:r>
      <w:r>
        <w:rPr>
          <w:color w:val="000000"/>
          <w:kern w:val="0"/>
          <w:sz w:val="24"/>
        </w:rPr>
        <w:t>技术评审意见</w:t>
      </w:r>
    </w:p>
    <w:p>
      <w:pPr>
        <w:rPr>
          <w:snapToGrid w:val="0"/>
          <w:sz w:val="24"/>
        </w:rPr>
      </w:pPr>
      <w:r>
        <w:rPr>
          <w:snapToGrid w:val="0"/>
          <w:sz w:val="24"/>
        </w:rPr>
        <w:t>附图</w:t>
      </w:r>
    </w:p>
    <w:p>
      <w:pPr>
        <w:rPr>
          <w:snapToGrid w:val="0"/>
          <w:sz w:val="24"/>
        </w:rPr>
      </w:pPr>
      <w:r>
        <w:rPr>
          <w:snapToGrid w:val="0"/>
          <w:sz w:val="24"/>
        </w:rPr>
        <w:t>附图1 项目地理位置图</w:t>
      </w:r>
    </w:p>
    <w:p>
      <w:pPr>
        <w:rPr>
          <w:snapToGrid w:val="0"/>
          <w:sz w:val="24"/>
        </w:rPr>
      </w:pPr>
      <w:r>
        <w:rPr>
          <w:snapToGrid w:val="0"/>
          <w:sz w:val="24"/>
        </w:rPr>
        <w:t>附图2 项目周边环境敏感目标图</w:t>
      </w:r>
    </w:p>
    <w:p>
      <w:pPr>
        <w:rPr>
          <w:snapToGrid w:val="0"/>
          <w:sz w:val="24"/>
        </w:rPr>
      </w:pPr>
      <w:r>
        <w:rPr>
          <w:snapToGrid w:val="0"/>
          <w:sz w:val="24"/>
        </w:rPr>
        <w:t>附图3 项目平面布置图</w:t>
      </w:r>
    </w:p>
    <w:p>
      <w:pPr>
        <w:rPr>
          <w:snapToGrid w:val="0"/>
          <w:sz w:val="24"/>
        </w:rPr>
      </w:pPr>
      <w:r>
        <w:rPr>
          <w:rFonts w:hint="eastAsia"/>
          <w:snapToGrid w:val="0"/>
          <w:sz w:val="24"/>
        </w:rPr>
        <w:t>附图</w:t>
      </w:r>
      <w:r>
        <w:rPr>
          <w:snapToGrid w:val="0"/>
          <w:sz w:val="24"/>
        </w:rPr>
        <w:t>4</w:t>
      </w:r>
      <w:r>
        <w:rPr>
          <w:rFonts w:hint="eastAsia"/>
          <w:snapToGrid w:val="0"/>
          <w:sz w:val="24"/>
        </w:rPr>
        <w:t xml:space="preserve"> 项目与引用数据项目位置关系图</w:t>
      </w:r>
    </w:p>
    <w:p>
      <w:pPr>
        <w:rPr>
          <w:snapToGrid w:val="0"/>
          <w:sz w:val="24"/>
        </w:rPr>
      </w:pPr>
      <w:r>
        <w:rPr>
          <w:snapToGrid w:val="0"/>
          <w:sz w:val="24"/>
        </w:rPr>
        <w:t>附图</w:t>
      </w:r>
      <w:r>
        <w:rPr>
          <w:rFonts w:hint="eastAsia"/>
          <w:snapToGrid w:val="0"/>
          <w:sz w:val="24"/>
        </w:rPr>
        <w:t>5</w:t>
      </w:r>
      <w:r>
        <w:rPr>
          <w:snapToGrid w:val="0"/>
          <w:sz w:val="24"/>
        </w:rPr>
        <w:t xml:space="preserve"> 项目现场</w:t>
      </w:r>
      <w:r>
        <w:rPr>
          <w:rFonts w:hint="eastAsia"/>
          <w:snapToGrid w:val="0"/>
          <w:sz w:val="24"/>
        </w:rPr>
        <w:t>勘查</w:t>
      </w:r>
      <w:r>
        <w:rPr>
          <w:snapToGrid w:val="0"/>
          <w:sz w:val="24"/>
        </w:rPr>
        <w:t>照片图</w:t>
      </w:r>
    </w:p>
    <w:p>
      <w:pPr>
        <w:rPr>
          <w:snapToGrid w:val="0"/>
          <w:sz w:val="24"/>
        </w:rPr>
      </w:pPr>
      <w:r>
        <w:rPr>
          <w:rFonts w:hint="eastAsia"/>
          <w:snapToGrid w:val="0"/>
          <w:sz w:val="24"/>
        </w:rPr>
        <w:t>附图6</w:t>
      </w:r>
      <w:r>
        <w:rPr>
          <w:snapToGrid w:val="0"/>
          <w:sz w:val="24"/>
        </w:rPr>
        <w:t xml:space="preserve"> </w:t>
      </w:r>
      <w:r>
        <w:rPr>
          <w:rFonts w:hint="eastAsia"/>
          <w:snapToGrid w:val="0"/>
          <w:sz w:val="24"/>
        </w:rPr>
        <w:t>衡阳市环境管控单元图</w:t>
      </w:r>
    </w:p>
    <w:p/>
    <w:p>
      <w:pPr>
        <w:rPr>
          <w:rFonts w:cs="宋体"/>
          <w:snapToGrid w:val="0"/>
          <w:sz w:val="30"/>
          <w:szCs w:val="30"/>
        </w:rPr>
      </w:pPr>
      <w:r>
        <w:rPr>
          <w:rFonts w:cs="宋体"/>
          <w:snapToGrid w:val="0"/>
          <w:sz w:val="30"/>
          <w:szCs w:val="30"/>
        </w:rPr>
        <w:br w:type="page"/>
      </w:r>
    </w:p>
    <w:p>
      <w:pPr>
        <w:pStyle w:val="22"/>
        <w:jc w:val="both"/>
      </w:pPr>
    </w:p>
    <w:p>
      <w:pPr>
        <w:pStyle w:val="22"/>
        <w:jc w:val="both"/>
        <w:rPr>
          <w:rFonts w:cs="宋体"/>
          <w:snapToGrid w:val="0"/>
          <w:sz w:val="30"/>
          <w:szCs w:val="30"/>
        </w:rPr>
        <w:sectPr>
          <w:footerReference r:id="rId5" w:type="default"/>
          <w:pgSz w:w="11906" w:h="16838"/>
          <w:pgMar w:top="1701" w:right="1531" w:bottom="1701" w:left="1531" w:header="851" w:footer="1077" w:gutter="0"/>
          <w:cols w:space="720" w:num="1"/>
          <w:docGrid w:linePitch="312" w:charSpace="0"/>
        </w:sectPr>
      </w:pPr>
    </w:p>
    <w:p>
      <w:pPr>
        <w:pStyle w:val="22"/>
        <w:jc w:val="center"/>
        <w:outlineLvl w:val="0"/>
        <w:rPr>
          <w:rFonts w:ascii="黑体" w:hAnsi="黑体" w:eastAsia="黑体"/>
          <w:snapToGrid w:val="0"/>
          <w:sz w:val="30"/>
          <w:szCs w:val="30"/>
        </w:rPr>
      </w:pPr>
      <w:bookmarkStart w:id="1" w:name="_Toc13488"/>
      <w:r>
        <w:rPr>
          <w:rFonts w:hint="eastAsia" w:cs="宋体"/>
          <w:snapToGrid w:val="0"/>
          <w:sz w:val="30"/>
          <w:szCs w:val="30"/>
        </w:rPr>
        <w:t>一、建设项目基本情况</w:t>
      </w:r>
      <w:bookmarkEnd w:id="1"/>
    </w:p>
    <w:tbl>
      <w:tblPr>
        <w:tblStyle w:val="24"/>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5"/>
        <w:gridCol w:w="2469"/>
        <w:gridCol w:w="2199"/>
        <w:gridCol w:w="2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建设项目名称</w:t>
            </w:r>
          </w:p>
        </w:tc>
        <w:tc>
          <w:tcPr>
            <w:tcW w:w="4202" w:type="pct"/>
            <w:gridSpan w:val="3"/>
            <w:vAlign w:val="center"/>
          </w:tcPr>
          <w:p>
            <w:pPr>
              <w:adjustRightInd w:val="0"/>
              <w:snapToGrid w:val="0"/>
              <w:jc w:val="center"/>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衡山君瑞生物科技有限公司废弃物利用制环保炭及余热烘干钾钠长石粉项目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项目代码</w:t>
            </w:r>
          </w:p>
        </w:tc>
        <w:tc>
          <w:tcPr>
            <w:tcW w:w="4202" w:type="pct"/>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2306-430423-04-05-457916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建设单位联系人</w:t>
            </w:r>
          </w:p>
        </w:tc>
        <w:tc>
          <w:tcPr>
            <w:tcW w:w="1392"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刘建兵</w:t>
            </w:r>
          </w:p>
        </w:tc>
        <w:tc>
          <w:tcPr>
            <w:tcW w:w="1240"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1570"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85</w:t>
            </w:r>
            <w:r>
              <w:rPr>
                <w:rFonts w:hint="eastAsia"/>
                <w:color w:val="000000" w:themeColor="text1"/>
                <w:sz w:val="24"/>
                <w:lang w:val="en-US" w:eastAsia="zh-CN"/>
                <w14:textFill>
                  <w14:solidFill>
                    <w14:schemeClr w14:val="tx1"/>
                  </w14:solidFill>
                </w14:textFill>
              </w:rPr>
              <w:t>XXXX</w:t>
            </w:r>
            <w:bookmarkStart w:id="17" w:name="_GoBack"/>
            <w:bookmarkEnd w:id="17"/>
            <w:r>
              <w:rPr>
                <w:color w:val="000000" w:themeColor="text1"/>
                <w:sz w:val="24"/>
                <w14:textFill>
                  <w14:solidFill>
                    <w14:schemeClr w14:val="tx1"/>
                  </w14:solidFill>
                </w14:textFill>
              </w:rPr>
              <w:t>7508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建设地点</w:t>
            </w:r>
          </w:p>
        </w:tc>
        <w:tc>
          <w:tcPr>
            <w:tcW w:w="4202" w:type="pct"/>
            <w:gridSpan w:val="3"/>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湖南</w:t>
            </w:r>
            <w:r>
              <w:rPr>
                <w:color w:val="000000" w:themeColor="text1"/>
                <w:sz w:val="24"/>
                <w14:textFill>
                  <w14:solidFill>
                    <w14:schemeClr w14:val="tx1"/>
                  </w14:solidFill>
                </w14:textFill>
              </w:rPr>
              <w:t>省</w:t>
            </w:r>
            <w:r>
              <w:rPr>
                <w:rFonts w:hint="eastAsia"/>
                <w:color w:val="000000" w:themeColor="text1"/>
                <w:sz w:val="24"/>
                <w14:textFill>
                  <w14:solidFill>
                    <w14:schemeClr w14:val="tx1"/>
                  </w14:solidFill>
                </w14:textFill>
              </w:rPr>
              <w:t>衡阳市衡山县新桥镇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地理坐标</w:t>
            </w:r>
          </w:p>
        </w:tc>
        <w:tc>
          <w:tcPr>
            <w:tcW w:w="4202" w:type="pct"/>
            <w:gridSpan w:val="3"/>
            <w:vAlign w:val="center"/>
          </w:tcPr>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112 </w:t>
            </w:r>
            <w:r>
              <w:rPr>
                <w:color w:val="000000" w:themeColor="text1"/>
                <w14:textFill>
                  <w14:solidFill>
                    <w14:schemeClr w14:val="tx1"/>
                  </w14:solidFill>
                </w14:textFill>
              </w:rPr>
              <w:t>度</w:t>
            </w:r>
            <w:r>
              <w:rPr>
                <w:color w:val="000000" w:themeColor="text1"/>
                <w:u w:val="single"/>
                <w14:textFill>
                  <w14:solidFill>
                    <w14:schemeClr w14:val="tx1"/>
                  </w14:solidFill>
                </w14:textFill>
              </w:rPr>
              <w:t xml:space="preserve"> 33</w:t>
            </w:r>
            <w:r>
              <w:rPr>
                <w:color w:val="000000" w:themeColor="text1"/>
                <w14:textFill>
                  <w14:solidFill>
                    <w14:schemeClr w14:val="tx1"/>
                  </w14:solidFill>
                </w14:textFill>
              </w:rPr>
              <w:t>分</w:t>
            </w:r>
            <w:r>
              <w:rPr>
                <w:color w:val="000000" w:themeColor="text1"/>
                <w:u w:val="single"/>
                <w14:textFill>
                  <w14:solidFill>
                    <w14:schemeClr w14:val="tx1"/>
                  </w14:solidFill>
                </w14:textFill>
              </w:rPr>
              <w:t>34</w:t>
            </w: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180</w:t>
            </w:r>
            <w:r>
              <w:rPr>
                <w:color w:val="000000" w:themeColor="text1"/>
                <w14:textFill>
                  <w14:solidFill>
                    <w14:schemeClr w14:val="tx1"/>
                  </w14:solidFill>
                </w14:textFill>
              </w:rPr>
              <w:t>秒，</w:t>
            </w:r>
            <w:r>
              <w:rPr>
                <w:color w:val="000000" w:themeColor="text1"/>
                <w:u w:val="single"/>
                <w14:textFill>
                  <w14:solidFill>
                    <w14:schemeClr w14:val="tx1"/>
                  </w14:solidFill>
                </w14:textFill>
              </w:rPr>
              <w:t xml:space="preserve"> 27 </w:t>
            </w:r>
            <w:r>
              <w:rPr>
                <w:color w:val="000000" w:themeColor="text1"/>
                <w14:textFill>
                  <w14:solidFill>
                    <w14:schemeClr w14:val="tx1"/>
                  </w14:solidFill>
                </w14:textFill>
              </w:rPr>
              <w:t>度</w:t>
            </w:r>
            <w:r>
              <w:rPr>
                <w:color w:val="000000" w:themeColor="text1"/>
                <w:u w:val="single"/>
                <w14:textFill>
                  <w14:solidFill>
                    <w14:schemeClr w14:val="tx1"/>
                  </w14:solidFill>
                </w14:textFill>
              </w:rPr>
              <w:t xml:space="preserve"> 18</w:t>
            </w:r>
            <w:r>
              <w:rPr>
                <w:color w:val="000000" w:themeColor="text1"/>
                <w14:textFill>
                  <w14:solidFill>
                    <w14:schemeClr w14:val="tx1"/>
                  </w14:solidFill>
                </w14:textFill>
              </w:rPr>
              <w:t>分</w:t>
            </w:r>
            <w:r>
              <w:rPr>
                <w:color w:val="000000" w:themeColor="text1"/>
                <w:u w:val="single"/>
                <w14:textFill>
                  <w14:solidFill>
                    <w14:schemeClr w14:val="tx1"/>
                  </w14:solidFill>
                </w14:textFill>
              </w:rPr>
              <w:t>33.822</w:t>
            </w:r>
            <w:r>
              <w:rPr>
                <w:color w:val="000000" w:themeColor="text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392"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非金属废料和碎屑的加工处理C4220</w:t>
            </w:r>
          </w:p>
        </w:tc>
        <w:tc>
          <w:tcPr>
            <w:tcW w:w="1240" w:type="pct"/>
            <w:vAlign w:val="center"/>
          </w:tcPr>
          <w:p>
            <w:pPr>
              <w:adjustRightInd w:val="0"/>
              <w:snapToGrid w:val="0"/>
              <w:jc w:val="center"/>
              <w:rPr>
                <w:color w:val="000000" w:themeColor="text1"/>
                <w:sz w:val="24"/>
                <w14:textFill>
                  <w14:solidFill>
                    <w14:schemeClr w14:val="tx1"/>
                  </w14:solidFill>
                </w14:textFill>
              </w:rPr>
            </w:pPr>
            <w:bookmarkStart w:id="2" w:name="_Hlk49843745"/>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bookmarkEnd w:id="2"/>
          </w:p>
        </w:tc>
        <w:tc>
          <w:tcPr>
            <w:tcW w:w="1570" w:type="pct"/>
            <w:vAlign w:val="center"/>
          </w:tcPr>
          <w:p>
            <w:pPr>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三十九、废弃资源综合利用业85、非金属废料和碎屑加工处理422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建设性质</w:t>
            </w:r>
          </w:p>
        </w:tc>
        <w:tc>
          <w:tcPr>
            <w:tcW w:w="1392" w:type="pct"/>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新建（迁建）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□改建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□扩建</w:t>
            </w:r>
          </w:p>
          <w:p>
            <w:pPr>
              <w:jc w:val="left"/>
              <w:rPr>
                <w:color w:val="000000" w:themeColor="text1"/>
                <w:sz w:val="24"/>
                <w14:textFill>
                  <w14:solidFill>
                    <w14:schemeClr w14:val="tx1"/>
                  </w14:solidFill>
                </w14:textFill>
              </w:rPr>
            </w:pPr>
            <w:r>
              <w:rPr>
                <w:color w:val="000000" w:themeColor="text1"/>
                <w:szCs w:val="21"/>
                <w14:textFill>
                  <w14:solidFill>
                    <w14:schemeClr w14:val="tx1"/>
                  </w14:solidFill>
                </w14:textFill>
              </w:rPr>
              <w:t>□技术改造</w:t>
            </w:r>
          </w:p>
        </w:tc>
        <w:tc>
          <w:tcPr>
            <w:tcW w:w="1240"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申报情形</w:t>
            </w:r>
          </w:p>
        </w:tc>
        <w:tc>
          <w:tcPr>
            <w:tcW w:w="1570" w:type="pct"/>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首次申报项目             </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□不予批准后再次申报项目</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□超五年重新审核项目     </w:t>
            </w:r>
          </w:p>
          <w:p>
            <w:pPr>
              <w:jc w:val="left"/>
              <w:rPr>
                <w:color w:val="000000" w:themeColor="text1"/>
                <w:sz w:val="24"/>
                <w14:textFill>
                  <w14:solidFill>
                    <w14:schemeClr w14:val="tx1"/>
                  </w14:solidFill>
                </w14:textFill>
              </w:rPr>
            </w:pPr>
            <w:r>
              <w:rPr>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1392"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衡山县发展和改革局</w:t>
            </w:r>
          </w:p>
        </w:tc>
        <w:tc>
          <w:tcPr>
            <w:tcW w:w="1240"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备案）文号（选填）</w:t>
            </w:r>
          </w:p>
        </w:tc>
        <w:tc>
          <w:tcPr>
            <w:tcW w:w="1570" w:type="pct"/>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山发改备〔2023〕54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总投资（万元）</w:t>
            </w:r>
          </w:p>
        </w:tc>
        <w:tc>
          <w:tcPr>
            <w:tcW w:w="1392"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50</w:t>
            </w:r>
          </w:p>
        </w:tc>
        <w:tc>
          <w:tcPr>
            <w:tcW w:w="1240"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1570" w:type="pct"/>
            <w:vAlign w:val="center"/>
          </w:tcPr>
          <w:p>
            <w:pPr>
              <w:adjustRightInd w:val="0"/>
              <w:snapToGrid w:val="0"/>
              <w:jc w:val="center"/>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环保投资占比（%）</w:t>
            </w:r>
          </w:p>
        </w:tc>
        <w:tc>
          <w:tcPr>
            <w:tcW w:w="1392" w:type="pct"/>
            <w:vAlign w:val="center"/>
          </w:tcPr>
          <w:p>
            <w:pPr>
              <w:adjustRightInd w:val="0"/>
              <w:snapToGrid w:val="0"/>
              <w:jc w:val="center"/>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16</w:t>
            </w:r>
          </w:p>
        </w:tc>
        <w:tc>
          <w:tcPr>
            <w:tcW w:w="1240"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1570"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798" w:type="pct"/>
            <w:tcMar>
              <w:top w:w="16" w:type="dxa"/>
              <w:left w:w="16" w:type="dxa"/>
              <w:right w:w="16" w:type="dxa"/>
            </w:tcMar>
            <w:vAlign w:val="center"/>
          </w:tcPr>
          <w:p>
            <w:pPr>
              <w:adjustRightInd w:val="0"/>
              <w:snapToGrid w:val="0"/>
              <w:jc w:val="center"/>
              <w:rPr>
                <w:sz w:val="24"/>
              </w:rPr>
            </w:pPr>
            <w:r>
              <w:rPr>
                <w:sz w:val="24"/>
              </w:rPr>
              <w:t>是否开工建设</w:t>
            </w:r>
          </w:p>
        </w:tc>
        <w:tc>
          <w:tcPr>
            <w:tcW w:w="1392" w:type="pct"/>
            <w:vAlign w:val="center"/>
          </w:tcPr>
          <w:p>
            <w:pPr>
              <w:adjustRightInd w:val="0"/>
              <w:snapToGrid w:val="0"/>
              <w:rPr>
                <w:color w:val="000000" w:themeColor="text1"/>
                <w:sz w:val="24"/>
                <w14:textFill>
                  <w14:solidFill>
                    <w14:schemeClr w14:val="tx1"/>
                  </w14:solidFill>
                </w14:textFill>
              </w:rPr>
            </w:pPr>
            <w:r>
              <w:rPr>
                <w:color w:val="000000" w:themeColor="text1"/>
                <w:szCs w:val="21"/>
                <w14:textFill>
                  <w14:solidFill>
                    <w14:schemeClr w14:val="tx1"/>
                  </w14:solidFill>
                </w14:textFill>
              </w:rPr>
              <w:t>□</w:t>
            </w:r>
            <w:r>
              <w:rPr>
                <w:color w:val="000000" w:themeColor="text1"/>
                <w:sz w:val="24"/>
                <w14:textFill>
                  <w14:solidFill>
                    <w14:schemeClr w14:val="tx1"/>
                  </w14:solidFill>
                </w14:textFill>
              </w:rPr>
              <w:t>否</w:t>
            </w:r>
          </w:p>
          <w:p>
            <w:pPr>
              <w:adjustRightInd w:val="0"/>
              <w:snapToGrid w:val="0"/>
              <w:rPr>
                <w:color w:val="000000" w:themeColor="text1"/>
                <w:sz w:val="24"/>
                <w14:textFill>
                  <w14:solidFill>
                    <w14:schemeClr w14:val="tx1"/>
                  </w14:solidFill>
                </w14:textFill>
              </w:rPr>
            </w:pPr>
            <w:r>
              <w:rPr>
                <w:rFonts w:ascii="Segoe UI Symbol" w:hAnsi="Segoe UI Symbol" w:cs="Segoe UI Symbol"/>
                <w:color w:val="000000" w:themeColor="text1"/>
                <w:szCs w:val="21"/>
                <w14:textFill>
                  <w14:solidFill>
                    <w14:schemeClr w14:val="tx1"/>
                  </w14:solidFill>
                </w14:textFill>
              </w:rPr>
              <w:t>☑</w:t>
            </w:r>
            <w:r>
              <w:rPr>
                <w:color w:val="000000" w:themeColor="text1"/>
                <w:sz w:val="24"/>
                <w14:textFill>
                  <w14:solidFill>
                    <w14:schemeClr w14:val="tx1"/>
                  </w14:solidFill>
                </w14:textFill>
              </w:rPr>
              <w:t>是：</w:t>
            </w:r>
            <w:r>
              <w:rPr>
                <w:rFonts w:hint="eastAsia"/>
                <w:color w:val="000000" w:themeColor="text1"/>
                <w:sz w:val="24"/>
                <w:u w:val="single"/>
                <w14:textFill>
                  <w14:solidFill>
                    <w14:schemeClr w14:val="tx1"/>
                  </w14:solidFill>
                </w14:textFill>
              </w:rPr>
              <w:t>本项目为未批先建项目，建设单位已经收到当地环保局的处罚单</w:t>
            </w:r>
          </w:p>
        </w:tc>
        <w:tc>
          <w:tcPr>
            <w:tcW w:w="1240" w:type="pct"/>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用地面积（m</w:t>
            </w:r>
            <w:r>
              <w:rPr>
                <w:color w:val="000000" w:themeColor="text1"/>
                <w:spacing w:val="-6"/>
                <w:sz w:val="24"/>
                <w:vertAlign w:val="superscript"/>
                <w14:textFill>
                  <w14:solidFill>
                    <w14:schemeClr w14:val="tx1"/>
                  </w14:solidFill>
                </w14:textFill>
              </w:rPr>
              <w:t>2</w:t>
            </w:r>
            <w:r>
              <w:rPr>
                <w:color w:val="000000" w:themeColor="text1"/>
                <w:spacing w:val="-6"/>
                <w:sz w:val="24"/>
                <w14:textFill>
                  <w14:solidFill>
                    <w14:schemeClr w14:val="tx1"/>
                  </w14:solidFill>
                </w14:textFill>
              </w:rPr>
              <w:t>）</w:t>
            </w:r>
          </w:p>
        </w:tc>
        <w:tc>
          <w:tcPr>
            <w:tcW w:w="1570" w:type="pc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98" w:type="pct"/>
            <w:vAlign w:val="center"/>
          </w:tcPr>
          <w:p>
            <w:pPr>
              <w:autoSpaceDE w:val="0"/>
              <w:autoSpaceDN w:val="0"/>
              <w:adjustRightInd w:val="0"/>
              <w:snapToGrid w:val="0"/>
              <w:jc w:val="center"/>
              <w:rPr>
                <w:kern w:val="0"/>
                <w:sz w:val="24"/>
              </w:rPr>
            </w:pPr>
            <w:r>
              <w:rPr>
                <w:kern w:val="0"/>
                <w:sz w:val="24"/>
              </w:rPr>
              <w:t>专项评价设置情况</w:t>
            </w:r>
          </w:p>
        </w:tc>
        <w:tc>
          <w:tcPr>
            <w:tcW w:w="4202" w:type="pct"/>
            <w:gridSpan w:val="3"/>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98" w:type="pct"/>
            <w:vAlign w:val="center"/>
          </w:tcPr>
          <w:p>
            <w:pPr>
              <w:autoSpaceDE w:val="0"/>
              <w:autoSpaceDN w:val="0"/>
              <w:adjustRightInd w:val="0"/>
              <w:snapToGrid w:val="0"/>
              <w:jc w:val="center"/>
              <w:rPr>
                <w:kern w:val="0"/>
                <w:sz w:val="24"/>
              </w:rPr>
            </w:pPr>
            <w:r>
              <w:rPr>
                <w:sz w:val="24"/>
              </w:rPr>
              <w:t>规划情况</w:t>
            </w:r>
          </w:p>
        </w:tc>
        <w:tc>
          <w:tcPr>
            <w:tcW w:w="4202" w:type="pct"/>
            <w:gridSpan w:val="3"/>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98" w:type="pct"/>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4202" w:type="pct"/>
            <w:gridSpan w:val="3"/>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98" w:type="pct"/>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4202" w:type="pct"/>
            <w:gridSpan w:val="3"/>
            <w:vAlign w:val="center"/>
          </w:tcPr>
          <w:p>
            <w:pPr>
              <w:autoSpaceDE w:val="0"/>
              <w:autoSpaceDN w:val="0"/>
              <w:adjustRightInd w:val="0"/>
              <w:snapToGrid w:val="0"/>
              <w:jc w:val="center"/>
              <w:rPr>
                <w:kern w:val="0"/>
                <w:sz w:val="24"/>
              </w:rPr>
            </w:pPr>
            <w:r>
              <w:rPr>
                <w:rFonts w:hint="eastAsia"/>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98" w:type="pct"/>
            <w:vAlign w:val="center"/>
          </w:tcPr>
          <w:p>
            <w:pPr>
              <w:autoSpaceDE w:val="0"/>
              <w:autoSpaceDN w:val="0"/>
              <w:adjustRightInd w:val="0"/>
              <w:snapToGrid w:val="0"/>
              <w:jc w:val="center"/>
              <w:rPr>
                <w:kern w:val="0"/>
                <w:sz w:val="24"/>
              </w:rPr>
            </w:pPr>
            <w:r>
              <w:rPr>
                <w:kern w:val="0"/>
                <w:sz w:val="24"/>
              </w:rPr>
              <w:t>其他符合性分析</w:t>
            </w:r>
          </w:p>
        </w:tc>
        <w:tc>
          <w:tcPr>
            <w:tcW w:w="4202" w:type="pct"/>
            <w:gridSpan w:val="3"/>
            <w:vAlign w:val="center"/>
          </w:tcPr>
          <w:p>
            <w:pPr>
              <w:widowControl/>
              <w:spacing w:line="360" w:lineRule="auto"/>
              <w:ind w:firstLine="482" w:firstLineChars="200"/>
              <w:jc w:val="left"/>
              <w:rPr>
                <w:b/>
                <w:bCs/>
                <w:color w:val="000000"/>
                <w:sz w:val="24"/>
              </w:rPr>
            </w:pPr>
            <w:r>
              <w:rPr>
                <w:rFonts w:hint="eastAsia"/>
                <w:b/>
                <w:bCs/>
                <w:color w:val="000000"/>
                <w:sz w:val="24"/>
              </w:rPr>
              <w:t>1、产业政策符合性分析</w:t>
            </w:r>
          </w:p>
          <w:p>
            <w:pPr>
              <w:widowControl/>
              <w:spacing w:line="360" w:lineRule="auto"/>
              <w:ind w:firstLine="496" w:firstLineChars="200"/>
              <w:rPr>
                <w:bCs/>
                <w:sz w:val="24"/>
              </w:rPr>
            </w:pPr>
            <w:r>
              <w:rPr>
                <w:bCs/>
                <w:spacing w:val="4"/>
                <w:sz w:val="24"/>
              </w:rPr>
              <w:t>本项目为</w:t>
            </w:r>
            <w:r>
              <w:rPr>
                <w:rFonts w:hint="eastAsia"/>
                <w:bCs/>
                <w:spacing w:val="4"/>
                <w:sz w:val="24"/>
              </w:rPr>
              <w:t>机制炭加工</w:t>
            </w:r>
            <w:r>
              <w:rPr>
                <w:bCs/>
                <w:spacing w:val="4"/>
                <w:sz w:val="24"/>
              </w:rPr>
              <w:t>项目，对比</w:t>
            </w:r>
            <w:r>
              <w:rPr>
                <w:bCs/>
                <w:sz w:val="24"/>
              </w:rPr>
              <w:t>《产业结构调整指导目录（2024年本）》，本项目不属于限制类和淘汰类</w:t>
            </w:r>
            <w:r>
              <w:rPr>
                <w:rFonts w:hint="eastAsia"/>
                <w:bCs/>
                <w:sz w:val="24"/>
              </w:rPr>
              <w:t>，属于允许类</w:t>
            </w:r>
            <w:r>
              <w:rPr>
                <w:bCs/>
                <w:sz w:val="24"/>
              </w:rPr>
              <w:t>。本项目符合相关政策。</w:t>
            </w:r>
          </w:p>
          <w:p>
            <w:pPr>
              <w:tabs>
                <w:tab w:val="left" w:pos="4298"/>
              </w:tabs>
              <w:spacing w:line="360" w:lineRule="auto"/>
              <w:ind w:firstLine="480" w:firstLineChars="200"/>
              <w:rPr>
                <w:sz w:val="24"/>
              </w:rPr>
            </w:pPr>
            <w:r>
              <w:rPr>
                <w:sz w:val="24"/>
              </w:rPr>
              <w:t>项目所使用的原材料、生产设备及生产工艺均不属于《产业结构调整指导目录》（2024年本）》中的限制类和淘汰类产品及设备。</w:t>
            </w:r>
          </w:p>
          <w:p>
            <w:pPr>
              <w:tabs>
                <w:tab w:val="left" w:pos="4298"/>
              </w:tabs>
              <w:spacing w:line="360" w:lineRule="auto"/>
              <w:ind w:firstLine="480" w:firstLineChars="200"/>
              <w:rPr>
                <w:sz w:val="24"/>
              </w:rPr>
            </w:pPr>
            <w:r>
              <w:rPr>
                <w:sz w:val="24"/>
              </w:rPr>
              <w:t>项目经</w:t>
            </w:r>
            <w:r>
              <w:rPr>
                <w:rFonts w:hint="eastAsia"/>
                <w:sz w:val="24"/>
              </w:rPr>
              <w:t>衡山县发展和改革局</w:t>
            </w:r>
            <w:r>
              <w:rPr>
                <w:sz w:val="24"/>
              </w:rPr>
              <w:t>备案，项目编码为： 2306-430423-04-05-457916，故本项目符合国家产业政策和</w:t>
            </w:r>
            <w:r>
              <w:rPr>
                <w:rFonts w:hint="eastAsia"/>
                <w:sz w:val="24"/>
              </w:rPr>
              <w:t>衡阳</w:t>
            </w:r>
            <w:r>
              <w:rPr>
                <w:sz w:val="24"/>
              </w:rPr>
              <w:t>市产业发展规划要求。</w:t>
            </w:r>
          </w:p>
          <w:p>
            <w:pPr>
              <w:tabs>
                <w:tab w:val="left" w:pos="4298"/>
              </w:tabs>
              <w:spacing w:line="360" w:lineRule="auto"/>
              <w:ind w:firstLine="480" w:firstLineChars="200"/>
              <w:rPr>
                <w:sz w:val="24"/>
              </w:rPr>
            </w:pPr>
            <w:r>
              <w:rPr>
                <w:sz w:val="24"/>
              </w:rPr>
              <w:t>综上所述，本项目符合相关的国家和地方产业政策。</w:t>
            </w:r>
          </w:p>
          <w:p>
            <w:pPr>
              <w:widowControl/>
              <w:spacing w:line="360" w:lineRule="auto"/>
              <w:ind w:firstLine="482" w:firstLineChars="200"/>
              <w:jc w:val="left"/>
              <w:rPr>
                <w:color w:val="000000"/>
                <w:sz w:val="24"/>
              </w:rPr>
            </w:pPr>
            <w:r>
              <w:rPr>
                <w:rFonts w:hint="eastAsia"/>
                <w:b/>
                <w:bCs/>
                <w:color w:val="000000"/>
                <w:sz w:val="24"/>
              </w:rPr>
              <w:t>2、“三线一单”符合性分析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（1）生态</w:t>
            </w:r>
            <w:r>
              <w:rPr>
                <w:rFonts w:hint="eastAsia"/>
                <w:color w:val="000000" w:themeColor="text1"/>
                <w:sz w:val="24"/>
                <w14:textFill>
                  <w14:solidFill>
                    <w14:schemeClr w14:val="tx1"/>
                  </w14:solidFill>
                </w14:textFill>
              </w:rPr>
              <w:t>保护</w:t>
            </w:r>
            <w:r>
              <w:rPr>
                <w:color w:val="000000" w:themeColor="text1"/>
                <w:sz w:val="24"/>
                <w14:textFill>
                  <w14:solidFill>
                    <w14:schemeClr w14:val="tx1"/>
                  </w14:solidFill>
                </w14:textFill>
              </w:rPr>
              <w:t>红线</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color w:val="000000" w:themeColor="text1"/>
                <w:sz w:val="24"/>
                <w14:textFill>
                  <w14:solidFill>
                    <w14:schemeClr w14:val="tx1"/>
                  </w14:solidFill>
                </w14:textFill>
              </w:rPr>
              <w:t>湖南</w:t>
            </w:r>
            <w:r>
              <w:rPr>
                <w:color w:val="000000" w:themeColor="text1"/>
                <w:sz w:val="24"/>
                <w14:textFill>
                  <w14:solidFill>
                    <w14:schemeClr w14:val="tx1"/>
                  </w14:solidFill>
                </w14:textFill>
              </w:rPr>
              <w:t>省</w:t>
            </w:r>
            <w:r>
              <w:rPr>
                <w:rFonts w:hint="eastAsia"/>
                <w:color w:val="000000" w:themeColor="text1"/>
                <w:sz w:val="24"/>
                <w14:textFill>
                  <w14:solidFill>
                    <w14:schemeClr w14:val="tx1"/>
                  </w14:solidFill>
                </w14:textFill>
              </w:rPr>
              <w:t>衡阳市衡山县新桥镇高新村</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根据衡阳市生态保护红线分布图，项目不在生态保护红线范围内。项目建设符合生态保护红线要求</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（2）环境质量底线</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①大气环境</w:t>
            </w:r>
          </w:p>
          <w:p>
            <w:pPr>
              <w:spacing w:line="360" w:lineRule="auto"/>
              <w:ind w:firstLine="480" w:firstLineChars="200"/>
              <w:rPr>
                <w:sz w:val="24"/>
              </w:rPr>
            </w:pPr>
            <w:r>
              <w:rPr>
                <w:rFonts w:hint="eastAsia"/>
                <w:sz w:val="24"/>
              </w:rPr>
              <w:t>根据《202</w:t>
            </w:r>
            <w:r>
              <w:rPr>
                <w:sz w:val="24"/>
              </w:rPr>
              <w:t>2</w:t>
            </w:r>
            <w:r>
              <w:rPr>
                <w:rFonts w:hint="eastAsia"/>
                <w:sz w:val="24"/>
              </w:rPr>
              <w:t>年衡阳市生态环境状况公报》，项目所在地SO</w:t>
            </w:r>
            <w:r>
              <w:rPr>
                <w:rFonts w:hint="eastAsia"/>
                <w:sz w:val="24"/>
                <w:vertAlign w:val="subscript"/>
              </w:rPr>
              <w:t>2</w:t>
            </w:r>
            <w:r>
              <w:rPr>
                <w:rFonts w:hint="eastAsia"/>
                <w:sz w:val="24"/>
              </w:rPr>
              <w:t>、NO</w:t>
            </w:r>
            <w:r>
              <w:rPr>
                <w:rFonts w:hint="eastAsia"/>
                <w:sz w:val="24"/>
                <w:vertAlign w:val="subscript"/>
              </w:rPr>
              <w:t>2</w:t>
            </w:r>
            <w:r>
              <w:rPr>
                <w:rFonts w:hint="eastAsia"/>
                <w:sz w:val="24"/>
              </w:rPr>
              <w:t>、O</w:t>
            </w:r>
            <w:r>
              <w:rPr>
                <w:rFonts w:hint="eastAsia"/>
                <w:sz w:val="24"/>
                <w:vertAlign w:val="subscript"/>
              </w:rPr>
              <w:t>3</w:t>
            </w:r>
            <w:r>
              <w:rPr>
                <w:rFonts w:hint="eastAsia"/>
                <w:sz w:val="24"/>
              </w:rPr>
              <w:t>、CO、PM</w:t>
            </w:r>
            <w:r>
              <w:rPr>
                <w:rFonts w:hint="eastAsia"/>
                <w:sz w:val="24"/>
                <w:vertAlign w:val="subscript"/>
              </w:rPr>
              <w:t>10</w:t>
            </w:r>
            <w:r>
              <w:rPr>
                <w:rFonts w:hint="eastAsia"/>
                <w:sz w:val="24"/>
              </w:rPr>
              <w:t>、PM</w:t>
            </w:r>
            <w:r>
              <w:rPr>
                <w:rFonts w:hint="eastAsia"/>
                <w:sz w:val="24"/>
                <w:vertAlign w:val="subscript"/>
              </w:rPr>
              <w:t>2.5</w:t>
            </w:r>
            <w:r>
              <w:rPr>
                <w:rFonts w:hint="eastAsia"/>
                <w:sz w:val="24"/>
              </w:rPr>
              <w:t>年均质量浓度均达到《环境空气质量标准》（GB3095-2012）二级标准。因此，衡山县为环境空气质量达标区。本项目建成运营后，为降低对外环境的大气影响，产生的废气均采取有效防治措施，对周边大气环境影响较小，不会降低现有环境功能。</w:t>
            </w:r>
          </w:p>
          <w:p>
            <w:pPr>
              <w:spacing w:line="360" w:lineRule="auto"/>
              <w:ind w:firstLine="480" w:firstLineChars="200"/>
              <w:rPr>
                <w:sz w:val="24"/>
              </w:rPr>
            </w:pPr>
            <w:r>
              <w:rPr>
                <w:rFonts w:hint="eastAsia"/>
                <w:sz w:val="24"/>
              </w:rPr>
              <w:t>②地表水环境</w:t>
            </w:r>
          </w:p>
          <w:p>
            <w:pPr>
              <w:spacing w:line="360" w:lineRule="auto"/>
              <w:ind w:firstLine="480" w:firstLineChars="200"/>
              <w:rPr>
                <w:sz w:val="24"/>
              </w:rPr>
            </w:pPr>
            <w:r>
              <w:rPr>
                <w:rFonts w:hint="eastAsia"/>
                <w:sz w:val="24"/>
              </w:rPr>
              <w:t>区域地表水湘江水质满足《地表水环境质量标准》（GB3838-2002）中I</w:t>
            </w:r>
            <w:r>
              <w:rPr>
                <w:sz w:val="24"/>
              </w:rPr>
              <w:t>I</w:t>
            </w:r>
            <w:r>
              <w:rPr>
                <w:rFonts w:hint="eastAsia"/>
                <w:sz w:val="24"/>
              </w:rPr>
              <w:t>类水标准。项目废水不外排，对周边地表水影响较小。</w:t>
            </w:r>
          </w:p>
          <w:p>
            <w:pPr>
              <w:spacing w:line="360" w:lineRule="auto"/>
              <w:ind w:firstLine="480" w:firstLineChars="200"/>
              <w:rPr>
                <w:sz w:val="24"/>
              </w:rPr>
            </w:pPr>
            <w:r>
              <w:rPr>
                <w:rFonts w:hint="eastAsia"/>
                <w:sz w:val="24"/>
              </w:rPr>
              <w:t>③声环境</w:t>
            </w:r>
          </w:p>
          <w:p>
            <w:pPr>
              <w:spacing w:line="360" w:lineRule="auto"/>
              <w:ind w:firstLine="480" w:firstLineChars="200"/>
              <w:rPr>
                <w:sz w:val="24"/>
              </w:rPr>
            </w:pPr>
            <w:r>
              <w:rPr>
                <w:rFonts w:hint="eastAsia"/>
                <w:sz w:val="24"/>
              </w:rPr>
              <w:t>根据现状监测数据，项目所在区域声环境质量满足《声环境质量标准》（GB3096-2008）2类标准要求。本项目建成运营后，厂内产生的噪声对周边声环境影响较小。因此，项目的建设不会突破区域环境质量底线。</w:t>
            </w:r>
          </w:p>
          <w:p>
            <w:pPr>
              <w:spacing w:line="360" w:lineRule="auto"/>
              <w:ind w:firstLine="480" w:firstLineChars="200"/>
              <w:rPr>
                <w:sz w:val="24"/>
              </w:rPr>
            </w:pPr>
            <w:r>
              <w:rPr>
                <w:rFonts w:hint="eastAsia"/>
                <w:sz w:val="24"/>
              </w:rPr>
              <w:t>（3）资源利用上线</w:t>
            </w:r>
          </w:p>
          <w:p>
            <w:pPr>
              <w:spacing w:line="360" w:lineRule="auto"/>
              <w:ind w:firstLine="480" w:firstLineChars="200"/>
              <w:rPr>
                <w:sz w:val="24"/>
              </w:rPr>
            </w:pPr>
            <w:r>
              <w:rPr>
                <w:rFonts w:hint="eastAsia"/>
                <w:sz w:val="24"/>
              </w:rPr>
              <w:t>项目用水主要为生活用水和生产用水等，区域水资源丰富，可满足用水需求；项目用电由当地电网供电；</w:t>
            </w:r>
            <w:r>
              <w:rPr>
                <w:sz w:val="24"/>
              </w:rPr>
              <w:t>项目</w:t>
            </w:r>
            <w:r>
              <w:rPr>
                <w:rFonts w:hint="eastAsia"/>
                <w:sz w:val="24"/>
              </w:rPr>
              <w:t>土地资源消耗符合要求。因此，项目营运期不会突破区域资源利用上线。</w:t>
            </w:r>
          </w:p>
          <w:p>
            <w:pPr>
              <w:spacing w:line="360" w:lineRule="auto"/>
              <w:ind w:firstLine="480" w:firstLineChars="200"/>
              <w:rPr>
                <w:sz w:val="24"/>
              </w:rPr>
            </w:pPr>
            <w:r>
              <w:rPr>
                <w:rFonts w:hint="eastAsia"/>
                <w:sz w:val="24"/>
              </w:rPr>
              <w:t>（4）生态环境准入清单</w:t>
            </w:r>
          </w:p>
          <w:p>
            <w:pPr>
              <w:spacing w:line="360" w:lineRule="auto"/>
              <w:ind w:firstLine="480" w:firstLineChars="200"/>
              <w:rPr>
                <w:sz w:val="24"/>
              </w:rPr>
            </w:pPr>
            <w:r>
              <w:rPr>
                <w:sz w:val="24"/>
              </w:rPr>
              <w:t>生态环境准入清单是基于生态保护红线、环境质量底线和资源利用上线，以清单方式列出的禁止、限制等差别化环境准入条件和要求。根据《</w:t>
            </w:r>
            <w:r>
              <w:rPr>
                <w:rFonts w:hint="eastAsia"/>
                <w:sz w:val="24"/>
              </w:rPr>
              <w:t>衡阳市</w:t>
            </w:r>
            <w:r>
              <w:rPr>
                <w:sz w:val="24"/>
              </w:rPr>
              <w:t>人民政府关于实施“三线一单”生态环境分区管控的意见》（</w:t>
            </w:r>
            <w:r>
              <w:rPr>
                <w:rFonts w:hint="eastAsia"/>
                <w:sz w:val="24"/>
              </w:rPr>
              <w:t>衡</w:t>
            </w:r>
            <w:r>
              <w:rPr>
                <w:sz w:val="24"/>
              </w:rPr>
              <w:t>政发[2020]</w:t>
            </w:r>
            <w:r>
              <w:rPr>
                <w:rFonts w:hint="eastAsia"/>
                <w:sz w:val="24"/>
              </w:rPr>
              <w:t>9</w:t>
            </w:r>
            <w:r>
              <w:rPr>
                <w:sz w:val="24"/>
              </w:rPr>
              <w:t>号）中</w:t>
            </w:r>
            <w:r>
              <w:rPr>
                <w:rFonts w:hint="eastAsia"/>
                <w:sz w:val="24"/>
              </w:rPr>
              <w:t>“</w:t>
            </w:r>
            <w:r>
              <w:rPr>
                <w:sz w:val="24"/>
              </w:rPr>
              <w:t xml:space="preserve">附件3 </w:t>
            </w:r>
            <w:r>
              <w:rPr>
                <w:rFonts w:hint="eastAsia"/>
                <w:sz w:val="24"/>
              </w:rPr>
              <w:t>衡阳</w:t>
            </w:r>
            <w:r>
              <w:rPr>
                <w:sz w:val="24"/>
              </w:rPr>
              <w:t>市生态环境管控基本要求</w:t>
            </w:r>
            <w:r>
              <w:rPr>
                <w:rFonts w:hint="eastAsia"/>
                <w:sz w:val="24"/>
              </w:rPr>
              <w:t>”</w:t>
            </w:r>
            <w:r>
              <w:rPr>
                <w:sz w:val="24"/>
              </w:rPr>
              <w:t>，本项目生态环境准入清单符合性见下表</w:t>
            </w:r>
            <w:r>
              <w:rPr>
                <w:rFonts w:hint="eastAsia"/>
                <w:sz w:val="24"/>
              </w:rPr>
              <w:t>。</w:t>
            </w:r>
          </w:p>
          <w:p>
            <w:pPr>
              <w:jc w:val="center"/>
              <w:rPr>
                <w:b/>
                <w:szCs w:val="21"/>
              </w:rPr>
            </w:pPr>
          </w:p>
          <w:p>
            <w:pPr>
              <w:jc w:val="center"/>
              <w:rPr>
                <w:b/>
                <w:szCs w:val="21"/>
              </w:rPr>
            </w:pPr>
            <w:r>
              <w:rPr>
                <w:b/>
                <w:szCs w:val="21"/>
              </w:rPr>
              <w:t>表</w:t>
            </w:r>
            <w:r>
              <w:rPr>
                <w:rFonts w:hint="eastAsia"/>
                <w:b/>
                <w:szCs w:val="21"/>
              </w:rPr>
              <w:t>1-1  “三线一单”对照分析预判情况</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36"/>
              <w:gridCol w:w="582"/>
              <w:gridCol w:w="3303"/>
              <w:gridCol w:w="2196"/>
              <w:gridCol w:w="7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b/>
                      <w:sz w:val="21"/>
                      <w:szCs w:val="21"/>
                    </w:rPr>
                  </w:pPr>
                  <w:r>
                    <w:rPr>
                      <w:rFonts w:hint="eastAsia"/>
                      <w:b/>
                      <w:sz w:val="21"/>
                      <w:szCs w:val="21"/>
                    </w:rPr>
                    <w:t>序号</w:t>
                  </w:r>
                </w:p>
              </w:tc>
              <w:tc>
                <w:tcPr>
                  <w:tcW w:w="403" w:type="pct"/>
                  <w:vAlign w:val="center"/>
                </w:tcPr>
                <w:p>
                  <w:pPr>
                    <w:pStyle w:val="66"/>
                    <w:adjustRightInd/>
                    <w:snapToGrid/>
                    <w:rPr>
                      <w:b/>
                      <w:sz w:val="21"/>
                      <w:szCs w:val="21"/>
                    </w:rPr>
                  </w:pPr>
                  <w:r>
                    <w:rPr>
                      <w:rFonts w:hint="eastAsia"/>
                      <w:b/>
                      <w:sz w:val="21"/>
                      <w:szCs w:val="21"/>
                    </w:rPr>
                    <w:t>类别</w:t>
                  </w:r>
                </w:p>
              </w:tc>
              <w:tc>
                <w:tcPr>
                  <w:tcW w:w="2285" w:type="pct"/>
                  <w:vAlign w:val="center"/>
                </w:tcPr>
                <w:p>
                  <w:pPr>
                    <w:pStyle w:val="66"/>
                    <w:adjustRightInd/>
                    <w:snapToGrid/>
                    <w:rPr>
                      <w:b/>
                      <w:sz w:val="21"/>
                      <w:szCs w:val="21"/>
                    </w:rPr>
                  </w:pPr>
                  <w:r>
                    <w:rPr>
                      <w:rFonts w:hint="eastAsia"/>
                      <w:b/>
                      <w:sz w:val="21"/>
                      <w:szCs w:val="21"/>
                    </w:rPr>
                    <w:t>管控要求</w:t>
                  </w:r>
                </w:p>
              </w:tc>
              <w:tc>
                <w:tcPr>
                  <w:tcW w:w="1519" w:type="pct"/>
                  <w:vAlign w:val="center"/>
                </w:tcPr>
                <w:p>
                  <w:pPr>
                    <w:pStyle w:val="66"/>
                    <w:adjustRightInd/>
                    <w:snapToGrid/>
                    <w:rPr>
                      <w:b/>
                      <w:sz w:val="21"/>
                      <w:szCs w:val="21"/>
                    </w:rPr>
                  </w:pPr>
                  <w:r>
                    <w:rPr>
                      <w:rFonts w:hint="eastAsia"/>
                      <w:b/>
                      <w:sz w:val="21"/>
                      <w:szCs w:val="21"/>
                    </w:rPr>
                    <w:t>符合性分析</w:t>
                  </w:r>
                </w:p>
              </w:tc>
              <w:tc>
                <w:tcPr>
                  <w:tcW w:w="491" w:type="pct"/>
                  <w:vAlign w:val="center"/>
                </w:tcPr>
                <w:p>
                  <w:pPr>
                    <w:pStyle w:val="66"/>
                    <w:adjustRightInd/>
                    <w:snapToGrid/>
                    <w:rPr>
                      <w:b/>
                      <w:sz w:val="21"/>
                      <w:szCs w:val="21"/>
                    </w:rPr>
                  </w:pPr>
                  <w:r>
                    <w:rPr>
                      <w:rFonts w:hint="eastAsia"/>
                      <w:b/>
                      <w:sz w:val="21"/>
                      <w:szCs w:val="21"/>
                    </w:rPr>
                    <w:t>是否满足要求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1</w:t>
                  </w:r>
                </w:p>
              </w:tc>
              <w:tc>
                <w:tcPr>
                  <w:tcW w:w="403" w:type="pct"/>
                  <w:vAlign w:val="center"/>
                </w:tcPr>
                <w:p>
                  <w:pPr>
                    <w:pStyle w:val="66"/>
                    <w:adjustRightInd/>
                    <w:snapToGrid/>
                    <w:rPr>
                      <w:sz w:val="21"/>
                      <w:szCs w:val="21"/>
                    </w:rPr>
                  </w:pPr>
                  <w:r>
                    <w:rPr>
                      <w:rFonts w:hint="eastAsia"/>
                      <w:sz w:val="21"/>
                      <w:szCs w:val="21"/>
                    </w:rPr>
                    <w:t>环境管控单元</w:t>
                  </w:r>
                </w:p>
              </w:tc>
              <w:tc>
                <w:tcPr>
                  <w:tcW w:w="2285" w:type="pct"/>
                  <w:vAlign w:val="center"/>
                </w:tcPr>
                <w:p>
                  <w:pPr>
                    <w:pStyle w:val="66"/>
                    <w:adjustRightInd/>
                    <w:snapToGrid/>
                    <w:rPr>
                      <w:sz w:val="21"/>
                      <w:szCs w:val="21"/>
                    </w:rPr>
                  </w:pPr>
                  <w:r>
                    <w:rPr>
                      <w:rFonts w:hint="eastAsia"/>
                      <w:sz w:val="21"/>
                      <w:szCs w:val="21"/>
                    </w:rPr>
                    <w:t>环境管控单元分为三类，其中衡山县具体环境管控单元为优先保护单元</w:t>
                  </w:r>
                  <w:r>
                    <w:rPr>
                      <w:sz w:val="21"/>
                      <w:szCs w:val="21"/>
                    </w:rPr>
                    <w:t>2</w:t>
                  </w:r>
                  <w:r>
                    <w:rPr>
                      <w:rFonts w:hint="eastAsia"/>
                      <w:sz w:val="21"/>
                      <w:szCs w:val="21"/>
                    </w:rPr>
                    <w:t>个（店门镇/萱洲镇/永和乡，东湖镇）；重点管控单元</w:t>
                  </w:r>
                  <w:r>
                    <w:rPr>
                      <w:sz w:val="21"/>
                      <w:szCs w:val="21"/>
                    </w:rPr>
                    <w:t>1</w:t>
                  </w:r>
                  <w:r>
                    <w:rPr>
                      <w:rFonts w:hint="eastAsia"/>
                      <w:sz w:val="21"/>
                      <w:szCs w:val="21"/>
                    </w:rPr>
                    <w:t>个（开云镇/长江镇）；一般管控单元</w:t>
                  </w:r>
                  <w:r>
                    <w:rPr>
                      <w:sz w:val="21"/>
                      <w:szCs w:val="21"/>
                    </w:rPr>
                    <w:t>1</w:t>
                  </w:r>
                  <w:r>
                    <w:rPr>
                      <w:rFonts w:hint="eastAsia"/>
                      <w:sz w:val="21"/>
                      <w:szCs w:val="21"/>
                    </w:rPr>
                    <w:t>个（</w:t>
                  </w:r>
                  <w:r>
                    <w:rPr>
                      <w:sz w:val="21"/>
                    </w:rPr>
                    <w:t>白果镇/福田铺乡/贯塘乡/江东乡/岭坡乡/新桥镇</w:t>
                  </w:r>
                  <w:r>
                    <w:rPr>
                      <w:rFonts w:hint="eastAsia"/>
                      <w:sz w:val="21"/>
                      <w:szCs w:val="21"/>
                    </w:rPr>
                    <w:t>）。</w:t>
                  </w:r>
                </w:p>
              </w:tc>
              <w:tc>
                <w:tcPr>
                  <w:tcW w:w="1519" w:type="pct"/>
                  <w:vAlign w:val="center"/>
                </w:tcPr>
                <w:p>
                  <w:pPr>
                    <w:pStyle w:val="66"/>
                    <w:adjustRightInd/>
                    <w:snapToGrid/>
                    <w:rPr>
                      <w:sz w:val="21"/>
                      <w:szCs w:val="21"/>
                    </w:rPr>
                  </w:pPr>
                  <w:r>
                    <w:rPr>
                      <w:sz w:val="21"/>
                      <w:szCs w:val="21"/>
                    </w:rPr>
                    <w:t>本项目位于湖南省衡阳市</w:t>
                  </w:r>
                  <w:r>
                    <w:rPr>
                      <w:rFonts w:hint="eastAsia"/>
                      <w:sz w:val="21"/>
                      <w:szCs w:val="21"/>
                    </w:rPr>
                    <w:t>衡山县新桥镇，为属于一般管控单元</w:t>
                  </w:r>
                </w:p>
              </w:tc>
              <w:tc>
                <w:tcPr>
                  <w:tcW w:w="491" w:type="pct"/>
                  <w:vAlign w:val="center"/>
                </w:tcPr>
                <w:p>
                  <w:pPr>
                    <w:pStyle w:val="66"/>
                    <w:adjustRightInd/>
                    <w:snapToGrid/>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2</w:t>
                  </w:r>
                </w:p>
              </w:tc>
              <w:tc>
                <w:tcPr>
                  <w:tcW w:w="403" w:type="pct"/>
                  <w:vAlign w:val="center"/>
                </w:tcPr>
                <w:p>
                  <w:pPr>
                    <w:pStyle w:val="66"/>
                    <w:adjustRightInd/>
                    <w:snapToGrid/>
                    <w:rPr>
                      <w:sz w:val="21"/>
                      <w:szCs w:val="21"/>
                    </w:rPr>
                  </w:pPr>
                  <w:r>
                    <w:rPr>
                      <w:rFonts w:hint="eastAsia"/>
                      <w:sz w:val="21"/>
                      <w:szCs w:val="21"/>
                    </w:rPr>
                    <w:t>主要属性</w:t>
                  </w:r>
                </w:p>
              </w:tc>
              <w:tc>
                <w:tcPr>
                  <w:tcW w:w="2285" w:type="pct"/>
                  <w:vAlign w:val="center"/>
                </w:tcPr>
                <w:p>
                  <w:pPr>
                    <w:pStyle w:val="66"/>
                    <w:adjustRightInd/>
                    <w:snapToGrid/>
                    <w:rPr>
                      <w:sz w:val="21"/>
                    </w:rPr>
                  </w:pPr>
                  <w:r>
                    <w:rPr>
                      <w:rFonts w:hint="eastAsia"/>
                      <w:sz w:val="21"/>
                      <w:szCs w:val="21"/>
                    </w:rPr>
                    <w:t>1、</w:t>
                  </w:r>
                  <w:r>
                    <w:rPr>
                      <w:sz w:val="21"/>
                    </w:rPr>
                    <w:t>红线/一般生态空间——公益林/湿地公园/水产种质资源保护区/水土保持功能重要区/水土流失敏感区/水源涵养重要区</w:t>
                  </w:r>
                </w:p>
                <w:p>
                  <w:pPr>
                    <w:pStyle w:val="66"/>
                    <w:adjustRightInd/>
                    <w:snapToGrid/>
                    <w:rPr>
                      <w:sz w:val="21"/>
                    </w:rPr>
                  </w:pPr>
                  <w:r>
                    <w:rPr>
                      <w:rFonts w:hint="eastAsia"/>
                      <w:sz w:val="21"/>
                      <w:szCs w:val="21"/>
                    </w:rPr>
                    <w:t>2、</w:t>
                  </w:r>
                  <w:r>
                    <w:rPr>
                      <w:sz w:val="21"/>
                    </w:rPr>
                    <w:t>水环境优先保护区——萱洲国家湿地公园、湘江衡阳段四大家鱼国家级水产种质资源保护区</w:t>
                  </w:r>
                </w:p>
                <w:p>
                  <w:pPr>
                    <w:pStyle w:val="66"/>
                    <w:adjustRightInd/>
                    <w:snapToGrid/>
                    <w:rPr>
                      <w:sz w:val="21"/>
                      <w:szCs w:val="21"/>
                    </w:rPr>
                  </w:pPr>
                  <w:r>
                    <w:rPr>
                      <w:rFonts w:hint="eastAsia"/>
                      <w:sz w:val="21"/>
                    </w:rPr>
                    <w:t>3、</w:t>
                  </w:r>
                  <w:r>
                    <w:rPr>
                      <w:sz w:val="21"/>
                    </w:rPr>
                    <w:t>大气环境布局敏感重点管控区</w:t>
                  </w:r>
                </w:p>
                <w:p>
                  <w:pPr>
                    <w:pStyle w:val="66"/>
                    <w:adjustRightInd/>
                    <w:snapToGrid/>
                    <w:rPr>
                      <w:sz w:val="21"/>
                      <w:szCs w:val="21"/>
                    </w:rPr>
                  </w:pPr>
                  <w:r>
                    <w:rPr>
                      <w:sz w:val="21"/>
                      <w:szCs w:val="21"/>
                    </w:rPr>
                    <w:t>4</w:t>
                  </w:r>
                  <w:r>
                    <w:rPr>
                      <w:rFonts w:hint="eastAsia"/>
                      <w:sz w:val="21"/>
                      <w:szCs w:val="21"/>
                    </w:rPr>
                    <w:t>、</w:t>
                  </w:r>
                  <w:r>
                    <w:rPr>
                      <w:sz w:val="21"/>
                    </w:rPr>
                    <w:t>农用地优先保护区/其他土壤重点管控区——市县级采矿权/砂石矿</w:t>
                  </w:r>
                </w:p>
              </w:tc>
              <w:tc>
                <w:tcPr>
                  <w:tcW w:w="1519" w:type="pct"/>
                  <w:vAlign w:val="center"/>
                </w:tcPr>
                <w:p>
                  <w:pPr>
                    <w:pStyle w:val="66"/>
                    <w:adjustRightInd/>
                    <w:snapToGrid/>
                    <w:rPr>
                      <w:sz w:val="21"/>
                      <w:szCs w:val="21"/>
                    </w:rPr>
                  </w:pPr>
                  <w:r>
                    <w:rPr>
                      <w:rFonts w:hint="eastAsia"/>
                      <w:sz w:val="21"/>
                      <w:szCs w:val="21"/>
                    </w:rPr>
                    <w:t>1、</w:t>
                  </w:r>
                  <w:r>
                    <w:rPr>
                      <w:sz w:val="21"/>
                      <w:szCs w:val="21"/>
                    </w:rPr>
                    <w:t>本项目位于湖南省衡阳市</w:t>
                  </w:r>
                  <w:r>
                    <w:rPr>
                      <w:rFonts w:hint="eastAsia"/>
                      <w:sz w:val="21"/>
                      <w:szCs w:val="21"/>
                    </w:rPr>
                    <w:t>衡山县新桥镇</w:t>
                  </w:r>
                  <w:r>
                    <w:rPr>
                      <w:sz w:val="21"/>
                      <w:szCs w:val="21"/>
                    </w:rPr>
                    <w:t>，</w:t>
                  </w:r>
                  <w:r>
                    <w:rPr>
                      <w:rFonts w:hint="eastAsia"/>
                      <w:sz w:val="21"/>
                      <w:szCs w:val="21"/>
                    </w:rPr>
                    <w:t>不在衡山县</w:t>
                  </w:r>
                  <w:r>
                    <w:rPr>
                      <w:sz w:val="21"/>
                      <w:szCs w:val="21"/>
                    </w:rPr>
                    <w:t>公益林/水土保持功能重要区</w:t>
                  </w:r>
                  <w:r>
                    <w:rPr>
                      <w:rFonts w:hint="eastAsia"/>
                      <w:sz w:val="21"/>
                      <w:szCs w:val="21"/>
                    </w:rPr>
                    <w:t>；</w:t>
                  </w:r>
                </w:p>
                <w:p>
                  <w:pPr>
                    <w:pStyle w:val="66"/>
                    <w:adjustRightInd/>
                    <w:snapToGrid/>
                    <w:rPr>
                      <w:sz w:val="21"/>
                      <w:szCs w:val="21"/>
                    </w:rPr>
                  </w:pPr>
                  <w:r>
                    <w:rPr>
                      <w:rFonts w:hint="eastAsia"/>
                      <w:sz w:val="21"/>
                      <w:szCs w:val="21"/>
                    </w:rPr>
                    <w:t>2、本项目不在</w:t>
                  </w:r>
                  <w:r>
                    <w:rPr>
                      <w:sz w:val="21"/>
                    </w:rPr>
                    <w:t>萱洲国家湿地公园、湘江衡阳段四大家鱼国家级水产种质资源保护区</w:t>
                  </w:r>
                  <w:r>
                    <w:rPr>
                      <w:rFonts w:hint="eastAsia"/>
                      <w:sz w:val="21"/>
                      <w:szCs w:val="21"/>
                    </w:rPr>
                    <w:t>；</w:t>
                  </w:r>
                </w:p>
                <w:p>
                  <w:pPr>
                    <w:pStyle w:val="66"/>
                    <w:adjustRightInd/>
                    <w:snapToGrid/>
                    <w:rPr>
                      <w:sz w:val="21"/>
                      <w:szCs w:val="21"/>
                    </w:rPr>
                  </w:pPr>
                  <w:r>
                    <w:rPr>
                      <w:rFonts w:hint="eastAsia"/>
                      <w:sz w:val="21"/>
                      <w:szCs w:val="21"/>
                    </w:rPr>
                    <w:t>3、项目</w:t>
                  </w:r>
                  <w:r>
                    <w:rPr>
                      <w:sz w:val="21"/>
                      <w:szCs w:val="21"/>
                    </w:rPr>
                    <w:t>不涉及</w:t>
                  </w:r>
                  <w:r>
                    <w:rPr>
                      <w:rFonts w:hint="eastAsia"/>
                      <w:sz w:val="21"/>
                      <w:szCs w:val="21"/>
                    </w:rPr>
                    <w:t>采矿，不在</w:t>
                  </w:r>
                  <w:r>
                    <w:rPr>
                      <w:sz w:val="21"/>
                    </w:rPr>
                    <w:t>农用地优先保护区/其他土壤重点管控区</w:t>
                  </w:r>
                  <w:r>
                    <w:rPr>
                      <w:rFonts w:hint="eastAsia"/>
                      <w:sz w:val="21"/>
                    </w:rPr>
                    <w:t>。</w:t>
                  </w:r>
                </w:p>
              </w:tc>
              <w:tc>
                <w:tcPr>
                  <w:tcW w:w="491" w:type="pct"/>
                  <w:vAlign w:val="center"/>
                </w:tcPr>
                <w:p>
                  <w:pPr>
                    <w:pStyle w:val="66"/>
                    <w:adjustRightInd/>
                    <w:snapToGrid/>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3</w:t>
                  </w:r>
                </w:p>
              </w:tc>
              <w:tc>
                <w:tcPr>
                  <w:tcW w:w="403" w:type="pct"/>
                  <w:vAlign w:val="center"/>
                </w:tcPr>
                <w:p>
                  <w:pPr>
                    <w:pStyle w:val="66"/>
                    <w:adjustRightInd/>
                    <w:snapToGrid/>
                    <w:rPr>
                      <w:sz w:val="21"/>
                      <w:szCs w:val="21"/>
                    </w:rPr>
                  </w:pPr>
                  <w:r>
                    <w:rPr>
                      <w:rFonts w:hint="eastAsia"/>
                      <w:sz w:val="21"/>
                      <w:szCs w:val="21"/>
                    </w:rPr>
                    <w:t>空间布局约束</w:t>
                  </w:r>
                </w:p>
              </w:tc>
              <w:tc>
                <w:tcPr>
                  <w:tcW w:w="2285" w:type="pct"/>
                  <w:vAlign w:val="center"/>
                </w:tcPr>
                <w:p>
                  <w:pPr>
                    <w:pStyle w:val="66"/>
                    <w:adjustRightInd/>
                    <w:snapToGrid/>
                    <w:rPr>
                      <w:sz w:val="21"/>
                    </w:rPr>
                  </w:pPr>
                  <w:r>
                    <w:rPr>
                      <w:rFonts w:hint="eastAsia"/>
                      <w:sz w:val="21"/>
                      <w:szCs w:val="21"/>
                    </w:rPr>
                    <w:t>1、</w:t>
                  </w:r>
                  <w:r>
                    <w:rPr>
                      <w:sz w:val="21"/>
                    </w:rPr>
                    <w:t>严禁在城市建成区内新建石化、有机化工、包装印刷、沥青搅拌站、工业涂装等高 VOCs 排放建设项</w:t>
                  </w:r>
                </w:p>
                <w:p>
                  <w:pPr>
                    <w:pStyle w:val="66"/>
                    <w:adjustRightInd/>
                    <w:snapToGrid/>
                    <w:rPr>
                      <w:sz w:val="21"/>
                    </w:rPr>
                  </w:pPr>
                  <w:r>
                    <w:rPr>
                      <w:sz w:val="21"/>
                    </w:rPr>
                    <w:t>2</w:t>
                  </w:r>
                  <w:r>
                    <w:rPr>
                      <w:rFonts w:hint="eastAsia"/>
                      <w:sz w:val="21"/>
                    </w:rPr>
                    <w:t>、</w:t>
                  </w:r>
                  <w:r>
                    <w:rPr>
                      <w:sz w:val="21"/>
                    </w:rPr>
                    <w:t>科学划定畜禽养殖禁养区，在畜禽养殖污染防治规划编制和禁养区划定工作基础上，依法关闭或搬迁禁养区内的畜禽养殖场（小区）和养殖专业户</w:t>
                  </w:r>
                </w:p>
                <w:p>
                  <w:pPr>
                    <w:pStyle w:val="66"/>
                    <w:adjustRightInd/>
                    <w:snapToGrid/>
                    <w:rPr>
                      <w:sz w:val="21"/>
                      <w:szCs w:val="21"/>
                    </w:rPr>
                  </w:pPr>
                  <w:r>
                    <w:rPr>
                      <w:rFonts w:hint="eastAsia"/>
                      <w:sz w:val="21"/>
                    </w:rPr>
                    <w:t>3、</w:t>
                  </w:r>
                  <w:r>
                    <w:rPr>
                      <w:sz w:val="21"/>
                    </w:rPr>
                    <w:t>水产种质资源保护区按《水产种质资源保护区管理暂行办法》（2016 年修正本）要求管理</w:t>
                  </w:r>
                </w:p>
              </w:tc>
              <w:tc>
                <w:tcPr>
                  <w:tcW w:w="1519" w:type="pct"/>
                  <w:vAlign w:val="center"/>
                </w:tcPr>
                <w:p>
                  <w:pPr>
                    <w:pStyle w:val="66"/>
                    <w:adjustRightInd/>
                    <w:snapToGrid/>
                    <w:rPr>
                      <w:sz w:val="21"/>
                      <w:szCs w:val="21"/>
                    </w:rPr>
                  </w:pPr>
                  <w:r>
                    <w:rPr>
                      <w:rFonts w:hint="eastAsia"/>
                      <w:sz w:val="21"/>
                      <w:szCs w:val="21"/>
                    </w:rPr>
                    <w:t>1、本项目属于机制炭</w:t>
                  </w:r>
                  <w:r>
                    <w:rPr>
                      <w:rFonts w:hint="eastAsia"/>
                      <w:bCs/>
                      <w:sz w:val="21"/>
                      <w:szCs w:val="21"/>
                    </w:rPr>
                    <w:t>加工生产项目</w:t>
                  </w:r>
                  <w:r>
                    <w:rPr>
                      <w:rFonts w:hint="eastAsia"/>
                      <w:sz w:val="21"/>
                      <w:szCs w:val="21"/>
                    </w:rPr>
                    <w:t>，不属于石化、有机化工、包装印刷、沥青搅拌站、工业涂装等高VOCs排放建设项目，</w:t>
                  </w:r>
                </w:p>
                <w:p>
                  <w:pPr>
                    <w:pStyle w:val="66"/>
                    <w:adjustRightInd/>
                    <w:snapToGrid/>
                    <w:rPr>
                      <w:sz w:val="21"/>
                      <w:szCs w:val="21"/>
                    </w:rPr>
                  </w:pPr>
                  <w:r>
                    <w:rPr>
                      <w:rFonts w:hint="eastAsia"/>
                      <w:sz w:val="21"/>
                      <w:szCs w:val="21"/>
                    </w:rPr>
                    <w:t>2、也不属于养殖项目。</w:t>
                  </w:r>
                </w:p>
                <w:p>
                  <w:pPr>
                    <w:pStyle w:val="66"/>
                    <w:adjustRightInd/>
                    <w:snapToGrid/>
                    <w:rPr>
                      <w:sz w:val="21"/>
                      <w:szCs w:val="21"/>
                    </w:rPr>
                  </w:pPr>
                  <w:r>
                    <w:rPr>
                      <w:rFonts w:hint="eastAsia"/>
                      <w:sz w:val="21"/>
                      <w:szCs w:val="21"/>
                    </w:rPr>
                    <w:t>3、本项目不在</w:t>
                  </w:r>
                  <w:r>
                    <w:rPr>
                      <w:sz w:val="21"/>
                    </w:rPr>
                    <w:t>水产种质资源保护区</w:t>
                  </w:r>
                  <w:r>
                    <w:rPr>
                      <w:rFonts w:hint="eastAsia"/>
                      <w:sz w:val="21"/>
                    </w:rPr>
                    <w:t>。</w:t>
                  </w:r>
                </w:p>
              </w:tc>
              <w:tc>
                <w:tcPr>
                  <w:tcW w:w="491" w:type="pct"/>
                  <w:vAlign w:val="center"/>
                </w:tcPr>
                <w:p>
                  <w:pPr>
                    <w:pStyle w:val="66"/>
                    <w:adjustRightInd/>
                    <w:snapToGrid/>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4</w:t>
                  </w:r>
                </w:p>
              </w:tc>
              <w:tc>
                <w:tcPr>
                  <w:tcW w:w="403" w:type="pct"/>
                  <w:vAlign w:val="center"/>
                </w:tcPr>
                <w:p>
                  <w:pPr>
                    <w:pStyle w:val="66"/>
                    <w:adjustRightInd/>
                    <w:snapToGrid/>
                    <w:rPr>
                      <w:sz w:val="21"/>
                      <w:szCs w:val="21"/>
                    </w:rPr>
                  </w:pPr>
                  <w:r>
                    <w:rPr>
                      <w:rFonts w:hint="eastAsia"/>
                      <w:sz w:val="21"/>
                      <w:szCs w:val="21"/>
                    </w:rPr>
                    <w:t>污染物排放管控</w:t>
                  </w:r>
                </w:p>
              </w:tc>
              <w:tc>
                <w:tcPr>
                  <w:tcW w:w="2285" w:type="pct"/>
                  <w:vAlign w:val="center"/>
                </w:tcPr>
                <w:p>
                  <w:pPr>
                    <w:pStyle w:val="66"/>
                    <w:adjustRightInd/>
                    <w:snapToGrid/>
                    <w:rPr>
                      <w:sz w:val="21"/>
                    </w:rPr>
                  </w:pPr>
                  <w:r>
                    <w:rPr>
                      <w:rFonts w:hint="eastAsia"/>
                      <w:sz w:val="21"/>
                      <w:szCs w:val="21"/>
                    </w:rPr>
                    <w:t>1、</w:t>
                  </w:r>
                  <w:r>
                    <w:rPr>
                      <w:sz w:val="21"/>
                    </w:rPr>
                    <w:t>乡镇污水处理率达到80%以上。现有污水处理厂污泥处理处置设施全部完成达标改造。污泥应进行稳定化、无害化和资源化处理处置，禁止处理处置未达标的污泥进入耕地</w:t>
                  </w:r>
                  <w:r>
                    <w:rPr>
                      <w:rFonts w:hint="eastAsia"/>
                      <w:sz w:val="21"/>
                    </w:rPr>
                    <w:t>。</w:t>
                  </w:r>
                </w:p>
                <w:p>
                  <w:pPr>
                    <w:pStyle w:val="66"/>
                    <w:adjustRightInd/>
                    <w:snapToGrid/>
                    <w:rPr>
                      <w:sz w:val="21"/>
                      <w:szCs w:val="21"/>
                    </w:rPr>
                  </w:pPr>
                  <w:r>
                    <w:rPr>
                      <w:rFonts w:hint="eastAsia"/>
                      <w:sz w:val="21"/>
                      <w:szCs w:val="21"/>
                    </w:rPr>
                    <w:t>2、</w:t>
                  </w:r>
                  <w:r>
                    <w:rPr>
                      <w:sz w:val="21"/>
                    </w:rPr>
                    <w:t>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hint="eastAsia"/>
                      <w:sz w:val="21"/>
                      <w:szCs w:val="21"/>
                    </w:rPr>
                    <w:t>。</w:t>
                  </w:r>
                </w:p>
                <w:p>
                  <w:pPr>
                    <w:pStyle w:val="66"/>
                    <w:adjustRightInd/>
                    <w:snapToGrid/>
                    <w:rPr>
                      <w:sz w:val="21"/>
                      <w:szCs w:val="21"/>
                    </w:rPr>
                  </w:pPr>
                  <w:r>
                    <w:rPr>
                      <w:rFonts w:hint="eastAsia"/>
                      <w:sz w:val="21"/>
                      <w:szCs w:val="21"/>
                    </w:rPr>
                    <w:t>3、</w:t>
                  </w:r>
                  <w:r>
                    <w:rPr>
                      <w:sz w:val="21"/>
                    </w:rPr>
                    <w:t>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r>
                    <w:rPr>
                      <w:rFonts w:hint="eastAsia"/>
                      <w:sz w:val="21"/>
                      <w:szCs w:val="21"/>
                    </w:rPr>
                    <w:t>。</w:t>
                  </w:r>
                </w:p>
              </w:tc>
              <w:tc>
                <w:tcPr>
                  <w:tcW w:w="1519" w:type="pct"/>
                  <w:vAlign w:val="center"/>
                </w:tcPr>
                <w:p>
                  <w:pPr>
                    <w:pStyle w:val="66"/>
                    <w:adjustRightInd/>
                    <w:snapToGrid/>
                    <w:rPr>
                      <w:sz w:val="21"/>
                      <w:szCs w:val="21"/>
                    </w:rPr>
                  </w:pPr>
                  <w:r>
                    <w:rPr>
                      <w:sz w:val="21"/>
                      <w:szCs w:val="21"/>
                    </w:rPr>
                    <w:t>1</w:t>
                  </w:r>
                  <w:r>
                    <w:rPr>
                      <w:rFonts w:hint="eastAsia"/>
                      <w:sz w:val="21"/>
                      <w:szCs w:val="21"/>
                    </w:rPr>
                    <w:t>、项目生活污水经</w:t>
                  </w:r>
                  <w:r>
                    <w:rPr>
                      <w:rFonts w:hint="eastAsia"/>
                      <w:color w:val="000000" w:themeColor="text1"/>
                      <w:sz w:val="21"/>
                      <w:szCs w:val="21"/>
                      <w14:textFill>
                        <w14:solidFill>
                          <w14:schemeClr w14:val="tx1"/>
                        </w14:solidFill>
                      </w14:textFill>
                    </w:rPr>
                    <w:t>隔油池、</w:t>
                  </w:r>
                  <w:r>
                    <w:rPr>
                      <w:rFonts w:hint="eastAsia"/>
                      <w:sz w:val="21"/>
                      <w:szCs w:val="21"/>
                    </w:rPr>
                    <w:t>化粪池处理后用作农肥；</w:t>
                  </w:r>
                </w:p>
                <w:p>
                  <w:pPr>
                    <w:pStyle w:val="66"/>
                    <w:adjustRightInd/>
                    <w:snapToGrid/>
                    <w:rPr>
                      <w:sz w:val="21"/>
                      <w:szCs w:val="21"/>
                    </w:rPr>
                  </w:pPr>
                  <w:r>
                    <w:rPr>
                      <w:rFonts w:hint="eastAsia"/>
                      <w:sz w:val="21"/>
                      <w:szCs w:val="21"/>
                    </w:rPr>
                    <w:t>2、项目不属于</w:t>
                  </w:r>
                  <w:r>
                    <w:rPr>
                      <w:sz w:val="21"/>
                    </w:rPr>
                    <w:t>建材、有色、火电、化工等行业</w:t>
                  </w:r>
                  <w:r>
                    <w:rPr>
                      <w:rFonts w:hint="eastAsia"/>
                      <w:sz w:val="21"/>
                    </w:rPr>
                    <w:t>，本项目产生的粉尘废气采取布袋除尘等措施的前提下，可有效减少无组织废气排放量且能达标排放</w:t>
                  </w:r>
                  <w:r>
                    <w:rPr>
                      <w:rFonts w:hint="eastAsia"/>
                      <w:sz w:val="21"/>
                      <w:szCs w:val="21"/>
                    </w:rPr>
                    <w:t>；</w:t>
                  </w:r>
                </w:p>
                <w:p>
                  <w:pPr>
                    <w:pStyle w:val="66"/>
                    <w:adjustRightInd/>
                    <w:snapToGrid/>
                    <w:rPr>
                      <w:sz w:val="21"/>
                      <w:szCs w:val="21"/>
                    </w:rPr>
                  </w:pPr>
                  <w:r>
                    <w:rPr>
                      <w:rFonts w:hint="eastAsia"/>
                      <w:sz w:val="21"/>
                      <w:szCs w:val="21"/>
                    </w:rPr>
                    <w:t>3、</w:t>
                  </w:r>
                  <w:r>
                    <w:rPr>
                      <w:rFonts w:hint="eastAsia"/>
                      <w:sz w:val="21"/>
                      <w:szCs w:val="21"/>
                      <w:lang w:val="eu-ES"/>
                    </w:rPr>
                    <w:t>项目</w:t>
                  </w:r>
                  <w:r>
                    <w:rPr>
                      <w:rFonts w:hint="eastAsia"/>
                      <w:sz w:val="21"/>
                      <w:szCs w:val="21"/>
                    </w:rPr>
                    <w:t>产生的各类</w:t>
                  </w:r>
                  <w:r>
                    <w:rPr>
                      <w:rFonts w:hint="eastAsia"/>
                      <w:sz w:val="21"/>
                      <w:szCs w:val="21"/>
                      <w:lang w:val="eu-ES"/>
                    </w:rPr>
                    <w:t>固体废物均可得到合理有效的处置</w:t>
                  </w:r>
                  <w:r>
                    <w:rPr>
                      <w:rFonts w:hint="eastAsia"/>
                      <w:sz w:val="21"/>
                      <w:szCs w:val="21"/>
                    </w:rPr>
                    <w:t>。</w:t>
                  </w:r>
                </w:p>
              </w:tc>
              <w:tc>
                <w:tcPr>
                  <w:tcW w:w="491" w:type="pct"/>
                  <w:vAlign w:val="center"/>
                </w:tcPr>
                <w:p>
                  <w:pPr>
                    <w:pStyle w:val="66"/>
                    <w:adjustRightInd/>
                    <w:snapToGrid/>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5</w:t>
                  </w:r>
                </w:p>
              </w:tc>
              <w:tc>
                <w:tcPr>
                  <w:tcW w:w="403" w:type="pct"/>
                  <w:vAlign w:val="center"/>
                </w:tcPr>
                <w:p>
                  <w:pPr>
                    <w:pStyle w:val="66"/>
                    <w:adjustRightInd/>
                    <w:snapToGrid/>
                    <w:rPr>
                      <w:sz w:val="21"/>
                      <w:szCs w:val="21"/>
                    </w:rPr>
                  </w:pPr>
                  <w:r>
                    <w:rPr>
                      <w:rFonts w:hint="eastAsia"/>
                      <w:sz w:val="21"/>
                      <w:szCs w:val="21"/>
                    </w:rPr>
                    <w:t>环境风险防控</w:t>
                  </w:r>
                </w:p>
              </w:tc>
              <w:tc>
                <w:tcPr>
                  <w:tcW w:w="2285" w:type="pct"/>
                  <w:vAlign w:val="center"/>
                </w:tcPr>
                <w:p>
                  <w:pPr>
                    <w:pStyle w:val="66"/>
                    <w:adjustRightInd/>
                    <w:snapToGrid/>
                    <w:jc w:val="both"/>
                    <w:rPr>
                      <w:sz w:val="21"/>
                      <w:szCs w:val="21"/>
                    </w:rPr>
                  </w:pPr>
                  <w:r>
                    <w:rPr>
                      <w:rFonts w:hint="eastAsia"/>
                      <w:sz w:val="21"/>
                    </w:rPr>
                    <w:t>1、</w:t>
                  </w:r>
                  <w:r>
                    <w:rPr>
                      <w:sz w:val="21"/>
                    </w:rPr>
                    <w:t>加强风险防范和控制能力建设，制定和完善水污染事故应急处置方案，并定期组织演练；开展尾矿库环境风险评估，全面整治历史遗留尾矿库，建立突出环境风险隐患管理台账，逐一摸清污染成因，制定整治方案</w:t>
                  </w:r>
                  <w:r>
                    <w:rPr>
                      <w:rFonts w:hint="eastAsia"/>
                      <w:sz w:val="21"/>
                      <w:szCs w:val="21"/>
                    </w:rPr>
                    <w:t>。</w:t>
                  </w:r>
                </w:p>
                <w:p>
                  <w:pPr>
                    <w:pStyle w:val="66"/>
                    <w:adjustRightInd/>
                    <w:snapToGrid/>
                    <w:jc w:val="both"/>
                    <w:rPr>
                      <w:sz w:val="21"/>
                      <w:szCs w:val="21"/>
                    </w:rPr>
                  </w:pPr>
                  <w:r>
                    <w:rPr>
                      <w:rFonts w:hint="eastAsia"/>
                      <w:sz w:val="21"/>
                    </w:rPr>
                    <w:t>2、</w:t>
                  </w:r>
                  <w:r>
                    <w:rPr>
                      <w:sz w:val="21"/>
                    </w:rPr>
                    <w:t>采取农艺调控、化学阻控、替代种植等措施，降低农产品重金属超标风险。</w:t>
                  </w:r>
                </w:p>
              </w:tc>
              <w:tc>
                <w:tcPr>
                  <w:tcW w:w="1519" w:type="pct"/>
                  <w:vAlign w:val="center"/>
                </w:tcPr>
                <w:p>
                  <w:pPr>
                    <w:pStyle w:val="66"/>
                    <w:adjustRightInd/>
                    <w:snapToGrid/>
                    <w:rPr>
                      <w:sz w:val="21"/>
                      <w:szCs w:val="21"/>
                    </w:rPr>
                  </w:pPr>
                  <w:r>
                    <w:rPr>
                      <w:rFonts w:hint="eastAsia"/>
                      <w:sz w:val="21"/>
                      <w:szCs w:val="21"/>
                    </w:rPr>
                    <w:t>1、制定企业按照生产管理制度，加强项目环境风险管理。</w:t>
                  </w:r>
                </w:p>
                <w:p>
                  <w:pPr>
                    <w:pStyle w:val="66"/>
                    <w:adjustRightInd/>
                    <w:snapToGrid/>
                    <w:rPr>
                      <w:sz w:val="21"/>
                      <w:szCs w:val="21"/>
                    </w:rPr>
                  </w:pPr>
                  <w:r>
                    <w:rPr>
                      <w:rFonts w:hint="eastAsia"/>
                      <w:sz w:val="21"/>
                      <w:szCs w:val="21"/>
                    </w:rPr>
                    <w:t>2、本项目生产过程不涉及重金属排放，对土壤环境影响较小。</w:t>
                  </w:r>
                </w:p>
              </w:tc>
              <w:tc>
                <w:tcPr>
                  <w:tcW w:w="491" w:type="pct"/>
                  <w:vAlign w:val="center"/>
                </w:tcPr>
                <w:p>
                  <w:pPr>
                    <w:pStyle w:val="66"/>
                    <w:adjustRightInd/>
                    <w:snapToGrid/>
                    <w:rPr>
                      <w:sz w:val="21"/>
                      <w:szCs w:val="21"/>
                    </w:rPr>
                  </w:pPr>
                  <w:r>
                    <w:rPr>
                      <w:rFonts w:hint="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2" w:type="pct"/>
                  <w:vAlign w:val="center"/>
                </w:tcPr>
                <w:p>
                  <w:pPr>
                    <w:pStyle w:val="66"/>
                    <w:adjustRightInd/>
                    <w:snapToGrid/>
                    <w:rPr>
                      <w:sz w:val="21"/>
                      <w:szCs w:val="21"/>
                    </w:rPr>
                  </w:pPr>
                  <w:r>
                    <w:rPr>
                      <w:rFonts w:hint="eastAsia"/>
                      <w:sz w:val="21"/>
                      <w:szCs w:val="21"/>
                    </w:rPr>
                    <w:t>6</w:t>
                  </w:r>
                </w:p>
              </w:tc>
              <w:tc>
                <w:tcPr>
                  <w:tcW w:w="403" w:type="pct"/>
                  <w:vAlign w:val="center"/>
                </w:tcPr>
                <w:p>
                  <w:pPr>
                    <w:pStyle w:val="66"/>
                    <w:adjustRightInd/>
                    <w:snapToGrid/>
                    <w:rPr>
                      <w:sz w:val="21"/>
                      <w:szCs w:val="21"/>
                    </w:rPr>
                  </w:pPr>
                  <w:r>
                    <w:rPr>
                      <w:rFonts w:hint="eastAsia"/>
                      <w:sz w:val="21"/>
                      <w:szCs w:val="21"/>
                    </w:rPr>
                    <w:t>资源开发效率要求</w:t>
                  </w:r>
                </w:p>
              </w:tc>
              <w:tc>
                <w:tcPr>
                  <w:tcW w:w="2285" w:type="pct"/>
                  <w:vAlign w:val="center"/>
                </w:tcPr>
                <w:p>
                  <w:pPr>
                    <w:pStyle w:val="66"/>
                    <w:adjustRightInd/>
                    <w:snapToGrid/>
                    <w:rPr>
                      <w:sz w:val="21"/>
                      <w:szCs w:val="21"/>
                    </w:rPr>
                  </w:pPr>
                  <w:r>
                    <w:rPr>
                      <w:rFonts w:hint="eastAsia"/>
                      <w:sz w:val="21"/>
                      <w:szCs w:val="21"/>
                    </w:rPr>
                    <w:t>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pPr>
                    <w:pStyle w:val="66"/>
                    <w:adjustRightInd/>
                    <w:snapToGrid/>
                    <w:rPr>
                      <w:sz w:val="21"/>
                      <w:szCs w:val="21"/>
                    </w:rPr>
                  </w:pPr>
                  <w:r>
                    <w:rPr>
                      <w:rFonts w:hint="eastAsia"/>
                      <w:sz w:val="21"/>
                      <w:szCs w:val="21"/>
                    </w:rPr>
                    <w:t>2、水资源：大力推进农业、工业、城镇节水，全面推进节水型社会建设</w:t>
                  </w:r>
                </w:p>
              </w:tc>
              <w:tc>
                <w:tcPr>
                  <w:tcW w:w="1519" w:type="pct"/>
                  <w:vAlign w:val="center"/>
                </w:tcPr>
                <w:p>
                  <w:pPr>
                    <w:pStyle w:val="66"/>
                    <w:adjustRightInd/>
                    <w:snapToGrid/>
                    <w:rPr>
                      <w:sz w:val="21"/>
                      <w:szCs w:val="21"/>
                    </w:rPr>
                  </w:pPr>
                  <w:r>
                    <w:rPr>
                      <w:rFonts w:hint="eastAsia"/>
                      <w:color w:val="000000" w:themeColor="text1"/>
                      <w:sz w:val="21"/>
                      <w:szCs w:val="21"/>
                      <w14:textFill>
                        <w14:solidFill>
                          <w14:schemeClr w14:val="tx1"/>
                        </w14:solidFill>
                      </w14:textFill>
                    </w:rPr>
                    <w:t>本项目生产过程中所用的资源主要为水、电资源。本项目生活污水经化粪池处理后用作农肥。项目选用设备均为节能、降耗环保设备。</w:t>
                  </w:r>
                </w:p>
              </w:tc>
              <w:tc>
                <w:tcPr>
                  <w:tcW w:w="491" w:type="pct"/>
                  <w:vAlign w:val="center"/>
                </w:tcPr>
                <w:p>
                  <w:pPr>
                    <w:pStyle w:val="66"/>
                    <w:adjustRightInd/>
                    <w:snapToGrid/>
                    <w:rPr>
                      <w:sz w:val="21"/>
                      <w:szCs w:val="21"/>
                    </w:rPr>
                  </w:pPr>
                  <w:r>
                    <w:rPr>
                      <w:rFonts w:hint="eastAsia"/>
                      <w:sz w:val="21"/>
                      <w:szCs w:val="21"/>
                    </w:rPr>
                    <w:t>是</w:t>
                  </w:r>
                </w:p>
              </w:tc>
            </w:tr>
          </w:tbl>
          <w:p>
            <w:pPr>
              <w:pStyle w:val="2"/>
              <w:spacing w:after="0"/>
              <w:ind w:left="0" w:leftChars="0" w:firstLine="480"/>
            </w:pPr>
            <w:r>
              <w:rPr>
                <w:bCs/>
              </w:rPr>
              <w:t>综上所述，本项目符合</w:t>
            </w:r>
            <w:r>
              <w:rPr>
                <w:rFonts w:hint="eastAsia"/>
                <w:bCs/>
              </w:rPr>
              <w:t>“</w:t>
            </w:r>
            <w:r>
              <w:rPr>
                <w:bCs/>
              </w:rPr>
              <w:t>三线一单</w:t>
            </w:r>
            <w:r>
              <w:rPr>
                <w:rFonts w:hint="eastAsia"/>
                <w:bCs/>
              </w:rPr>
              <w:t>”</w:t>
            </w:r>
            <w:r>
              <w:rPr>
                <w:bCs/>
              </w:rPr>
              <w:t>及国家及地方现行的产业政策</w:t>
            </w:r>
            <w:r>
              <w:rPr>
                <w:rFonts w:hint="eastAsia"/>
                <w:bCs/>
              </w:rPr>
              <w:t>。</w:t>
            </w:r>
          </w:p>
          <w:p>
            <w:pPr>
              <w:pStyle w:val="2"/>
              <w:spacing w:after="0"/>
              <w:ind w:left="0" w:leftChars="0" w:firstLine="422"/>
              <w:jc w:val="center"/>
              <w:rPr>
                <w:b/>
                <w:bCs/>
                <w:sz w:val="21"/>
                <w:szCs w:val="21"/>
              </w:rPr>
            </w:pPr>
          </w:p>
          <w:p>
            <w:pPr>
              <w:pStyle w:val="2"/>
              <w:spacing w:after="0"/>
              <w:ind w:left="0" w:leftChars="0" w:firstLine="422"/>
              <w:jc w:val="center"/>
              <w:rPr>
                <w:b/>
                <w:bCs/>
                <w:sz w:val="21"/>
                <w:szCs w:val="21"/>
              </w:rPr>
            </w:pPr>
            <w:r>
              <w:rPr>
                <w:b/>
                <w:bCs/>
                <w:sz w:val="21"/>
                <w:szCs w:val="21"/>
              </w:rPr>
              <w:t>表1-2 本</w:t>
            </w:r>
            <w:r>
              <w:rPr>
                <w:rFonts w:hint="eastAsia"/>
                <w:b/>
                <w:bCs/>
                <w:sz w:val="21"/>
                <w:szCs w:val="21"/>
              </w:rPr>
              <w:t>项目</w:t>
            </w:r>
            <w:r>
              <w:rPr>
                <w:b/>
                <w:bCs/>
                <w:sz w:val="21"/>
                <w:szCs w:val="21"/>
              </w:rPr>
              <w:t>与衡阳市管控单元管控要求的相符性分析</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453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112" w:type="dxa"/>
                  <w:gridSpan w:val="4"/>
                  <w:vAlign w:val="center"/>
                </w:tcPr>
                <w:p>
                  <w:pPr>
                    <w:jc w:val="center"/>
                  </w:pPr>
                  <w:r>
                    <w:rPr>
                      <w:rFonts w:eastAsiaTheme="minorEastAsia"/>
                      <w:kern w:val="0"/>
                      <w:szCs w:val="21"/>
                    </w:rPr>
                    <w:t>ZH43042330001</w:t>
                  </w:r>
                  <w:r>
                    <w:rPr>
                      <w:rFonts w:hint="eastAsia" w:eastAsiaTheme="minorEastAsia"/>
                      <w:kern w:val="0"/>
                      <w:szCs w:val="21"/>
                    </w:rPr>
                    <w:t>（</w:t>
                  </w:r>
                  <w:r>
                    <w:rPr>
                      <w:rFonts w:eastAsiaTheme="minorEastAsia"/>
                      <w:kern w:val="0"/>
                      <w:szCs w:val="21"/>
                    </w:rPr>
                    <w:t>一般管控单元</w:t>
                  </w:r>
                  <w:r>
                    <w:rPr>
                      <w:rFonts w:hint="eastAsia" w:eastAsiaTheme="minorEastAsia"/>
                      <w:kern w:val="0"/>
                      <w:szCs w:val="21"/>
                    </w:rPr>
                    <w:t>：衡山县</w:t>
                  </w:r>
                  <w:r>
                    <w:rPr>
                      <w:rFonts w:eastAsiaTheme="minorEastAsia"/>
                      <w:kern w:val="0"/>
                      <w:szCs w:val="21"/>
                    </w:rPr>
                    <w:t>新桥镇</w:t>
                  </w:r>
                  <w:r>
                    <w:rPr>
                      <w:rFonts w:hint="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center"/>
                  </w:pPr>
                  <w:r>
                    <w:rPr>
                      <w:rFonts w:hint="eastAsia"/>
                    </w:rPr>
                    <w:t>管控纬度</w:t>
                  </w:r>
                </w:p>
              </w:tc>
              <w:tc>
                <w:tcPr>
                  <w:tcW w:w="4536" w:type="dxa"/>
                </w:tcPr>
                <w:p>
                  <w:pPr>
                    <w:jc w:val="center"/>
                  </w:pPr>
                  <w:r>
                    <w:rPr>
                      <w:rFonts w:hint="eastAsia"/>
                    </w:rPr>
                    <w:t>管控要求</w:t>
                  </w:r>
                </w:p>
              </w:tc>
              <w:tc>
                <w:tcPr>
                  <w:tcW w:w="1134" w:type="dxa"/>
                </w:tcPr>
                <w:p>
                  <w:pPr>
                    <w:jc w:val="center"/>
                  </w:pPr>
                  <w:r>
                    <w:rPr>
                      <w:rFonts w:hint="eastAsia"/>
                    </w:rPr>
                    <w:t>本项目情况</w:t>
                  </w:r>
                </w:p>
              </w:tc>
              <w:tc>
                <w:tcPr>
                  <w:tcW w:w="709" w:type="dxa"/>
                </w:tcPr>
                <w:p>
                  <w:pPr>
                    <w:jc w:val="center"/>
                  </w:pPr>
                  <w:r>
                    <w:rPr>
                      <w:rFonts w:hint="eastAsia"/>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left"/>
                  </w:pPr>
                  <w:r>
                    <w:rPr>
                      <w:rFonts w:eastAsiaTheme="minorEastAsia"/>
                      <w:kern w:val="0"/>
                      <w:szCs w:val="21"/>
                    </w:rPr>
                    <w:t>空间布局约束</w:t>
                  </w:r>
                </w:p>
              </w:tc>
              <w:tc>
                <w:tcPr>
                  <w:tcW w:w="4536" w:type="dxa"/>
                </w:tcPr>
                <w:p>
                  <w:r>
                    <w:rPr>
                      <w:rFonts w:eastAsiaTheme="minorEastAsia"/>
                      <w:kern w:val="0"/>
                      <w:szCs w:val="21"/>
                    </w:rPr>
                    <w:t>（1.1）严禁在城市建成区内新建石化、有机化工、包装印刷、沥青搅拌站、工业涂装等高VOCs排放建设项目。</w:t>
                  </w:r>
                  <w:r>
                    <w:rPr>
                      <w:rFonts w:eastAsiaTheme="minorEastAsia"/>
                      <w:kern w:val="0"/>
                      <w:szCs w:val="21"/>
                    </w:rPr>
                    <w:br w:type="textWrapping"/>
                  </w:r>
                  <w:r>
                    <w:rPr>
                      <w:rFonts w:eastAsiaTheme="minorEastAsia"/>
                      <w:kern w:val="0"/>
                      <w:szCs w:val="21"/>
                    </w:rPr>
                    <w:t>（1.2）科学划定畜禽养殖禁养区，在畜禽养殖污染防治规划编制和禁养区划定工作基础上，依法关闭或搬迁禁养区内的畜禽养殖场（小区）和养殖专业户。</w:t>
                  </w:r>
                </w:p>
              </w:tc>
              <w:tc>
                <w:tcPr>
                  <w:tcW w:w="1134" w:type="dxa"/>
                </w:tcPr>
                <w:p>
                  <w:pPr>
                    <w:jc w:val="left"/>
                    <w:rPr>
                      <w:szCs w:val="21"/>
                    </w:rPr>
                  </w:pPr>
                  <w:r>
                    <w:rPr>
                      <w:rFonts w:hint="eastAsia"/>
                      <w:szCs w:val="21"/>
                    </w:rPr>
                    <w:t>本项目为废弃资源综合利用业，不属于禁止行业</w:t>
                  </w:r>
                </w:p>
              </w:tc>
              <w:tc>
                <w:tcPr>
                  <w:tcW w:w="709" w:type="dxa"/>
                </w:tcPr>
                <w:p>
                  <w:pPr>
                    <w:jc w:val="left"/>
                  </w:pPr>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left"/>
                  </w:pPr>
                  <w:r>
                    <w:rPr>
                      <w:rFonts w:eastAsiaTheme="minorEastAsia"/>
                      <w:kern w:val="0"/>
                      <w:szCs w:val="21"/>
                    </w:rPr>
                    <w:t>污染物排放管控</w:t>
                  </w:r>
                </w:p>
              </w:tc>
              <w:tc>
                <w:tcPr>
                  <w:tcW w:w="4536" w:type="dxa"/>
                </w:tcPr>
                <w:p>
                  <w:r>
                    <w:rPr>
                      <w:rFonts w:eastAsiaTheme="minorEastAsia"/>
                      <w:kern w:val="0"/>
                      <w:szCs w:val="21"/>
                    </w:rPr>
                    <w:t>（2.1）乡镇污水处理率达到80%以上。现有污水处理厂污泥处理处置设施全部完成达标改造。污泥应进行稳定化、无害化和资源化处理处置，禁止处理处置未达标的污泥进入耕地。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1134" w:type="dxa"/>
                </w:tcPr>
                <w:p>
                  <w:pPr>
                    <w:jc w:val="left"/>
                  </w:pPr>
                  <w:r>
                    <w:rPr>
                      <w:rFonts w:hint="eastAsia"/>
                      <w:szCs w:val="21"/>
                    </w:rPr>
                    <w:t>本项目为废弃资源综合利用业，各污染物经处理后均能达标排放；</w:t>
                  </w:r>
                  <w:r>
                    <w:rPr>
                      <w:rFonts w:eastAsiaTheme="minorEastAsia"/>
                      <w:kern w:val="0"/>
                      <w:szCs w:val="21"/>
                    </w:rPr>
                    <w:t>企业采取密闭</w:t>
                  </w:r>
                  <w:r>
                    <w:rPr>
                      <w:rFonts w:hint="eastAsia" w:eastAsiaTheme="minorEastAsia"/>
                      <w:kern w:val="0"/>
                      <w:szCs w:val="21"/>
                    </w:rPr>
                    <w:t>仓库对</w:t>
                  </w:r>
                  <w:r>
                    <w:rPr>
                      <w:rFonts w:eastAsiaTheme="minorEastAsia"/>
                      <w:kern w:val="0"/>
                      <w:szCs w:val="21"/>
                    </w:rPr>
                    <w:t>物料的</w:t>
                  </w:r>
                  <w:r>
                    <w:rPr>
                      <w:rFonts w:hint="eastAsia" w:eastAsiaTheme="minorEastAsia"/>
                      <w:kern w:val="0"/>
                      <w:szCs w:val="21"/>
                    </w:rPr>
                    <w:t>进行</w:t>
                  </w:r>
                  <w:r>
                    <w:rPr>
                      <w:rFonts w:eastAsiaTheme="minorEastAsia"/>
                      <w:kern w:val="0"/>
                      <w:szCs w:val="21"/>
                    </w:rPr>
                    <w:t>堆存</w:t>
                  </w:r>
                  <w:r>
                    <w:rPr>
                      <w:rFonts w:hint="eastAsia" w:eastAsiaTheme="minorEastAsia"/>
                      <w:kern w:val="0"/>
                      <w:szCs w:val="21"/>
                    </w:rPr>
                    <w:t>并采取洒水降尘措施，减少</w:t>
                  </w:r>
                  <w:r>
                    <w:rPr>
                      <w:rFonts w:eastAsiaTheme="minorEastAsia"/>
                      <w:kern w:val="0"/>
                      <w:szCs w:val="21"/>
                    </w:rPr>
                    <w:t>产生的粉尘和气态污染物的排放</w:t>
                  </w:r>
                </w:p>
              </w:tc>
              <w:tc>
                <w:tcPr>
                  <w:tcW w:w="709" w:type="dxa"/>
                </w:tcPr>
                <w:p>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left"/>
                  </w:pPr>
                  <w:r>
                    <w:rPr>
                      <w:rFonts w:eastAsiaTheme="minorEastAsia"/>
                      <w:kern w:val="0"/>
                      <w:szCs w:val="21"/>
                    </w:rPr>
                    <w:t>环境风险防控</w:t>
                  </w:r>
                </w:p>
              </w:tc>
              <w:tc>
                <w:tcPr>
                  <w:tcW w:w="4536" w:type="dxa"/>
                </w:tcPr>
                <w:p>
                  <w:pPr>
                    <w:jc w:val="left"/>
                  </w:pPr>
                  <w:r>
                    <w:rPr>
                      <w:rFonts w:eastAsiaTheme="minorEastAsia"/>
                      <w:kern w:val="0"/>
                      <w:szCs w:val="21"/>
                    </w:rPr>
                    <w:t>（3.1）</w:t>
                  </w:r>
                  <w:r>
                    <w:rPr>
                      <w:rFonts w:hint="eastAsia" w:eastAsiaTheme="minorEastAsia"/>
                      <w:kern w:val="0"/>
                      <w:szCs w:val="21"/>
                    </w:rPr>
                    <w:t>加强风险防范和控制能力建设，制定和完善水污染事故应急处置方案，并定期组织演练；</w:t>
                  </w:r>
                  <w:r>
                    <w:rPr>
                      <w:rFonts w:eastAsiaTheme="minorEastAsia"/>
                      <w:kern w:val="0"/>
                      <w:szCs w:val="21"/>
                    </w:rPr>
                    <w:t>开展尾矿库环境风险评估</w:t>
                  </w:r>
                  <w:r>
                    <w:rPr>
                      <w:rFonts w:hint="eastAsia" w:eastAsiaTheme="minorEastAsia"/>
                      <w:kern w:val="0"/>
                      <w:szCs w:val="21"/>
                    </w:rPr>
                    <w:t>，全面整治历史遗留尾矿库，建立突出环境风险隐患管理台账，逐一摸清污染成因，制定整治方案</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134" w:type="dxa"/>
                </w:tcPr>
                <w:p>
                  <w:r>
                    <w:rPr>
                      <w:rFonts w:hint="eastAsia"/>
                    </w:rPr>
                    <w:t>本项目不产生生产废水，本项目用地为工业用地，满足当地土地利用总体规划要求</w:t>
                  </w:r>
                </w:p>
              </w:tc>
              <w:tc>
                <w:tcPr>
                  <w:tcW w:w="709" w:type="dxa"/>
                </w:tcPr>
                <w:p>
                  <w:r>
                    <w:rPr>
                      <w:rFonts w:hint="eastAsia"/>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tcPr>
                <w:p>
                  <w:pPr>
                    <w:jc w:val="left"/>
                    <w:rPr>
                      <w:rFonts w:eastAsiaTheme="minorEastAsia"/>
                      <w:kern w:val="0"/>
                      <w:szCs w:val="21"/>
                    </w:rPr>
                  </w:pPr>
                  <w:r>
                    <w:rPr>
                      <w:rFonts w:eastAsiaTheme="minorEastAsia"/>
                      <w:kern w:val="0"/>
                      <w:szCs w:val="21"/>
                    </w:rPr>
                    <w:t>资源开发效率要求</w:t>
                  </w:r>
                </w:p>
              </w:tc>
              <w:tc>
                <w:tcPr>
                  <w:tcW w:w="4536" w:type="dxa"/>
                </w:tcPr>
                <w:p>
                  <w:pPr>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134" w:type="dxa"/>
                </w:tcPr>
                <w:p>
                  <w:r>
                    <w:rPr>
                      <w:rFonts w:hint="eastAsia"/>
                      <w:szCs w:val="21"/>
                    </w:rPr>
                    <w:t>本项目为废弃资源综合利用业，本项目生产采用电能和天然气等清洁能源</w:t>
                  </w:r>
                </w:p>
              </w:tc>
              <w:tc>
                <w:tcPr>
                  <w:tcW w:w="709" w:type="dxa"/>
                </w:tcPr>
                <w:p>
                  <w:r>
                    <w:rPr>
                      <w:rFonts w:hint="eastAsia"/>
                    </w:rPr>
                    <w:t>符合</w:t>
                  </w:r>
                </w:p>
              </w:tc>
            </w:tr>
          </w:tbl>
          <w:p/>
          <w:p>
            <w:pPr>
              <w:autoSpaceDE w:val="0"/>
              <w:autoSpaceDN w:val="0"/>
              <w:adjustRightInd w:val="0"/>
              <w:snapToGrid w:val="0"/>
              <w:spacing w:line="360" w:lineRule="auto"/>
              <w:ind w:firstLine="480" w:firstLineChars="200"/>
              <w:rPr>
                <w:sz w:val="24"/>
              </w:rPr>
            </w:pPr>
            <w:r>
              <w:rPr>
                <w:sz w:val="24"/>
              </w:rPr>
              <w:t>由上表可知，本项目建设与衡阳市人民政府关于发布《衡阳市人 民政府关于实施“三线一单”生态环境分区管控的意见》相符</w:t>
            </w:r>
            <w:r>
              <w:rPr>
                <w:rFonts w:hint="eastAsia"/>
                <w:sz w:val="24"/>
              </w:rPr>
              <w:t>。</w:t>
            </w:r>
          </w:p>
          <w:p>
            <w:pPr>
              <w:autoSpaceDE w:val="0"/>
              <w:autoSpaceDN w:val="0"/>
              <w:adjustRightInd w:val="0"/>
              <w:snapToGrid w:val="0"/>
              <w:spacing w:line="360" w:lineRule="auto"/>
              <w:ind w:firstLine="482" w:firstLineChars="200"/>
              <w:rPr>
                <w:bCs/>
                <w:sz w:val="24"/>
              </w:rPr>
            </w:pPr>
            <w:r>
              <w:rPr>
                <w:rFonts w:hint="eastAsia"/>
                <w:b/>
                <w:sz w:val="24"/>
              </w:rPr>
              <w:t>3、平面布置合理性分析</w:t>
            </w:r>
          </w:p>
          <w:p>
            <w:pPr>
              <w:pStyle w:val="65"/>
              <w:spacing w:line="360" w:lineRule="auto"/>
              <w:ind w:firstLine="480" w:firstLineChars="200"/>
              <w:rPr>
                <w:bCs/>
              </w:rPr>
            </w:pPr>
            <w:r>
              <w:rPr>
                <w:rFonts w:hint="eastAsia" w:hAnsi="宋体"/>
              </w:rPr>
              <w:t>进场道路北面连接县道X009，生产线呈长方形分布，自西向东方向分别为原料区、上料区、破碎区、制棒区和炭化区、包装区等。综合楼办公用房利用惠民搅拌站项目的办公区，本项目不设办公区。惠民搅拌站位于本项目生产车间的东侧。</w:t>
            </w:r>
            <w:r>
              <w:rPr>
                <w:bCs/>
              </w:rPr>
              <w:t>项目在施工期及运营期采取环评报告中提出的各项污染防治措施，确保污染源达标排放的前提下，对周围环境影响很小。</w:t>
            </w:r>
          </w:p>
          <w:p>
            <w:pPr>
              <w:spacing w:line="360" w:lineRule="auto"/>
              <w:ind w:firstLine="480" w:firstLineChars="200"/>
              <w:rPr>
                <w:bCs/>
                <w:spacing w:val="4"/>
                <w:sz w:val="24"/>
              </w:rPr>
            </w:pPr>
            <w:r>
              <w:rPr>
                <w:rFonts w:hint="eastAsia"/>
                <w:sz w:val="24"/>
              </w:rPr>
              <w:t>综合来看，</w:t>
            </w:r>
            <w:r>
              <w:rPr>
                <w:bCs/>
                <w:sz w:val="24"/>
              </w:rPr>
              <w:t>项目地功能分区明</w:t>
            </w:r>
            <w:r>
              <w:rPr>
                <w:rFonts w:hint="eastAsia"/>
                <w:bCs/>
                <w:sz w:val="24"/>
              </w:rPr>
              <w:t>确</w:t>
            </w:r>
            <w:r>
              <w:rPr>
                <w:bCs/>
                <w:sz w:val="24"/>
              </w:rPr>
              <w:t>，按照生产工艺流水线布局，</w:t>
            </w:r>
            <w:r>
              <w:rPr>
                <w:rFonts w:hint="eastAsia" w:hAnsi="宋体"/>
                <w:sz w:val="24"/>
              </w:rPr>
              <w:t>高噪声设备设置在远离居民的一侧</w:t>
            </w:r>
            <w:r>
              <w:rPr>
                <w:rFonts w:hint="eastAsia"/>
                <w:bCs/>
                <w:sz w:val="24"/>
              </w:rPr>
              <w:t>，</w:t>
            </w:r>
            <w:r>
              <w:rPr>
                <w:bCs/>
                <w:sz w:val="24"/>
              </w:rPr>
              <w:t>总体布局</w:t>
            </w:r>
            <w:r>
              <w:rPr>
                <w:rFonts w:hint="eastAsia"/>
                <w:bCs/>
                <w:sz w:val="24"/>
              </w:rPr>
              <w:t>从环保角度考虑</w:t>
            </w:r>
            <w:r>
              <w:rPr>
                <w:bCs/>
                <w:sz w:val="24"/>
              </w:rPr>
              <w:t>合理。</w:t>
            </w:r>
          </w:p>
          <w:p>
            <w:pPr>
              <w:autoSpaceDE w:val="0"/>
              <w:autoSpaceDN w:val="0"/>
              <w:adjustRightInd w:val="0"/>
              <w:snapToGrid w:val="0"/>
              <w:spacing w:line="360" w:lineRule="auto"/>
              <w:ind w:firstLine="482" w:firstLineChars="200"/>
              <w:rPr>
                <w:bCs/>
                <w:sz w:val="24"/>
              </w:rPr>
            </w:pPr>
            <w:r>
              <w:rPr>
                <w:rFonts w:hint="eastAsia"/>
                <w:b/>
                <w:sz w:val="24"/>
              </w:rPr>
              <w:t>4、选址合理性分析</w:t>
            </w:r>
          </w:p>
          <w:p>
            <w:pPr>
              <w:autoSpaceDE w:val="0"/>
              <w:autoSpaceDN w:val="0"/>
              <w:adjustRightInd w:val="0"/>
              <w:snapToGrid w:val="0"/>
              <w:spacing w:line="360" w:lineRule="auto"/>
              <w:ind w:firstLine="496" w:firstLineChars="200"/>
              <w:rPr>
                <w:kern w:val="0"/>
                <w:sz w:val="24"/>
              </w:rPr>
            </w:pPr>
            <w:r>
              <w:rPr>
                <w:rFonts w:hint="eastAsia"/>
                <w:bCs/>
                <w:spacing w:val="4"/>
                <w:sz w:val="24"/>
              </w:rPr>
              <w:t>项目位于衡山县</w:t>
            </w:r>
            <w:r>
              <w:rPr>
                <w:rFonts w:hint="eastAsia"/>
                <w:sz w:val="24"/>
              </w:rPr>
              <w:t>新桥镇，北</w:t>
            </w:r>
            <w:r>
              <w:rPr>
                <w:rFonts w:hint="eastAsia"/>
                <w:bCs/>
                <w:spacing w:val="4"/>
                <w:sz w:val="24"/>
              </w:rPr>
              <w:t>面厂区进出口连接县道X009道路，交通便利，地理位置优越。根据环境质量现状调查，项目所在地环境空气、地表水及声环境质量良好，有足够的环境容量。项目在施工期及运营期采取环评报告中提出的各项污染防治措施，确保污染源达标排放的前提下，对周围环境影响很小。因此本项目选址从环保角度可行。</w:t>
            </w:r>
          </w:p>
        </w:tc>
      </w:tr>
    </w:tbl>
    <w:p>
      <w:pPr>
        <w:spacing w:line="360" w:lineRule="auto"/>
        <w:rPr>
          <w:rFonts w:eastAsia="黑体"/>
          <w:sz w:val="30"/>
        </w:rPr>
        <w:sectPr>
          <w:footerReference r:id="rId6" w:type="default"/>
          <w:pgSz w:w="11906" w:h="16838"/>
          <w:pgMar w:top="1701" w:right="1531" w:bottom="1701" w:left="1531" w:header="851" w:footer="1077" w:gutter="0"/>
          <w:pgNumType w:start="1"/>
          <w:cols w:space="720" w:num="1"/>
          <w:docGrid w:linePitch="312" w:charSpace="0"/>
        </w:sectPr>
      </w:pPr>
    </w:p>
    <w:p>
      <w:pPr>
        <w:pStyle w:val="22"/>
        <w:jc w:val="center"/>
        <w:outlineLvl w:val="0"/>
        <w:rPr>
          <w:rFonts w:ascii="黑体" w:hAnsi="黑体" w:eastAsia="黑体"/>
          <w:snapToGrid w:val="0"/>
          <w:sz w:val="30"/>
          <w:szCs w:val="30"/>
        </w:rPr>
      </w:pPr>
      <w:bookmarkStart w:id="3" w:name="_Toc12621"/>
      <w:r>
        <w:rPr>
          <w:rFonts w:hint="eastAsia" w:ascii="黑体" w:hAnsi="黑体" w:eastAsia="黑体"/>
          <w:snapToGrid w:val="0"/>
          <w:sz w:val="30"/>
          <w:szCs w:val="30"/>
        </w:rPr>
        <w:t>二、建设项目工程分析</w:t>
      </w:r>
      <w:bookmarkEnd w:id="3"/>
    </w:p>
    <w:tbl>
      <w:tblPr>
        <w:tblStyle w:val="2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84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92" w:hRule="atLeast"/>
          <w:jc w:val="center"/>
        </w:trPr>
        <w:tc>
          <w:tcPr>
            <w:tcW w:w="589" w:type="dxa"/>
            <w:vAlign w:val="center"/>
          </w:tcPr>
          <w:p>
            <w:pPr>
              <w:pStyle w:val="22"/>
              <w:adjustRightInd w:val="0"/>
              <w:snapToGrid w:val="0"/>
              <w:spacing w:before="0" w:beforeAutospacing="0" w:after="0" w:afterAutospacing="0"/>
              <w:jc w:val="center"/>
              <w:rPr>
                <w:rFonts w:cs="宋体"/>
                <w:color w:val="000000" w:themeColor="text1"/>
                <w:szCs w:val="24"/>
                <w14:textFill>
                  <w14:solidFill>
                    <w14:schemeClr w14:val="tx1"/>
                  </w14:solidFill>
                </w14:textFill>
              </w:rPr>
            </w:pPr>
            <w:r>
              <w:rPr>
                <w:rFonts w:hint="eastAsia" w:cs="宋体"/>
                <w:color w:val="000000" w:themeColor="text1"/>
                <w:szCs w:val="24"/>
                <w14:textFill>
                  <w14:solidFill>
                    <w14:schemeClr w14:val="tx1"/>
                  </w14:solidFill>
                </w14:textFill>
              </w:rPr>
              <w:t>建设内容</w:t>
            </w:r>
          </w:p>
        </w:tc>
        <w:tc>
          <w:tcPr>
            <w:tcW w:w="8471" w:type="dxa"/>
          </w:tcPr>
          <w:p>
            <w:pPr>
              <w:keepNext/>
              <w:keepLines/>
              <w:widowControl/>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1、项目由来</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本项目属于机制竹炭制品加工项目，经查询《部令第16号 建设项目环境影响评价分类管理名录（2021年版）》，本项目属于“三十九、废弃资源综合利用业—85、非金属废料和碎屑加工处理422”中的报告表类别。据此，建设单位委托我公司编制环境影响评价报告表。</w:t>
            </w: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2、项目概况</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r>
              <w:rPr>
                <w:rFonts w:hint="eastAsia"/>
                <w:color w:val="000000" w:themeColor="text1"/>
                <w:sz w:val="24"/>
                <w:u w:val="single"/>
                <w14:textFill>
                  <w14:solidFill>
                    <w14:schemeClr w14:val="tx1"/>
                  </w14:solidFill>
                </w14:textFill>
              </w:rPr>
              <w:t>衡山君瑞生物科技有限公司废弃物利用制环保炭及余热烘干钾钠长石粉项目</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建设性质：新建</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建设单位：衡山君瑞生物科技有限公司</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建设地点：湖南</w:t>
            </w:r>
            <w:r>
              <w:rPr>
                <w:color w:val="000000" w:themeColor="text1"/>
                <w:sz w:val="24"/>
                <w14:textFill>
                  <w14:solidFill>
                    <w14:schemeClr w14:val="tx1"/>
                  </w14:solidFill>
                </w14:textFill>
              </w:rPr>
              <w:t>省</w:t>
            </w:r>
            <w:r>
              <w:rPr>
                <w:rFonts w:hint="eastAsia"/>
                <w:color w:val="000000" w:themeColor="text1"/>
                <w:sz w:val="24"/>
                <w14:textFill>
                  <w14:solidFill>
                    <w14:schemeClr w14:val="tx1"/>
                  </w14:solidFill>
                </w14:textFill>
              </w:rPr>
              <w:t>衡阳市衡山县新桥镇高新村上街101号</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项目投资：总投资5</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万元，环保投资8万元</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用地面积：占地面积</w:t>
            </w:r>
            <w:r>
              <w:rPr>
                <w:color w:val="000000" w:themeColor="text1"/>
                <w:sz w:val="24"/>
                <w14:textFill>
                  <w14:solidFill>
                    <w14:schemeClr w14:val="tx1"/>
                  </w14:solidFill>
                </w14:textFill>
              </w:rPr>
              <w:t>2000</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2</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劳动定员：共</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人</w:t>
            </w:r>
          </w:p>
          <w:p>
            <w:pPr>
              <w:keepNext/>
              <w:keepLines/>
              <w:widowControl/>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建设规模：</w:t>
            </w:r>
            <w:r>
              <w:rPr>
                <w:rFonts w:hint="eastAsia"/>
                <w:color w:val="000000" w:themeColor="text1"/>
                <w:sz w:val="24"/>
                <w:u w:val="single"/>
                <w14:textFill>
                  <w14:solidFill>
                    <w14:schemeClr w14:val="tx1"/>
                  </w14:solidFill>
                </w14:textFill>
              </w:rPr>
              <w:t>年产</w:t>
            </w:r>
            <w:r>
              <w:rPr>
                <w:color w:val="000000" w:themeColor="text1"/>
                <w:sz w:val="24"/>
                <w:u w:val="single"/>
                <w14:textFill>
                  <w14:solidFill>
                    <w14:schemeClr w14:val="tx1"/>
                  </w14:solidFill>
                </w14:textFill>
              </w:rPr>
              <w:t>8</w:t>
            </w:r>
            <w:r>
              <w:rPr>
                <w:rFonts w:hint="eastAsia"/>
                <w:color w:val="000000" w:themeColor="text1"/>
                <w:sz w:val="24"/>
                <w:u w:val="single"/>
                <w14:textFill>
                  <w14:solidFill>
                    <w14:schemeClr w14:val="tx1"/>
                  </w14:solidFill>
                </w14:textFill>
              </w:rPr>
              <w:t>00吨机制竹炭；年烘干钾钠长石粉2</w:t>
            </w:r>
            <w:r>
              <w:rPr>
                <w:color w:val="000000" w:themeColor="text1"/>
                <w:sz w:val="24"/>
                <w:u w:val="single"/>
                <w14:textFill>
                  <w14:solidFill>
                    <w14:schemeClr w14:val="tx1"/>
                  </w14:solidFill>
                </w14:textFill>
              </w:rPr>
              <w:t>000</w:t>
            </w:r>
            <w:r>
              <w:rPr>
                <w:rFonts w:hint="eastAsia"/>
                <w:color w:val="000000" w:themeColor="text1"/>
                <w:sz w:val="24"/>
                <w:u w:val="single"/>
                <w14:textFill>
                  <w14:solidFill>
                    <w14:schemeClr w14:val="tx1"/>
                  </w14:solidFill>
                </w14:textFill>
              </w:rPr>
              <w:t>吨</w:t>
            </w:r>
          </w:p>
          <w:p>
            <w:pPr>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3、主要产品及产能</w:t>
            </w: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本项目为竹炭生产项目，主要工艺为破碎、烘干、制棒、炭化等内容；钾钠长石粉产品为外购钾钠长石粉成品，利用炭化窑产生热能烘干后直接外售，项目建成后产品方案详见表2-1。</w:t>
            </w:r>
          </w:p>
          <w:p>
            <w:pPr>
              <w:keepNext/>
              <w:keepLines/>
              <w:widowControl/>
              <w:ind w:firstLine="422" w:firstLineChars="200"/>
              <w:jc w:val="center"/>
              <w:rPr>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表2-1 产品方案一览表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601"/>
              <w:gridCol w:w="1402"/>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405"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969"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产品名称</w:t>
                  </w:r>
                </w:p>
              </w:tc>
              <w:tc>
                <w:tcPr>
                  <w:tcW w:w="849"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年产量（t/a）</w:t>
                  </w:r>
                </w:p>
              </w:tc>
              <w:tc>
                <w:tcPr>
                  <w:tcW w:w="2777"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69"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机制炭</w:t>
                  </w:r>
                </w:p>
              </w:tc>
              <w:tc>
                <w:tcPr>
                  <w:tcW w:w="849" w:type="pct"/>
                  <w:vAlign w:val="center"/>
                </w:tcPr>
                <w:p>
                  <w:pPr>
                    <w:keepNext/>
                    <w:keepLines/>
                    <w:widowControl/>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8</w:t>
                  </w:r>
                  <w:r>
                    <w:rPr>
                      <w:rFonts w:hint="eastAsia"/>
                      <w:color w:val="000000" w:themeColor="text1"/>
                      <w:szCs w:val="21"/>
                      <w:u w:val="single"/>
                      <w14:textFill>
                        <w14:solidFill>
                          <w14:schemeClr w14:val="tx1"/>
                        </w14:solidFill>
                      </w14:textFill>
                    </w:rPr>
                    <w:t>00</w:t>
                  </w:r>
                </w:p>
              </w:tc>
              <w:tc>
                <w:tcPr>
                  <w:tcW w:w="2777"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主要用</w:t>
                  </w:r>
                  <w:r>
                    <w:rPr>
                      <w:rFonts w:hint="eastAsia"/>
                      <w:color w:val="000000" w:themeColor="text1"/>
                      <w:szCs w:val="21"/>
                      <w14:textFill>
                        <w14:solidFill>
                          <w14:schemeClr w14:val="tx1"/>
                        </w14:solidFill>
                      </w14:textFill>
                    </w:rPr>
                    <w:t>于</w:t>
                  </w:r>
                  <w:r>
                    <w:rPr>
                      <w:color w:val="000000" w:themeColor="text1"/>
                      <w:szCs w:val="21"/>
                      <w14:textFill>
                        <w14:solidFill>
                          <w14:schemeClr w14:val="tx1"/>
                        </w14:solidFill>
                      </w14:textFill>
                    </w:rPr>
                    <w:t>材料工业及环保等行业</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直径：40~50mm</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长度：300~400mm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969"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钾钠长石粉</w:t>
                  </w:r>
                </w:p>
              </w:tc>
              <w:tc>
                <w:tcPr>
                  <w:tcW w:w="849"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2</w:t>
                  </w:r>
                  <w:r>
                    <w:rPr>
                      <w:color w:val="000000" w:themeColor="text1"/>
                      <w:szCs w:val="21"/>
                      <w:u w:val="single"/>
                      <w14:textFill>
                        <w14:solidFill>
                          <w14:schemeClr w14:val="tx1"/>
                        </w14:solidFill>
                      </w14:textFill>
                    </w:rPr>
                    <w:t>000</w:t>
                  </w:r>
                </w:p>
              </w:tc>
              <w:tc>
                <w:tcPr>
                  <w:tcW w:w="2777"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本项目钾钠长石粉为外购长石粉含水率</w:t>
                  </w:r>
                  <w:r>
                    <w:rPr>
                      <w:color w:val="000000" w:themeColor="text1"/>
                      <w:szCs w:val="21"/>
                      <w14:textFill>
                        <w14:solidFill>
                          <w14:schemeClr w14:val="tx1"/>
                        </w14:solidFill>
                      </w14:textFill>
                    </w:rPr>
                    <w:t>30%</w:t>
                  </w:r>
                  <w:r>
                    <w:rPr>
                      <w:rFonts w:hint="eastAsia"/>
                      <w:color w:val="000000" w:themeColor="text1"/>
                      <w:szCs w:val="21"/>
                      <w14:textFill>
                        <w14:solidFill>
                          <w14:schemeClr w14:val="tx1"/>
                        </w14:solidFill>
                      </w14:textFill>
                    </w:rPr>
                    <w:t>，经烘干后直接外售，本项目长石粉仅烘干，不进行其他加工</w:t>
                  </w:r>
                </w:p>
              </w:tc>
            </w:tr>
          </w:tbl>
          <w:p>
            <w:pPr>
              <w:keepNext/>
              <w:keepLines/>
              <w:widowControl/>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注：产品质量应满足《竹炭》（GB/T26913-2011）中相关要求。</w:t>
            </w: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2、项目组成</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项目所在地目前为一片空地，总占地面积为2</w:t>
            </w:r>
            <w:r>
              <w:rPr>
                <w:color w:val="000000" w:themeColor="text1"/>
                <w:sz w:val="24"/>
                <w14:textFill>
                  <w14:solidFill>
                    <w14:schemeClr w14:val="tx1"/>
                  </w14:solidFill>
                </w14:textFill>
              </w:rPr>
              <w:t>000</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，总建筑面积</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00m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。项目组成详见下表。</w:t>
            </w:r>
          </w:p>
          <w:p>
            <w:pPr>
              <w:keepNext/>
              <w:keepLines/>
              <w:widowControl/>
              <w:tabs>
                <w:tab w:val="left" w:pos="2367"/>
              </w:tabs>
              <w:ind w:firstLine="422" w:firstLineChars="200"/>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ab/>
            </w:r>
          </w:p>
          <w:p>
            <w:pPr>
              <w:keepNext/>
              <w:keepLines/>
              <w:widowControl/>
              <w:ind w:firstLine="422" w:firstLineChars="200"/>
              <w:jc w:val="center"/>
              <w:rPr>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表2-2  项目组成一览表</w:t>
            </w:r>
          </w:p>
          <w:tbl>
            <w:tblPr>
              <w:tblStyle w:val="24"/>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26"/>
              <w:gridCol w:w="736"/>
              <w:gridCol w:w="1463"/>
              <w:gridCol w:w="2772"/>
              <w:gridCol w:w="1703"/>
              <w:gridCol w:w="9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8" w:hRule="atLeast"/>
                <w:jc w:val="center"/>
              </w:trPr>
              <w:tc>
                <w:tcPr>
                  <w:tcW w:w="380"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1333" w:type="pct"/>
                  <w:gridSpan w:val="2"/>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项目类型</w:t>
                  </w:r>
                </w:p>
              </w:tc>
              <w:tc>
                <w:tcPr>
                  <w:tcW w:w="1680"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内容</w:t>
                  </w:r>
                  <w:r>
                    <w:rPr>
                      <w:rFonts w:hint="eastAsia"/>
                      <w:color w:val="000000" w:themeColor="text1"/>
                      <w:szCs w:val="21"/>
                      <w14:textFill>
                        <w14:solidFill>
                          <w14:schemeClr w14:val="tx1"/>
                        </w14:solidFill>
                      </w14:textFill>
                    </w:rPr>
                    <w:t>、规模</w:t>
                  </w:r>
                </w:p>
              </w:tc>
              <w:tc>
                <w:tcPr>
                  <w:tcW w:w="1032"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功能</w:t>
                  </w:r>
                </w:p>
              </w:tc>
              <w:tc>
                <w:tcPr>
                  <w:tcW w:w="575"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 w:hRule="atLeast"/>
                <w:jc w:val="center"/>
              </w:trPr>
              <w:tc>
                <w:tcPr>
                  <w:tcW w:w="380" w:type="pct"/>
                  <w:vMerge w:val="restart"/>
                  <w:vAlign w:val="center"/>
                </w:tcPr>
                <w:p>
                  <w:pPr>
                    <w:autoSpaceDE w:val="0"/>
                    <w:autoSpaceDN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446" w:type="pct"/>
                  <w:vMerge w:val="restart"/>
                  <w:vAlign w:val="center"/>
                </w:tcPr>
                <w:p>
                  <w:pPr>
                    <w:autoSpaceDE w:val="0"/>
                    <w:autoSpaceDN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主体工程</w:t>
                  </w: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w:t>
                  </w:r>
                </w:p>
              </w:tc>
              <w:tc>
                <w:tcPr>
                  <w:tcW w:w="1680"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1栋，建筑面积</w:t>
                  </w:r>
                  <w:r>
                    <w:rPr>
                      <w:bCs/>
                      <w:color w:val="000000" w:themeColor="text1"/>
                      <w:szCs w:val="21"/>
                      <w14:textFill>
                        <w14:solidFill>
                          <w14:schemeClr w14:val="tx1"/>
                        </w14:solidFill>
                      </w14:textFill>
                    </w:rPr>
                    <w:t>18</w:t>
                  </w:r>
                  <w:r>
                    <w:rPr>
                      <w:rFonts w:hint="eastAsia"/>
                      <w:bCs/>
                      <w:color w:val="000000" w:themeColor="text1"/>
                      <w:szCs w:val="21"/>
                      <w14:textFill>
                        <w14:solidFill>
                          <w14:schemeClr w14:val="tx1"/>
                        </w14:solidFill>
                      </w14:textFill>
                    </w:rPr>
                    <w:t>00m</w:t>
                  </w:r>
                  <w:r>
                    <w:rPr>
                      <w:rFonts w:hint="eastAsia"/>
                      <w:bCs/>
                      <w:color w:val="000000" w:themeColor="text1"/>
                      <w:szCs w:val="21"/>
                      <w:vertAlign w:val="superscript"/>
                      <w14:textFill>
                        <w14:solidFill>
                          <w14:schemeClr w14:val="tx1"/>
                        </w14:solidFill>
                      </w14:textFill>
                    </w:rPr>
                    <w:t>2</w:t>
                  </w:r>
                  <w:r>
                    <w:rPr>
                      <w:rFonts w:hint="eastAsia"/>
                      <w:bCs/>
                      <w:color w:val="000000" w:themeColor="text1"/>
                      <w:szCs w:val="21"/>
                      <w14:textFill>
                        <w14:solidFill>
                          <w14:schemeClr w14:val="tx1"/>
                        </w14:solidFill>
                      </w14:textFill>
                    </w:rPr>
                    <w:t>，全封闭生产车间，钢结构，1层，层高9</w:t>
                  </w:r>
                  <w:r>
                    <w:rPr>
                      <w:bCs/>
                      <w:color w:val="000000" w:themeColor="text1"/>
                      <w:szCs w:val="21"/>
                      <w14:textFill>
                        <w14:solidFill>
                          <w14:schemeClr w14:val="tx1"/>
                        </w14:solidFill>
                      </w14:textFill>
                    </w:rPr>
                    <w:t>m</w:t>
                  </w:r>
                </w:p>
              </w:tc>
              <w:tc>
                <w:tcPr>
                  <w:tcW w:w="1032"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主要设置破碎、烘干、制棒、炭化工序</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钾钠长石烘干间</w:t>
                  </w:r>
                </w:p>
              </w:tc>
              <w:tc>
                <w:tcPr>
                  <w:tcW w:w="1680"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1间建筑面积2</w:t>
                  </w:r>
                  <w:r>
                    <w:rPr>
                      <w:bCs/>
                      <w:color w:val="000000" w:themeColor="text1"/>
                      <w:szCs w:val="21"/>
                      <w14:textFill>
                        <w14:solidFill>
                          <w14:schemeClr w14:val="tx1"/>
                        </w14:solidFill>
                      </w14:textFill>
                    </w:rPr>
                    <w:t>0</w:t>
                  </w:r>
                  <w:r>
                    <w:rPr>
                      <w:rFonts w:hint="eastAsia"/>
                      <w:bCs/>
                      <w:color w:val="000000" w:themeColor="text1"/>
                      <w:szCs w:val="21"/>
                      <w14:textFill>
                        <w14:solidFill>
                          <w14:schemeClr w14:val="tx1"/>
                        </w14:solidFill>
                      </w14:textFill>
                    </w:rPr>
                    <w:t>0m</w:t>
                  </w:r>
                  <w:r>
                    <w:rPr>
                      <w:rFonts w:hint="eastAsia"/>
                      <w:bCs/>
                      <w:color w:val="000000" w:themeColor="text1"/>
                      <w:szCs w:val="21"/>
                      <w:vertAlign w:val="superscript"/>
                      <w14:textFill>
                        <w14:solidFill>
                          <w14:schemeClr w14:val="tx1"/>
                        </w14:solidFill>
                      </w14:textFill>
                    </w:rPr>
                    <w:t>2</w:t>
                  </w:r>
                  <w:r>
                    <w:rPr>
                      <w:rFonts w:hint="eastAsia"/>
                      <w:bCs/>
                      <w:color w:val="000000" w:themeColor="text1"/>
                      <w:szCs w:val="21"/>
                      <w14:textFill>
                        <w14:solidFill>
                          <w14:schemeClr w14:val="tx1"/>
                        </w14:solidFill>
                      </w14:textFill>
                    </w:rPr>
                    <w:t>，全封闭生产间，钢结构，1层，层高9</w:t>
                  </w:r>
                  <w:r>
                    <w:rPr>
                      <w:bCs/>
                      <w:color w:val="000000" w:themeColor="text1"/>
                      <w:szCs w:val="21"/>
                      <w14:textFill>
                        <w14:solidFill>
                          <w14:schemeClr w14:val="tx1"/>
                        </w14:solidFill>
                      </w14:textFill>
                    </w:rPr>
                    <w:t>m</w:t>
                  </w:r>
                </w:p>
              </w:tc>
              <w:tc>
                <w:tcPr>
                  <w:tcW w:w="1032"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主要用于钾钠长石粉烘干、包装</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w:t>
                  </w:r>
                </w:p>
              </w:tc>
              <w:tc>
                <w:tcPr>
                  <w:tcW w:w="446"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辅助工程</w:t>
                  </w: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办公楼</w:t>
                  </w:r>
                </w:p>
              </w:tc>
              <w:tc>
                <w:tcPr>
                  <w:tcW w:w="1680" w:type="pct"/>
                  <w:vAlign w:val="center"/>
                </w:tcPr>
                <w:p>
                  <w:pPr>
                    <w:autoSpaceDE w:val="0"/>
                    <w:autoSpaceDN w:val="0"/>
                    <w:jc w:val="center"/>
                    <w:rPr>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惠民搅拌站办公楼</w:t>
                  </w:r>
                  <w:r>
                    <w:rPr>
                      <w:color w:val="000000" w:themeColor="text1"/>
                      <w:kern w:val="0"/>
                      <w:szCs w:val="21"/>
                      <w14:textFill>
                        <w14:solidFill>
                          <w14:schemeClr w14:val="tx1"/>
                        </w14:solidFill>
                      </w14:textFill>
                    </w:rPr>
                    <w:t>占地350m</w:t>
                  </w:r>
                  <w:r>
                    <w:rPr>
                      <w:color w:val="000000" w:themeColor="text1"/>
                      <w:kern w:val="0"/>
                      <w:szCs w:val="21"/>
                      <w:vertAlign w:val="superscript"/>
                      <w14:textFill>
                        <w14:solidFill>
                          <w14:schemeClr w14:val="tx1"/>
                        </w14:solidFill>
                      </w14:textFill>
                    </w:rPr>
                    <w:t>2</w:t>
                  </w:r>
                  <w:r>
                    <w:rPr>
                      <w:color w:val="000000" w:themeColor="text1"/>
                      <w:kern w:val="0"/>
                      <w:szCs w:val="21"/>
                      <w14:textFill>
                        <w14:solidFill>
                          <w14:schemeClr w14:val="tx1"/>
                        </w14:solidFill>
                      </w14:textFill>
                    </w:rPr>
                    <w:t>，建筑面积350m</w:t>
                  </w:r>
                  <w:r>
                    <w:rPr>
                      <w:color w:val="000000" w:themeColor="text1"/>
                      <w:kern w:val="0"/>
                      <w:szCs w:val="21"/>
                      <w:vertAlign w:val="superscript"/>
                      <w14:textFill>
                        <w14:solidFill>
                          <w14:schemeClr w14:val="tx1"/>
                        </w14:solidFill>
                      </w14:textFill>
                    </w:rPr>
                    <w:t>2</w:t>
                  </w:r>
                </w:p>
              </w:tc>
              <w:tc>
                <w:tcPr>
                  <w:tcW w:w="1032" w:type="pct"/>
                  <w:vAlign w:val="center"/>
                </w:tcPr>
                <w:p>
                  <w:pPr>
                    <w:autoSpaceDE w:val="0"/>
                    <w:autoSpaceDN w:val="0"/>
                    <w:jc w:val="center"/>
                    <w:rPr>
                      <w:bCs/>
                      <w:color w:val="000000" w:themeColor="text1"/>
                      <w:szCs w:val="21"/>
                      <w:u w:val="single"/>
                      <w14:textFill>
                        <w14:solidFill>
                          <w14:schemeClr w14:val="tx1"/>
                        </w14:solidFill>
                      </w14:textFill>
                    </w:rPr>
                  </w:pPr>
                  <w:r>
                    <w:rPr>
                      <w:rFonts w:hint="eastAsia"/>
                      <w:bCs/>
                      <w:color w:val="000000" w:themeColor="text1"/>
                      <w:szCs w:val="21"/>
                      <w:u w:val="single"/>
                      <w14:textFill>
                        <w14:solidFill>
                          <w14:schemeClr w14:val="tx1"/>
                        </w14:solidFill>
                      </w14:textFill>
                    </w:rPr>
                    <w:t>本项目和惠民搅拌站项目为同一业主，因此本项目依托惠民搅拌站项目办公楼，本项目不新建办公楼</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3</w:t>
                  </w:r>
                </w:p>
              </w:tc>
              <w:tc>
                <w:tcPr>
                  <w:tcW w:w="446"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储运工程</w:t>
                  </w: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原料仓库</w:t>
                  </w:r>
                </w:p>
              </w:tc>
              <w:tc>
                <w:tcPr>
                  <w:tcW w:w="1680" w:type="pct"/>
                  <w:vAlign w:val="center"/>
                </w:tcPr>
                <w:p>
                  <w:pPr>
                    <w:autoSpaceDE w:val="0"/>
                    <w:autoSpaceDN w:val="0"/>
                    <w:jc w:val="center"/>
                    <w:rPr>
                      <w:bCs/>
                      <w:color w:val="000000" w:themeColor="text1"/>
                      <w:szCs w:val="21"/>
                      <w:u w:val="single"/>
                      <w14:textFill>
                        <w14:solidFill>
                          <w14:schemeClr w14:val="tx1"/>
                        </w14:solidFill>
                      </w14:textFill>
                    </w:rPr>
                  </w:pPr>
                  <w:r>
                    <w:rPr>
                      <w:rFonts w:hint="eastAsia"/>
                      <w:bCs/>
                      <w:color w:val="000000" w:themeColor="text1"/>
                      <w:szCs w:val="21"/>
                      <w:u w:val="single"/>
                      <w14:textFill>
                        <w14:solidFill>
                          <w14:schemeClr w14:val="tx1"/>
                        </w14:solidFill>
                      </w14:textFill>
                    </w:rPr>
                    <w:t>位于生产车间内，建筑面积500m</w:t>
                  </w:r>
                  <w:r>
                    <w:rPr>
                      <w:rFonts w:hint="eastAsia"/>
                      <w:bCs/>
                      <w:color w:val="000000" w:themeColor="text1"/>
                      <w:szCs w:val="21"/>
                      <w:u w:val="single"/>
                      <w:vertAlign w:val="superscript"/>
                      <w14:textFill>
                        <w14:solidFill>
                          <w14:schemeClr w14:val="tx1"/>
                        </w14:solidFill>
                      </w14:textFill>
                    </w:rPr>
                    <w:t>2</w:t>
                  </w:r>
                  <w:r>
                    <w:rPr>
                      <w:rFonts w:hint="eastAsia"/>
                      <w:bCs/>
                      <w:color w:val="000000" w:themeColor="text1"/>
                      <w:szCs w:val="21"/>
                      <w:u w:val="single"/>
                      <w14:textFill>
                        <w14:solidFill>
                          <w14:schemeClr w14:val="tx1"/>
                        </w14:solidFill>
                      </w14:textFill>
                    </w:rPr>
                    <w:t>，钢结构，原料仓库四周进行围蔽，采取防风雨措施</w:t>
                  </w:r>
                </w:p>
              </w:tc>
              <w:tc>
                <w:tcPr>
                  <w:tcW w:w="1032"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原料储存</w:t>
                  </w:r>
                </w:p>
              </w:tc>
              <w:tc>
                <w:tcPr>
                  <w:tcW w:w="575" w:type="pct"/>
                  <w:vMerge w:val="restart"/>
                  <w:vAlign w:val="center"/>
                </w:tcPr>
                <w:p>
                  <w:pPr>
                    <w:autoSpaceDE w:val="0"/>
                    <w:autoSpaceDN w:val="0"/>
                    <w:jc w:val="center"/>
                    <w:rPr>
                      <w:bCs/>
                      <w:color w:val="000000" w:themeColor="text1"/>
                      <w:szCs w:val="21"/>
                      <w14:textFill>
                        <w14:solidFill>
                          <w14:schemeClr w14:val="tx1"/>
                        </w14:solidFill>
                      </w14:textFill>
                    </w:rPr>
                  </w:pPr>
                </w:p>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成品仓库</w:t>
                  </w:r>
                </w:p>
              </w:tc>
              <w:tc>
                <w:tcPr>
                  <w:tcW w:w="1680" w:type="pct"/>
                  <w:vAlign w:val="center"/>
                </w:tcPr>
                <w:p>
                  <w:pPr>
                    <w:autoSpaceDE w:val="0"/>
                    <w:autoSpaceDN w:val="0"/>
                    <w:jc w:val="center"/>
                    <w:rPr>
                      <w:bCs/>
                      <w:color w:val="000000" w:themeColor="text1"/>
                      <w:szCs w:val="21"/>
                      <w:u w:val="single"/>
                      <w14:textFill>
                        <w14:solidFill>
                          <w14:schemeClr w14:val="tx1"/>
                        </w14:solidFill>
                      </w14:textFill>
                    </w:rPr>
                  </w:pPr>
                  <w:r>
                    <w:rPr>
                      <w:rFonts w:hint="eastAsia"/>
                      <w:bCs/>
                      <w:color w:val="000000" w:themeColor="text1"/>
                      <w:szCs w:val="21"/>
                      <w:u w:val="single"/>
                      <w14:textFill>
                        <w14:solidFill>
                          <w14:schemeClr w14:val="tx1"/>
                        </w14:solidFill>
                      </w14:textFill>
                    </w:rPr>
                    <w:t>位于生产车间内，建筑面积300m</w:t>
                  </w:r>
                  <w:r>
                    <w:rPr>
                      <w:rFonts w:hint="eastAsia"/>
                      <w:bCs/>
                      <w:color w:val="000000" w:themeColor="text1"/>
                      <w:szCs w:val="21"/>
                      <w:u w:val="single"/>
                      <w:vertAlign w:val="superscript"/>
                      <w14:textFill>
                        <w14:solidFill>
                          <w14:schemeClr w14:val="tx1"/>
                        </w14:solidFill>
                      </w14:textFill>
                    </w:rPr>
                    <w:t>2</w:t>
                  </w:r>
                  <w:r>
                    <w:rPr>
                      <w:rFonts w:hint="eastAsia"/>
                      <w:bCs/>
                      <w:color w:val="000000" w:themeColor="text1"/>
                      <w:szCs w:val="21"/>
                      <w:u w:val="single"/>
                      <w14:textFill>
                        <w14:solidFill>
                          <w14:schemeClr w14:val="tx1"/>
                        </w14:solidFill>
                      </w14:textFill>
                    </w:rPr>
                    <w:t>，钢结构</w:t>
                  </w:r>
                </w:p>
              </w:tc>
              <w:tc>
                <w:tcPr>
                  <w:tcW w:w="1032"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成品储存，箱装封闭储存</w:t>
                  </w:r>
                </w:p>
              </w:tc>
              <w:tc>
                <w:tcPr>
                  <w:tcW w:w="575" w:type="pct"/>
                  <w:vMerge w:val="continue"/>
                  <w:vAlign w:val="center"/>
                </w:tcPr>
                <w:p>
                  <w:pPr>
                    <w:autoSpaceDE w:val="0"/>
                    <w:autoSpaceDN w:val="0"/>
                    <w:jc w:val="center"/>
                    <w:rPr>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restart"/>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446"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公用工程</w:t>
                  </w: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供电</w:t>
                  </w:r>
                </w:p>
              </w:tc>
              <w:tc>
                <w:tcPr>
                  <w:tcW w:w="2712" w:type="pct"/>
                  <w:gridSpan w:val="2"/>
                  <w:vAlign w:val="center"/>
                </w:tcPr>
                <w:p>
                  <w:pPr>
                    <w:autoSpaceDE w:val="0"/>
                    <w:autoSpaceDN w:val="0"/>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由厂区接入当地电网供电</w:t>
                  </w:r>
                  <w:r>
                    <w:rPr>
                      <w:rFonts w:hint="eastAsia"/>
                      <w:color w:val="000000" w:themeColor="text1"/>
                      <w:szCs w:val="21"/>
                      <w14:textFill>
                        <w14:solidFill>
                          <w14:schemeClr w14:val="tx1"/>
                        </w14:solidFill>
                      </w14:textFill>
                    </w:rPr>
                    <w:t>，项目用电量为8万kWh/a</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供水</w:t>
                  </w:r>
                </w:p>
              </w:tc>
              <w:tc>
                <w:tcPr>
                  <w:tcW w:w="2712" w:type="pct"/>
                  <w:gridSpan w:val="2"/>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生活用水为当地市政自来水管网</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排水</w:t>
                  </w:r>
                </w:p>
              </w:tc>
              <w:tc>
                <w:tcPr>
                  <w:tcW w:w="2712" w:type="pct"/>
                  <w:gridSpan w:val="2"/>
                  <w:vAlign w:val="center"/>
                </w:tcPr>
                <w:p>
                  <w:pPr>
                    <w:autoSpaceDE w:val="0"/>
                    <w:autoSpaceDN w:val="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雨污分流，</w:t>
                  </w:r>
                  <w:r>
                    <w:rPr>
                      <w:rFonts w:hint="eastAsia"/>
                      <w:color w:val="000000" w:themeColor="text1"/>
                      <w:szCs w:val="21"/>
                      <w14:textFill>
                        <w14:solidFill>
                          <w14:schemeClr w14:val="tx1"/>
                        </w14:solidFill>
                      </w14:textFill>
                    </w:rPr>
                    <w:t>厂区设雨水和污水管网，雨水经雨水沟收集后收集于惠民搅拌站</w:t>
                  </w:r>
                  <w:r>
                    <w:rPr>
                      <w:color w:val="000000" w:themeColor="text1"/>
                      <w:szCs w:val="21"/>
                      <w14:textFill>
                        <w14:solidFill>
                          <w14:schemeClr w14:val="tx1"/>
                        </w14:solidFill>
                      </w14:textFill>
                    </w:rPr>
                    <w:t>内初期雨水池</w:t>
                  </w:r>
                  <w:r>
                    <w:rPr>
                      <w:rFonts w:hint="eastAsia"/>
                      <w:color w:val="000000" w:themeColor="text1"/>
                      <w:szCs w:val="21"/>
                      <w14:textFill>
                        <w14:solidFill>
                          <w14:schemeClr w14:val="tx1"/>
                        </w14:solidFill>
                      </w14:textFill>
                    </w:rPr>
                    <w:t>收集池，</w:t>
                  </w:r>
                  <w:r>
                    <w:rPr>
                      <w:color w:val="000000" w:themeColor="text1"/>
                      <w:szCs w:val="21"/>
                      <w14:textFill>
                        <w14:solidFill>
                          <w14:schemeClr w14:val="tx1"/>
                        </w14:solidFill>
                      </w14:textFill>
                    </w:rPr>
                    <w:t>处理后回用于厂区绿化抑尘</w:t>
                  </w:r>
                  <w:r>
                    <w:rPr>
                      <w:rFonts w:hint="eastAsia"/>
                      <w:color w:val="000000" w:themeColor="text1"/>
                      <w:szCs w:val="21"/>
                      <w14:textFill>
                        <w14:solidFill>
                          <w14:schemeClr w14:val="tx1"/>
                        </w14:solidFill>
                      </w14:textFill>
                    </w:rPr>
                    <w:t>；项目生活污水经化粪池预处理后定期清掏用作农肥，不外排</w:t>
                  </w:r>
                </w:p>
              </w:tc>
              <w:tc>
                <w:tcPr>
                  <w:tcW w:w="575"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依托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w:t>
                  </w:r>
                </w:p>
              </w:tc>
              <w:tc>
                <w:tcPr>
                  <w:tcW w:w="446"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环保工程</w:t>
                  </w:r>
                </w:p>
              </w:tc>
              <w:tc>
                <w:tcPr>
                  <w:tcW w:w="887" w:type="pct"/>
                  <w:vMerge w:val="restar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废气处理</w:t>
                  </w:r>
                </w:p>
              </w:tc>
              <w:tc>
                <w:tcPr>
                  <w:tcW w:w="3287" w:type="pct"/>
                  <w:gridSpan w:val="3"/>
                  <w:vAlign w:val="center"/>
                </w:tcPr>
                <w:p>
                  <w:pPr>
                    <w:autoSpaceDE w:val="0"/>
                    <w:autoSpaceDN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原料储存、装卸、运输</w:t>
                  </w:r>
                  <w:r>
                    <w:rPr>
                      <w:color w:val="000000" w:themeColor="text1"/>
                      <w:szCs w:val="21"/>
                      <w14:textFill>
                        <w14:solidFill>
                          <w14:schemeClr w14:val="tx1"/>
                        </w14:solidFill>
                      </w14:textFill>
                    </w:rPr>
                    <w:t>粉尘：采取</w:t>
                  </w:r>
                  <w:r>
                    <w:rPr>
                      <w:rFonts w:hint="eastAsia"/>
                      <w:color w:val="000000" w:themeColor="text1"/>
                      <w:szCs w:val="21"/>
                      <w14:textFill>
                        <w14:solidFill>
                          <w14:schemeClr w14:val="tx1"/>
                        </w14:solidFill>
                      </w14:textFill>
                    </w:rPr>
                    <w:t>密闭</w:t>
                  </w:r>
                  <w:r>
                    <w:rPr>
                      <w:color w:val="000000" w:themeColor="text1"/>
                      <w:szCs w:val="21"/>
                      <w14:textFill>
                        <w14:solidFill>
                          <w14:schemeClr w14:val="tx1"/>
                        </w14:solidFill>
                      </w14:textFill>
                    </w:rPr>
                    <w:t>车间</w:t>
                  </w:r>
                  <w:r>
                    <w:rPr>
                      <w:rFonts w:hint="eastAsia"/>
                      <w:color w:val="000000" w:themeColor="text1"/>
                      <w:szCs w:val="21"/>
                      <w14:textFill>
                        <w14:solidFill>
                          <w14:schemeClr w14:val="tx1"/>
                        </w14:solidFill>
                      </w14:textFill>
                    </w:rPr>
                    <w:t>储存，加强通风</w:t>
                  </w:r>
                </w:p>
                <w:p>
                  <w:pPr>
                    <w:autoSpaceDE w:val="0"/>
                    <w:autoSpaceDN w:val="0"/>
                    <w:rPr>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3287" w:type="pct"/>
                  <w:gridSpan w:val="3"/>
                  <w:vAlign w:val="center"/>
                </w:tcPr>
                <w:p>
                  <w:pPr>
                    <w:autoSpaceDE w:val="0"/>
                    <w:autoSpaceDN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制棒粉尘：</w:t>
                  </w:r>
                  <w:r>
                    <w:rPr>
                      <w:rFonts w:hint="eastAsia"/>
                      <w:color w:val="000000" w:themeColor="text1"/>
                      <w:szCs w:val="21"/>
                      <w:u w:val="single"/>
                      <w14:textFill>
                        <w14:solidFill>
                          <w14:schemeClr w14:val="tx1"/>
                        </w14:solidFill>
                      </w14:textFill>
                    </w:rPr>
                    <w:t>制棒工序进行局部全封闭，对废气进行负压收集，废气收集后进入水喷淋装置进行处理后经1</w:t>
                  </w:r>
                  <w:r>
                    <w:rPr>
                      <w:color w:val="000000" w:themeColor="text1"/>
                      <w:szCs w:val="21"/>
                      <w:u w:val="single"/>
                      <w14:textFill>
                        <w14:solidFill>
                          <w14:schemeClr w14:val="tx1"/>
                        </w14:solidFill>
                      </w14:textFill>
                    </w:rPr>
                    <w:t>5m</w:t>
                  </w:r>
                  <w:r>
                    <w:rPr>
                      <w:rFonts w:hint="eastAsia"/>
                      <w:color w:val="000000" w:themeColor="text1"/>
                      <w:szCs w:val="21"/>
                      <w:u w:val="single"/>
                      <w14:textFill>
                        <w14:solidFill>
                          <w14:schemeClr w14:val="tx1"/>
                        </w14:solidFill>
                      </w14:textFill>
                    </w:rPr>
                    <w:t>排气筒排放（D</w:t>
                  </w:r>
                  <w:r>
                    <w:rPr>
                      <w:color w:val="000000" w:themeColor="text1"/>
                      <w:szCs w:val="21"/>
                      <w:u w:val="single"/>
                      <w14:textFill>
                        <w14:solidFill>
                          <w14:schemeClr w14:val="tx1"/>
                        </w14:solidFill>
                      </w14:textFill>
                    </w:rPr>
                    <w:t>A001</w:t>
                  </w:r>
                  <w:r>
                    <w:rPr>
                      <w:rFonts w:hint="eastAsia"/>
                      <w:color w:val="000000" w:themeColor="text1"/>
                      <w:szCs w:val="21"/>
                      <w:u w:val="single"/>
                      <w14:textFill>
                        <w14:solidFill>
                          <w14:schemeClr w14:val="tx1"/>
                        </w14:solidFill>
                      </w14:textFill>
                    </w:rPr>
                    <w:t>）</w:t>
                  </w:r>
                </w:p>
                <w:p>
                  <w:pPr>
                    <w:autoSpaceDE w:val="0"/>
                    <w:autoSpaceDN w:val="0"/>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3287" w:type="pct"/>
                  <w:gridSpan w:val="3"/>
                  <w:vAlign w:val="center"/>
                </w:tcPr>
                <w:p>
                  <w:pPr>
                    <w:autoSpaceDE w:val="0"/>
                    <w:autoSpaceDN w:val="0"/>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一道破碎、筛分粉尘：</w:t>
                  </w:r>
                  <w:r>
                    <w:rPr>
                      <w:rFonts w:hint="eastAsia"/>
                      <w:color w:val="000000" w:themeColor="text1"/>
                      <w:szCs w:val="21"/>
                      <w:u w:val="single"/>
                      <w14:textFill>
                        <w14:solidFill>
                          <w14:schemeClr w14:val="tx1"/>
                        </w14:solidFill>
                      </w14:textFill>
                    </w:rPr>
                    <w:t>一道破碎和筛分工序进行四周进行围蔽，开口一侧设软帘，工作状下软帘关闭，粉尘在密闭区域自然沉降，部分在车间无组织排放。</w:t>
                  </w:r>
                </w:p>
                <w:p>
                  <w:pPr>
                    <w:autoSpaceDE w:val="0"/>
                    <w:autoSpaceDN w:val="0"/>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3287" w:type="pct"/>
                  <w:gridSpan w:val="3"/>
                  <w:vAlign w:val="center"/>
                </w:tcPr>
                <w:p>
                  <w:pPr>
                    <w:autoSpaceDE w:val="0"/>
                    <w:autoSpaceDN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二道破碎粉尘：破碎工序产生的粉尘经管道收集后进入一套脉冲布袋除尘器处理后通过一根1</w:t>
                  </w:r>
                  <w:r>
                    <w:rPr>
                      <w:color w:val="000000" w:themeColor="text1"/>
                      <w:szCs w:val="21"/>
                      <w14:textFill>
                        <w14:solidFill>
                          <w14:schemeClr w14:val="tx1"/>
                        </w14:solidFill>
                      </w14:textFill>
                    </w:rPr>
                    <w:t>5m</w:t>
                  </w:r>
                  <w:r>
                    <w:rPr>
                      <w:rFonts w:hint="eastAsia"/>
                      <w:color w:val="000000" w:themeColor="text1"/>
                      <w:szCs w:val="21"/>
                      <w14:textFill>
                        <w14:solidFill>
                          <w14:schemeClr w14:val="tx1"/>
                        </w14:solidFill>
                      </w14:textFill>
                    </w:rPr>
                    <w:t>排气筒排放（D</w:t>
                  </w:r>
                  <w:r>
                    <w:rPr>
                      <w:color w:val="000000" w:themeColor="text1"/>
                      <w:szCs w:val="21"/>
                      <w14:textFill>
                        <w14:solidFill>
                          <w14:schemeClr w14:val="tx1"/>
                        </w14:solidFill>
                      </w14:textFill>
                    </w:rPr>
                    <w:t>A002</w:t>
                  </w: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3287" w:type="pct"/>
                  <w:gridSpan w:val="3"/>
                  <w:vAlign w:val="center"/>
                </w:tcPr>
                <w:p>
                  <w:pPr>
                    <w:pStyle w:val="2"/>
                    <w:spacing w:line="240" w:lineRule="auto"/>
                    <w:ind w:left="0" w:leftChars="0" w:firstLine="0" w:firstLineChars="0"/>
                    <w:rPr>
                      <w:color w:val="000000" w:themeColor="text1"/>
                      <w14:textFill>
                        <w14:solidFill>
                          <w14:schemeClr w14:val="tx1"/>
                        </w14:solidFill>
                      </w14:textFill>
                    </w:rPr>
                  </w:pPr>
                  <w:r>
                    <w:rPr>
                      <w:rFonts w:hint="eastAsia"/>
                      <w:color w:val="000000" w:themeColor="text1"/>
                      <w:kern w:val="2"/>
                      <w:sz w:val="21"/>
                      <w:szCs w:val="21"/>
                      <w14:textFill>
                        <w14:solidFill>
                          <w14:schemeClr w14:val="tx1"/>
                        </w14:solidFill>
                      </w14:textFill>
                    </w:rPr>
                    <w:t>烘干、</w:t>
                  </w:r>
                  <w:r>
                    <w:rPr>
                      <w:color w:val="000000" w:themeColor="text1"/>
                      <w:kern w:val="2"/>
                      <w:sz w:val="21"/>
                      <w:szCs w:val="21"/>
                      <w14:textFill>
                        <w14:solidFill>
                          <w14:schemeClr w14:val="tx1"/>
                        </w14:solidFill>
                      </w14:textFill>
                    </w:rPr>
                    <w:t>炭化废气：</w:t>
                  </w:r>
                  <w:r>
                    <w:rPr>
                      <w:rFonts w:hint="eastAsia"/>
                      <w:color w:val="000000" w:themeColor="text1"/>
                      <w:kern w:val="2"/>
                      <w:sz w:val="21"/>
                      <w:szCs w:val="21"/>
                      <w:u w:val="single"/>
                      <w14:textFill>
                        <w14:solidFill>
                          <w14:schemeClr w14:val="tx1"/>
                        </w14:solidFill>
                      </w14:textFill>
                    </w:rPr>
                    <w:t>（烘干机工作时）</w:t>
                  </w:r>
                  <w:r>
                    <w:rPr>
                      <w:color w:val="000000" w:themeColor="text1"/>
                      <w:kern w:val="2"/>
                      <w:sz w:val="21"/>
                      <w:szCs w:val="21"/>
                      <w:u w:val="single"/>
                      <w14:textFill>
                        <w14:solidFill>
                          <w14:schemeClr w14:val="tx1"/>
                        </w14:solidFill>
                      </w14:textFill>
                    </w:rPr>
                    <w:t>炭化废气通过风机和管道直接将其引入</w:t>
                  </w:r>
                  <w:r>
                    <w:rPr>
                      <w:rFonts w:hint="eastAsia"/>
                      <w:color w:val="000000" w:themeColor="text1"/>
                      <w:kern w:val="2"/>
                      <w:sz w:val="21"/>
                      <w:szCs w:val="21"/>
                      <w:u w:val="single"/>
                      <w14:textFill>
                        <w14:solidFill>
                          <w14:schemeClr w14:val="tx1"/>
                        </w14:solidFill>
                      </w14:textFill>
                    </w:rPr>
                    <w:t>烘干机进行烘干</w:t>
                  </w:r>
                  <w:r>
                    <w:rPr>
                      <w:color w:val="000000" w:themeColor="text1"/>
                      <w:kern w:val="2"/>
                      <w:sz w:val="21"/>
                      <w:szCs w:val="21"/>
                      <w:u w:val="single"/>
                      <w14:textFill>
                        <w14:solidFill>
                          <w14:schemeClr w14:val="tx1"/>
                        </w14:solidFill>
                      </w14:textFill>
                    </w:rPr>
                    <w:t>，燃烧产物为CO</w:t>
                  </w:r>
                  <w:r>
                    <w:rPr>
                      <w:color w:val="000000" w:themeColor="text1"/>
                      <w:kern w:val="2"/>
                      <w:sz w:val="21"/>
                      <w:szCs w:val="21"/>
                      <w:u w:val="single"/>
                      <w:vertAlign w:val="subscript"/>
                      <w14:textFill>
                        <w14:solidFill>
                          <w14:schemeClr w14:val="tx1"/>
                        </w14:solidFill>
                      </w14:textFill>
                    </w:rPr>
                    <w:t>2</w:t>
                  </w:r>
                  <w:r>
                    <w:rPr>
                      <w:color w:val="000000" w:themeColor="text1"/>
                      <w:kern w:val="2"/>
                      <w:sz w:val="21"/>
                      <w:szCs w:val="21"/>
                      <w:u w:val="single"/>
                      <w14:textFill>
                        <w14:solidFill>
                          <w14:schemeClr w14:val="tx1"/>
                        </w14:solidFill>
                      </w14:textFill>
                    </w:rPr>
                    <w:t>和H</w:t>
                  </w:r>
                  <w:r>
                    <w:rPr>
                      <w:color w:val="000000" w:themeColor="text1"/>
                      <w:kern w:val="2"/>
                      <w:sz w:val="21"/>
                      <w:szCs w:val="21"/>
                      <w:u w:val="single"/>
                      <w:vertAlign w:val="subscript"/>
                      <w14:textFill>
                        <w14:solidFill>
                          <w14:schemeClr w14:val="tx1"/>
                        </w14:solidFill>
                      </w14:textFill>
                    </w:rPr>
                    <w:t>2</w:t>
                  </w:r>
                  <w:r>
                    <w:rPr>
                      <w:color w:val="000000" w:themeColor="text1"/>
                      <w:kern w:val="2"/>
                      <w:sz w:val="21"/>
                      <w:szCs w:val="21"/>
                      <w:u w:val="single"/>
                      <w14:textFill>
                        <w14:solidFill>
                          <w14:schemeClr w14:val="tx1"/>
                        </w14:solidFill>
                      </w14:textFill>
                    </w:rPr>
                    <w:t>O</w:t>
                  </w:r>
                  <w:r>
                    <w:rPr>
                      <w:rFonts w:hint="eastAsia"/>
                      <w:color w:val="000000" w:themeColor="text1"/>
                      <w:kern w:val="2"/>
                      <w:sz w:val="21"/>
                      <w:szCs w:val="21"/>
                      <w:u w:val="single"/>
                      <w14:textFill>
                        <w14:solidFill>
                          <w14:schemeClr w14:val="tx1"/>
                        </w14:solidFill>
                      </w14:textFill>
                    </w:rPr>
                    <w:t>；烘干结束后供热</w:t>
                  </w:r>
                  <w:r>
                    <w:rPr>
                      <w:color w:val="000000" w:themeColor="text1"/>
                      <w:kern w:val="2"/>
                      <w:sz w:val="21"/>
                      <w:szCs w:val="21"/>
                      <w:u w:val="single"/>
                      <w14:textFill>
                        <w14:solidFill>
                          <w14:schemeClr w14:val="tx1"/>
                        </w14:solidFill>
                      </w14:textFill>
                    </w:rPr>
                    <w:t>尾气经</w:t>
                  </w:r>
                  <w:r>
                    <w:rPr>
                      <w:rFonts w:hint="eastAsia"/>
                      <w:color w:val="000000" w:themeColor="text1"/>
                      <w:kern w:val="2"/>
                      <w:sz w:val="21"/>
                      <w:szCs w:val="21"/>
                      <w:u w:val="single"/>
                      <w14:textFill>
                        <w14:solidFill>
                          <w14:schemeClr w14:val="tx1"/>
                        </w14:solidFill>
                      </w14:textFill>
                    </w:rPr>
                    <w:t>脉冲除尘器</w:t>
                  </w:r>
                  <w:r>
                    <w:rPr>
                      <w:color w:val="000000" w:themeColor="text1"/>
                      <w:kern w:val="2"/>
                      <w:sz w:val="21"/>
                      <w:szCs w:val="21"/>
                      <w:u w:val="single"/>
                      <w14:textFill>
                        <w14:solidFill>
                          <w14:schemeClr w14:val="tx1"/>
                        </w14:solidFill>
                      </w14:textFill>
                    </w:rPr>
                    <w:t>处理</w:t>
                  </w:r>
                  <w:r>
                    <w:rPr>
                      <w:rFonts w:hint="eastAsia"/>
                      <w:color w:val="000000" w:themeColor="text1"/>
                      <w:kern w:val="2"/>
                      <w:sz w:val="21"/>
                      <w:szCs w:val="21"/>
                      <w:u w:val="single"/>
                      <w14:textFill>
                        <w14:solidFill>
                          <w14:schemeClr w14:val="tx1"/>
                        </w14:solidFill>
                      </w14:textFill>
                    </w:rPr>
                    <w:t>后</w:t>
                  </w:r>
                  <w:r>
                    <w:rPr>
                      <w:color w:val="000000" w:themeColor="text1"/>
                      <w:kern w:val="2"/>
                      <w:sz w:val="21"/>
                      <w:szCs w:val="21"/>
                      <w:u w:val="single"/>
                      <w14:textFill>
                        <w14:solidFill>
                          <w14:schemeClr w14:val="tx1"/>
                        </w14:solidFill>
                      </w14:textFill>
                    </w:rPr>
                    <w:t>，通过15m排气筒高空排放</w:t>
                  </w:r>
                  <w:r>
                    <w:rPr>
                      <w:rFonts w:hint="eastAsia"/>
                      <w:color w:val="000000" w:themeColor="text1"/>
                      <w:szCs w:val="21"/>
                      <w:u w:val="single"/>
                      <w14:textFill>
                        <w14:solidFill>
                          <w14:schemeClr w14:val="tx1"/>
                        </w14:solidFill>
                      </w14:textFill>
                    </w:rPr>
                    <w:t>（</w:t>
                  </w:r>
                  <w:r>
                    <w:rPr>
                      <w:rFonts w:hint="eastAsia"/>
                      <w:color w:val="000000" w:themeColor="text1"/>
                      <w:sz w:val="21"/>
                      <w:szCs w:val="21"/>
                      <w:u w:val="single"/>
                      <w14:textFill>
                        <w14:solidFill>
                          <w14:schemeClr w14:val="tx1"/>
                        </w14:solidFill>
                      </w14:textFill>
                    </w:rPr>
                    <w:t>D</w:t>
                  </w:r>
                  <w:r>
                    <w:rPr>
                      <w:color w:val="000000" w:themeColor="text1"/>
                      <w:sz w:val="21"/>
                      <w:szCs w:val="21"/>
                      <w:u w:val="single"/>
                      <w14:textFill>
                        <w14:solidFill>
                          <w14:schemeClr w14:val="tx1"/>
                        </w14:solidFill>
                      </w14:textFill>
                    </w:rPr>
                    <w:t>A002</w:t>
                  </w:r>
                  <w:r>
                    <w:rPr>
                      <w:rFonts w:hint="eastAsia"/>
                      <w:color w:val="000000" w:themeColor="text1"/>
                      <w:szCs w:val="21"/>
                      <w:u w:val="single"/>
                      <w14:textFill>
                        <w14:solidFill>
                          <w14:schemeClr w14:val="tx1"/>
                        </w14:solidFill>
                      </w14:textFill>
                    </w:rPr>
                    <w:t>）</w:t>
                  </w:r>
                  <w:r>
                    <w:rPr>
                      <w:rFonts w:hint="eastAsia"/>
                      <w:color w:val="000000" w:themeColor="text1"/>
                      <w:kern w:val="2"/>
                      <w:sz w:val="21"/>
                      <w:szCs w:val="21"/>
                      <w:u w:val="single"/>
                      <w14:textFill>
                        <w14:solidFill>
                          <w14:schemeClr w14:val="tx1"/>
                        </w14:solidFill>
                      </w14:textFill>
                    </w:rPr>
                    <w:t>；（烘干机未工作时）炭化工序不停止运行，炭化废气仍在炭化窑内火道充分燃烧，其炭化废气直接</w:t>
                  </w:r>
                  <w:r>
                    <w:rPr>
                      <w:color w:val="000000" w:themeColor="text1"/>
                      <w:kern w:val="2"/>
                      <w:sz w:val="21"/>
                      <w:szCs w:val="21"/>
                      <w:u w:val="single"/>
                      <w14:textFill>
                        <w14:solidFill>
                          <w14:schemeClr w14:val="tx1"/>
                        </w14:solidFill>
                      </w14:textFill>
                    </w:rPr>
                    <w:t>通过15m排气筒高空排放</w:t>
                  </w:r>
                  <w:r>
                    <w:rPr>
                      <w:rFonts w:hint="eastAsia"/>
                      <w:color w:val="000000" w:themeColor="text1"/>
                      <w:szCs w:val="21"/>
                      <w:u w:val="single"/>
                      <w14:textFill>
                        <w14:solidFill>
                          <w14:schemeClr w14:val="tx1"/>
                        </w14:solidFill>
                      </w14:textFill>
                    </w:rPr>
                    <w:t>（</w:t>
                  </w:r>
                  <w:r>
                    <w:rPr>
                      <w:rFonts w:hint="eastAsia"/>
                      <w:color w:val="000000" w:themeColor="text1"/>
                      <w:sz w:val="21"/>
                      <w:szCs w:val="21"/>
                      <w:u w:val="single"/>
                      <w14:textFill>
                        <w14:solidFill>
                          <w14:schemeClr w14:val="tx1"/>
                        </w14:solidFill>
                      </w14:textFill>
                    </w:rPr>
                    <w:t>D</w:t>
                  </w:r>
                  <w:r>
                    <w:rPr>
                      <w:color w:val="000000" w:themeColor="text1"/>
                      <w:sz w:val="21"/>
                      <w:szCs w:val="21"/>
                      <w:u w:val="single"/>
                      <w14:textFill>
                        <w14:solidFill>
                          <w14:schemeClr w14:val="tx1"/>
                        </w14:solidFill>
                      </w14:textFill>
                    </w:rPr>
                    <w:t>A003</w:t>
                  </w:r>
                  <w:r>
                    <w:rPr>
                      <w:rFonts w:hint="eastAsia"/>
                      <w:color w:val="000000" w:themeColor="text1"/>
                      <w:szCs w:val="21"/>
                      <w:u w:val="single"/>
                      <w14:textFill>
                        <w14:solidFill>
                          <w14:schemeClr w14:val="tx1"/>
                        </w14:solidFill>
                      </w14:textFill>
                    </w:rPr>
                    <w:t>）</w:t>
                  </w:r>
                  <w:r>
                    <w:rPr>
                      <w:rFonts w:hint="eastAsia"/>
                      <w:color w:val="000000" w:themeColor="text1"/>
                      <w:kern w:val="2"/>
                      <w:sz w:val="21"/>
                      <w:szCs w:val="21"/>
                      <w14:textFill>
                        <w14:solidFill>
                          <w14:schemeClr w14:val="tx1"/>
                        </w14:solidFill>
                      </w14:textFill>
                    </w:rPr>
                    <w:t>；</w:t>
                  </w:r>
                  <w:r>
                    <w:rPr>
                      <w:rFonts w:hint="eastAsia"/>
                      <w:color w:val="000000" w:themeColor="text1"/>
                      <w:kern w:val="2"/>
                      <w:sz w:val="21"/>
                      <w:szCs w:val="21"/>
                      <w:u w:val="single"/>
                      <w14:textFill>
                        <w14:solidFill>
                          <w14:schemeClr w14:val="tx1"/>
                        </w14:solidFill>
                      </w14:textFill>
                    </w:rPr>
                    <w:t>炭化点火燃烧废气：在炭化废气仍在炭化窑内火道充分燃烧，废气直接</w:t>
                  </w:r>
                  <w:r>
                    <w:rPr>
                      <w:color w:val="000000" w:themeColor="text1"/>
                      <w:kern w:val="2"/>
                      <w:sz w:val="21"/>
                      <w:szCs w:val="21"/>
                      <w:u w:val="single"/>
                      <w14:textFill>
                        <w14:solidFill>
                          <w14:schemeClr w14:val="tx1"/>
                        </w14:solidFill>
                      </w14:textFill>
                    </w:rPr>
                    <w:t>通过15m排气筒高空排放</w:t>
                  </w:r>
                  <w:r>
                    <w:rPr>
                      <w:rFonts w:hint="eastAsia"/>
                      <w:color w:val="000000" w:themeColor="text1"/>
                      <w:szCs w:val="21"/>
                      <w:u w:val="single"/>
                      <w14:textFill>
                        <w14:solidFill>
                          <w14:schemeClr w14:val="tx1"/>
                        </w14:solidFill>
                      </w14:textFill>
                    </w:rPr>
                    <w:t>（</w:t>
                  </w:r>
                  <w:r>
                    <w:rPr>
                      <w:rFonts w:hint="eastAsia"/>
                      <w:color w:val="000000" w:themeColor="text1"/>
                      <w:sz w:val="21"/>
                      <w:szCs w:val="21"/>
                      <w:u w:val="single"/>
                      <w14:textFill>
                        <w14:solidFill>
                          <w14:schemeClr w14:val="tx1"/>
                        </w14:solidFill>
                      </w14:textFill>
                    </w:rPr>
                    <w:t>D</w:t>
                  </w:r>
                  <w:r>
                    <w:rPr>
                      <w:color w:val="000000" w:themeColor="text1"/>
                      <w:sz w:val="21"/>
                      <w:szCs w:val="21"/>
                      <w:u w:val="single"/>
                      <w14:textFill>
                        <w14:solidFill>
                          <w14:schemeClr w14:val="tx1"/>
                        </w14:solidFill>
                      </w14:textFill>
                    </w:rPr>
                    <w:t>A003</w:t>
                  </w:r>
                  <w:r>
                    <w:rPr>
                      <w:rFonts w:hint="eastAsia"/>
                      <w:color w:val="000000" w:themeColor="text1"/>
                      <w:szCs w:val="21"/>
                      <w:u w:val="singl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3287" w:type="pct"/>
                  <w:gridSpan w:val="3"/>
                  <w:vAlign w:val="center"/>
                </w:tcPr>
                <w:p>
                  <w:pPr>
                    <w:pStyle w:val="2"/>
                    <w:spacing w:line="240" w:lineRule="auto"/>
                    <w:ind w:left="0" w:leftChars="0" w:firstLine="0" w:firstLineChars="0"/>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钾钠长石粉烘干包装废气：烘干和包装废气经设备自带布袋除尘装置处理后在车间无组织排放。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噪声处理</w:t>
                  </w:r>
                </w:p>
              </w:tc>
              <w:tc>
                <w:tcPr>
                  <w:tcW w:w="3287" w:type="pct"/>
                  <w:gridSpan w:val="3"/>
                  <w:vAlign w:val="center"/>
                </w:tcPr>
                <w:p>
                  <w:pPr>
                    <w:autoSpaceDE w:val="0"/>
                    <w:autoSpaceDN w:val="0"/>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采用低噪设备，</w:t>
                  </w:r>
                  <w:r>
                    <w:rPr>
                      <w:rFonts w:hint="eastAsia"/>
                      <w:color w:val="000000" w:themeColor="text1"/>
                      <w:szCs w:val="21"/>
                      <w14:textFill>
                        <w14:solidFill>
                          <w14:schemeClr w14:val="tx1"/>
                        </w14:solidFill>
                      </w14:textFill>
                    </w:rPr>
                    <w:t>配套基础减振、隔声、消声、吸声、空压机设于单独房间内等降噪措施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固废处理</w:t>
                  </w:r>
                </w:p>
              </w:tc>
              <w:tc>
                <w:tcPr>
                  <w:tcW w:w="3287" w:type="pct"/>
                  <w:gridSpan w:val="3"/>
                  <w:vAlign w:val="center"/>
                </w:tcPr>
                <w:p>
                  <w:pPr>
                    <w:autoSpaceDE w:val="0"/>
                    <w:autoSpaceDN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一般固废暂存间1座，建筑面积为</w:t>
                  </w:r>
                  <w:r>
                    <w:rPr>
                      <w:color w:val="000000" w:themeColor="text1"/>
                      <w:szCs w:val="21"/>
                      <w14:textFill>
                        <w14:solidFill>
                          <w14:schemeClr w14:val="tx1"/>
                        </w14:solidFill>
                      </w14:textFill>
                    </w:rPr>
                    <w:t>30m</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，位于生产车间内；</w:t>
                  </w:r>
                  <w:r>
                    <w:rPr>
                      <w:color w:val="000000" w:themeColor="text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5" w:hRule="atLeast"/>
                <w:jc w:val="center"/>
              </w:trPr>
              <w:tc>
                <w:tcPr>
                  <w:tcW w:w="380"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446" w:type="pct"/>
                  <w:vMerge w:val="continue"/>
                  <w:vAlign w:val="center"/>
                </w:tcPr>
                <w:p>
                  <w:pPr>
                    <w:autoSpaceDE w:val="0"/>
                    <w:autoSpaceDN w:val="0"/>
                    <w:jc w:val="center"/>
                    <w:rPr>
                      <w:bCs/>
                      <w:color w:val="000000" w:themeColor="text1"/>
                      <w:szCs w:val="21"/>
                      <w14:textFill>
                        <w14:solidFill>
                          <w14:schemeClr w14:val="tx1"/>
                        </w14:solidFill>
                      </w14:textFill>
                    </w:rPr>
                  </w:pPr>
                </w:p>
              </w:tc>
              <w:tc>
                <w:tcPr>
                  <w:tcW w:w="887" w:type="pct"/>
                  <w:vAlign w:val="center"/>
                </w:tcPr>
                <w:p>
                  <w:pPr>
                    <w:autoSpaceDE w:val="0"/>
                    <w:autoSpaceDN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废水处理</w:t>
                  </w:r>
                </w:p>
              </w:tc>
              <w:tc>
                <w:tcPr>
                  <w:tcW w:w="3287" w:type="pct"/>
                  <w:gridSpan w:val="3"/>
                  <w:vAlign w:val="center"/>
                </w:tcPr>
                <w:p>
                  <w:pPr>
                    <w:autoSpaceDE w:val="0"/>
                    <w:autoSpaceDN w:val="0"/>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实行雨、污分流制，厂区设雨水和污水管网，雨水经雨水沟收集后收集于惠民搅拌站</w:t>
                  </w:r>
                  <w:r>
                    <w:rPr>
                      <w:color w:val="000000" w:themeColor="text1"/>
                      <w:szCs w:val="21"/>
                      <w14:textFill>
                        <w14:solidFill>
                          <w14:schemeClr w14:val="tx1"/>
                        </w14:solidFill>
                      </w14:textFill>
                    </w:rPr>
                    <w:t>内初期雨水池</w:t>
                  </w:r>
                  <w:r>
                    <w:rPr>
                      <w:rFonts w:hint="eastAsia"/>
                      <w:color w:val="000000" w:themeColor="text1"/>
                      <w:szCs w:val="21"/>
                      <w14:textFill>
                        <w14:solidFill>
                          <w14:schemeClr w14:val="tx1"/>
                        </w14:solidFill>
                      </w14:textFill>
                    </w:rPr>
                    <w:t>收集池，</w:t>
                  </w:r>
                  <w:r>
                    <w:rPr>
                      <w:color w:val="000000" w:themeColor="text1"/>
                      <w:szCs w:val="21"/>
                      <w14:textFill>
                        <w14:solidFill>
                          <w14:schemeClr w14:val="tx1"/>
                        </w14:solidFill>
                      </w14:textFill>
                    </w:rPr>
                    <w:t>处理后回用于厂区绿化抑尘</w:t>
                  </w:r>
                  <w:r>
                    <w:rPr>
                      <w:rFonts w:hint="eastAsia"/>
                      <w:color w:val="000000" w:themeColor="text1"/>
                      <w:szCs w:val="21"/>
                      <w14:textFill>
                        <w14:solidFill>
                          <w14:schemeClr w14:val="tx1"/>
                        </w14:solidFill>
                      </w14:textFill>
                    </w:rPr>
                    <w:t>；项目生活污水经化粪池预处理后定期清掏用作农肥，不外排</w:t>
                  </w:r>
                </w:p>
              </w:tc>
            </w:tr>
          </w:tbl>
          <w:p>
            <w:pPr>
              <w:keepNext/>
              <w:keepLines/>
              <w:widowControl/>
              <w:spacing w:line="360" w:lineRule="auto"/>
              <w:ind w:firstLine="480" w:firstLineChars="200"/>
              <w:rPr>
                <w:color w:val="000000" w:themeColor="text1"/>
                <w:sz w:val="24"/>
                <w14:textFill>
                  <w14:solidFill>
                    <w14:schemeClr w14:val="tx1"/>
                  </w14:solidFill>
                </w14:textFill>
              </w:rPr>
            </w:pP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3、设备清单</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本项目主要生产设备见表2-3。</w:t>
            </w:r>
          </w:p>
          <w:p>
            <w:pPr>
              <w:keepNext/>
              <w:keepLines/>
              <w:widowControl/>
              <w:ind w:firstLine="422" w:firstLineChars="200"/>
              <w:jc w:val="center"/>
              <w:rPr>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表2-3  项目主要生产设备一览表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007"/>
              <w:gridCol w:w="846"/>
              <w:gridCol w:w="920"/>
              <w:gridCol w:w="1225"/>
              <w:gridCol w:w="17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638"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设备名称</w:t>
                  </w:r>
                </w:p>
              </w:tc>
              <w:tc>
                <w:tcPr>
                  <w:tcW w:w="513"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w:t>
                  </w:r>
                </w:p>
              </w:tc>
              <w:tc>
                <w:tcPr>
                  <w:tcW w:w="612"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数量</w:t>
                  </w:r>
                </w:p>
              </w:tc>
              <w:tc>
                <w:tcPr>
                  <w:tcW w:w="769"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型号</w:t>
                  </w:r>
                </w:p>
              </w:tc>
              <w:tc>
                <w:tcPr>
                  <w:tcW w:w="1057" w:type="pct"/>
                  <w:vAlign w:val="center"/>
                </w:tcPr>
                <w:p>
                  <w:pPr>
                    <w:keepNext/>
                    <w:keepLines/>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用途</w:t>
                  </w:r>
                </w:p>
              </w:tc>
              <w:tc>
                <w:tcPr>
                  <w:tcW w:w="1022"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63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w:t>
                  </w:r>
                  <w:r>
                    <w:rPr>
                      <w:color w:val="000000" w:themeColor="text1"/>
                      <w:szCs w:val="21"/>
                      <w14:textFill>
                        <w14:solidFill>
                          <w14:schemeClr w14:val="tx1"/>
                        </w14:solidFill>
                      </w14:textFill>
                    </w:rPr>
                    <w:t>碎机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color w:val="000000" w:themeColor="text1"/>
                      <w:szCs w:val="21"/>
                      <w14:textFill>
                        <w14:solidFill>
                          <w14:schemeClr w14:val="tx1"/>
                        </w14:solidFill>
                      </w14:textFill>
                    </w:rPr>
                    <w:t>BF800-1</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破碎</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63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绞龙机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color w:val="000000" w:themeColor="text1"/>
                      <w:szCs w:val="21"/>
                      <w14:textFill>
                        <w14:solidFill>
                          <w14:schemeClr w14:val="tx1"/>
                        </w14:solidFill>
                      </w14:textFill>
                    </w:rPr>
                    <w:t>BJ400-1</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运输</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63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烘干</w:t>
                  </w:r>
                  <w:r>
                    <w:rPr>
                      <w:rFonts w:hint="eastAsia"/>
                      <w:color w:val="000000" w:themeColor="text1"/>
                      <w:szCs w:val="21"/>
                      <w14:textFill>
                        <w14:solidFill>
                          <w14:schemeClr w14:val="tx1"/>
                        </w14:solidFill>
                      </w14:textFill>
                    </w:rPr>
                    <w:t>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color w:val="000000" w:themeColor="text1"/>
                      <w:szCs w:val="21"/>
                      <w14:textFill>
                        <w14:solidFill>
                          <w14:schemeClr w14:val="tx1"/>
                        </w14:solidFill>
                      </w14:textFill>
                    </w:rPr>
                    <w:t>BH800</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烘干</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用炭化废气作为热源，对原料进行烘干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63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水喷淋设备</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套</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769"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OBPL1900</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废气处理</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c>
                <w:tcPr>
                  <w:tcW w:w="63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制棒机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O</w:t>
                  </w:r>
                  <w:r>
                    <w:rPr>
                      <w:color w:val="000000" w:themeColor="text1"/>
                      <w:szCs w:val="21"/>
                      <w14:textFill>
                        <w14:solidFill>
                          <w14:schemeClr w14:val="tx1"/>
                        </w14:solidFill>
                      </w14:textFill>
                    </w:rPr>
                    <w:t>BT388-5</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制棒</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c>
                <w:tcPr>
                  <w:tcW w:w="638"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炭化窑</w:t>
                  </w:r>
                </w:p>
              </w:tc>
              <w:tc>
                <w:tcPr>
                  <w:tcW w:w="513"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台</w:t>
                  </w:r>
                </w:p>
              </w:tc>
              <w:tc>
                <w:tcPr>
                  <w:tcW w:w="612" w:type="pct"/>
                  <w:vAlign w:val="center"/>
                </w:tcPr>
                <w:p>
                  <w:pPr>
                    <w:keepNext/>
                    <w:keepLines/>
                    <w:widowControl/>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32</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炭化</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bCs/>
                      <w:color w:val="000000" w:themeColor="text1"/>
                      <w:kern w:val="44"/>
                      <w:szCs w:val="21"/>
                      <w14:textFill>
                        <w14:solidFill>
                          <w14:schemeClr w14:val="tx1"/>
                        </w14:solidFill>
                      </w14:textFill>
                    </w:rPr>
                    <w:t>3.3m×2.</w:t>
                  </w:r>
                  <w:r>
                    <w:rPr>
                      <w:bCs/>
                      <w:color w:val="000000" w:themeColor="text1"/>
                      <w:kern w:val="44"/>
                      <w:szCs w:val="21"/>
                      <w14:textFill>
                        <w14:solidFill>
                          <w14:schemeClr w14:val="tx1"/>
                        </w14:solidFill>
                      </w14:textFill>
                    </w:rPr>
                    <w:t>2</w:t>
                  </w:r>
                  <w:r>
                    <w:rPr>
                      <w:rFonts w:hint="eastAsia"/>
                      <w:bCs/>
                      <w:color w:val="000000" w:themeColor="text1"/>
                      <w:kern w:val="44"/>
                      <w:szCs w:val="21"/>
                      <w14:textFill>
                        <w14:solidFill>
                          <w14:schemeClr w14:val="tx1"/>
                        </w14:solidFill>
                      </w14:textFill>
                    </w:rPr>
                    <w:t>m×2m，1t/h，</w:t>
                  </w:r>
                  <w:r>
                    <w:rPr>
                      <w:rFonts w:hint="eastAsia"/>
                      <w:color w:val="000000" w:themeColor="text1"/>
                      <w:szCs w:val="21"/>
                      <w14:textFill>
                        <w14:solidFill>
                          <w14:schemeClr w14:val="tx1"/>
                        </w14:solidFill>
                      </w14:textFill>
                    </w:rPr>
                    <w:t>共</w:t>
                  </w:r>
                  <w:r>
                    <w:rPr>
                      <w:rFonts w:hint="eastAsia"/>
                      <w:color w:val="000000" w:themeColor="text1"/>
                      <w:szCs w:val="21"/>
                      <w:u w:val="single"/>
                      <w14:textFill>
                        <w14:solidFill>
                          <w14:schemeClr w14:val="tx1"/>
                        </w14:solidFill>
                      </w14:textFill>
                    </w:rPr>
                    <w:t>3</w:t>
                  </w:r>
                  <w:r>
                    <w:rPr>
                      <w:color w:val="000000" w:themeColor="text1"/>
                      <w:szCs w:val="21"/>
                      <w:u w:val="single"/>
                      <w14:textFill>
                        <w14:solidFill>
                          <w14:schemeClr w14:val="tx1"/>
                        </w14:solidFill>
                      </w14:textFill>
                    </w:rPr>
                    <w:t>2</w:t>
                  </w:r>
                  <w:r>
                    <w:rPr>
                      <w:rFonts w:hint="eastAsia"/>
                      <w:color w:val="000000" w:themeColor="text1"/>
                      <w:szCs w:val="21"/>
                      <w:u w:val="single"/>
                      <w14:textFill>
                        <w14:solidFill>
                          <w14:schemeClr w14:val="tx1"/>
                        </w14:solidFill>
                      </w14:textFill>
                    </w:rPr>
                    <w:t>门，全年工作时间2</w:t>
                  </w:r>
                  <w:r>
                    <w:rPr>
                      <w:color w:val="000000" w:themeColor="text1"/>
                      <w:szCs w:val="21"/>
                      <w:u w:val="single"/>
                      <w14:textFill>
                        <w14:solidFill>
                          <w14:schemeClr w14:val="tx1"/>
                        </w14:solidFill>
                      </w14:textFill>
                    </w:rPr>
                    <w:t>00</w:t>
                  </w:r>
                  <w:r>
                    <w:rPr>
                      <w:rFonts w:hint="eastAsia"/>
                      <w:color w:val="000000" w:themeColor="text1"/>
                      <w:szCs w:val="21"/>
                      <w:u w:val="single"/>
                      <w14:textFill>
                        <w14:solidFill>
                          <w14:schemeClr w14:val="tx1"/>
                        </w14:solidFill>
                      </w14:textFill>
                    </w:rPr>
                    <w:t>天，使用时长</w:t>
                  </w:r>
                  <w:r>
                    <w:rPr>
                      <w:color w:val="000000" w:themeColor="text1"/>
                      <w:szCs w:val="21"/>
                      <w:u w:val="single"/>
                      <w14:textFill>
                        <w14:solidFill>
                          <w14:schemeClr w14:val="tx1"/>
                        </w14:solidFill>
                      </w14:textFill>
                    </w:rPr>
                    <w:t>48</w:t>
                  </w:r>
                  <w:r>
                    <w:rPr>
                      <w:rFonts w:hint="eastAsia"/>
                      <w:color w:val="000000" w:themeColor="text1"/>
                      <w:szCs w:val="21"/>
                      <w:u w:val="single"/>
                      <w14:textFill>
                        <w14:solidFill>
                          <w14:schemeClr w14:val="tx1"/>
                        </w14:solidFill>
                      </w14:textFill>
                    </w:rPr>
                    <w:t>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c>
                <w:tcPr>
                  <w:tcW w:w="63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智能温控系统</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（套）</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769" w:type="pct"/>
                </w:tcPr>
                <w:p>
                  <w:pPr>
                    <w:keepNext/>
                    <w:keepLines/>
                    <w:widowControl/>
                    <w:jc w:val="center"/>
                    <w:rPr>
                      <w:color w:val="000000" w:themeColor="text1"/>
                      <w:szCs w:val="21"/>
                      <w14:textFill>
                        <w14:solidFill>
                          <w14:schemeClr w14:val="tx1"/>
                        </w14:solidFill>
                      </w14:textFill>
                    </w:rPr>
                  </w:pPr>
                </w:p>
                <w:p>
                  <w:pPr>
                    <w:ind w:firstLine="210" w:firstLineChars="10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.5-1</w:t>
                  </w:r>
                </w:p>
              </w:tc>
              <w:tc>
                <w:tcPr>
                  <w:tcW w:w="1057" w:type="pct"/>
                  <w:vAlign w:val="center"/>
                </w:tcPr>
                <w:p>
                  <w:pPr>
                    <w:keepNext/>
                    <w:keepLine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辅助</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c>
                <w:tcPr>
                  <w:tcW w:w="638"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旋风分离器</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100</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分离</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p>
              </w:tc>
              <w:tc>
                <w:tcPr>
                  <w:tcW w:w="63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风机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辅助</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p>
              </w:tc>
              <w:tc>
                <w:tcPr>
                  <w:tcW w:w="638"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包装机</w:t>
                  </w:r>
                </w:p>
              </w:tc>
              <w:tc>
                <w:tcPr>
                  <w:tcW w:w="513"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台</w:t>
                  </w:r>
                </w:p>
              </w:tc>
              <w:tc>
                <w:tcPr>
                  <w:tcW w:w="612"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7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057" w:type="pct"/>
                  <w:vAlign w:val="center"/>
                </w:tcPr>
                <w:p>
                  <w:pPr>
                    <w:keepNext/>
                    <w:keepLines/>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包装</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1</w:t>
                  </w:r>
                </w:p>
              </w:tc>
              <w:tc>
                <w:tcPr>
                  <w:tcW w:w="638"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烘干机</w:t>
                  </w:r>
                </w:p>
              </w:tc>
              <w:tc>
                <w:tcPr>
                  <w:tcW w:w="513"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台</w:t>
                  </w:r>
                </w:p>
              </w:tc>
              <w:tc>
                <w:tcPr>
                  <w:tcW w:w="612" w:type="pct"/>
                  <w:vAlign w:val="center"/>
                </w:tcPr>
                <w:p>
                  <w:pPr>
                    <w:keepNext/>
                    <w:keepLines/>
                    <w:widowControl/>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w:t>
                  </w:r>
                </w:p>
              </w:tc>
              <w:tc>
                <w:tcPr>
                  <w:tcW w:w="769"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w:t>
                  </w:r>
                </w:p>
              </w:tc>
              <w:tc>
                <w:tcPr>
                  <w:tcW w:w="1057" w:type="pct"/>
                  <w:vAlign w:val="center"/>
                </w:tcPr>
                <w:p>
                  <w:pPr>
                    <w:keepNext/>
                    <w:keepLines/>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钾钠长石粉烘干</w:t>
                  </w:r>
                </w:p>
              </w:tc>
              <w:tc>
                <w:tcPr>
                  <w:tcW w:w="1022"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keepNext/>
              <w:keepLines/>
              <w:widowControl/>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注：本项目制炭采用先进式设备，烘干、炭化工作采用一体化设施。</w:t>
            </w:r>
          </w:p>
          <w:p>
            <w:pPr>
              <w:keepNext/>
              <w:keepLines/>
              <w:widowControl/>
              <w:spacing w:line="360" w:lineRule="auto"/>
              <w:ind w:firstLine="241" w:firstLineChars="1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设备生产能力分析：</w:t>
            </w:r>
          </w:p>
          <w:p>
            <w:pPr>
              <w:keepNext/>
              <w:keepLines/>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每个炭化窑的尺寸为 3.3m×2.2m×2m，容积为14.52m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，考虑必要的间隙，本项目保守按 50%的容积计，每次可放 7.26m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，挤压成型后机制棒的密度为 1100-1300kg/m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，取中间值 1200kg/m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，则每个炭化窑可放的生棒量为7.26m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×1200kg/m</w:t>
            </w:r>
            <w:r>
              <w:rPr>
                <w:color w:val="000000" w:themeColor="text1"/>
                <w:sz w:val="24"/>
                <w:vertAlign w:val="superscript"/>
                <w14:textFill>
                  <w14:solidFill>
                    <w14:schemeClr w14:val="tx1"/>
                  </w14:solidFill>
                </w14:textFill>
              </w:rPr>
              <w:t xml:space="preserve">3 </w:t>
            </w:r>
            <w:r>
              <w:rPr>
                <w:color w:val="000000" w:themeColor="text1"/>
                <w:sz w:val="24"/>
                <w14:textFill>
                  <w14:solidFill>
                    <w14:schemeClr w14:val="tx1"/>
                  </w14:solidFill>
                </w14:textFill>
              </w:rPr>
              <w:t xml:space="preserve">=8.712吨，根据建设单位提供的数据，3 吨生棒经炭化后可约产一吨炭，则每个炭化窑一批次保守可产炭量约为 2.90吨。 </w:t>
            </w:r>
          </w:p>
          <w:p>
            <w:pPr>
              <w:keepNext/>
              <w:keepLines/>
              <w:widowControl/>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机制炭年产量为 800t/a，炭化窑 32 个，本项目实际每个窑的单批次生产 能力为1t/炉·批次（＜2.9t/炉·批次），一年生产 200 天：按一批次需要 7天计算，一年可产28批次。 32 炉×1t/炉·批次×28 批次/a=896t/a＞</w:t>
            </w:r>
            <w:r>
              <w:rPr>
                <w:rFonts w:hint="eastAsia"/>
                <w:color w:val="000000" w:themeColor="text1"/>
                <w:sz w:val="24"/>
                <w:u w:val="single"/>
                <w14:textFill>
                  <w14:solidFill>
                    <w14:schemeClr w14:val="tx1"/>
                  </w14:solidFill>
                </w14:textFill>
              </w:rPr>
              <w:t>8</w:t>
            </w:r>
            <w:r>
              <w:rPr>
                <w:color w:val="000000" w:themeColor="text1"/>
                <w:sz w:val="24"/>
                <w:u w:val="single"/>
                <w14:textFill>
                  <w14:solidFill>
                    <w14:schemeClr w14:val="tx1"/>
                  </w14:solidFill>
                </w14:textFill>
              </w:rPr>
              <w:t>00t/a（本项目设计产能）</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 xml:space="preserve"> </w:t>
            </w:r>
          </w:p>
          <w:p>
            <w:pPr>
              <w:keepNext/>
              <w:keepLines/>
              <w:widowControl/>
              <w:spacing w:line="360" w:lineRule="auto"/>
              <w:ind w:firstLine="480" w:firstLineChars="200"/>
              <w:rPr>
                <w:b/>
                <w:bCs/>
                <w:color w:val="000000" w:themeColor="text1"/>
                <w:sz w:val="24"/>
                <w14:textFill>
                  <w14:solidFill>
                    <w14:schemeClr w14:val="tx1"/>
                  </w14:solidFill>
                </w14:textFill>
              </w:rPr>
            </w:pPr>
            <w:r>
              <w:rPr>
                <w:color w:val="000000" w:themeColor="text1"/>
                <w:sz w:val="24"/>
                <w:u w:val="single"/>
                <w14:textFill>
                  <w14:solidFill>
                    <w14:schemeClr w14:val="tx1"/>
                  </w14:solidFill>
                </w14:textFill>
              </w:rPr>
              <w:t>综上所述，本项目32 台炭化窑能</w:t>
            </w:r>
            <w:r>
              <w:rPr>
                <w:rFonts w:hint="eastAsia"/>
                <w:color w:val="000000" w:themeColor="text1"/>
                <w:sz w:val="24"/>
                <w:u w:val="single"/>
                <w14:textFill>
                  <w14:solidFill>
                    <w14:schemeClr w14:val="tx1"/>
                  </w14:solidFill>
                </w14:textFill>
              </w:rPr>
              <w:t>满足项目生产能力的需要</w:t>
            </w:r>
            <w:r>
              <w:rPr>
                <w:color w:val="000000" w:themeColor="text1"/>
                <w:sz w:val="24"/>
                <w:u w:val="single"/>
                <w14:textFill>
                  <w14:solidFill>
                    <w14:schemeClr w14:val="tx1"/>
                  </w14:solidFill>
                </w14:textFill>
              </w:rPr>
              <w:t>。</w:t>
            </w:r>
          </w:p>
          <w:p>
            <w:pPr>
              <w:keepNext/>
              <w:keepLines/>
              <w:widowControl/>
              <w:spacing w:line="360" w:lineRule="auto"/>
              <w:rPr>
                <w:b/>
                <w:bCs/>
                <w:color w:val="000000" w:themeColor="text1"/>
                <w:sz w:val="24"/>
                <w14:textFill>
                  <w14:solidFill>
                    <w14:schemeClr w14:val="tx1"/>
                  </w14:solidFill>
                </w14:textFill>
              </w:rPr>
            </w:pP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4、主要原辅材料及能源消耗</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本项目主要原辅材料及能源年用量见表2-4。</w:t>
            </w:r>
          </w:p>
          <w:p>
            <w:pPr>
              <w:keepNext/>
              <w:keepLines/>
              <w:widowControl/>
              <w:ind w:firstLine="422" w:firstLineChars="200"/>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表2-4  原辅材料一览表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511"/>
              <w:gridCol w:w="1563"/>
              <w:gridCol w:w="1601"/>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名称</w:t>
                  </w:r>
                </w:p>
              </w:tc>
              <w:tc>
                <w:tcPr>
                  <w:tcW w:w="915"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年用量t</w:t>
                  </w:r>
                </w:p>
              </w:tc>
              <w:tc>
                <w:tcPr>
                  <w:tcW w:w="946"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最大储存量t</w:t>
                  </w:r>
                </w:p>
              </w:tc>
              <w:tc>
                <w:tcPr>
                  <w:tcW w:w="969"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来源</w:t>
                  </w:r>
                </w:p>
              </w:tc>
              <w:tc>
                <w:tcPr>
                  <w:tcW w:w="1369" w:type="pct"/>
                  <w:vAlign w:val="center"/>
                </w:tcPr>
                <w:p>
                  <w:pPr>
                    <w:keepNext/>
                    <w:keepLines/>
                    <w:widowControl/>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废竹料（竹屑、竹片）</w:t>
                  </w:r>
                </w:p>
              </w:tc>
              <w:tc>
                <w:tcPr>
                  <w:tcW w:w="915" w:type="pct"/>
                  <w:vAlign w:val="center"/>
                </w:tcPr>
                <w:p>
                  <w:pPr>
                    <w:keepNext/>
                    <w:keepLines/>
                    <w:widowControl/>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1600</w:t>
                  </w:r>
                </w:p>
              </w:tc>
              <w:tc>
                <w:tcPr>
                  <w:tcW w:w="946"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散装堆放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木屑</w:t>
                  </w:r>
                </w:p>
              </w:tc>
              <w:tc>
                <w:tcPr>
                  <w:tcW w:w="915" w:type="pct"/>
                  <w:vAlign w:val="center"/>
                </w:tcPr>
                <w:p>
                  <w:pPr>
                    <w:keepNext/>
                    <w:keepLines/>
                    <w:widowControl/>
                    <w:ind w:right="420"/>
                    <w:jc w:val="right"/>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 xml:space="preserve"> 1250</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0</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散装堆放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秸秆</w:t>
                  </w:r>
                </w:p>
              </w:tc>
              <w:tc>
                <w:tcPr>
                  <w:tcW w:w="915" w:type="pct"/>
                  <w:vAlign w:val="center"/>
                </w:tcPr>
                <w:p>
                  <w:pPr>
                    <w:keepNext/>
                    <w:keepLines/>
                    <w:widowControl/>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1170</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散装堆放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钾钠长石粉</w:t>
                  </w:r>
                </w:p>
              </w:tc>
              <w:tc>
                <w:tcPr>
                  <w:tcW w:w="915" w:type="pct"/>
                  <w:vAlign w:val="center"/>
                </w:tcPr>
                <w:p>
                  <w:pPr>
                    <w:keepNext/>
                    <w:keepLines/>
                    <w:widowControl/>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2</w:t>
                  </w:r>
                  <w:r>
                    <w:rPr>
                      <w:color w:val="000000" w:themeColor="text1"/>
                      <w:szCs w:val="21"/>
                      <w:u w:val="single"/>
                      <w14:textFill>
                        <w14:solidFill>
                          <w14:schemeClr w14:val="tx1"/>
                        </w14:solidFill>
                      </w14:textFill>
                    </w:rPr>
                    <w:t>715</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含水率约</w:t>
                  </w:r>
                  <w:r>
                    <w:rPr>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w:t>
                  </w:r>
                </w:p>
              </w:tc>
              <w:tc>
                <w:tcPr>
                  <w:tcW w:w="915"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r>
                    <w:rPr>
                      <w:rFonts w:hint="eastAsia"/>
                      <w:color w:val="000000" w:themeColor="text1"/>
                      <w:szCs w:val="21"/>
                      <w14:textFill>
                        <w14:solidFill>
                          <w14:schemeClr w14:val="tx1"/>
                        </w14:solidFill>
                      </w14:textFill>
                    </w:rPr>
                    <w:t>t/a</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市政供水管网</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生活用水：</w:t>
                  </w:r>
                  <w:r>
                    <w:rPr>
                      <w:color w:val="000000" w:themeColor="text1"/>
                      <w:szCs w:val="21"/>
                      <w14:textFill>
                        <w14:solidFill>
                          <w14:schemeClr w14:val="tx1"/>
                        </w14:solidFill>
                      </w14:textFill>
                    </w:rPr>
                    <w:t>100</w:t>
                  </w:r>
                  <w:r>
                    <w:rPr>
                      <w:rFonts w:hint="eastAsia"/>
                      <w:color w:val="000000" w:themeColor="text1"/>
                      <w:szCs w:val="21"/>
                      <w14:textFill>
                        <w14:solidFill>
                          <w14:schemeClr w14:val="tx1"/>
                        </w14:solidFill>
                      </w14:textFill>
                    </w:rPr>
                    <w:t>t/a，喷淋用水200t/a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w:t>
                  </w:r>
                </w:p>
              </w:tc>
              <w:tc>
                <w:tcPr>
                  <w:tcW w:w="915"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万度/a</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市政供电网</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pct"/>
                  <w:vAlign w:val="center"/>
                </w:tcPr>
                <w:p>
                  <w:pPr>
                    <w:keepNext/>
                    <w:keepLines/>
                    <w:widowControl/>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废竹片</w:t>
                  </w:r>
                </w:p>
              </w:tc>
              <w:tc>
                <w:tcPr>
                  <w:tcW w:w="915" w:type="pct"/>
                  <w:vAlign w:val="center"/>
                </w:tcPr>
                <w:p>
                  <w:pPr>
                    <w:keepNext/>
                    <w:keepLines/>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0t/a</w:t>
                  </w:r>
                </w:p>
              </w:tc>
              <w:tc>
                <w:tcPr>
                  <w:tcW w:w="946"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5t</w:t>
                  </w:r>
                </w:p>
              </w:tc>
              <w:tc>
                <w:tcPr>
                  <w:tcW w:w="9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自产</w:t>
                  </w:r>
                </w:p>
              </w:tc>
              <w:tc>
                <w:tcPr>
                  <w:tcW w:w="1369" w:type="pct"/>
                  <w:vAlign w:val="center"/>
                </w:tcPr>
                <w:p>
                  <w:pPr>
                    <w:keepNext/>
                    <w:keepLines/>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用于作为炭化点火阶段的辅助燃料，主要燃料为炭化废气</w:t>
                  </w:r>
                </w:p>
              </w:tc>
            </w:tr>
          </w:tbl>
          <w:p>
            <w:pPr>
              <w:keepNext/>
              <w:keepLines/>
              <w:widowControl/>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注：原料源于主要为衡山县及周边竹产品加工企业产生的废竹料、木屑，不涉及有害有毒物质。</w:t>
            </w:r>
          </w:p>
          <w:p>
            <w:pPr>
              <w:keepNext/>
              <w:keepLines/>
              <w:widowControl/>
              <w:spacing w:line="360" w:lineRule="auto"/>
              <w:rPr>
                <w:b/>
                <w:bCs/>
                <w:color w:val="000000" w:themeColor="text1"/>
                <w:sz w:val="24"/>
                <w14:textFill>
                  <w14:solidFill>
                    <w14:schemeClr w14:val="tx1"/>
                  </w14:solidFill>
                </w14:textFill>
              </w:rPr>
            </w:pPr>
          </w:p>
          <w:p>
            <w:pPr>
              <w:keepNext/>
              <w:keepLines/>
              <w:widowControl/>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5、公用工程</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（1）给水：项目生活用水由市政供水管网供给。</w:t>
            </w:r>
          </w:p>
          <w:p>
            <w:pPr>
              <w:pStyle w:val="2"/>
              <w:spacing w:after="0"/>
              <w:ind w:left="0" w:leftChars="0"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（2）排水：项目生活污水经化粪池处理后定期清掏用作农肥</w:t>
            </w:r>
            <w:r>
              <w:rPr>
                <w:color w:val="000000" w:themeColor="text1"/>
                <w:szCs w:val="24"/>
                <w14:textFill>
                  <w14:solidFill>
                    <w14:schemeClr w14:val="tx1"/>
                  </w14:solidFill>
                </w14:textFill>
              </w:rPr>
              <w:t>。</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（3）供电：市政电网供电。</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（4）供热：烘干燃料为炭化废气。</w:t>
            </w: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6、劳动定员及工作制度</w:t>
            </w:r>
          </w:p>
          <w:p>
            <w:pPr>
              <w:keepNext/>
              <w:keepLines/>
              <w:widowControl/>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本项目员工共计1</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人，1班制，每班工作时长8小时，年工作</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00天。员工均不在厂内食宿。</w:t>
            </w: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7、厂区平面布置</w:t>
            </w:r>
          </w:p>
          <w:p>
            <w:pPr>
              <w:widowControl/>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进场道路北面连接县道X009，生产线呈长方形分布，自西向东方向分别为原料区、进料区、分选区、破碎区、烘干区和炭化区、包装区等。</w:t>
            </w:r>
          </w:p>
          <w:p>
            <w:pPr>
              <w:pStyle w:val="2"/>
              <w:ind w:left="0" w:leftChars="0" w:firstLine="480"/>
              <w:rPr>
                <w:color w:val="000000" w:themeColor="text1"/>
                <w14:textFill>
                  <w14:solidFill>
                    <w14:schemeClr w14:val="tx1"/>
                  </w14:solidFill>
                </w14:textFill>
              </w:rPr>
            </w:pPr>
            <w:r>
              <w:rPr>
                <w:bCs/>
                <w:color w:val="000000" w:themeColor="text1"/>
                <w:szCs w:val="21"/>
                <w14:textFill>
                  <w14:solidFill>
                    <w14:schemeClr w14:val="tx1"/>
                  </w14:solidFill>
                </w14:textFill>
              </w:rPr>
              <w:t>本项目平面布置功能分区明确、布置紧凑、生产流程顺畅，减少交叉干扰，有利于安全生产，便于管理，平面布置合理。项目平面布置见附图3。</w:t>
            </w:r>
          </w:p>
          <w:p>
            <w:pPr>
              <w:keepNext/>
              <w:keepLines/>
              <w:widowControl/>
              <w:spacing w:line="360" w:lineRule="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8、项目四周情况</w:t>
            </w:r>
          </w:p>
          <w:p>
            <w:pPr>
              <w:pStyle w:val="2"/>
              <w:spacing w:after="0"/>
              <w:ind w:left="0" w:leftChars="0"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根据现场勘查情况可知，本项目四周500m范围分布居民点较少。</w:t>
            </w:r>
            <w:r>
              <w:rPr>
                <w:rFonts w:hint="eastAsia"/>
                <w:color w:val="000000" w:themeColor="text1"/>
                <w14:textFill>
                  <w14:solidFill>
                    <w14:schemeClr w14:val="tx1"/>
                  </w14:solidFill>
                </w14:textFill>
              </w:rPr>
              <w:t>本项目附近东侧约10m有一处搅拌站（衡山惠民建筑材料有限公司），西北侧约</w:t>
            </w:r>
            <w:r>
              <w:rPr>
                <w:color w:val="000000" w:themeColor="text1"/>
                <w14:textFill>
                  <w14:solidFill>
                    <w14:schemeClr w14:val="tx1"/>
                  </w14:solidFill>
                </w14:textFill>
              </w:rPr>
              <w:t>210m</w:t>
            </w:r>
            <w:r>
              <w:rPr>
                <w:rFonts w:hint="eastAsia"/>
                <w:color w:val="000000" w:themeColor="text1"/>
                <w14:textFill>
                  <w14:solidFill>
                    <w14:schemeClr w14:val="tx1"/>
                  </w14:solidFill>
                </w14:textFill>
              </w:rPr>
              <w:t>恒东竹木有限公司，最近的居民点为西南侧5</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m处有零散居民点。</w:t>
            </w:r>
          </w:p>
          <w:p>
            <w:pPr>
              <w:keepNext/>
              <w:keepLines/>
              <w:widowControl/>
              <w:tabs>
                <w:tab w:val="left" w:pos="420"/>
              </w:tabs>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9、物料平衡</w:t>
            </w:r>
          </w:p>
          <w:p>
            <w:pPr>
              <w:pStyle w:val="30"/>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（1）物料平衡</w:t>
            </w:r>
          </w:p>
          <w:p>
            <w:pPr>
              <w:pStyle w:val="30"/>
              <w:spacing w:line="360" w:lineRule="auto"/>
              <w:ind w:firstLine="480" w:firstLineChars="200"/>
              <w:rPr>
                <w:rFonts w:ascii="Times New Roman" w:cs="Times New Roman"/>
                <w:color w:val="000000" w:themeColor="text1"/>
                <w14:textFill>
                  <w14:solidFill>
                    <w14:schemeClr w14:val="tx1"/>
                  </w14:solidFill>
                </w14:textFill>
              </w:rPr>
            </w:pPr>
            <w:r>
              <w:rPr>
                <w:rFonts w:hint="eastAsia" w:ascii="Times New Roman" w:cs="Times New Roman"/>
                <w:color w:val="000000" w:themeColor="text1"/>
                <w14:textFill>
                  <w14:solidFill>
                    <w14:schemeClr w14:val="tx1"/>
                  </w14:solidFill>
                </w14:textFill>
              </w:rPr>
              <w:t>根据《生物质热解气化原理与技术》（化学工业出版社 2013 年 4 月出版）中典型的热解产物试验数据，木材热解产物的大致产率，其产物质量分数对应于绝干木材：木炭33~38%，煤气</w:t>
            </w:r>
            <w:r>
              <w:rPr>
                <w:rFonts w:ascii="Times New Roman" w:cs="Times New Roman"/>
                <w:color w:val="000000" w:themeColor="text1"/>
                <w14:textFill>
                  <w14:solidFill>
                    <w14:schemeClr w14:val="tx1"/>
                  </w14:solidFill>
                </w14:textFill>
              </w:rPr>
              <w:t>61</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6</w:t>
            </w:r>
            <w:r>
              <w:rPr>
                <w:rFonts w:hint="eastAsia" w:ascii="Times New Roman" w:cs="Times New Roman"/>
                <w:color w:val="000000" w:themeColor="text1"/>
                <w14:textFill>
                  <w14:solidFill>
                    <w14:schemeClr w14:val="tx1"/>
                  </w14:solidFill>
                </w14:textFill>
              </w:rPr>
              <w:t>8%。另外损耗约为0.3~1.0%。</w:t>
            </w:r>
          </w:p>
          <w:p>
            <w:pPr>
              <w:rPr>
                <w:color w:val="000000" w:themeColor="text1"/>
                <w14:textFill>
                  <w14:solidFill>
                    <w14:schemeClr w14:val="tx1"/>
                  </w14:solidFill>
                </w14:textFill>
              </w:rPr>
            </w:pPr>
          </w:p>
          <w:p>
            <w:pPr>
              <w:pStyle w:val="30"/>
              <w:spacing w:line="360" w:lineRule="auto"/>
              <w:ind w:firstLine="480" w:firstLineChars="200"/>
              <w:rPr>
                <w:rFonts w:ascii="Times New Roman" w:cs="Times New Roman"/>
                <w:color w:val="000000" w:themeColor="text1"/>
                <w:u w:val="single"/>
                <w14:textFill>
                  <w14:solidFill>
                    <w14:schemeClr w14:val="tx1"/>
                  </w14:solidFill>
                </w14:textFill>
              </w:rPr>
            </w:pPr>
            <w:r>
              <w:rPr>
                <w:rFonts w:hint="eastAsia" w:ascii="Times New Roman" w:cs="Times New Roman"/>
                <w:color w:val="000000" w:themeColor="text1"/>
                <w:u w:val="single"/>
                <w14:textFill>
                  <w14:solidFill>
                    <w14:schemeClr w14:val="tx1"/>
                  </w14:solidFill>
                </w14:textFill>
              </w:rPr>
              <w:t>本项目机制竹炭使用的原料用量</w:t>
            </w:r>
            <w:r>
              <w:rPr>
                <w:rFonts w:ascii="Times New Roman" w:cs="Times New Roman"/>
                <w:color w:val="000000" w:themeColor="text1"/>
                <w:u w:val="single"/>
                <w14:textFill>
                  <w14:solidFill>
                    <w14:schemeClr w14:val="tx1"/>
                  </w14:solidFill>
                </w14:textFill>
              </w:rPr>
              <w:t>4020</w:t>
            </w:r>
            <w:r>
              <w:rPr>
                <w:rFonts w:hint="eastAsia" w:ascii="Times New Roman" w:cs="Times New Roman"/>
                <w:color w:val="000000" w:themeColor="text1"/>
                <w:u w:val="single"/>
                <w14:textFill>
                  <w14:solidFill>
                    <w14:schemeClr w14:val="tx1"/>
                  </w14:solidFill>
                </w14:textFill>
              </w:rPr>
              <w:t>t/a，含水量按40%计，则绝干原料量为</w:t>
            </w:r>
            <w:r>
              <w:rPr>
                <w:rFonts w:ascii="Times New Roman" w:cs="Times New Roman"/>
                <w:color w:val="000000" w:themeColor="text1"/>
                <w:u w:val="single"/>
                <w14:textFill>
                  <w14:solidFill>
                    <w14:schemeClr w14:val="tx1"/>
                  </w14:solidFill>
                </w14:textFill>
              </w:rPr>
              <w:t>2412</w:t>
            </w:r>
            <w:r>
              <w:rPr>
                <w:rFonts w:hint="eastAsia" w:ascii="Times New Roman" w:cs="Times New Roman"/>
                <w:color w:val="000000" w:themeColor="text1"/>
                <w:u w:val="single"/>
                <w14:textFill>
                  <w14:solidFill>
                    <w14:schemeClr w14:val="tx1"/>
                  </w14:solidFill>
                </w14:textFill>
              </w:rPr>
              <w:t>t/a，机制炭产量为800t/a（产量系数3</w:t>
            </w:r>
            <w:r>
              <w:rPr>
                <w:rFonts w:ascii="Times New Roman" w:cs="Times New Roman"/>
                <w:color w:val="000000" w:themeColor="text1"/>
                <w:u w:val="single"/>
                <w14:textFill>
                  <w14:solidFill>
                    <w14:schemeClr w14:val="tx1"/>
                  </w14:solidFill>
                </w14:textFill>
              </w:rPr>
              <w:t>3.2</w:t>
            </w:r>
            <w:r>
              <w:rPr>
                <w:rFonts w:hint="eastAsia" w:ascii="Times New Roman" w:cs="Times New Roman"/>
                <w:color w:val="000000" w:themeColor="text1"/>
                <w:u w:val="single"/>
                <w14:textFill>
                  <w14:solidFill>
                    <w14:schemeClr w14:val="tx1"/>
                  </w14:solidFill>
                </w14:textFill>
              </w:rPr>
              <w:t>%）、煤气产量为</w:t>
            </w:r>
            <w:r>
              <w:rPr>
                <w:rFonts w:ascii="Times New Roman" w:cs="Times New Roman"/>
                <w:color w:val="000000" w:themeColor="text1"/>
                <w:u w:val="single"/>
                <w14:textFill>
                  <w14:solidFill>
                    <w14:schemeClr w14:val="tx1"/>
                  </w14:solidFill>
                </w14:textFill>
              </w:rPr>
              <w:t>1604.76</w:t>
            </w:r>
            <w:r>
              <w:rPr>
                <w:rFonts w:hint="eastAsia" w:ascii="Times New Roman" w:cs="Times New Roman"/>
                <w:color w:val="000000" w:themeColor="text1"/>
                <w:u w:val="single"/>
                <w14:textFill>
                  <w14:solidFill>
                    <w14:schemeClr w14:val="tx1"/>
                  </w14:solidFill>
                </w14:textFill>
              </w:rPr>
              <w:t>t/a（产量系数</w:t>
            </w:r>
            <w:r>
              <w:rPr>
                <w:rFonts w:ascii="Times New Roman" w:cs="Times New Roman"/>
                <w:color w:val="000000" w:themeColor="text1"/>
                <w:u w:val="single"/>
                <w14:textFill>
                  <w14:solidFill>
                    <w14:schemeClr w14:val="tx1"/>
                  </w14:solidFill>
                </w14:textFill>
              </w:rPr>
              <w:t>66.5</w:t>
            </w:r>
            <w:r>
              <w:rPr>
                <w:rFonts w:hint="eastAsia" w:ascii="Times New Roman" w:cs="Times New Roman"/>
                <w:color w:val="000000" w:themeColor="text1"/>
                <w:u w:val="single"/>
                <w14:textFill>
                  <w14:solidFill>
                    <w14:schemeClr w14:val="tx1"/>
                  </w14:solidFill>
                </w14:textFill>
              </w:rPr>
              <w:t>%），损耗</w:t>
            </w:r>
            <w:r>
              <w:rPr>
                <w:rFonts w:ascii="Times New Roman" w:cs="Times New Roman"/>
                <w:color w:val="000000" w:themeColor="text1"/>
                <w:u w:val="single"/>
                <w14:textFill>
                  <w14:solidFill>
                    <w14:schemeClr w14:val="tx1"/>
                  </w14:solidFill>
                </w14:textFill>
              </w:rPr>
              <w:t>7.24</w:t>
            </w:r>
            <w:r>
              <w:rPr>
                <w:rFonts w:hint="eastAsia" w:ascii="Times New Roman" w:cs="Times New Roman"/>
                <w:color w:val="000000" w:themeColor="text1"/>
                <w:u w:val="single"/>
                <w14:textFill>
                  <w14:solidFill>
                    <w14:schemeClr w14:val="tx1"/>
                  </w14:solidFill>
                </w14:textFill>
              </w:rPr>
              <w:t>t/a（产量系数0.3%）。</w:t>
            </w:r>
          </w:p>
          <w:p>
            <w:pPr>
              <w:spacing w:line="360" w:lineRule="auto"/>
              <w:ind w:firstLine="422" w:firstLineChars="20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w:t>
            </w:r>
            <w:r>
              <w:rPr>
                <w:b/>
                <w:bCs/>
                <w:color w:val="000000" w:themeColor="text1"/>
                <w:szCs w:val="21"/>
                <w14:textFill>
                  <w14:solidFill>
                    <w14:schemeClr w14:val="tx1"/>
                  </w14:solidFill>
                </w14:textFill>
              </w:rPr>
              <w:t xml:space="preserve">-5 </w:t>
            </w:r>
            <w:r>
              <w:rPr>
                <w:rFonts w:hint="eastAsia"/>
                <w:b/>
                <w:bCs/>
                <w:color w:val="000000" w:themeColor="text1"/>
                <w:szCs w:val="21"/>
                <w14:textFill>
                  <w14:solidFill>
                    <w14:schemeClr w14:val="tx1"/>
                  </w14:solidFill>
                </w14:textFill>
              </w:rPr>
              <w:t>项目机制炭物料平衡一览表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4"/>
              <w:gridCol w:w="1718"/>
              <w:gridCol w:w="239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2" w:type="dxa"/>
                  <w:gridSpan w:val="2"/>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投入量（t/a）</w:t>
                  </w:r>
                </w:p>
              </w:tc>
              <w:tc>
                <w:tcPr>
                  <w:tcW w:w="4123" w:type="dxa"/>
                  <w:gridSpan w:val="2"/>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产出量（t/a）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vAlign w:val="center"/>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物料名称</w:t>
                  </w:r>
                </w:p>
              </w:tc>
              <w:tc>
                <w:tcPr>
                  <w:tcW w:w="1718" w:type="dxa"/>
                  <w:vAlign w:val="center"/>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投入量（t）</w:t>
                  </w: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物料名称</w:t>
                  </w:r>
                </w:p>
              </w:tc>
              <w:tc>
                <w:tcPr>
                  <w:tcW w:w="1730"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产出量（t）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vAlign w:val="center"/>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废竹料（竹屑、竹片）</w:t>
                  </w:r>
                </w:p>
              </w:tc>
              <w:tc>
                <w:tcPr>
                  <w:tcW w:w="1718" w:type="dxa"/>
                  <w:vAlign w:val="center"/>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1600</w:t>
                  </w: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机制炭</w:t>
                  </w:r>
                </w:p>
              </w:tc>
              <w:tc>
                <w:tcPr>
                  <w:tcW w:w="1730"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vAlign w:val="center"/>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木屑</w:t>
                  </w:r>
                </w:p>
              </w:tc>
              <w:tc>
                <w:tcPr>
                  <w:tcW w:w="1718" w:type="dxa"/>
                  <w:vAlign w:val="center"/>
                </w:tcPr>
                <w:p>
                  <w:pPr>
                    <w:pStyle w:val="2"/>
                    <w:ind w:left="0" w:leftChars="0" w:firstLine="630" w:firstLineChars="300"/>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1250</w:t>
                  </w: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煤气</w:t>
                  </w:r>
                </w:p>
              </w:tc>
              <w:tc>
                <w:tcPr>
                  <w:tcW w:w="1730"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1604.76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秸秆</w:t>
                  </w:r>
                </w:p>
              </w:tc>
              <w:tc>
                <w:tcPr>
                  <w:tcW w:w="1718"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1170</w:t>
                  </w: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其他损耗</w:t>
                  </w:r>
                </w:p>
              </w:tc>
              <w:tc>
                <w:tcPr>
                  <w:tcW w:w="1730"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tcPr>
                <w:p>
                  <w:pPr>
                    <w:pStyle w:val="2"/>
                    <w:ind w:left="0" w:leftChars="0" w:firstLine="0" w:firstLineChars="0"/>
                    <w:jc w:val="center"/>
                    <w:rPr>
                      <w:color w:val="000000" w:themeColor="text1"/>
                      <w:sz w:val="21"/>
                      <w:szCs w:val="21"/>
                      <w14:textFill>
                        <w14:solidFill>
                          <w14:schemeClr w14:val="tx1"/>
                        </w14:solidFill>
                      </w14:textFill>
                    </w:rPr>
                  </w:pPr>
                </w:p>
              </w:tc>
              <w:tc>
                <w:tcPr>
                  <w:tcW w:w="1718" w:type="dxa"/>
                </w:tcPr>
                <w:p>
                  <w:pPr>
                    <w:pStyle w:val="2"/>
                    <w:ind w:left="0" w:leftChars="0" w:firstLine="0" w:firstLineChars="0"/>
                    <w:jc w:val="center"/>
                    <w:rPr>
                      <w:color w:val="000000" w:themeColor="text1"/>
                      <w:sz w:val="21"/>
                      <w:szCs w:val="21"/>
                      <w:u w:val="single"/>
                      <w14:textFill>
                        <w14:solidFill>
                          <w14:schemeClr w14:val="tx1"/>
                        </w14:solidFill>
                      </w14:textFill>
                    </w:rPr>
                  </w:pP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水分</w:t>
                  </w:r>
                </w:p>
              </w:tc>
              <w:tc>
                <w:tcPr>
                  <w:tcW w:w="1730"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tcPr>
                <w:p>
                  <w:pPr>
                    <w:pStyle w:val="2"/>
                    <w:ind w:left="0" w:leftChars="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合计</w:t>
                  </w:r>
                </w:p>
              </w:tc>
              <w:tc>
                <w:tcPr>
                  <w:tcW w:w="1718"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4020</w:t>
                  </w:r>
                </w:p>
              </w:tc>
              <w:tc>
                <w:tcPr>
                  <w:tcW w:w="2393" w:type="dxa"/>
                </w:tcPr>
                <w:p>
                  <w:pPr>
                    <w:pStyle w:val="2"/>
                    <w:ind w:left="0" w:leftChars="0" w:firstLine="0" w:firstLineChars="0"/>
                    <w:jc w:val="center"/>
                    <w:rPr>
                      <w:color w:val="000000" w:themeColor="text1"/>
                      <w:sz w:val="21"/>
                      <w:szCs w:val="21"/>
                      <w14:textFill>
                        <w14:solidFill>
                          <w14:schemeClr w14:val="tx1"/>
                        </w14:solidFill>
                      </w14:textFill>
                    </w:rPr>
                  </w:pPr>
                </w:p>
              </w:tc>
              <w:tc>
                <w:tcPr>
                  <w:tcW w:w="1730" w:type="dxa"/>
                </w:tcPr>
                <w:p>
                  <w:pPr>
                    <w:pStyle w:val="2"/>
                    <w:ind w:left="0" w:leftChars="0" w:firstLine="0" w:firstLineChars="0"/>
                    <w:jc w:val="center"/>
                    <w:rPr>
                      <w:color w:val="000000" w:themeColor="text1"/>
                      <w:sz w:val="21"/>
                      <w:szCs w:val="21"/>
                      <w:u w:val="single"/>
                      <w14:textFill>
                        <w14:solidFill>
                          <w14:schemeClr w14:val="tx1"/>
                        </w14:solidFill>
                      </w14:textFill>
                    </w:rPr>
                  </w:pPr>
                  <w:r>
                    <w:rPr>
                      <w:color w:val="000000" w:themeColor="text1"/>
                      <w:sz w:val="21"/>
                      <w:szCs w:val="21"/>
                      <w:u w:val="single"/>
                      <w14:textFill>
                        <w14:solidFill>
                          <w14:schemeClr w14:val="tx1"/>
                        </w14:solidFill>
                      </w14:textFill>
                    </w:rPr>
                    <w:t>4020</w:t>
                  </w:r>
                </w:p>
              </w:tc>
            </w:tr>
          </w:tbl>
          <w:p>
            <w:pPr>
              <w:pStyle w:val="2"/>
              <w:ind w:left="0" w:leftChars="0" w:firstLine="0" w:firstLineChars="0"/>
              <w:rPr>
                <w:color w:val="000000" w:themeColor="text1"/>
                <w14:textFill>
                  <w14:solidFill>
                    <w14:schemeClr w14:val="tx1"/>
                  </w14:solidFill>
                </w14:textFill>
              </w:rPr>
            </w:pP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（2）水平衡</w:t>
            </w: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本项目用水主要为生活用水和喷淋用水。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1）喷淋用水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 本项目水喷淋</w:t>
            </w:r>
            <w:r>
              <w:rPr>
                <w:bCs/>
                <w:color w:val="000000" w:themeColor="text1"/>
                <w:sz w:val="24"/>
                <w14:textFill>
                  <w14:solidFill>
                    <w14:schemeClr w14:val="tx1"/>
                  </w14:solidFill>
                </w14:textFill>
              </w:rPr>
              <w:t>循环冷却系统蒸发</w:t>
            </w:r>
            <w:r>
              <w:rPr>
                <w:rFonts w:hint="eastAsia"/>
                <w:bCs/>
                <w:color w:val="000000" w:themeColor="text1"/>
                <w:sz w:val="24"/>
                <w14:textFill>
                  <w14:solidFill>
                    <w14:schemeClr w14:val="tx1"/>
                  </w14:solidFill>
                </w14:textFill>
              </w:rPr>
              <w:t>损失</w:t>
            </w:r>
            <w:r>
              <w:rPr>
                <w:bCs/>
                <w:color w:val="000000" w:themeColor="text1"/>
                <w:sz w:val="24"/>
                <w14:textFill>
                  <w14:solidFill>
                    <w14:schemeClr w14:val="tx1"/>
                  </w14:solidFill>
                </w14:textFill>
              </w:rPr>
              <w:t>水量约占总循环水量的</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本项目</w:t>
            </w:r>
            <w:r>
              <w:rPr>
                <w:bCs/>
                <w:color w:val="000000" w:themeColor="text1"/>
                <w:sz w:val="24"/>
                <w14:textFill>
                  <w14:solidFill>
                    <w14:schemeClr w14:val="tx1"/>
                  </w14:solidFill>
                </w14:textFill>
              </w:rPr>
              <w:t>年工作200天，总循环水量为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/d（2000m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损失水量</w:t>
            </w:r>
            <w:r>
              <w:rPr>
                <w:bCs/>
                <w:color w:val="000000" w:themeColor="text1"/>
                <w:sz w:val="24"/>
                <w14:textFill>
                  <w14:solidFill>
                    <w14:schemeClr w14:val="tx1"/>
                  </w14:solidFill>
                </w14:textFill>
              </w:rPr>
              <w:t>新鲜水补充量为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w:t>
            </w:r>
            <w:r>
              <w:rPr>
                <w:rFonts w:hint="eastAsia"/>
                <w:bCs/>
                <w:color w:val="000000" w:themeColor="text1"/>
                <w:sz w:val="24"/>
                <w14:textFill>
                  <w14:solidFill>
                    <w14:schemeClr w14:val="tx1"/>
                  </w14:solidFill>
                </w14:textFill>
              </w:rPr>
              <w:t>2</w:t>
            </w:r>
            <w:r>
              <w:rPr>
                <w:bCs/>
                <w:color w:val="000000" w:themeColor="text1"/>
                <w:sz w:val="24"/>
                <w14:textFill>
                  <w14:solidFill>
                    <w14:schemeClr w14:val="tx1"/>
                  </w14:solidFill>
                </w14:textFill>
              </w:rPr>
              <w:t>00m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）生活用水</w:t>
            </w:r>
          </w:p>
          <w:p>
            <w:pPr>
              <w:spacing w:line="360" w:lineRule="auto"/>
              <w:ind w:firstLine="480" w:firstLineChars="200"/>
              <w:rPr>
                <w:bCs/>
                <w:color w:val="000000" w:themeColor="text1"/>
                <w14:textFill>
                  <w14:solidFill>
                    <w14:schemeClr w14:val="tx1"/>
                  </w14:solidFill>
                </w14:textFill>
              </w:rPr>
            </w:pPr>
            <w:r>
              <w:rPr>
                <w:rFonts w:hint="eastAsia"/>
                <w:bCs/>
                <w:color w:val="000000" w:themeColor="text1"/>
                <w:sz w:val="24"/>
                <w14:textFill>
                  <w14:solidFill>
                    <w14:schemeClr w14:val="tx1"/>
                  </w14:solidFill>
                </w14:textFill>
              </w:rPr>
              <w:t>本项目劳动定员为1</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人，均不在厂内食宿，参照《湖南省用水定额》（DB43T388-2020）中非住宿</w:t>
            </w:r>
            <w:r>
              <w:rPr>
                <w:bCs/>
                <w:color w:val="000000" w:themeColor="text1"/>
                <w:sz w:val="24"/>
                <w14:textFill>
                  <w14:solidFill>
                    <w14:schemeClr w14:val="tx1"/>
                  </w14:solidFill>
                </w14:textFill>
              </w:rPr>
              <w:t>职工生活用水量按照50L/d•人，则生活用水量为0.5t/d（100t/a）</w:t>
            </w:r>
            <w:r>
              <w:rPr>
                <w:rFonts w:hint="eastAsia"/>
                <w:bCs/>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2199005</wp:posOffset>
                      </wp:positionH>
                      <wp:positionV relativeFrom="paragraph">
                        <wp:posOffset>19050</wp:posOffset>
                      </wp:positionV>
                      <wp:extent cx="463550" cy="298450"/>
                      <wp:effectExtent l="0" t="0" r="0" b="6350"/>
                      <wp:wrapNone/>
                      <wp:docPr id="19124038"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73.15pt;margin-top:1.5pt;height:23.5pt;width:36.5pt;z-index:251684864;v-text-anchor:middle;mso-width-relative:page;mso-height-relative:page;" filled="f" stroked="f" coordsize="21600,21600" o:gfxdata="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iso79MA&#10;AAAIAQAADwAAAAAAAAABACAAAAAiAAAAZHJzL2Rvd25yZXYueG1sUEsBAhQAFAAAAAgAh07iQL5m&#10;7wxdAgAAqgQAAA4AAAAAAAAAAQAgAAAAIgEAAGRycy9lMm9Eb2MueG1sUEsFBgAAAAAGAAYAWQEA&#10;APEFA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w:t>
                            </w:r>
                          </w:p>
                        </w:txbxContent>
                      </v:textbox>
                    </v:rect>
                  </w:pict>
                </mc:Fallback>
              </mc:AlternateConten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1938655</wp:posOffset>
                      </wp:positionH>
                      <wp:positionV relativeFrom="paragraph">
                        <wp:posOffset>101600</wp:posOffset>
                      </wp:positionV>
                      <wp:extent cx="419100" cy="196850"/>
                      <wp:effectExtent l="0" t="57150" r="19050" b="31750"/>
                      <wp:wrapNone/>
                      <wp:docPr id="1846520249" name="连接符: 曲线 27"/>
                      <wp:cNvGraphicFramePr/>
                      <a:graphic xmlns:a="http://schemas.openxmlformats.org/drawingml/2006/main">
                        <a:graphicData uri="http://schemas.microsoft.com/office/word/2010/wordprocessingShape">
                          <wps:wsp>
                            <wps:cNvCnPr/>
                            <wps:spPr>
                              <a:xfrm flipV="1">
                                <a:off x="0" y="0"/>
                                <a:ext cx="419100" cy="196850"/>
                              </a:xfrm>
                              <a:prstGeom prst="curvedConnector3">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曲线 27" o:spid="_x0000_s1026" o:spt="38" type="#_x0000_t38" style="position:absolute;left:0pt;flip:y;margin-left:152.65pt;margin-top:8pt;height:15.5pt;width:33pt;z-index:251682816;mso-width-relative:page;mso-height-relative:page;" filled="f" stroked="t" coordsize="21600,21600" o:gfxdata="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3qAP2AAAAAkBAAAPAAAAAAAAAAEAIAAAACIAAABkcnMvZG93bnJldi54bWxQSwECFAAUAAAACACH&#10;TuJAUePPRSQCAAAUBAAADgAAAAAAAAABACAAAAAnAQAAZHJzL2Uyb0RvYy54bWxQSwUGAAAAAAYA&#10;BgBZAQAAvQUAAAAA&#10;" adj="10800">
                      <v:fill on="f" focussize="0,0"/>
                      <v:stroke color="#000000 [3200]" joinstyle="round" dashstyle="dash" endarrow="block"/>
                      <v:imagedata o:title=""/>
                      <o:lock v:ext="edit" aspectratio="f"/>
                    </v:shape>
                  </w:pict>
                </mc:Fallback>
              </mc:AlternateConten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3806190</wp:posOffset>
                      </wp:positionH>
                      <wp:positionV relativeFrom="paragraph">
                        <wp:posOffset>14605</wp:posOffset>
                      </wp:positionV>
                      <wp:extent cx="463550" cy="298450"/>
                      <wp:effectExtent l="0" t="0" r="0" b="6350"/>
                      <wp:wrapNone/>
                      <wp:docPr id="772596961"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80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299.7pt;margin-top:1.15pt;height:23.5pt;width:36.5pt;z-index:251692032;v-text-anchor:middle;mso-width-relative:page;mso-height-relative:page;" filled="f" stroked="f" coordsize="21600,21600" o:gfxdata="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DeR&#10;LtUAAAAIAQAADwAAAAAAAAABACAAAAAiAAAAZHJzL2Rvd25yZXYueG1sUEsBAhQAFAAAAAgAh07i&#10;QAVU0oteAgAAqwQAAA4AAAAAAAAAAQAgAAAAJAEAAGRycy9lMm9Eb2MueG1sUEsFBgAAAAAGAAYA&#10;WQEAAPQFA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80</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1330960</wp:posOffset>
                      </wp:positionH>
                      <wp:positionV relativeFrom="paragraph">
                        <wp:posOffset>284480</wp:posOffset>
                      </wp:positionV>
                      <wp:extent cx="463550" cy="298450"/>
                      <wp:effectExtent l="0" t="0" r="0" b="6350"/>
                      <wp:wrapNone/>
                      <wp:docPr id="1397155764"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100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04.8pt;margin-top:22.4pt;height:23.5pt;width:36.5pt;z-index:251689984;v-text-anchor:middle;mso-width-relative:page;mso-height-relative:page;" filled="f" stroked="f" coordsize="21600,21600" o:gfxdata="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W1&#10;/V/UAAAACQEAAA8AAAAAAAAAAQAgAAAAIgAAAGRycy9kb3ducmV2LnhtbFBLAQIUABQAAAAIAIdO&#10;4kALdkkmYAIAAKwEAAAOAAAAAAAAAAEAIAAAACMBAABkcnMvZTJvRG9jLnhtbFBLBQYAAAAABgAG&#10;AFkBAAD1BQ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100</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2632710</wp:posOffset>
                      </wp:positionH>
                      <wp:positionV relativeFrom="paragraph">
                        <wp:posOffset>2540</wp:posOffset>
                      </wp:positionV>
                      <wp:extent cx="463550" cy="298450"/>
                      <wp:effectExtent l="0" t="0" r="0" b="6350"/>
                      <wp:wrapNone/>
                      <wp:docPr id="888341902"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80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207.3pt;margin-top:0.2pt;height:23.5pt;width:36.5pt;z-index:251691008;v-text-anchor:middle;mso-width-relative:page;mso-height-relative:page;" filled="f" stroked="f" coordsize="21600,21600" o:gfxdata="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hEPx9EA&#10;AAAHAQAADwAAAAAAAAABACAAAAAiAAAAZHJzL2Rvd25yZXYueG1sUEsBAhQAFAAAAAgAh07iQMW5&#10;Y+BfAgAAqwQAAA4AAAAAAAAAAQAgAAAAIAEAAGRycy9lMm9Eb2MueG1sUEsFBgAAAAAGAAYAWQEA&#10;APEFA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80</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4083050</wp:posOffset>
                      </wp:positionH>
                      <wp:positionV relativeFrom="paragraph">
                        <wp:posOffset>10795</wp:posOffset>
                      </wp:positionV>
                      <wp:extent cx="952500" cy="527050"/>
                      <wp:effectExtent l="0" t="0" r="0" b="6350"/>
                      <wp:wrapNone/>
                      <wp:docPr id="1208526591" name="矩形 24"/>
                      <wp:cNvGraphicFramePr/>
                      <a:graphic xmlns:a="http://schemas.openxmlformats.org/drawingml/2006/main">
                        <a:graphicData uri="http://schemas.microsoft.com/office/word/2010/wordprocessingShape">
                          <wps:wsp>
                            <wps:cNvSpPr/>
                            <wps:spPr>
                              <a:xfrm>
                                <a:off x="0" y="0"/>
                                <a:ext cx="952500" cy="5270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定期清掏用作农肥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321.5pt;margin-top:0.85pt;height:41.5pt;width:75pt;z-index:251688960;v-text-anchor:middle;mso-width-relative:page;mso-height-relative:page;" filled="f" stroked="f" coordsize="21600,21600" o:gfxdata="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vIASC0wAA&#10;AAgBAAAPAAAAAAAAAAEAIAAAACIAAABkcnMvZG93bnJldi54bWxQSwECFAAUAAAACACHTuJAk50j&#10;+VwCAACsBAAADgAAAAAAAAABACAAAAAiAQAAZHJzL2Uyb0RvYy54bWxQSwUGAAAAAAYABgBZAQAA&#10;8AUAAAAA&#10;">
                      <v:fill on="f" focussize="0,0"/>
                      <v:stroke on="f"/>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定期清掏用作农肥</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3098800</wp:posOffset>
                      </wp:positionH>
                      <wp:positionV relativeFrom="paragraph">
                        <wp:posOffset>144145</wp:posOffset>
                      </wp:positionV>
                      <wp:extent cx="622300" cy="298450"/>
                      <wp:effectExtent l="0" t="0" r="25400" b="25400"/>
                      <wp:wrapNone/>
                      <wp:docPr id="1337332102" name="矩形 24"/>
                      <wp:cNvGraphicFramePr/>
                      <a:graphic xmlns:a="http://schemas.openxmlformats.org/drawingml/2006/main">
                        <a:graphicData uri="http://schemas.microsoft.com/office/word/2010/wordprocessingShape">
                          <wps:wsp>
                            <wps:cNvSpPr/>
                            <wps:spPr>
                              <a:xfrm>
                                <a:off x="0" y="0"/>
                                <a:ext cx="622300" cy="298450"/>
                              </a:xfrm>
                              <a:prstGeom prst="rect">
                                <a:avLst/>
                              </a:prstGeom>
                              <a:noFill/>
                              <a:ln w="9525" cap="flat" cmpd="sng" algn="ctr">
                                <a:solidFill>
                                  <a:sysClr val="windowText" lastClr="000000"/>
                                </a:solidFill>
                                <a:prstDash val="solid"/>
                              </a:ln>
                              <a:effectLst/>
                            </wps:spPr>
                            <wps:txb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化粪池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244pt;margin-top:11.35pt;height:23.5pt;width:49pt;z-index:251686912;v-text-anchor:middle;mso-width-relative:page;mso-height-relative:page;" filled="f" stroked="t" coordsize="21600,21600" o:gfxdata="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IcxTtkAAAAJAQAADwAAAAAAAAABACAA&#10;AAAiAAAAZHJzL2Rvd25yZXYueG1sUEsBAhQAFAAAAAgAh07iQA5eigZ+AgAA6QQAAA4AAAAAAAAA&#10;AQAgAAAAKAEAAGRycy9lMm9Eb2MueG1sUEsFBgAAAAAGAAYAWQEAABgGAAAAAA==&#10;">
                      <v:fill on="f" focussize="0,0"/>
                      <v:stroke color="#000000" joinstyle="round"/>
                      <v:imagedata o:title=""/>
                      <o:lock v:ext="edit" aspectratio="f"/>
                      <v:textbo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化粪池</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144145</wp:posOffset>
                      </wp:positionV>
                      <wp:extent cx="774700" cy="298450"/>
                      <wp:effectExtent l="0" t="0" r="25400" b="25400"/>
                      <wp:wrapNone/>
                      <wp:docPr id="1741562332" name="矩形 24"/>
                      <wp:cNvGraphicFramePr/>
                      <a:graphic xmlns:a="http://schemas.openxmlformats.org/drawingml/2006/main">
                        <a:graphicData uri="http://schemas.microsoft.com/office/word/2010/wordprocessingShape">
                          <wps:wsp>
                            <wps:cNvSpPr/>
                            <wps:spPr>
                              <a:xfrm>
                                <a:off x="0" y="0"/>
                                <a:ext cx="774700" cy="298450"/>
                              </a:xfrm>
                              <a:prstGeom prst="rect">
                                <a:avLst/>
                              </a:prstGeom>
                              <a:noFill/>
                              <a:ln w="9525" cap="flat" cmpd="sng" algn="ctr">
                                <a:solidFill>
                                  <a:sysClr val="windowText" lastClr="000000"/>
                                </a:solidFill>
                                <a:prstDash val="solid"/>
                              </a:ln>
                              <a:effectLst/>
                            </wps:spPr>
                            <wps:txb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生活用水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44pt;margin-top:11.35pt;height:23.5pt;width:61pt;z-index:251677696;v-text-anchor:middle;mso-width-relative:page;mso-height-relative:page;" filled="f" stroked="t" coordsize="21600,21600" o:gfxdata="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tLURbZAAAACQEAAA8AAAAAAAAAAQAg&#10;AAAAIgAAAGRycy9kb3ducmV2LnhtbFBLAQIUABQAAAAIAIdO4kCGWShhfwIAAOkEAAAOAAAAAAAA&#10;AAEAIAAAACgBAABkcnMvZTJvRG9jLnhtbFBLBQYAAAAABgAGAFkBAAAZBgAAAAA=&#10;">
                      <v:fill on="f" focussize="0,0"/>
                      <v:stroke color="#000000" joinstyle="round"/>
                      <v:imagedata o:title=""/>
                      <o:lock v:ext="edit" aspectratio="f"/>
                      <v:textbo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生活用水</w:t>
                            </w:r>
                          </w:p>
                        </w:txbxContent>
                      </v:textbox>
                    </v:rect>
                  </w:pict>
                </mc:Fallback>
              </mc:AlternateContent>
            </w:r>
            <w:r>
              <w:rPr>
                <w:rFonts w:hint="eastAsia"/>
                <w:color w:val="000000" w:themeColor="text1"/>
                <w14:textFill>
                  <w14:solidFill>
                    <w14:schemeClr w14:val="tx1"/>
                  </w14:solidFill>
                </w14:textFill>
              </w:rPr>
              <w:t xml:space="preserve"> </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3721100</wp:posOffset>
                      </wp:positionH>
                      <wp:positionV relativeFrom="paragraph">
                        <wp:posOffset>20955</wp:posOffset>
                      </wp:positionV>
                      <wp:extent cx="361950" cy="0"/>
                      <wp:effectExtent l="0" t="76200" r="19050" b="95250"/>
                      <wp:wrapNone/>
                      <wp:docPr id="2050209596" name="直接箭头连接符 28"/>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8" o:spid="_x0000_s1026" o:spt="32" type="#_x0000_t32" style="position:absolute;left:0pt;margin-left:293pt;margin-top:1.65pt;height:0pt;width:28.5pt;z-index:251687936;mso-width-relative:page;mso-height-relative:page;" filled="f" stroked="t" coordsize="21600,21600" o:gfxdata="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Qp2Q9YAAAAHAQAA&#10;DwAAAAAAAAABACAAAAAiAAAAZHJzL2Rvd25yZXYueG1sUEsBAhQAFAAAAAgAh07iQHUglwYbAgAA&#10;DAQAAA4AAAAAAAAAAQAgAAAAJQEAAGRycy9lMm9Eb2MueG1sUEsFBgAAAAAGAAYAWQEAALIFAAAA&#10;AA==&#10;">
                      <v:fill on="f" focussize="0,0"/>
                      <v:stroke color="#000000 [32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2600960</wp:posOffset>
                      </wp:positionH>
                      <wp:positionV relativeFrom="paragraph">
                        <wp:posOffset>37465</wp:posOffset>
                      </wp:positionV>
                      <wp:extent cx="495300" cy="0"/>
                      <wp:effectExtent l="0" t="76200" r="19050" b="95250"/>
                      <wp:wrapNone/>
                      <wp:docPr id="583148026" name="直接箭头连接符 25"/>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25" o:spid="_x0000_s1026" o:spt="32" type="#_x0000_t32" style="position:absolute;left:0pt;margin-left:204.8pt;margin-top:2.95pt;height:0pt;width:39pt;z-index:251685888;mso-width-relative:page;mso-height-relative:page;" filled="f" stroked="t" coordsize="21600,21600" o:gfxdata="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a7ds1gAAAAcBAAAPAAAAAAAAAAEAIAAAACIAAABkcnMvZG93bnJldi54bWxQSwECFAAU&#10;AAAACACHTuJA0bumuSwCAAAsBAAADgAAAAAAAAABACAAAAAlAQAAZHJzL2Uyb0RvYy54bWxQSwUG&#10;AAAAAAYABgBZAQAAww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1330960</wp:posOffset>
                      </wp:positionH>
                      <wp:positionV relativeFrom="paragraph">
                        <wp:posOffset>19685</wp:posOffset>
                      </wp:positionV>
                      <wp:extent cx="495300" cy="0"/>
                      <wp:effectExtent l="0" t="76200" r="19050" b="95250"/>
                      <wp:wrapNone/>
                      <wp:docPr id="749132169" name="直接箭头连接符 25"/>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25" o:spid="_x0000_s1026" o:spt="32" type="#_x0000_t32" style="position:absolute;left:0pt;margin-left:104.8pt;margin-top:1.55pt;height:0pt;width:39pt;z-index:251679744;mso-width-relative:page;mso-height-relative:page;" filled="f" stroked="t" coordsize="21600,21600" o:gfxdata="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aQRwzVAAAABwEAAA8AAAAAAAAAAQAgAAAAIgAAAGRycy9kb3ducmV2LnhtbFBLAQIUABQA&#10;AAAIAIdO4kBfCGcTLAIAACwEAAAOAAAAAAAAAAEAIAAAACQBAABkcnMvZTJvRG9jLnhtbFBLBQYA&#10;AAAABgAGAFkBAADC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23495</wp:posOffset>
                      </wp:positionV>
                      <wp:extent cx="0" cy="1289050"/>
                      <wp:effectExtent l="0" t="0" r="38100" b="25400"/>
                      <wp:wrapNone/>
                      <wp:docPr id="581243456" name="直接连接符 26"/>
                      <wp:cNvGraphicFramePr/>
                      <a:graphic xmlns:a="http://schemas.openxmlformats.org/drawingml/2006/main">
                        <a:graphicData uri="http://schemas.microsoft.com/office/word/2010/wordprocessingShape">
                          <wps:wsp>
                            <wps:cNvCnPr/>
                            <wps:spPr>
                              <a:xfrm>
                                <a:off x="0" y="0"/>
                                <a:ext cx="0" cy="128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6" o:spid="_x0000_s1026" o:spt="20" style="position:absolute;left:0pt;margin-left:105pt;margin-top:1.85pt;height:101.5pt;width:0pt;z-index:251678720;mso-width-relative:page;mso-height-relative:page;" filled="f" stroked="t" coordsize="21600,21600" o:gfxdata="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v4X47VAAAACQEAAA8AAAAAAAAAAQAgAAAAIgAAAGRycy9kb3ducmV2LnhtbFBL&#10;AQIUABQAAAAIAIdO4kDnylwj+QEAANwDAAAOAAAAAAAAAAEAIAAAACQBAABkcnMvZTJvRG9jLnht&#10;bFBLBQYAAAAABgAGAFkBAACPBQAAAAA=&#10;">
                      <v:fill on="f" focussize="0,0"/>
                      <v:stroke color="#000000 [3200]" joinstyle="round"/>
                      <v:imagedata o:title=""/>
                      <o:lock v:ext="edit" aspectratio="f"/>
                    </v:line>
                  </w:pict>
                </mc:Fallback>
              </mc:AlternateContent>
            </w: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867410</wp:posOffset>
                      </wp:positionH>
                      <wp:positionV relativeFrom="paragraph">
                        <wp:posOffset>33655</wp:posOffset>
                      </wp:positionV>
                      <wp:extent cx="463550" cy="298450"/>
                      <wp:effectExtent l="0" t="0" r="0" b="6350"/>
                      <wp:wrapNone/>
                      <wp:docPr id="827448202"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300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68.3pt;margin-top:2.65pt;height:23.5pt;width:36.5pt;z-index:251700224;v-text-anchor:middle;mso-width-relative:page;mso-height-relative:page;" filled="f" stroked="f" coordsize="21600,21600" o:gfxdata="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SkENIA&#10;AAAIAQAADwAAAAAAAAABACAAAAAiAAAAZHJzL2Rvd25yZXYueG1sUEsBAhQAFAAAAAgAh07iQBZs&#10;235eAgAAqwQAAA4AAAAAAAAAAQAgAAAAIQEAAGRycy9lMm9Eb2MueG1sUEsFBgAAAAAGAAYAWQEA&#10;APEFA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300</w:t>
                            </w:r>
                          </w:p>
                        </w:txbxContent>
                      </v:textbox>
                    </v:rect>
                  </w:pict>
                </mc:Fallback>
              </mc:AlternateConten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2219960</wp:posOffset>
                      </wp:positionH>
                      <wp:positionV relativeFrom="paragraph">
                        <wp:posOffset>243840</wp:posOffset>
                      </wp:positionV>
                      <wp:extent cx="463550" cy="298450"/>
                      <wp:effectExtent l="0" t="0" r="0" b="6350"/>
                      <wp:wrapNone/>
                      <wp:docPr id="2142099958"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74.8pt;margin-top:19.2pt;height:23.5pt;width:36.5pt;z-index:251697152;v-text-anchor:middle;mso-width-relative:page;mso-height-relative:page;" filled="f" stroked="f" coordsize="21600,21600" o:gfxdata="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3zh&#10;LtUAAAAJAQAADwAAAAAAAAABACAAAAAiAAAAZHJzL2Rvd25yZXYueG1sUEsBAhQAFAAAAAgAh07i&#10;QMlW7pteAgAArAQAAA4AAAAAAAAAAQAgAAAAJAEAAGRycy9lMm9Eb2MueG1sUEsFBgAAAAAGAAYA&#10;WQEAAPQFA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200</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838200</wp:posOffset>
                      </wp:positionH>
                      <wp:positionV relativeFrom="paragraph">
                        <wp:posOffset>178435</wp:posOffset>
                      </wp:positionV>
                      <wp:extent cx="495300" cy="0"/>
                      <wp:effectExtent l="0" t="76200" r="19050" b="95250"/>
                      <wp:wrapNone/>
                      <wp:docPr id="564336202" name="直接箭头连接符 25"/>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5" o:spid="_x0000_s1026" o:spt="32" type="#_x0000_t32" style="position:absolute;left:0pt;margin-left:66pt;margin-top:14.05pt;height:0pt;width:39pt;z-index:251676672;mso-width-relative:page;mso-height-relative:page;" filled="f" stroked="t" coordsize="21600,21600" o:gfxdata="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380t9cAAAAJAQAA&#10;DwAAAAAAAAABACAAAAAiAAAAZHJzL2Rvd25yZXYueG1sUEsBAhQAFAAAAAgAh07iQIuspyMaAgAA&#10;CwQAAA4AAAAAAAAAAQAgAAAAJgEAAGRycy9lMm9Eb2MueG1sUEsFBgAAAAAGAAYAWQEAALIFAAAA&#10;AA==&#10;">
                      <v:fill on="f" focussize="0,0"/>
                      <v:stroke color="#000000 [32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165100</wp:posOffset>
                      </wp:positionH>
                      <wp:positionV relativeFrom="paragraph">
                        <wp:posOffset>51435</wp:posOffset>
                      </wp:positionV>
                      <wp:extent cx="673100" cy="298450"/>
                      <wp:effectExtent l="0" t="0" r="12700" b="25400"/>
                      <wp:wrapNone/>
                      <wp:docPr id="973702815" name="矩形 24"/>
                      <wp:cNvGraphicFramePr/>
                      <a:graphic xmlns:a="http://schemas.openxmlformats.org/drawingml/2006/main">
                        <a:graphicData uri="http://schemas.microsoft.com/office/word/2010/wordprocessingShape">
                          <wps:wsp>
                            <wps:cNvSpPr/>
                            <wps:spPr>
                              <a:xfrm>
                                <a:off x="0" y="0"/>
                                <a:ext cx="673100" cy="29845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新鲜水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3pt;margin-top:4.05pt;height:23.5pt;width:53pt;z-index:251675648;v-text-anchor:middle;mso-width-relative:page;mso-height-relative:page;" filled="f" stroked="t" coordsize="21600,21600" o:gfxdata="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B5i11gAAAAcBAAAPAAAAAAAAAAEAIAAAACIAAABkcnMvZG93bnJldi54bWxQ&#10;SwECFAAUAAAACACHTuJAGKrJymsCAADGBAAADgAAAAAAAAABACAAAAAlAQAAZHJzL2Uyb0RvYy54&#10;bWxQSwUGAAAAAAYABgBZAQAAAgYAAAAA&#10;">
                      <v:fill on="f" focussize="0,0"/>
                      <v:stroke color="#000000 [3213]" joinstyle="round"/>
                      <v:imagedata o:title=""/>
                      <o:lock v:ext="edit" aspectratio="f"/>
                      <v:textbo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新鲜水</w:t>
                            </w:r>
                          </w:p>
                        </w:txbxContent>
                      </v:textbox>
                    </v:rect>
                  </w:pict>
                </mc:Fallback>
              </mc:AlternateConten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1330960</wp:posOffset>
                      </wp:positionH>
                      <wp:positionV relativeFrom="paragraph">
                        <wp:posOffset>177800</wp:posOffset>
                      </wp:positionV>
                      <wp:extent cx="463550" cy="298450"/>
                      <wp:effectExtent l="0" t="0" r="0" b="6350"/>
                      <wp:wrapNone/>
                      <wp:docPr id="632286029" name="矩形 24"/>
                      <wp:cNvGraphicFramePr/>
                      <a:graphic xmlns:a="http://schemas.openxmlformats.org/drawingml/2006/main">
                        <a:graphicData uri="http://schemas.microsoft.com/office/word/2010/wordprocessingShape">
                          <wps:wsp>
                            <wps:cNvSpPr/>
                            <wps:spPr>
                              <a:xfrm>
                                <a:off x="0" y="0"/>
                                <a:ext cx="4635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04.8pt;margin-top:14pt;height:23.5pt;width:36.5pt;z-index:251699200;v-text-anchor:middle;mso-width-relative:page;mso-height-relative:page;" filled="f" stroked="f" coordsize="21600,21600" o:gfxdata="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4BfuS&#10;1AAAAAkBAAAPAAAAAAAAAAEAIAAAACIAAABkcnMvZG93bnJldi54bWxQSwECFAAUAAAACACHTuJA&#10;TWtyQl4CAACrBAAADgAAAAAAAAABACAAAAAjAQAAZHJzL2Uyb0RvYy54bWxQSwUGAAAAAAYABgBZ&#10;AQAA8wUAAAAA&#10;">
                      <v:fill on="f" focussize="0,0"/>
                      <v:stroke on="f"/>
                      <v:imagedata o:title=""/>
                      <o:lock v:ext="edit" aspectratio="f"/>
                      <v:textbox>
                        <w:txbxContent>
                          <w:p>
                            <w:pPr>
                              <w:jc w:val="center"/>
                              <w:rPr>
                                <w:color w:val="000000" w:themeColor="text1"/>
                                <w14:textFill>
                                  <w14:solidFill>
                                    <w14:schemeClr w14:val="tx1"/>
                                  </w14:solidFill>
                                </w14:textFill>
                              </w:rPr>
                            </w:pPr>
                            <w:r>
                              <w:rPr>
                                <w:color w:val="000000" w:themeColor="text1"/>
                                <w14:textFill>
                                  <w14:solidFill>
                                    <w14:schemeClr w14:val="tx1"/>
                                  </w14:solidFill>
                                </w14:textFill>
                              </w:rPr>
                              <w:t>200</w:t>
                            </w:r>
                          </w:p>
                        </w:txbxContent>
                      </v:textbox>
                    </v:rect>
                  </w:pict>
                </mc:Fallback>
              </mc:AlternateContent>
            </w:r>
            <w:r>
              <w:rPr>
                <w:rFonts w:hint="eastAsia"/>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1940560</wp:posOffset>
                      </wp:positionH>
                      <wp:positionV relativeFrom="paragraph">
                        <wp:posOffset>125095</wp:posOffset>
                      </wp:positionV>
                      <wp:extent cx="419100" cy="196850"/>
                      <wp:effectExtent l="0" t="57150" r="19050" b="31750"/>
                      <wp:wrapNone/>
                      <wp:docPr id="1111076834" name="连接符: 曲线 27"/>
                      <wp:cNvGraphicFramePr/>
                      <a:graphic xmlns:a="http://schemas.openxmlformats.org/drawingml/2006/main">
                        <a:graphicData uri="http://schemas.microsoft.com/office/word/2010/wordprocessingShape">
                          <wps:wsp>
                            <wps:cNvCnPr/>
                            <wps:spPr>
                              <a:xfrm flipV="1">
                                <a:off x="0" y="0"/>
                                <a:ext cx="419100" cy="196850"/>
                              </a:xfrm>
                              <a:prstGeom prst="curvedConnector3">
                                <a:avLst/>
                              </a:prstGeom>
                              <a:noFill/>
                              <a:ln w="9525" cap="flat" cmpd="sng" algn="ctr">
                                <a:solidFill>
                                  <a:sysClr val="windowText" lastClr="000000">
                                    <a:shade val="95000"/>
                                    <a:satMod val="105000"/>
                                  </a:sysClr>
                                </a:solidFill>
                                <a:prstDash val="dash"/>
                                <a:tailEnd type="triangle"/>
                              </a:ln>
                              <a:effectLst/>
                            </wps:spPr>
                            <wps:bodyPr/>
                          </wps:wsp>
                        </a:graphicData>
                      </a:graphic>
                    </wp:anchor>
                  </w:drawing>
                </mc:Choice>
                <mc:Fallback>
                  <w:pict>
                    <v:shape id="连接符: 曲线 27" o:spid="_x0000_s1026" o:spt="38" type="#_x0000_t38" style="position:absolute;left:0pt;flip:y;margin-left:152.8pt;margin-top:9.85pt;height:15.5pt;width:33pt;z-index:251683840;mso-width-relative:page;mso-height-relative:page;" filled="f" stroked="t" coordsize="21600,21600" o:gfxdata="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PmEC2AAAAAkBAAAPAAAAAAAAAAEAIAAAACIAAABkcnMvZG93bnJl&#10;di54bWxQSwECFAAUAAAACACHTuJAYQh25zYCAAA1BAAADgAAAAAAAAABACAAAAAnAQAAZHJzL2Uy&#10;b0RvYy54bWxQSwUGAAAAAAYABgBZAQAAzwUAAAAA&#10;" adj="10800">
                      <v:fill on="f" focussize="0,0"/>
                      <v:stroke color="#000000" joinstyle="round" dashstyle="dash"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1826260</wp:posOffset>
                      </wp:positionH>
                      <wp:positionV relativeFrom="paragraph">
                        <wp:posOffset>320675</wp:posOffset>
                      </wp:positionV>
                      <wp:extent cx="774700" cy="298450"/>
                      <wp:effectExtent l="0" t="0" r="25400" b="25400"/>
                      <wp:wrapNone/>
                      <wp:docPr id="1451930556" name="矩形 24"/>
                      <wp:cNvGraphicFramePr/>
                      <a:graphic xmlns:a="http://schemas.openxmlformats.org/drawingml/2006/main">
                        <a:graphicData uri="http://schemas.microsoft.com/office/word/2010/wordprocessingShape">
                          <wps:wsp>
                            <wps:cNvSpPr/>
                            <wps:spPr>
                              <a:xfrm>
                                <a:off x="0" y="0"/>
                                <a:ext cx="774700" cy="298450"/>
                              </a:xfrm>
                              <a:prstGeom prst="rect">
                                <a:avLst/>
                              </a:prstGeom>
                              <a:noFill/>
                              <a:ln w="9525" cap="flat" cmpd="sng" algn="ctr">
                                <a:solidFill>
                                  <a:sysClr val="windowText" lastClr="000000"/>
                                </a:solidFill>
                                <a:prstDash val="solid"/>
                              </a:ln>
                              <a:effectLst/>
                            </wps:spPr>
                            <wps:txb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喷淋用水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43.8pt;margin-top:25.25pt;height:23.5pt;width:61pt;z-index:251680768;v-text-anchor:middle;mso-width-relative:page;mso-height-relative:page;" filled="f" stroked="t" coordsize="21600,21600" o:gfxdata="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B3A+XZAAAACQEAAA8AAAAAAAAAAQAg&#10;AAAAIgAAAGRycy9kb3ducmV2LnhtbFBLAQIUABQAAAAIAIdO4kAqwdVefwIAAOkEAAAOAAAAAAAA&#10;AAEAIAAAACgBAABkcnMvZTJvRG9jLnhtbFBLBQYAAAAABgAGAFkBAAAZBgAAAAA=&#10;">
                      <v:fill on="f" focussize="0,0"/>
                      <v:stroke color="#000000" joinstyle="round"/>
                      <v:imagedata o:title=""/>
                      <o:lock v:ext="edit" aspectratio="f"/>
                      <v:textbox>
                        <w:txbxContent>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喷淋用水</w:t>
                            </w:r>
                          </w:p>
                        </w:txbxContent>
                      </v:textbox>
                    </v:rect>
                  </w:pict>
                </mc:Fallback>
              </mc:AlternateContent>
            </w: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1606550</wp:posOffset>
                      </wp:positionH>
                      <wp:positionV relativeFrom="paragraph">
                        <wp:posOffset>139065</wp:posOffset>
                      </wp:positionV>
                      <wp:extent cx="0" cy="571500"/>
                      <wp:effectExtent l="76200" t="38100" r="57150" b="19050"/>
                      <wp:wrapNone/>
                      <wp:docPr id="719086003" name="直接箭头连接符 3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3" o:spid="_x0000_s1026" o:spt="32" type="#_x0000_t32" style="position:absolute;left:0pt;flip:y;margin-left:126.5pt;margin-top:10.95pt;height:45pt;width:0pt;z-index:251696128;mso-width-relative:page;mso-height-relative:page;" filled="f" stroked="t" coordsize="21600,21600" o:gfxdata="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ch6pdcA&#10;AAAKAQAADwAAAAAAAAABACAAAAAiAAAAZHJzL2Rvd25yZXYueG1sUEsBAhQAFAAAAAgAh07iQHhx&#10;aJ0gAgAAFQQAAA4AAAAAAAAAAQAgAAAAJgEAAGRycy9lMm9Eb2MueG1sUEsFBgAAAAAGAAYAWQEA&#10;ALgFAAAAAA==&#10;">
                      <v:fill on="f" focussize="0,0"/>
                      <v:stroke color="#000000 [32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3244850</wp:posOffset>
                      </wp:positionH>
                      <wp:positionV relativeFrom="paragraph">
                        <wp:posOffset>139065</wp:posOffset>
                      </wp:positionV>
                      <wp:extent cx="0" cy="571500"/>
                      <wp:effectExtent l="0" t="0" r="38100" b="19050"/>
                      <wp:wrapNone/>
                      <wp:docPr id="473609130" name="直接连接符 30"/>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30" o:spid="_x0000_s1026" o:spt="20" style="position:absolute;left:0pt;margin-left:255.5pt;margin-top:10.95pt;height:45pt;width:0pt;z-index:251694080;mso-width-relative:page;mso-height-relative:page;" filled="f" stroked="t" coordsize="21600,21600" o:gfxdata="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VS2hnVAAAACgEAAA8AAAAAAAAAAQAgAAAAIgAAAGRycy9kb3ducmV2LnhtbFBLAQIU&#10;ABQAAAAIAIdO4kB9EDCX9gEAANsDAAAOAAAAAAAAAAEAIAAAACQBAABkcnMvZTJvRG9jLnhtbFBL&#10;BQYAAAAABgAGAFkBAACMBQAAAAA=&#10;">
                      <v:fill on="f" focussize="0,0"/>
                      <v:stroke color="#000000 [32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2603500</wp:posOffset>
                      </wp:positionH>
                      <wp:positionV relativeFrom="paragraph">
                        <wp:posOffset>139065</wp:posOffset>
                      </wp:positionV>
                      <wp:extent cx="641350" cy="0"/>
                      <wp:effectExtent l="0" t="0" r="0" b="0"/>
                      <wp:wrapNone/>
                      <wp:docPr id="1310268508" name="直接连接符 29"/>
                      <wp:cNvGraphicFramePr/>
                      <a:graphic xmlns:a="http://schemas.openxmlformats.org/drawingml/2006/main">
                        <a:graphicData uri="http://schemas.microsoft.com/office/word/2010/wordprocessingShape">
                          <wps:wsp>
                            <wps:cNvCnPr/>
                            <wps:spPr>
                              <a:xfrm>
                                <a:off x="0" y="0"/>
                                <a:ext cx="64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29" o:spid="_x0000_s1026" o:spt="20" style="position:absolute;left:0pt;margin-left:205pt;margin-top:10.95pt;height:0pt;width:50.5pt;z-index:251693056;mso-width-relative:page;mso-height-relative:page;" filled="f" stroked="t" coordsize="21600,21600" o:gfxdata="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NFgh7WAAAACQEAAA8AAAAAAAAAAQAgAAAAIgAAAGRycy9kb3ducmV2LnhtbFBL&#10;AQIUABQAAAAIAIdO4kDeI8OP+AEAANwDAAAOAAAAAAAAAAEAIAAAACUBAABkcnMvZTJvRG9jLnht&#10;bFBLBQYAAAAABgAGAFkBAACPBQAAAAA=&#10;">
                      <v:fill on="f" focussize="0,0"/>
                      <v:stroke color="#000000 [32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1330960</wp:posOffset>
                      </wp:positionH>
                      <wp:positionV relativeFrom="paragraph">
                        <wp:posOffset>139700</wp:posOffset>
                      </wp:positionV>
                      <wp:extent cx="495300" cy="0"/>
                      <wp:effectExtent l="0" t="76200" r="19050" b="95250"/>
                      <wp:wrapNone/>
                      <wp:docPr id="134704334" name="直接箭头连接符 25"/>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直接箭头连接符 25" o:spid="_x0000_s1026" o:spt="32" type="#_x0000_t32" style="position:absolute;left:0pt;margin-left:104.8pt;margin-top:11pt;height:0pt;width:39pt;z-index:251681792;mso-width-relative:page;mso-height-relative:page;" filled="f" stroked="t" coordsize="21600,21600" o:gfxdata="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7MDNdgAAAAJAQAADwAAAAAAAAABACAAAAAiAAAAZHJzL2Rvd25yZXYueG1sUEsBAhQA&#10;FAAAAAgAh07iQKk1NX8rAgAALAQAAA4AAAAAAAAAAQAgAAAAJwEAAGRycy9lMm9Eb2MueG1sUEsF&#10;BgAAAAAGAAYAWQEAAMQFAAAAAA==&#10;">
                      <v:fill on="f" focussize="0,0"/>
                      <v:stroke color="#000000" joinstyle="round" endarrow="block"/>
                      <v:imagedata o:title=""/>
                      <o:lock v:ext="edit" aspectratio="f"/>
                    </v:shape>
                  </w:pict>
                </mc:Fallback>
              </mc:AlternateConten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1981200</wp:posOffset>
                      </wp:positionH>
                      <wp:positionV relativeFrom="paragraph">
                        <wp:posOffset>259080</wp:posOffset>
                      </wp:positionV>
                      <wp:extent cx="1022350" cy="298450"/>
                      <wp:effectExtent l="0" t="0" r="0" b="6350"/>
                      <wp:wrapNone/>
                      <wp:docPr id="50669552" name="矩形 24"/>
                      <wp:cNvGraphicFramePr/>
                      <a:graphic xmlns:a="http://schemas.openxmlformats.org/drawingml/2006/main">
                        <a:graphicData uri="http://schemas.microsoft.com/office/word/2010/wordprocessingShape">
                          <wps:wsp>
                            <wps:cNvSpPr/>
                            <wps:spPr>
                              <a:xfrm>
                                <a:off x="0" y="0"/>
                                <a:ext cx="1022350" cy="298450"/>
                              </a:xfrm>
                              <a:prstGeom prst="rect">
                                <a:avLst/>
                              </a:prstGeom>
                              <a:noFill/>
                              <a:ln w="9525" cap="flat" cmpd="sng" algn="ctr">
                                <a:noFill/>
                                <a:prstDash val="solid"/>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循环量</w:t>
                                  </w:r>
                                  <w:r>
                                    <w:rPr>
                                      <w:color w:val="000000" w:themeColor="text1"/>
                                      <w14:textFill>
                                        <w14:solidFill>
                                          <w14:schemeClr w14:val="tx1"/>
                                        </w14:solidFill>
                                      </w14:textFill>
                                    </w:rPr>
                                    <w:t>2000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4" o:spid="_x0000_s1026" o:spt="1" style="position:absolute;left:0pt;margin-left:156pt;margin-top:20.4pt;height:23.5pt;width:80.5pt;z-index:251698176;v-text-anchor:middle;mso-width-relative:page;mso-height-relative:page;" filled="f" stroked="f" coordsize="21600,21600" o:gfxdata="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Uu&#10;i9UAAAAJAQAADwAAAAAAAAABACAAAAAiAAAAZHJzL2Rvd25yZXYueG1sUEsBAhQAFAAAAAgAh07i&#10;QCUTzYReAgAAqwQAAA4AAAAAAAAAAQAgAAAAJAEAAGRycy9lMm9Eb2MueG1sUEsFBgAAAAAGAAYA&#10;WQEAAPQFAAAAAA==&#10;">
                      <v:fill on="f" focussize="0,0"/>
                      <v:stroke on="f"/>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循环量</w:t>
                            </w:r>
                            <w:r>
                              <w:rPr>
                                <w:color w:val="000000" w:themeColor="text1"/>
                                <w14:textFill>
                                  <w14:solidFill>
                                    <w14:schemeClr w14:val="tx1"/>
                                  </w14:solidFill>
                                </w14:textFill>
                              </w:rPr>
                              <w:t>2000</w:t>
                            </w:r>
                          </w:p>
                        </w:txbxContent>
                      </v:textbox>
                    </v:rect>
                  </w:pict>
                </mc:Fallback>
              </mc:AlternateContent>
            </w: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1606550</wp:posOffset>
                      </wp:positionH>
                      <wp:positionV relativeFrom="paragraph">
                        <wp:posOffset>65405</wp:posOffset>
                      </wp:positionV>
                      <wp:extent cx="1638300" cy="0"/>
                      <wp:effectExtent l="0" t="0" r="0" b="0"/>
                      <wp:wrapNone/>
                      <wp:docPr id="668366787" name="直接连接符 31"/>
                      <wp:cNvGraphicFramePr/>
                      <a:graphic xmlns:a="http://schemas.openxmlformats.org/drawingml/2006/main">
                        <a:graphicData uri="http://schemas.microsoft.com/office/word/2010/wordprocessingShape">
                          <wps:wsp>
                            <wps:cNvCnPr/>
                            <wps:spPr>
                              <a:xfrm flipH="1">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31" o:spid="_x0000_s1026" o:spt="20" style="position:absolute;left:0pt;flip:x;margin-left:126.5pt;margin-top:5.15pt;height:0pt;width:129pt;z-index:251695104;mso-width-relative:page;mso-height-relative:page;" filled="f" stroked="t" coordsize="21600,21600" o:gfxdata="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nH7WtUAAAAJAQAADwAAAAAAAAABACAAAAAiAAAAZHJzL2Rvd25y&#10;ZXYueG1sUEsBAhQAFAAAAAgAh07iQA+mUoQBAgAA5gMAAA4AAAAAAAAAAQAgAAAAJAEAAGRycy9l&#10;Mm9Eb2MueG1sUEsFBgAAAAAGAAYAWQEAAJcFAAAAAA==&#10;">
                      <v:fill on="f" focussize="0,0"/>
                      <v:stroke color="#000000 [3200]" joinstyle="round"/>
                      <v:imagedata o:title=""/>
                      <o:lock v:ext="edit" aspectratio="f"/>
                    </v:line>
                  </w:pict>
                </mc:Fallback>
              </mc:AlternateContent>
            </w:r>
          </w:p>
          <w:p>
            <w:pPr>
              <w:spacing w:line="360" w:lineRule="auto"/>
              <w:ind w:firstLine="241" w:firstLineChars="100"/>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图2</w:t>
            </w:r>
            <w:r>
              <w:rPr>
                <w:b/>
                <w:bCs/>
                <w:color w:val="000000" w:themeColor="text1"/>
                <w:sz w:val="24"/>
                <w14:textFill>
                  <w14:solidFill>
                    <w14:schemeClr w14:val="tx1"/>
                  </w14:solidFill>
                </w14:textFill>
              </w:rPr>
              <w:t xml:space="preserve">-1 </w:t>
            </w:r>
            <w:r>
              <w:rPr>
                <w:rFonts w:hint="eastAsia"/>
                <w:b/>
                <w:bCs/>
                <w:color w:val="000000" w:themeColor="text1"/>
                <w:sz w:val="24"/>
                <w14:textFill>
                  <w14:solidFill>
                    <w14:schemeClr w14:val="tx1"/>
                  </w14:solidFill>
                </w14:textFill>
              </w:rPr>
              <w:t>项目水平衡（单位t/a）</w:t>
            </w:r>
          </w:p>
          <w:p>
            <w:pPr>
              <w:spacing w:line="360" w:lineRule="auto"/>
              <w:ind w:firstLine="240" w:firstLineChars="100"/>
              <w:rPr>
                <w:color w:val="000000" w:themeColor="text1"/>
                <w:sz w:val="24"/>
                <w14:textFill>
                  <w14:solidFill>
                    <w14:schemeClr w14:val="tx1"/>
                  </w14:solidFill>
                </w14:textFill>
              </w:rPr>
            </w:pPr>
          </w:p>
          <w:p>
            <w:pPr>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（3）热值符合性</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热值：</w:t>
            </w:r>
            <w:r>
              <w:rPr>
                <w:rFonts w:hint="eastAsia" w:hAnsi="宋体"/>
                <w:color w:val="000000" w:themeColor="text1"/>
                <w:sz w:val="24"/>
                <w:u w:val="single"/>
                <w14:textFill>
                  <w14:solidFill>
                    <w14:schemeClr w14:val="tx1"/>
                  </w14:solidFill>
                </w14:textFill>
              </w:rPr>
              <w:t>炭化过程产生的气体产物含有</w:t>
            </w:r>
            <w:r>
              <w:rPr>
                <w:rFonts w:hAnsi="宋体"/>
                <w:color w:val="000000" w:themeColor="text1"/>
                <w:sz w:val="24"/>
                <w:u w:val="single"/>
                <w14:textFill>
                  <w14:solidFill>
                    <w14:schemeClr w14:val="tx1"/>
                  </w14:solidFill>
                </w14:textFill>
              </w:rPr>
              <w:t>CO</w:t>
            </w:r>
            <w:r>
              <w:rPr>
                <w:rFonts w:hAnsi="宋体"/>
                <w:color w:val="000000" w:themeColor="text1"/>
                <w:sz w:val="24"/>
                <w:u w:val="single"/>
                <w:vertAlign w:val="subscript"/>
                <w14:textFill>
                  <w14:solidFill>
                    <w14:schemeClr w14:val="tx1"/>
                  </w14:solidFill>
                </w14:textFill>
              </w:rPr>
              <w:t>2</w:t>
            </w:r>
            <w:r>
              <w:rPr>
                <w:rFonts w:hint="eastAsia" w:hAnsi="宋体"/>
                <w:color w:val="000000" w:themeColor="text1"/>
                <w:sz w:val="24"/>
                <w:u w:val="single"/>
                <w14:textFill>
                  <w14:solidFill>
                    <w14:schemeClr w14:val="tx1"/>
                  </w14:solidFill>
                </w14:textFill>
              </w:rPr>
              <w:t>、</w:t>
            </w:r>
            <w:r>
              <w:rPr>
                <w:rFonts w:hAnsi="宋体"/>
                <w:color w:val="000000" w:themeColor="text1"/>
                <w:sz w:val="24"/>
                <w:u w:val="single"/>
                <w14:textFill>
                  <w14:solidFill>
                    <w14:schemeClr w14:val="tx1"/>
                  </w14:solidFill>
                </w14:textFill>
              </w:rPr>
              <w:t>CO</w:t>
            </w:r>
            <w:r>
              <w:rPr>
                <w:rFonts w:hint="eastAsia" w:hAnsi="宋体"/>
                <w:color w:val="000000" w:themeColor="text1"/>
                <w:sz w:val="24"/>
                <w:u w:val="single"/>
                <w14:textFill>
                  <w14:solidFill>
                    <w14:schemeClr w14:val="tx1"/>
                  </w14:solidFill>
                </w14:textFill>
              </w:rPr>
              <w:t>、甲烷等物质的不能冷凝的气体，热值为</w:t>
            </w:r>
            <w:r>
              <w:rPr>
                <w:rFonts w:hAnsi="宋体"/>
                <w:color w:val="000000" w:themeColor="text1"/>
                <w:sz w:val="24"/>
                <w:u w:val="single"/>
                <w14:textFill>
                  <w14:solidFill>
                    <w14:schemeClr w14:val="tx1"/>
                  </w14:solidFill>
                </w14:textFill>
              </w:rPr>
              <w:t>15</w:t>
            </w:r>
            <w:r>
              <w:rPr>
                <w:rFonts w:hint="eastAsia" w:hAnsi="宋体"/>
                <w:color w:val="000000" w:themeColor="text1"/>
                <w:sz w:val="24"/>
                <w:u w:val="single"/>
                <w14:textFill>
                  <w14:solidFill>
                    <w14:schemeClr w14:val="tx1"/>
                  </w14:solidFill>
                </w14:textFill>
              </w:rPr>
              <w:t>～</w:t>
            </w:r>
            <w:r>
              <w:rPr>
                <w:rFonts w:hAnsi="宋体"/>
                <w:color w:val="000000" w:themeColor="text1"/>
                <w:sz w:val="24"/>
                <w:u w:val="single"/>
                <w14:textFill>
                  <w14:solidFill>
                    <w14:schemeClr w14:val="tx1"/>
                  </w14:solidFill>
                </w14:textFill>
              </w:rPr>
              <w:t>20MJ/m</w:t>
            </w:r>
            <w:r>
              <w:rPr>
                <w:rFonts w:hAnsi="宋体"/>
                <w:color w:val="000000" w:themeColor="text1"/>
                <w:sz w:val="24"/>
                <w:u w:val="single"/>
                <w:vertAlign w:val="superscript"/>
                <w14:textFill>
                  <w14:solidFill>
                    <w14:schemeClr w14:val="tx1"/>
                  </w14:solidFill>
                </w14:textFill>
              </w:rPr>
              <w:t>3</w:t>
            </w:r>
            <w:r>
              <w:rPr>
                <w:rFonts w:hint="eastAsia" w:hAnsi="宋体"/>
                <w:color w:val="000000" w:themeColor="text1"/>
                <w:sz w:val="24"/>
                <w:u w:val="single"/>
                <w14:textFill>
                  <w14:solidFill>
                    <w14:schemeClr w14:val="tx1"/>
                  </w14:solidFill>
                </w14:textFill>
              </w:rPr>
              <w:t>，属于中热值可燃气，其成分、热值都与城市人工煤气相似，故称为竹煤气，是一种可燃气体</w:t>
            </w:r>
            <w:r>
              <w:rPr>
                <w:rFonts w:hint="eastAsia"/>
                <w:color w:val="000000" w:themeColor="text1"/>
                <w:sz w:val="24"/>
                <w:u w:val="single"/>
                <w14:textFill>
                  <w14:solidFill>
                    <w14:schemeClr w14:val="tx1"/>
                  </w14:solidFill>
                </w14:textFill>
              </w:rPr>
              <w:t>，根据上述物料平衡，炭化过程中竹煤气的总产生量为</w:t>
            </w:r>
            <w:r>
              <w:rPr>
                <w:color w:val="000000" w:themeColor="text1"/>
                <w:sz w:val="24"/>
                <w:u w:val="single"/>
                <w14:textFill>
                  <w14:solidFill>
                    <w14:schemeClr w14:val="tx1"/>
                  </w14:solidFill>
                </w14:textFill>
              </w:rPr>
              <w:t xml:space="preserve">1604.76 </w:t>
            </w:r>
            <w:r>
              <w:rPr>
                <w:rFonts w:hint="eastAsia"/>
                <w:color w:val="000000" w:themeColor="text1"/>
                <w:sz w:val="24"/>
                <w:u w:val="single"/>
                <w14:textFill>
                  <w14:solidFill>
                    <w14:schemeClr w14:val="tx1"/>
                  </w14:solidFill>
                </w14:textFill>
              </w:rPr>
              <w:t>t/a，全部在炭化窑火道内充分燃烧（在炭化过程中会以气态形式存在，全部在炭化炉中消耗），总气体量为</w:t>
            </w:r>
            <w:r>
              <w:rPr>
                <w:color w:val="000000" w:themeColor="text1"/>
                <w:sz w:val="24"/>
                <w:u w:val="single"/>
                <w14:textFill>
                  <w14:solidFill>
                    <w14:schemeClr w14:val="tx1"/>
                  </w14:solidFill>
                </w14:textFill>
              </w:rPr>
              <w:t xml:space="preserve">1604.76 </w:t>
            </w:r>
            <w:r>
              <w:rPr>
                <w:rFonts w:hint="eastAsia"/>
                <w:color w:val="000000" w:themeColor="text1"/>
                <w:sz w:val="24"/>
                <w:u w:val="single"/>
                <w14:textFill>
                  <w14:solidFill>
                    <w14:schemeClr w14:val="tx1"/>
                  </w14:solidFill>
                </w14:textFill>
              </w:rPr>
              <w:t>t/a。</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u w:val="single"/>
                <w14:textFill>
                  <w14:solidFill>
                    <w14:schemeClr w14:val="tx1"/>
                  </w14:solidFill>
                </w14:textFill>
              </w:rPr>
              <w:t>气体密度按0.5kg/Nm</w:t>
            </w:r>
            <w:r>
              <w:rPr>
                <w:rFonts w:hint="eastAsia"/>
                <w:color w:val="000000" w:themeColor="text1"/>
                <w:sz w:val="24"/>
                <w:u w:val="single"/>
                <w:vertAlign w:val="superscript"/>
                <w14:textFill>
                  <w14:solidFill>
                    <w14:schemeClr w14:val="tx1"/>
                  </w14:solidFill>
                </w14:textFill>
              </w:rPr>
              <w:t>3</w:t>
            </w:r>
            <w:r>
              <w:rPr>
                <w:rFonts w:hint="eastAsia"/>
                <w:color w:val="000000" w:themeColor="text1"/>
                <w:sz w:val="24"/>
                <w:u w:val="single"/>
                <w14:textFill>
                  <w14:solidFill>
                    <w14:schemeClr w14:val="tx1"/>
                  </w14:solidFill>
                </w14:textFill>
              </w:rPr>
              <w:t>计，则竹</w:t>
            </w:r>
            <w:r>
              <w:rPr>
                <w:rFonts w:hint="eastAsia" w:hAnsi="宋体"/>
                <w:color w:val="000000" w:themeColor="text1"/>
                <w:sz w:val="24"/>
                <w:u w:val="single"/>
                <w14:textFill>
                  <w14:solidFill>
                    <w14:schemeClr w14:val="tx1"/>
                  </w14:solidFill>
                </w14:textFill>
              </w:rPr>
              <w:t>煤气年产生量约为</w:t>
            </w:r>
            <w:r>
              <w:rPr>
                <w:rFonts w:hAnsi="宋体"/>
                <w:color w:val="000000" w:themeColor="text1"/>
                <w:sz w:val="24"/>
                <w:u w:val="single"/>
                <w14:textFill>
                  <w14:solidFill>
                    <w14:schemeClr w14:val="tx1"/>
                  </w14:solidFill>
                </w14:textFill>
              </w:rPr>
              <w:t>3.21</w:t>
            </w:r>
            <w:r>
              <w:rPr>
                <w:rFonts w:hint="eastAsia" w:hAnsi="宋体"/>
                <w:color w:val="000000" w:themeColor="text1"/>
                <w:sz w:val="24"/>
                <w:u w:val="single"/>
                <w14:textFill>
                  <w14:solidFill>
                    <w14:schemeClr w14:val="tx1"/>
                  </w14:solidFill>
                </w14:textFill>
              </w:rPr>
              <w:t>×</w:t>
            </w:r>
            <w:r>
              <w:rPr>
                <w:rFonts w:hAnsi="宋体"/>
                <w:color w:val="000000" w:themeColor="text1"/>
                <w:sz w:val="24"/>
                <w:u w:val="single"/>
                <w14:textFill>
                  <w14:solidFill>
                    <w14:schemeClr w14:val="tx1"/>
                  </w14:solidFill>
                </w14:textFill>
              </w:rPr>
              <w:t>10</w:t>
            </w:r>
            <w:r>
              <w:rPr>
                <w:rFonts w:hint="eastAsia" w:hAnsi="宋体"/>
                <w:color w:val="000000" w:themeColor="text1"/>
                <w:sz w:val="24"/>
                <w:u w:val="single"/>
                <w:vertAlign w:val="superscript"/>
                <w14:textFill>
                  <w14:solidFill>
                    <w14:schemeClr w14:val="tx1"/>
                  </w14:solidFill>
                </w14:textFill>
              </w:rPr>
              <w:t>6</w:t>
            </w:r>
            <w:r>
              <w:rPr>
                <w:rFonts w:hint="eastAsia" w:hAnsi="宋体"/>
                <w:color w:val="000000" w:themeColor="text1"/>
                <w:sz w:val="24"/>
                <w:u w:val="single"/>
                <w14:textFill>
                  <w14:solidFill>
                    <w14:schemeClr w14:val="tx1"/>
                  </w14:solidFill>
                </w14:textFill>
              </w:rPr>
              <w:t>N</w:t>
            </w:r>
            <w:r>
              <w:rPr>
                <w:rFonts w:hAnsi="宋体"/>
                <w:color w:val="000000" w:themeColor="text1"/>
                <w:sz w:val="24"/>
                <w:u w:val="single"/>
                <w14:textFill>
                  <w14:solidFill>
                    <w14:schemeClr w14:val="tx1"/>
                  </w14:solidFill>
                </w14:textFill>
              </w:rPr>
              <w:t>m</w:t>
            </w:r>
            <w:r>
              <w:rPr>
                <w:rFonts w:hAnsi="宋体"/>
                <w:color w:val="000000" w:themeColor="text1"/>
                <w:sz w:val="24"/>
                <w:u w:val="single"/>
                <w:vertAlign w:val="superscript"/>
                <w14:textFill>
                  <w14:solidFill>
                    <w14:schemeClr w14:val="tx1"/>
                  </w14:solidFill>
                </w14:textFill>
              </w:rPr>
              <w:t>3</w:t>
            </w:r>
            <w:r>
              <w:rPr>
                <w:rFonts w:hint="eastAsia" w:hAnsi="宋体"/>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本次取热值15MJ/Nm</w:t>
            </w:r>
            <w:r>
              <w:rPr>
                <w:rFonts w:hint="eastAsia"/>
                <w:color w:val="000000" w:themeColor="text1"/>
                <w:sz w:val="24"/>
                <w:u w:val="single"/>
                <w:vertAlign w:val="superscript"/>
                <w14:textFill>
                  <w14:solidFill>
                    <w14:schemeClr w14:val="tx1"/>
                  </w14:solidFill>
                </w14:textFill>
              </w:rPr>
              <w:t>3</w:t>
            </w:r>
            <w:r>
              <w:rPr>
                <w:rFonts w:hint="eastAsia"/>
                <w:color w:val="000000" w:themeColor="text1"/>
                <w:sz w:val="24"/>
                <w:u w:val="single"/>
                <w14:textFill>
                  <w14:solidFill>
                    <w14:schemeClr w14:val="tx1"/>
                  </w14:solidFill>
                </w14:textFill>
              </w:rPr>
              <w:t>，产生热量约为</w:t>
            </w:r>
            <w:r>
              <w:rPr>
                <w:color w:val="000000" w:themeColor="text1"/>
                <w:sz w:val="24"/>
                <w:u w:val="single"/>
                <w14:textFill>
                  <w14:solidFill>
                    <w14:schemeClr w14:val="tx1"/>
                  </w14:solidFill>
                </w14:textFill>
              </w:rPr>
              <w:t>4.81</w:t>
            </w:r>
            <w:r>
              <w:rPr>
                <w:rFonts w:hint="eastAsia"/>
                <w:color w:val="000000" w:themeColor="text1"/>
                <w:sz w:val="24"/>
                <w:u w:val="single"/>
                <w14:textFill>
                  <w14:solidFill>
                    <w14:schemeClr w14:val="tx1"/>
                  </w14:solidFill>
                </w14:textFill>
              </w:rPr>
              <w:t>×10</w:t>
            </w:r>
            <w:r>
              <w:rPr>
                <w:rFonts w:hint="eastAsia"/>
                <w:color w:val="000000" w:themeColor="text1"/>
                <w:sz w:val="24"/>
                <w:u w:val="single"/>
                <w:vertAlign w:val="superscript"/>
                <w14:textFill>
                  <w14:solidFill>
                    <w14:schemeClr w14:val="tx1"/>
                  </w14:solidFill>
                </w14:textFill>
              </w:rPr>
              <w:t>13</w:t>
            </w:r>
            <w:r>
              <w:rPr>
                <w:rFonts w:hint="eastAsia"/>
                <w:color w:val="000000" w:themeColor="text1"/>
                <w:sz w:val="24"/>
                <w:u w:val="single"/>
                <w14:textFill>
                  <w14:solidFill>
                    <w14:schemeClr w14:val="tx1"/>
                  </w14:solidFill>
                </w14:textFill>
              </w:rPr>
              <w:t>J（</w:t>
            </w:r>
            <w:r>
              <w:rPr>
                <w:color w:val="000000" w:themeColor="text1"/>
                <w:sz w:val="24"/>
                <w:u w:val="single"/>
                <w14:textFill>
                  <w14:solidFill>
                    <w14:schemeClr w14:val="tx1"/>
                  </w14:solidFill>
                </w14:textFill>
              </w:rPr>
              <w:t>1.15</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10</w:t>
            </w:r>
            <w:r>
              <w:rPr>
                <w:rFonts w:hint="eastAsia"/>
                <w:color w:val="000000" w:themeColor="text1"/>
                <w:sz w:val="24"/>
                <w:u w:val="single"/>
                <w:vertAlign w:val="superscript"/>
                <w14:textFill>
                  <w14:solidFill>
                    <w14:schemeClr w14:val="tx1"/>
                  </w14:solidFill>
                </w14:textFill>
              </w:rPr>
              <w:t>10</w:t>
            </w:r>
            <w:r>
              <w:rPr>
                <w:color w:val="000000" w:themeColor="text1"/>
                <w:sz w:val="24"/>
                <w:u w:val="single"/>
                <w14:textFill>
                  <w14:solidFill>
                    <w14:schemeClr w14:val="tx1"/>
                  </w14:solidFill>
                </w14:textFill>
              </w:rPr>
              <w:t>kcal/a</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w:t>
            </w:r>
          </w:p>
          <w:p>
            <w:pPr>
              <w:pStyle w:val="30"/>
              <w:spacing w:line="360" w:lineRule="auto"/>
              <w:ind w:firstLine="480" w:firstLineChars="200"/>
              <w:rPr>
                <w:rFonts w:ascii="Times New Roman" w:cs="Times New Roman"/>
                <w:color w:val="000000" w:themeColor="text1"/>
                <w:u w:val="single"/>
                <w14:textFill>
                  <w14:solidFill>
                    <w14:schemeClr w14:val="tx1"/>
                  </w14:solidFill>
                </w14:textFill>
              </w:rPr>
            </w:pPr>
            <w:r>
              <w:rPr>
                <w:rFonts w:hint="eastAsia" w:ascii="Times New Roman" w:cs="Times New Roman"/>
                <w:color w:val="000000" w:themeColor="text1"/>
                <w:u w:val="single"/>
                <w14:textFill>
                  <w14:solidFill>
                    <w14:schemeClr w14:val="tx1"/>
                  </w14:solidFill>
                </w14:textFill>
              </w:rPr>
              <w:t>本项目竹制半成品使用的原料用量约为</w:t>
            </w:r>
            <w:r>
              <w:rPr>
                <w:rFonts w:ascii="Times New Roman" w:cs="Times New Roman"/>
                <w:color w:val="000000" w:themeColor="text1"/>
                <w:u w:val="single"/>
                <w14:textFill>
                  <w14:solidFill>
                    <w14:schemeClr w14:val="tx1"/>
                  </w14:solidFill>
                </w14:textFill>
              </w:rPr>
              <w:t>4020</w:t>
            </w:r>
            <w:r>
              <w:rPr>
                <w:rFonts w:hint="eastAsia" w:ascii="Times New Roman" w:cs="Times New Roman"/>
                <w:color w:val="000000" w:themeColor="text1"/>
                <w:u w:val="single"/>
                <w14:textFill>
                  <w14:solidFill>
                    <w14:schemeClr w14:val="tx1"/>
                  </w14:solidFill>
                </w14:textFill>
              </w:rPr>
              <w:t>t/a，含水率按40%计，烘干的量为</w:t>
            </w:r>
            <w:r>
              <w:rPr>
                <w:rFonts w:ascii="Times New Roman" w:cs="Times New Roman"/>
                <w:color w:val="000000" w:themeColor="text1"/>
                <w:u w:val="single"/>
                <w14:textFill>
                  <w14:solidFill>
                    <w14:schemeClr w14:val="tx1"/>
                  </w14:solidFill>
                </w14:textFill>
              </w:rPr>
              <w:t>4020</w:t>
            </w:r>
            <w:r>
              <w:rPr>
                <w:rFonts w:hint="eastAsia" w:ascii="Times New Roman" w:cs="Times New Roman"/>
                <w:color w:val="000000" w:themeColor="text1"/>
                <w:u w:val="single"/>
                <w14:textFill>
                  <w14:solidFill>
                    <w14:schemeClr w14:val="tx1"/>
                  </w14:solidFill>
                </w14:textFill>
              </w:rPr>
              <w:t>t/a，烘干后物料含水率为1</w:t>
            </w:r>
            <w:r>
              <w:rPr>
                <w:rFonts w:ascii="Times New Roman" w:cs="Times New Roman"/>
                <w:color w:val="000000" w:themeColor="text1"/>
                <w:u w:val="single"/>
                <w14:textFill>
                  <w14:solidFill>
                    <w14:schemeClr w14:val="tx1"/>
                  </w14:solidFill>
                </w14:textFill>
              </w:rPr>
              <w:t>0%</w:t>
            </w:r>
            <w:r>
              <w:rPr>
                <w:rFonts w:hint="eastAsia" w:ascii="Times New Roman" w:cs="Times New Roman"/>
                <w:color w:val="000000" w:themeColor="text1"/>
                <w:u w:val="single"/>
                <w14:textFill>
                  <w14:solidFill>
                    <w14:schemeClr w14:val="tx1"/>
                  </w14:solidFill>
                </w14:textFill>
              </w:rPr>
              <w:t>。</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本项目外购钾钠长石粉含水率约</w:t>
            </w:r>
            <w:r>
              <w:rPr>
                <w:color w:val="000000" w:themeColor="text1"/>
                <w:sz w:val="24"/>
                <w:u w:val="single"/>
                <w14:textFill>
                  <w14:solidFill>
                    <w14:schemeClr w14:val="tx1"/>
                  </w14:solidFill>
                </w14:textFill>
              </w:rPr>
              <w:t>30%</w:t>
            </w:r>
            <w:r>
              <w:rPr>
                <w:rFonts w:hint="eastAsia"/>
                <w:color w:val="000000" w:themeColor="text1"/>
                <w:sz w:val="24"/>
                <w:u w:val="single"/>
                <w14:textFill>
                  <w14:solidFill>
                    <w14:schemeClr w14:val="tx1"/>
                  </w14:solidFill>
                </w14:textFill>
              </w:rPr>
              <w:t>，经烘干后含水率约5</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，烘干量为2</w:t>
            </w:r>
            <w:r>
              <w:rPr>
                <w:color w:val="000000" w:themeColor="text1"/>
                <w:sz w:val="24"/>
                <w:u w:val="single"/>
                <w14:textFill>
                  <w14:solidFill>
                    <w14:schemeClr w14:val="tx1"/>
                  </w14:solidFill>
                </w14:textFill>
              </w:rPr>
              <w:t>715</w:t>
            </w:r>
            <w:r>
              <w:rPr>
                <w:rFonts w:hint="eastAsia"/>
                <w:color w:val="000000" w:themeColor="text1"/>
                <w:sz w:val="24"/>
                <w:u w:val="single"/>
                <w14:textFill>
                  <w14:solidFill>
                    <w14:schemeClr w14:val="tx1"/>
                  </w14:solidFill>
                </w14:textFill>
              </w:rPr>
              <w:t>t/a。</w:t>
            </w:r>
          </w:p>
          <w:p>
            <w:pPr>
              <w:spacing w:line="360" w:lineRule="auto"/>
              <w:ind w:firstLine="480" w:firstLineChars="200"/>
              <w:rPr>
                <w:color w:val="000000" w:themeColor="text1"/>
                <w:sz w:val="24"/>
                <w14:textFill>
                  <w14:solidFill>
                    <w14:schemeClr w14:val="tx1"/>
                  </w14:solidFill>
                </w14:textFill>
              </w:rPr>
            </w:pPr>
            <w:r>
              <w:rPr>
                <w:rFonts w:hint="eastAsia"/>
                <w:bCs/>
                <w:color w:val="000000" w:themeColor="text1"/>
                <w:sz w:val="24"/>
                <w:u w:val="single"/>
                <w14:textFill>
                  <w14:solidFill>
                    <w14:schemeClr w14:val="tx1"/>
                  </w14:solidFill>
                </w14:textFill>
              </w:rPr>
              <w:t>故需烘干的水分约1</w:t>
            </w:r>
            <w:r>
              <w:rPr>
                <w:bCs/>
                <w:color w:val="000000" w:themeColor="text1"/>
                <w:sz w:val="24"/>
                <w:u w:val="single"/>
                <w14:textFill>
                  <w14:solidFill>
                    <w14:schemeClr w14:val="tx1"/>
                  </w14:solidFill>
                </w14:textFill>
              </w:rPr>
              <w:t>921</w:t>
            </w:r>
            <w:r>
              <w:rPr>
                <w:rFonts w:hint="eastAsia"/>
                <w:bCs/>
                <w:color w:val="000000" w:themeColor="text1"/>
                <w:sz w:val="24"/>
                <w:u w:val="single"/>
                <w14:textFill>
                  <w14:solidFill>
                    <w14:schemeClr w14:val="tx1"/>
                  </w14:solidFill>
                </w14:textFill>
              </w:rPr>
              <w:t>t/a，本项目取烘干每公斤水约消耗</w:t>
            </w:r>
            <w:r>
              <w:rPr>
                <w:bCs/>
                <w:color w:val="000000" w:themeColor="text1"/>
                <w:sz w:val="24"/>
                <w:u w:val="single"/>
                <w14:textFill>
                  <w14:solidFill>
                    <w14:schemeClr w14:val="tx1"/>
                  </w14:solidFill>
                </w14:textFill>
              </w:rPr>
              <w:t>10</w:t>
            </w:r>
            <w:r>
              <w:rPr>
                <w:rFonts w:hint="eastAsia"/>
                <w:bCs/>
                <w:color w:val="000000" w:themeColor="text1"/>
                <w:sz w:val="24"/>
                <w:u w:val="single"/>
                <w14:textFill>
                  <w14:solidFill>
                    <w14:schemeClr w14:val="tx1"/>
                  </w14:solidFill>
                </w14:textFill>
              </w:rPr>
              <w:t>00大卡热量值进行计算，则烘干所需要的热量值约为</w:t>
            </w:r>
            <w:r>
              <w:rPr>
                <w:bCs/>
                <w:color w:val="000000" w:themeColor="text1"/>
                <w:sz w:val="24"/>
                <w:u w:val="single"/>
                <w14:textFill>
                  <w14:solidFill>
                    <w14:schemeClr w14:val="tx1"/>
                  </w14:solidFill>
                </w14:textFill>
              </w:rPr>
              <w:t>1.921</w:t>
            </w:r>
            <w:r>
              <w:rPr>
                <w:rFonts w:hint="eastAsia"/>
                <w:color w:val="000000" w:themeColor="text1"/>
                <w:kern w:val="0"/>
                <w:sz w:val="24"/>
                <w:u w:val="single"/>
                <w14:textFill>
                  <w14:solidFill>
                    <w14:schemeClr w14:val="tx1"/>
                  </w14:solidFill>
                </w14:textFill>
              </w:rPr>
              <w:t>×</w:t>
            </w:r>
            <w:r>
              <w:rPr>
                <w:color w:val="000000" w:themeColor="text1"/>
                <w:kern w:val="0"/>
                <w:sz w:val="24"/>
                <w:u w:val="single"/>
                <w14:textFill>
                  <w14:solidFill>
                    <w14:schemeClr w14:val="tx1"/>
                  </w14:solidFill>
                </w14:textFill>
              </w:rPr>
              <w:t>10</w:t>
            </w:r>
            <w:r>
              <w:rPr>
                <w:rFonts w:hint="eastAsia"/>
                <w:color w:val="000000" w:themeColor="text1"/>
                <w:kern w:val="0"/>
                <w:sz w:val="24"/>
                <w:u w:val="single"/>
                <w:vertAlign w:val="superscript"/>
                <w14:textFill>
                  <w14:solidFill>
                    <w14:schemeClr w14:val="tx1"/>
                  </w14:solidFill>
                </w14:textFill>
              </w:rPr>
              <w:t>9</w:t>
            </w:r>
            <w:r>
              <w:rPr>
                <w:color w:val="000000" w:themeColor="text1"/>
                <w:kern w:val="0"/>
                <w:sz w:val="24"/>
                <w:u w:val="single"/>
                <w14:textFill>
                  <w14:solidFill>
                    <w14:schemeClr w14:val="tx1"/>
                  </w14:solidFill>
                </w14:textFill>
              </w:rPr>
              <w:t>kcal</w:t>
            </w:r>
            <w:r>
              <w:rPr>
                <w:rFonts w:hint="eastAsia"/>
                <w:bCs/>
                <w:color w:val="000000" w:themeColor="text1"/>
                <w:sz w:val="24"/>
                <w:u w:val="single"/>
                <w14:textFill>
                  <w14:solidFill>
                    <w14:schemeClr w14:val="tx1"/>
                  </w14:solidFill>
                </w14:textFill>
              </w:rPr>
              <w:t>。根据前文分析可燃气体总热值为</w:t>
            </w:r>
            <w:r>
              <w:rPr>
                <w:bCs/>
                <w:color w:val="000000" w:themeColor="text1"/>
                <w:sz w:val="24"/>
                <w:u w:val="single"/>
                <w14:textFill>
                  <w14:solidFill>
                    <w14:schemeClr w14:val="tx1"/>
                  </w14:solidFill>
                </w14:textFill>
              </w:rPr>
              <w:t>1.15</w:t>
            </w:r>
            <w:r>
              <w:rPr>
                <w:rFonts w:hint="eastAsia"/>
                <w:bCs/>
                <w:color w:val="000000" w:themeColor="text1"/>
                <w:sz w:val="24"/>
                <w:u w:val="single"/>
                <w14:textFill>
                  <w14:solidFill>
                    <w14:schemeClr w14:val="tx1"/>
                  </w14:solidFill>
                </w14:textFill>
              </w:rPr>
              <w:t>×</w:t>
            </w:r>
            <w:r>
              <w:rPr>
                <w:bCs/>
                <w:color w:val="000000" w:themeColor="text1"/>
                <w:sz w:val="24"/>
                <w:u w:val="single"/>
                <w14:textFill>
                  <w14:solidFill>
                    <w14:schemeClr w14:val="tx1"/>
                  </w14:solidFill>
                </w14:textFill>
              </w:rPr>
              <w:t>10</w:t>
            </w:r>
            <w:r>
              <w:rPr>
                <w:rFonts w:hint="eastAsia"/>
                <w:bCs/>
                <w:color w:val="000000" w:themeColor="text1"/>
                <w:sz w:val="24"/>
                <w:u w:val="single"/>
                <w:vertAlign w:val="superscript"/>
                <w14:textFill>
                  <w14:solidFill>
                    <w14:schemeClr w14:val="tx1"/>
                  </w14:solidFill>
                </w14:textFill>
              </w:rPr>
              <w:t>10</w:t>
            </w:r>
            <w:r>
              <w:rPr>
                <w:bCs/>
                <w:color w:val="000000" w:themeColor="text1"/>
                <w:sz w:val="24"/>
                <w:u w:val="single"/>
                <w14:textFill>
                  <w14:solidFill>
                    <w14:schemeClr w14:val="tx1"/>
                  </w14:solidFill>
                </w14:textFill>
              </w:rPr>
              <w:t>kcal/a</w:t>
            </w:r>
            <w:r>
              <w:rPr>
                <w:rFonts w:hint="eastAsia"/>
                <w:bCs/>
                <w:color w:val="000000" w:themeColor="text1"/>
                <w:sz w:val="24"/>
                <w:u w:val="single"/>
                <w14:textFill>
                  <w14:solidFill>
                    <w14:schemeClr w14:val="tx1"/>
                  </w14:solidFill>
                </w14:textFill>
              </w:rPr>
              <w:t>，每日炭化工序时长24小时，该时段能提供的最大热值为</w:t>
            </w:r>
            <w:r>
              <w:rPr>
                <w:bCs/>
                <w:color w:val="000000" w:themeColor="text1"/>
                <w:sz w:val="24"/>
                <w:u w:val="single"/>
                <w14:textFill>
                  <w14:solidFill>
                    <w14:schemeClr w14:val="tx1"/>
                  </w14:solidFill>
                </w14:textFill>
              </w:rPr>
              <w:t>1.15</w:t>
            </w:r>
            <w:r>
              <w:rPr>
                <w:rFonts w:hint="eastAsia"/>
                <w:color w:val="000000" w:themeColor="text1"/>
                <w:kern w:val="0"/>
                <w:sz w:val="24"/>
                <w:u w:val="single"/>
                <w14:textFill>
                  <w14:solidFill>
                    <w14:schemeClr w14:val="tx1"/>
                  </w14:solidFill>
                </w14:textFill>
              </w:rPr>
              <w:t>×</w:t>
            </w:r>
            <w:r>
              <w:rPr>
                <w:color w:val="000000" w:themeColor="text1"/>
                <w:kern w:val="0"/>
                <w:sz w:val="24"/>
                <w:u w:val="single"/>
                <w14:textFill>
                  <w14:solidFill>
                    <w14:schemeClr w14:val="tx1"/>
                  </w14:solidFill>
                </w14:textFill>
              </w:rPr>
              <w:t>10</w:t>
            </w:r>
            <w:r>
              <w:rPr>
                <w:rFonts w:hint="eastAsia"/>
                <w:color w:val="000000" w:themeColor="text1"/>
                <w:kern w:val="0"/>
                <w:sz w:val="24"/>
                <w:u w:val="single"/>
                <w:vertAlign w:val="superscript"/>
                <w14:textFill>
                  <w14:solidFill>
                    <w14:schemeClr w14:val="tx1"/>
                  </w14:solidFill>
                </w14:textFill>
              </w:rPr>
              <w:t>10</w:t>
            </w:r>
            <w:r>
              <w:rPr>
                <w:color w:val="000000" w:themeColor="text1"/>
                <w:kern w:val="0"/>
                <w:sz w:val="24"/>
                <w:u w:val="single"/>
                <w14:textFill>
                  <w14:solidFill>
                    <w14:schemeClr w14:val="tx1"/>
                  </w14:solidFill>
                </w14:textFill>
              </w:rPr>
              <w:t>kcal</w:t>
            </w:r>
            <w:r>
              <w:rPr>
                <w:rFonts w:hint="eastAsia"/>
                <w:bCs/>
                <w:color w:val="000000" w:themeColor="text1"/>
                <w:sz w:val="24"/>
                <w:u w:val="single"/>
                <w14:textFill>
                  <w14:solidFill>
                    <w14:schemeClr w14:val="tx1"/>
                  </w14:solidFill>
                </w14:textFill>
              </w:rPr>
              <w:t>（大于</w:t>
            </w:r>
            <w:r>
              <w:rPr>
                <w:bCs/>
                <w:color w:val="000000" w:themeColor="text1"/>
                <w:sz w:val="24"/>
                <w:u w:val="single"/>
                <w14:textFill>
                  <w14:solidFill>
                    <w14:schemeClr w14:val="tx1"/>
                  </w14:solidFill>
                </w14:textFill>
              </w:rPr>
              <w:t>1.831</w:t>
            </w:r>
            <w:r>
              <w:rPr>
                <w:rFonts w:hint="eastAsia"/>
                <w:color w:val="000000" w:themeColor="text1"/>
                <w:kern w:val="0"/>
                <w:sz w:val="24"/>
                <w:u w:val="single"/>
                <w14:textFill>
                  <w14:solidFill>
                    <w14:schemeClr w14:val="tx1"/>
                  </w14:solidFill>
                </w14:textFill>
              </w:rPr>
              <w:t>×</w:t>
            </w:r>
            <w:r>
              <w:rPr>
                <w:color w:val="000000" w:themeColor="text1"/>
                <w:kern w:val="0"/>
                <w:sz w:val="24"/>
                <w:u w:val="single"/>
                <w14:textFill>
                  <w14:solidFill>
                    <w14:schemeClr w14:val="tx1"/>
                  </w14:solidFill>
                </w14:textFill>
              </w:rPr>
              <w:t>10</w:t>
            </w:r>
            <w:r>
              <w:rPr>
                <w:rFonts w:hint="eastAsia"/>
                <w:color w:val="000000" w:themeColor="text1"/>
                <w:kern w:val="0"/>
                <w:sz w:val="24"/>
                <w:u w:val="single"/>
                <w:vertAlign w:val="superscript"/>
                <w14:textFill>
                  <w14:solidFill>
                    <w14:schemeClr w14:val="tx1"/>
                  </w14:solidFill>
                </w14:textFill>
              </w:rPr>
              <w:t>9</w:t>
            </w:r>
            <w:r>
              <w:rPr>
                <w:color w:val="000000" w:themeColor="text1"/>
                <w:kern w:val="0"/>
                <w:sz w:val="24"/>
                <w:u w:val="single"/>
                <w14:textFill>
                  <w14:solidFill>
                    <w14:schemeClr w14:val="tx1"/>
                  </w14:solidFill>
                </w14:textFill>
              </w:rPr>
              <w:t>kcal</w:t>
            </w:r>
            <w:r>
              <w:rPr>
                <w:rFonts w:hint="eastAsia"/>
                <w:bCs/>
                <w:color w:val="000000" w:themeColor="text1"/>
                <w:sz w:val="24"/>
                <w:u w:val="single"/>
                <w14:textFill>
                  <w14:solidFill>
                    <w14:schemeClr w14:val="tx1"/>
                  </w14:solidFill>
                </w14:textFill>
              </w:rPr>
              <w:t>），能够满足项目烘干所需热值要求</w:t>
            </w:r>
            <w:r>
              <w:rPr>
                <w:rFonts w:hint="eastAsia"/>
                <w:color w:val="000000" w:themeColor="text1"/>
                <w:sz w:val="24"/>
                <w:u w:val="single"/>
                <w14:textFill>
                  <w14:solidFill>
                    <w14:schemeClr w14:val="tx1"/>
                  </w14:solidFill>
                </w14:textFill>
              </w:rPr>
              <w:t>。多余的热量经炭化炉持续燃烧，即便无原料处于炭化加工阶段，其气体仍在炭化窑设备内进行燃烧至耗尽，由炭化窑1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排气筒直接排放（D</w:t>
            </w:r>
            <w:r>
              <w:rPr>
                <w:color w:val="000000" w:themeColor="text1"/>
                <w:sz w:val="24"/>
                <w:u w:val="single"/>
                <w14:textFill>
                  <w14:solidFill>
                    <w14:schemeClr w14:val="tx1"/>
                  </w14:solidFill>
                </w14:textFill>
              </w:rPr>
              <w:t>A003</w:t>
            </w:r>
            <w:r>
              <w:rPr>
                <w:rFonts w:hint="eastAsia"/>
                <w:color w:val="000000" w:themeColor="text1"/>
                <w:sz w:val="24"/>
                <w:u w:val="single"/>
                <w14:textFill>
                  <w14:solidFill>
                    <w14:schemeClr w14:val="tx1"/>
                  </w14:solidFill>
                </w14:textFill>
              </w:rPr>
              <w:t>），根据前文分析炭化煤气燃烧后直接排放量约为</w:t>
            </w:r>
            <w:r>
              <w:rPr>
                <w:rFonts w:hAnsi="宋体"/>
                <w:color w:val="000000" w:themeColor="text1"/>
                <w:sz w:val="24"/>
                <w:u w:val="single"/>
                <w14:textFill>
                  <w14:solidFill>
                    <w14:schemeClr w14:val="tx1"/>
                  </w14:solidFill>
                </w14:textFill>
              </w:rPr>
              <w:t>2.56</w:t>
            </w:r>
            <w:r>
              <w:rPr>
                <w:rFonts w:hint="eastAsia" w:hAnsi="宋体"/>
                <w:color w:val="000000" w:themeColor="text1"/>
                <w:sz w:val="24"/>
                <w:u w:val="single"/>
                <w14:textFill>
                  <w14:solidFill>
                    <w14:schemeClr w14:val="tx1"/>
                  </w14:solidFill>
                </w14:textFill>
              </w:rPr>
              <w:t>×</w:t>
            </w:r>
            <w:r>
              <w:rPr>
                <w:rFonts w:hAnsi="宋体"/>
                <w:color w:val="000000" w:themeColor="text1"/>
                <w:sz w:val="24"/>
                <w:u w:val="single"/>
                <w14:textFill>
                  <w14:solidFill>
                    <w14:schemeClr w14:val="tx1"/>
                  </w14:solidFill>
                </w14:textFill>
              </w:rPr>
              <w:t>10</w:t>
            </w:r>
            <w:r>
              <w:rPr>
                <w:rFonts w:hint="eastAsia" w:hAnsi="宋体"/>
                <w:color w:val="000000" w:themeColor="text1"/>
                <w:sz w:val="24"/>
                <w:u w:val="single"/>
                <w:vertAlign w:val="superscript"/>
                <w14:textFill>
                  <w14:solidFill>
                    <w14:schemeClr w14:val="tx1"/>
                  </w14:solidFill>
                </w14:textFill>
              </w:rPr>
              <w:t>6</w:t>
            </w:r>
            <w:r>
              <w:rPr>
                <w:rFonts w:hint="eastAsia" w:hAnsi="宋体"/>
                <w:color w:val="000000" w:themeColor="text1"/>
                <w:sz w:val="24"/>
                <w:u w:val="single"/>
                <w14:textFill>
                  <w14:solidFill>
                    <w14:schemeClr w14:val="tx1"/>
                  </w14:solidFill>
                </w14:textFill>
              </w:rPr>
              <w:t>N</w:t>
            </w:r>
            <w:r>
              <w:rPr>
                <w:rFonts w:hAnsi="宋体"/>
                <w:color w:val="000000" w:themeColor="text1"/>
                <w:sz w:val="24"/>
                <w:u w:val="single"/>
                <w14:textFill>
                  <w14:solidFill>
                    <w14:schemeClr w14:val="tx1"/>
                  </w14:solidFill>
                </w14:textFill>
              </w:rPr>
              <w:t>m</w:t>
            </w:r>
            <w:r>
              <w:rPr>
                <w:rFonts w:hAnsi="宋体"/>
                <w:color w:val="000000" w:themeColor="text1"/>
                <w:sz w:val="24"/>
                <w:u w:val="single"/>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pStyle w:val="30"/>
              <w:spacing w:line="360" w:lineRule="auto"/>
              <w:ind w:firstLine="480" w:firstLineChars="200"/>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589" w:type="dxa"/>
            <w:vAlign w:val="center"/>
          </w:tcPr>
          <w:p>
            <w:pPr>
              <w:pStyle w:val="22"/>
              <w:adjustRightInd w:val="0"/>
              <w:snapToGrid w:val="0"/>
              <w:spacing w:before="0" w:beforeAutospacing="0" w:after="0" w:afterAutospacing="0"/>
              <w:jc w:val="center"/>
              <w:rPr>
                <w:rFonts w:cs="宋体"/>
                <w:color w:val="000000" w:themeColor="text1"/>
                <w:szCs w:val="24"/>
                <w14:textFill>
                  <w14:solidFill>
                    <w14:schemeClr w14:val="tx1"/>
                  </w14:solidFill>
                </w14:textFill>
              </w:rPr>
            </w:pPr>
            <w:r>
              <w:rPr>
                <w:rFonts w:hint="eastAsia" w:cs="宋体"/>
                <w:color w:val="000000" w:themeColor="text1"/>
                <w:szCs w:val="24"/>
                <w14:textFill>
                  <w14:solidFill>
                    <w14:schemeClr w14:val="tx1"/>
                  </w14:solidFill>
                </w14:textFill>
              </w:rPr>
              <w:t>工艺流程和产排污环节</w:t>
            </w:r>
          </w:p>
        </w:tc>
        <w:tc>
          <w:tcPr>
            <w:tcW w:w="8471" w:type="dxa"/>
          </w:tcPr>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1、施工期工艺流程及产污环节图</w:t>
            </w:r>
          </w:p>
          <w:p>
            <w:pPr>
              <w:spacing w:line="360" w:lineRule="auto"/>
              <w:ind w:firstLine="480" w:firstLineChars="200"/>
              <w:rPr>
                <w:bCs/>
                <w:color w:val="000000" w:themeColor="text1"/>
                <w:szCs w:val="21"/>
                <w14:textFill>
                  <w14:solidFill>
                    <w14:schemeClr w14:val="tx1"/>
                  </w14:solidFill>
                </w14:textFill>
              </w:rPr>
            </w:pPr>
            <w:r>
              <w:rPr>
                <w:bCs/>
                <w:color w:val="000000" w:themeColor="text1"/>
                <w:sz w:val="24"/>
                <w14:textFill>
                  <w14:solidFill>
                    <w14:schemeClr w14:val="tx1"/>
                  </w14:solidFill>
                </w14:textFill>
              </w:rPr>
              <w:t>项目</w:t>
            </w:r>
            <w:r>
              <w:rPr>
                <w:rFonts w:hint="eastAsia"/>
                <w:bCs/>
                <w:color w:val="000000" w:themeColor="text1"/>
                <w:sz w:val="24"/>
                <w14:textFill>
                  <w14:solidFill>
                    <w14:schemeClr w14:val="tx1"/>
                  </w14:solidFill>
                </w14:textFill>
              </w:rPr>
              <w:t>位于</w:t>
            </w:r>
            <w:r>
              <w:rPr>
                <w:rFonts w:hint="eastAsia"/>
                <w:bCs/>
                <w:color w:val="000000" w:themeColor="text1"/>
                <w:spacing w:val="4"/>
                <w:sz w:val="24"/>
                <w14:textFill>
                  <w14:solidFill>
                    <w14:schemeClr w14:val="tx1"/>
                  </w14:solidFill>
                </w14:textFill>
              </w:rPr>
              <w:t>衡山县</w:t>
            </w:r>
            <w:r>
              <w:rPr>
                <w:rFonts w:hint="eastAsia"/>
                <w:color w:val="000000" w:themeColor="text1"/>
                <w:sz w:val="24"/>
                <w14:textFill>
                  <w14:solidFill>
                    <w14:schemeClr w14:val="tx1"/>
                  </w14:solidFill>
                </w14:textFill>
              </w:rPr>
              <w:t>新桥镇</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目前厂房已经建设完成，</w:t>
            </w:r>
            <w:r>
              <w:rPr>
                <w:bCs/>
                <w:color w:val="000000" w:themeColor="text1"/>
                <w:sz w:val="24"/>
                <w14:textFill>
                  <w14:solidFill>
                    <w14:schemeClr w14:val="tx1"/>
                  </w14:solidFill>
                </w14:textFill>
              </w:rPr>
              <w:t>新建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栋</w:t>
            </w:r>
            <w:r>
              <w:rPr>
                <w:rFonts w:hint="eastAsia"/>
                <w:bCs/>
                <w:color w:val="000000" w:themeColor="text1"/>
                <w:sz w:val="24"/>
                <w14:textFill>
                  <w14:solidFill>
                    <w14:schemeClr w14:val="tx1"/>
                  </w14:solidFill>
                </w14:textFill>
              </w:rPr>
              <w:t>生产</w:t>
            </w:r>
            <w:r>
              <w:rPr>
                <w:bCs/>
                <w:color w:val="000000" w:themeColor="text1"/>
                <w:sz w:val="24"/>
                <w14:textFill>
                  <w14:solidFill>
                    <w14:schemeClr w14:val="tx1"/>
                  </w14:solidFill>
                </w14:textFill>
              </w:rPr>
              <w:t>厂房，总建筑面积为</w:t>
            </w:r>
            <w:r>
              <w:rPr>
                <w:color w:val="000000" w:themeColor="text1"/>
                <w:sz w:val="24"/>
                <w14:textFill>
                  <w14:solidFill>
                    <w14:schemeClr w14:val="tx1"/>
                  </w14:solidFill>
                </w14:textFill>
              </w:rPr>
              <w:t>2000m</w:t>
            </w:r>
            <w:r>
              <w:rPr>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。项目建设工程内容主要为土地平整、主体工程施工、房屋和辅助工程装修等。具体工艺流程如下图1-1所示</w:t>
            </w:r>
            <w:r>
              <w:rPr>
                <w:bCs/>
                <w:color w:val="000000" w:themeColor="text1"/>
                <w:szCs w:val="21"/>
                <w14:textFill>
                  <w14:solidFill>
                    <w14:schemeClr w14:val="tx1"/>
                  </w14:solidFill>
                </w14:textFill>
              </w:rPr>
              <w:t>。</w:t>
            </w:r>
          </w:p>
          <w:p>
            <w:pPr>
              <w:pStyle w:val="4"/>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78pt;width:392pt;" o:ole="t" filled="f" o:preferrelative="t" stroked="f" coordsize="21600,21600">
                  <v:path/>
                  <v:fill on="f" focussize="0,0"/>
                  <v:stroke on="f" joinstyle="miter"/>
                  <v:imagedata r:id="rId11" o:title=""/>
                  <o:lock v:ext="edit" aspectratio="f"/>
                  <w10:wrap type="none"/>
                  <w10:anchorlock/>
                </v:shape>
                <o:OLEObject Type="Embed" ProgID="Visio.Drawing.11" ShapeID="_x0000_i1025" DrawAspect="Content" ObjectID="_1468075725" r:id="rId10">
                  <o:LockedField>false</o:LockedField>
                </o:OLEObject>
              </w:object>
            </w:r>
          </w:p>
          <w:p>
            <w:pPr>
              <w:spacing w:line="360" w:lineRule="auto"/>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图2-2  项目施工期工艺流程及产污环节图</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工艺流程及产污环节简述：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项目施工期污染主要来自</w:t>
            </w:r>
            <w:r>
              <w:rPr>
                <w:rFonts w:hint="eastAsia"/>
                <w:color w:val="000000" w:themeColor="text1"/>
                <w:sz w:val="24"/>
                <w14:textFill>
                  <w14:solidFill>
                    <w14:schemeClr w14:val="tx1"/>
                  </w14:solidFill>
                </w14:textFill>
              </w:rPr>
              <w:t>新厂房</w:t>
            </w:r>
            <w:r>
              <w:rPr>
                <w:color w:val="000000" w:themeColor="text1"/>
                <w:sz w:val="24"/>
                <w14:textFill>
                  <w14:solidFill>
                    <w14:schemeClr w14:val="tx1"/>
                  </w14:solidFill>
                </w14:textFill>
              </w:rPr>
              <w:t>土建阶段，土建阶段主要进行打桩测桩、建筑物土建施工、道路修建、公共设施建设及内外装修等。其主要污染物有噪声、扬尘、废水及固体废弃物。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（1）施工期废水污染源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施工期废水主要是施工过程中的生产废水、施工人员的生活污水。</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t>施工生产废水：因本项目建设使用商品混凝土，无混凝土生产设备清洗废水，施工期生产废水污染源主要为施工区的冲洗废水等。</w:t>
            </w:r>
          </w:p>
          <w:p>
            <w:pPr>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w:t>
            </w:r>
            <w:r>
              <w:rPr>
                <w:color w:val="000000" w:themeColor="text1"/>
                <w:sz w:val="24"/>
                <w14:textFill>
                  <w14:solidFill>
                    <w14:schemeClr w14:val="tx1"/>
                  </w14:solidFill>
                </w14:textFill>
              </w:rPr>
              <w:t>施工生活污水：本项目施工人员大部分来自当地，部分外来人员，生活污水主要包括施工人员洗浴、洗涤、粪便污水以及食堂污水，主要污染物是COD、BOD5、NH3-N、总磷等。施工期生活污水依托现有化粪池处理后</w:t>
            </w:r>
            <w:r>
              <w:rPr>
                <w:rFonts w:hint="eastAsia"/>
                <w:color w:val="000000" w:themeColor="text1"/>
                <w:sz w:val="24"/>
                <w14:textFill>
                  <w14:solidFill>
                    <w14:schemeClr w14:val="tx1"/>
                  </w14:solidFill>
                </w14:textFill>
              </w:rPr>
              <w:t>定期清掏用作农肥。</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（2）施工期废气污染源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施工期大气污染主要来源于</w:t>
            </w:r>
            <w:r>
              <w:rPr>
                <w:rFonts w:hint="eastAsia"/>
                <w:color w:val="000000" w:themeColor="text1"/>
                <w:sz w:val="24"/>
                <w14:textFill>
                  <w14:solidFill>
                    <w14:schemeClr w14:val="tx1"/>
                  </w14:solidFill>
                </w14:textFill>
              </w:rPr>
              <w:t>拆除旧厂房及新厂房</w:t>
            </w:r>
            <w:r>
              <w:rPr>
                <w:color w:val="000000" w:themeColor="text1"/>
                <w:sz w:val="24"/>
                <w14:textFill>
                  <w14:solidFill>
                    <w14:schemeClr w14:val="tx1"/>
                  </w14:solidFill>
                </w14:textFill>
              </w:rPr>
              <w:t>施工过程产生的粉尘、施工机械及机动车辆燃油排放的废气。</w:t>
            </w:r>
          </w:p>
          <w:p>
            <w:pPr>
              <w:numPr>
                <w:ilvl w:val="0"/>
                <w:numId w:val="1"/>
              </w:num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扬尘</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施工区裸露地表在大风气象条件下形成的风蚀扬尘，其产生量与风力、表土含水率等因素有关。建筑材料运输、卸载中的扬尘，土方运输车辆行驶产生的扬尘，临时物料堆场产生的风蚀扬尘等。</w:t>
            </w:r>
          </w:p>
          <w:p>
            <w:pPr>
              <w:pStyle w:val="52"/>
              <w:numPr>
                <w:ilvl w:val="0"/>
                <w:numId w:val="1"/>
              </w:numPr>
              <w:spacing w:line="360" w:lineRule="auto"/>
              <w:ind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施工机械及机动车辆燃油排放的废气</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施工过程中用到的施工机械，主要有挖掘机、装载机、推土机等机械，这些机械以柴油为燃料，会产生一定量废气。燃油机械产生的主要污染物为SO2、CO、氮氧化物、飘尘等</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（3）施工期噪声污染源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噪声源主要是施工机械和运输机械交通噪声。根据类比调查可知，房屋建筑不同施工阶段具有各自的噪声特性。当多台设备同时作业时，产生噪声叠加，根据类比调查，叠加后的噪声增加3-8dB(A)，一般不会超过10dB(A)。</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（4）施工期固体废弃物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土建阶段的固体废弃物主要为施工人员产生的生活垃圾和</w:t>
            </w:r>
            <w:r>
              <w:rPr>
                <w:rFonts w:hint="eastAsia"/>
                <w:color w:val="000000" w:themeColor="text1"/>
                <w:sz w:val="24"/>
                <w14:textFill>
                  <w14:solidFill>
                    <w14:schemeClr w14:val="tx1"/>
                  </w14:solidFill>
                </w14:textFill>
              </w:rPr>
              <w:t>拆除旧厂房和</w:t>
            </w:r>
            <w:r>
              <w:rPr>
                <w:color w:val="000000" w:themeColor="text1"/>
                <w:sz w:val="24"/>
                <w14:textFill>
                  <w14:solidFill>
                    <w14:schemeClr w14:val="tx1"/>
                  </w14:solidFill>
                </w14:textFill>
              </w:rPr>
              <w:t>土建施工产生的建筑垃圾及施工土石方。</w: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2、运行期工艺流程和产污环节</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2.1、机制炭生产工艺</w: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本项目主要生产环保机制炭，生产工艺流程及产污环节见下图。</w:t>
            </w:r>
          </w:p>
          <w:p>
            <w:pPr>
              <w:pStyle w:val="2"/>
              <w:ind w:firstLine="480"/>
              <w:rPr>
                <w:color w:val="000000" w:themeColor="text1"/>
                <w14:textFill>
                  <w14:solidFill>
                    <w14:schemeClr w14:val="tx1"/>
                  </w14:solidFill>
                </w14:textFill>
              </w:rPr>
            </w:pP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drawing>
                <wp:inline distT="0" distB="0" distL="0" distR="0">
                  <wp:extent cx="4613910" cy="5297170"/>
                  <wp:effectExtent l="0" t="0" r="0" b="0"/>
                  <wp:docPr id="14869354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35411" name="图片 1"/>
                          <pic:cNvPicPr>
                            <a:picLocks noChangeAspect="1"/>
                          </pic:cNvPicPr>
                        </pic:nvPicPr>
                        <pic:blipFill>
                          <a:blip r:embed="rId12"/>
                          <a:stretch>
                            <a:fillRect/>
                          </a:stretch>
                        </pic:blipFill>
                        <pic:spPr>
                          <a:xfrm>
                            <a:off x="0" y="0"/>
                            <a:ext cx="4618221" cy="5301764"/>
                          </a:xfrm>
                          <a:prstGeom prst="rect">
                            <a:avLst/>
                          </a:prstGeom>
                        </pic:spPr>
                      </pic:pic>
                    </a:graphicData>
                  </a:graphic>
                </wp:inline>
              </w:drawing>
            </w:r>
          </w:p>
          <w:p>
            <w:pPr>
              <w:rPr>
                <w:color w:val="000000" w:themeColor="text1"/>
                <w14:textFill>
                  <w14:solidFill>
                    <w14:schemeClr w14:val="tx1"/>
                  </w14:solidFill>
                </w14:textFill>
              </w:rPr>
            </w:pPr>
          </w:p>
          <w:p>
            <w:pPr>
              <w:rPr>
                <w:b/>
                <w:color w:val="000000" w:themeColor="text1"/>
                <w:szCs w:val="21"/>
                <w:u w:val="single"/>
                <w14:textFill>
                  <w14:solidFill>
                    <w14:schemeClr w14:val="tx1"/>
                  </w14:solidFill>
                </w14:textFill>
              </w:rPr>
            </w:pPr>
          </w:p>
          <w:p>
            <w:pPr>
              <w:adjustRightInd w:val="0"/>
              <w:snapToGrid w:val="0"/>
              <w:spacing w:line="360" w:lineRule="auto"/>
              <w:ind w:firstLine="422" w:firstLineChars="200"/>
              <w:jc w:val="center"/>
              <w:rPr>
                <w:b/>
                <w:color w:val="000000" w:themeColor="text1"/>
                <w:szCs w:val="21"/>
                <w:u w:val="single"/>
                <w14:textFill>
                  <w14:solidFill>
                    <w14:schemeClr w14:val="tx1"/>
                  </w14:solidFill>
                </w14:textFill>
              </w:rPr>
            </w:pPr>
            <w:r>
              <w:rPr>
                <w:b/>
                <w:color w:val="000000" w:themeColor="text1"/>
                <w:szCs w:val="21"/>
                <w:u w:val="single"/>
                <w14:textFill>
                  <w14:solidFill>
                    <w14:schemeClr w14:val="tx1"/>
                  </w14:solidFill>
                </w14:textFill>
              </w:rPr>
              <w:t>图2-3</w:t>
            </w:r>
            <w:r>
              <w:rPr>
                <w:rFonts w:hint="eastAsia"/>
                <w:b/>
                <w:color w:val="000000" w:themeColor="text1"/>
                <w:szCs w:val="21"/>
                <w:u w:val="single"/>
                <w14:textFill>
                  <w14:solidFill>
                    <w14:schemeClr w14:val="tx1"/>
                  </w14:solidFill>
                </w14:textFill>
              </w:rPr>
              <w:t xml:space="preserve"> 机制炭生产</w:t>
            </w:r>
            <w:r>
              <w:rPr>
                <w:b/>
                <w:color w:val="000000" w:themeColor="text1"/>
                <w:szCs w:val="21"/>
                <w:u w:val="single"/>
                <w14:textFill>
                  <w14:solidFill>
                    <w14:schemeClr w14:val="tx1"/>
                  </w14:solidFill>
                </w14:textFill>
              </w:rPr>
              <w:t>工艺流程</w:t>
            </w:r>
            <w:r>
              <w:rPr>
                <w:rFonts w:hint="eastAsia"/>
                <w:b/>
                <w:color w:val="000000" w:themeColor="text1"/>
                <w:szCs w:val="21"/>
                <w:u w:val="single"/>
                <w14:textFill>
                  <w14:solidFill>
                    <w14:schemeClr w14:val="tx1"/>
                  </w14:solidFill>
                </w14:textFill>
              </w:rPr>
              <w:t>及产污节点</w:t>
            </w:r>
            <w:r>
              <w:rPr>
                <w:b/>
                <w:color w:val="000000" w:themeColor="text1"/>
                <w:szCs w:val="21"/>
                <w:u w:val="single"/>
                <w14:textFill>
                  <w14:solidFill>
                    <w14:schemeClr w14:val="tx1"/>
                  </w14:solidFill>
                </w14:textFill>
              </w:rPr>
              <w:t>图</w:t>
            </w:r>
          </w:p>
          <w:p>
            <w:pPr>
              <w:adjustRightInd w:val="0"/>
              <w:snapToGrid w:val="0"/>
              <w:spacing w:line="360" w:lineRule="auto"/>
              <w:ind w:firstLine="482" w:firstLineChars="200"/>
              <w:rPr>
                <w:b/>
                <w:color w:val="000000" w:themeColor="text1"/>
                <w:sz w:val="24"/>
                <w14:textFill>
                  <w14:solidFill>
                    <w14:schemeClr w14:val="tx1"/>
                  </w14:solidFill>
                </w14:textFill>
              </w:rPr>
            </w:pP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工艺流程简述：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采用改进型步进式炭化窑烧制技术，该窑的最大特点在于完成初次烘窑后，以机制棒炭化过程中产生的可燃性气体在窑内的燃烧作为热源，通过控制空气的流入量来控制窑内温度，连续操作不需要添加其它燃料；生产的机制炭质量高、均匀度好。</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（1）原料入场：</w:t>
            </w:r>
            <w:r>
              <w:rPr>
                <w:color w:val="000000" w:themeColor="text1"/>
                <w:sz w:val="24"/>
                <w14:textFill>
                  <w14:solidFill>
                    <w14:schemeClr w14:val="tx1"/>
                  </w14:solidFill>
                </w14:textFill>
              </w:rPr>
              <w:t>本项目原料</w:t>
            </w:r>
            <w:r>
              <w:rPr>
                <w:rFonts w:hint="eastAsia"/>
                <w:color w:val="000000" w:themeColor="text1"/>
                <w:sz w:val="24"/>
                <w14:textFill>
                  <w14:solidFill>
                    <w14:schemeClr w14:val="tx1"/>
                  </w14:solidFill>
                </w14:textFill>
              </w:rPr>
              <w:t>为外购废竹料、木屑、桔梗等通过车辆</w:t>
            </w:r>
            <w:r>
              <w:rPr>
                <w:color w:val="000000" w:themeColor="text1"/>
                <w:sz w:val="24"/>
                <w14:textFill>
                  <w14:solidFill>
                    <w14:schemeClr w14:val="tx1"/>
                  </w14:solidFill>
                </w14:textFill>
              </w:rPr>
              <w:t>运到企业场地，</w:t>
            </w:r>
            <w:r>
              <w:rPr>
                <w:rFonts w:hint="eastAsia"/>
                <w:color w:val="000000" w:themeColor="text1"/>
                <w:sz w:val="24"/>
                <w14:textFill>
                  <w14:solidFill>
                    <w14:schemeClr w14:val="tx1"/>
                  </w14:solidFill>
                </w14:textFill>
              </w:rPr>
              <w:t>堆放在原料区进行堆放，将购入的原料筛选，会产生废竹片（废竹片用作烘干燃料）。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（2）一道破碎：</w:t>
            </w:r>
            <w:r>
              <w:rPr>
                <w:color w:val="000000" w:themeColor="text1"/>
                <w:sz w:val="24"/>
                <w14:textFill>
                  <w14:solidFill>
                    <w14:schemeClr w14:val="tx1"/>
                  </w14:solidFill>
                </w14:textFill>
              </w:rPr>
              <w:t>原材料通过全封闭皮带廊道输送至全封闭式粉碎机粉碎。</w:t>
            </w:r>
            <w:r>
              <w:rPr>
                <w:rFonts w:hint="eastAsia"/>
                <w:color w:val="000000" w:themeColor="text1"/>
                <w:sz w:val="24"/>
                <w14:textFill>
                  <w14:solidFill>
                    <w14:schemeClr w14:val="tx1"/>
                  </w14:solidFill>
                </w14:textFill>
              </w:rPr>
              <w:t>破碎工序</w:t>
            </w:r>
            <w:r>
              <w:rPr>
                <w:color w:val="000000" w:themeColor="text1"/>
                <w:sz w:val="24"/>
                <w14:textFill>
                  <w14:solidFill>
                    <w14:schemeClr w14:val="tx1"/>
                  </w14:solidFill>
                </w14:textFill>
              </w:rPr>
              <w:t>在全封闭的状态下进行，</w:t>
            </w:r>
            <w:r>
              <w:rPr>
                <w:rFonts w:hint="eastAsia"/>
                <w:color w:val="000000" w:themeColor="text1"/>
                <w:sz w:val="24"/>
                <w14:textFill>
                  <w14:solidFill>
                    <w14:schemeClr w14:val="tx1"/>
                  </w14:solidFill>
                </w14:textFill>
              </w:rPr>
              <w:t>原料含水量较高4</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，一道破碎颗粒较大，因此该过程会产生少量粉尘，破碎过程会产生</w:t>
            </w:r>
            <w:r>
              <w:rPr>
                <w:color w:val="000000" w:themeColor="text1"/>
                <w:sz w:val="24"/>
                <w14:textFill>
                  <w14:solidFill>
                    <w14:schemeClr w14:val="tx1"/>
                  </w14:solidFill>
                </w14:textFill>
              </w:rPr>
              <w:t>噪声。</w:t>
            </w:r>
          </w:p>
          <w:p>
            <w:pPr>
              <w:pStyle w:val="2"/>
              <w:ind w:left="0" w:leftChars="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（3）筛分：一道破碎后对物料进行筛分，小于1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m</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的物料进入下一道工序，大于1</w:t>
            </w:r>
            <w:r>
              <w:rPr>
                <w:color w:val="000000" w:themeColor="text1"/>
                <w14:textFill>
                  <w14:solidFill>
                    <w14:schemeClr w14:val="tx1"/>
                  </w14:solidFill>
                </w14:textFill>
              </w:rPr>
              <w:t>5mm</w:t>
            </w:r>
            <w:r>
              <w:rPr>
                <w:rFonts w:hint="eastAsia"/>
                <w:color w:val="000000" w:themeColor="text1"/>
                <w14:textFill>
                  <w14:solidFill>
                    <w14:schemeClr w14:val="tx1"/>
                  </w14:solidFill>
                </w14:textFill>
              </w:rPr>
              <w:t>的回到一道破碎工序，该工序会产生粉尘和噪声。</w:t>
            </w:r>
          </w:p>
          <w:p>
            <w:pPr>
              <w:pStyle w:val="2"/>
              <w:ind w:left="0" w:leftChars="0"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本项目对一道破碎和筛分工序进行局部围蔽，一道破碎和筛分工序产生的颗粒物大部分在密闭空间内沉降，部分在车间无组织排放。</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4）烘干：</w:t>
            </w:r>
            <w:r>
              <w:rPr>
                <w:rFonts w:hint="eastAsia"/>
                <w:color w:val="000000" w:themeColor="text1"/>
                <w:sz w:val="24"/>
                <w:u w:val="single"/>
                <w14:textFill>
                  <w14:solidFill>
                    <w14:schemeClr w14:val="tx1"/>
                  </w14:solidFill>
                </w14:textFill>
              </w:rPr>
              <w:t>经过一次破碎后的</w:t>
            </w:r>
            <w:r>
              <w:rPr>
                <w:color w:val="000000" w:themeColor="text1"/>
                <w:sz w:val="24"/>
                <w:u w:val="single"/>
                <w14:textFill>
                  <w14:solidFill>
                    <w14:schemeClr w14:val="tx1"/>
                  </w14:solidFill>
                </w14:textFill>
              </w:rPr>
              <w:t>物料通过</w:t>
            </w:r>
            <w:r>
              <w:rPr>
                <w:rFonts w:hint="eastAsia"/>
                <w:color w:val="000000" w:themeColor="text1"/>
                <w:sz w:val="24"/>
                <w:u w:val="single"/>
                <w14:textFill>
                  <w14:solidFill>
                    <w14:schemeClr w14:val="tx1"/>
                  </w14:solidFill>
                </w14:textFill>
              </w:rPr>
              <w:t>密闭</w:t>
            </w:r>
            <w:r>
              <w:rPr>
                <w:color w:val="000000" w:themeColor="text1"/>
                <w:sz w:val="24"/>
                <w:u w:val="single"/>
                <w14:textFill>
                  <w14:solidFill>
                    <w14:schemeClr w14:val="tx1"/>
                  </w14:solidFill>
                </w14:textFill>
              </w:rPr>
              <w:t>皮带运输至</w:t>
            </w:r>
            <w:r>
              <w:rPr>
                <w:rFonts w:hint="eastAsia"/>
                <w:color w:val="000000" w:themeColor="text1"/>
                <w:sz w:val="24"/>
                <w:u w:val="single"/>
                <w14:textFill>
                  <w14:solidFill>
                    <w14:schemeClr w14:val="tx1"/>
                  </w14:solidFill>
                </w14:textFill>
              </w:rPr>
              <w:t>烘干炉设备的烘干区域</w:t>
            </w:r>
            <w:r>
              <w:rPr>
                <w:color w:val="000000" w:themeColor="text1"/>
                <w:sz w:val="24"/>
                <w:u w:val="single"/>
                <w14:textFill>
                  <w14:solidFill>
                    <w14:schemeClr w14:val="tx1"/>
                  </w14:solidFill>
                </w14:textFill>
              </w:rPr>
              <w:t>进行烘干，烘干温度为140~200℃，烘干过程会产生一定量的水蒸气和粉尘；</w:t>
            </w:r>
            <w:r>
              <w:rPr>
                <w:rFonts w:hint="eastAsia"/>
                <w:color w:val="000000" w:themeColor="text1"/>
                <w:sz w:val="24"/>
                <w:u w:val="single"/>
                <w14:textFill>
                  <w14:solidFill>
                    <w14:schemeClr w14:val="tx1"/>
                  </w14:solidFill>
                </w14:textFill>
              </w:rPr>
              <w:t>该</w:t>
            </w:r>
            <w:r>
              <w:rPr>
                <w:color w:val="000000" w:themeColor="text1"/>
                <w:sz w:val="24"/>
                <w:u w:val="single"/>
                <w14:textFill>
                  <w14:solidFill>
                    <w14:schemeClr w14:val="tx1"/>
                  </w14:solidFill>
                </w14:textFill>
              </w:rPr>
              <w:t>烘干</w:t>
            </w:r>
            <w:r>
              <w:rPr>
                <w:rFonts w:hint="eastAsia"/>
                <w:color w:val="000000" w:themeColor="text1"/>
                <w:sz w:val="24"/>
                <w:u w:val="single"/>
                <w14:textFill>
                  <w14:solidFill>
                    <w14:schemeClr w14:val="tx1"/>
                  </w14:solidFill>
                </w14:textFill>
              </w:rPr>
              <w:t>热源</w:t>
            </w:r>
            <w:r>
              <w:rPr>
                <w:color w:val="000000" w:themeColor="text1"/>
                <w:sz w:val="24"/>
                <w:u w:val="single"/>
                <w14:textFill>
                  <w14:solidFill>
                    <w14:schemeClr w14:val="tx1"/>
                  </w14:solidFill>
                </w14:textFill>
              </w:rPr>
              <w:t>来源</w:t>
            </w:r>
            <w:r>
              <w:rPr>
                <w:rFonts w:hint="eastAsia"/>
                <w:color w:val="000000" w:themeColor="text1"/>
                <w:sz w:val="24"/>
                <w:u w:val="single"/>
                <w14:textFill>
                  <w14:solidFill>
                    <w14:schemeClr w14:val="tx1"/>
                  </w14:solidFill>
                </w14:textFill>
              </w:rPr>
              <w:t>于炭化废气二次燃烧热能，烘干的热能为炭化废气，炭化点火阶段采用筛选出的废竹片为燃料，用量为3</w:t>
            </w:r>
            <w:r>
              <w:rPr>
                <w:color w:val="000000" w:themeColor="text1"/>
                <w:sz w:val="24"/>
                <w:u w:val="single"/>
                <w14:textFill>
                  <w14:solidFill>
                    <w14:schemeClr w14:val="tx1"/>
                  </w14:solidFill>
                </w14:textFill>
              </w:rPr>
              <w:t>0</w:t>
            </w:r>
            <w:r>
              <w:rPr>
                <w:rFonts w:hint="eastAsia"/>
                <w:color w:val="000000" w:themeColor="text1"/>
                <w:sz w:val="24"/>
                <w:u w:val="single"/>
                <w14:textFill>
                  <w14:solidFill>
                    <w14:schemeClr w14:val="tx1"/>
                  </w14:solidFill>
                </w14:textFill>
              </w:rPr>
              <w:t>t/a，该过程会产生烘干废气。烘干废气经管道收集后进入脉冲布袋储存装置进行处理后经1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排放</w:t>
            </w:r>
            <w:r>
              <w:rPr>
                <w:color w:val="000000" w:themeColor="text1"/>
                <w:sz w:val="24"/>
                <w:u w:val="single"/>
                <w14:textFill>
                  <w14:solidFill>
                    <w14:schemeClr w14:val="tx1"/>
                  </w14:solidFill>
                </w14:textFill>
              </w:rPr>
              <w:t>。</w:t>
            </w:r>
          </w:p>
          <w:p>
            <w:pPr>
              <w:pStyle w:val="2"/>
              <w:ind w:left="0" w:leftChars="0" w:firstLine="480"/>
              <w:rPr>
                <w:color w:val="000000" w:themeColor="text1"/>
                <w14:textFill>
                  <w14:solidFill>
                    <w14:schemeClr w14:val="tx1"/>
                  </w14:solidFill>
                </w14:textFill>
              </w:rPr>
            </w:pPr>
            <w:r>
              <w:rPr>
                <w:color w:val="000000" w:themeColor="text1"/>
                <w14:textFill>
                  <w14:solidFill>
                    <w14:schemeClr w14:val="tx1"/>
                  </w14:solidFill>
                </w14:textFill>
              </w:rPr>
              <w:t>烘干后的物料进入旋风分离系统，旋风分离的目的一是排出烘干废气以及烘干过程产生的高湿水汽，二是分离出物料，并进行二次破碎，确保产品质量。</w:t>
            </w:r>
          </w:p>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（5）</w:t>
            </w:r>
            <w:r>
              <w:rPr>
                <w:rFonts w:hint="eastAsia"/>
                <w:color w:val="000000" w:themeColor="text1"/>
                <w:sz w:val="24"/>
                <w:u w:val="single"/>
                <w14:textFill>
                  <w14:solidFill>
                    <w14:schemeClr w14:val="tx1"/>
                  </w14:solidFill>
                </w14:textFill>
              </w:rPr>
              <w:t>二道破</w:t>
            </w:r>
            <w:r>
              <w:rPr>
                <w:color w:val="000000" w:themeColor="text1"/>
                <w:sz w:val="24"/>
                <w:u w:val="single"/>
                <w14:textFill>
                  <w14:solidFill>
                    <w14:schemeClr w14:val="tx1"/>
                  </w14:solidFill>
                </w14:textFill>
              </w:rPr>
              <w:t>碎：</w:t>
            </w:r>
            <w:r>
              <w:rPr>
                <w:rFonts w:hint="eastAsia"/>
                <w:color w:val="000000" w:themeColor="text1"/>
                <w:sz w:val="24"/>
                <w:u w:val="single"/>
                <w14:textFill>
                  <w14:solidFill>
                    <w14:schemeClr w14:val="tx1"/>
                  </w14:solidFill>
                </w14:textFill>
              </w:rPr>
              <w:t>经过烘干的物料</w:t>
            </w:r>
            <w:r>
              <w:rPr>
                <w:color w:val="000000" w:themeColor="text1"/>
                <w:sz w:val="24"/>
                <w:u w:val="single"/>
                <w14:textFill>
                  <w14:solidFill>
                    <w14:schemeClr w14:val="tx1"/>
                  </w14:solidFill>
                </w14:textFill>
              </w:rPr>
              <w:t>通过全封闭皮带廊道输送至全封闭式</w:t>
            </w:r>
            <w:r>
              <w:rPr>
                <w:rFonts w:hint="eastAsia"/>
                <w:color w:val="000000" w:themeColor="text1"/>
                <w:sz w:val="24"/>
                <w:u w:val="single"/>
                <w14:textFill>
                  <w14:solidFill>
                    <w14:schemeClr w14:val="tx1"/>
                  </w14:solidFill>
                </w14:textFill>
              </w:rPr>
              <w:t>二道</w:t>
            </w:r>
            <w:r>
              <w:rPr>
                <w:color w:val="000000" w:themeColor="text1"/>
                <w:sz w:val="24"/>
                <w:u w:val="single"/>
                <w14:textFill>
                  <w14:solidFill>
                    <w14:schemeClr w14:val="tx1"/>
                  </w14:solidFill>
                </w14:textFill>
              </w:rPr>
              <w:t>粉碎机粉碎</w:t>
            </w:r>
            <w:r>
              <w:rPr>
                <w:rFonts w:hint="eastAsia"/>
                <w:color w:val="000000" w:themeColor="text1"/>
                <w:sz w:val="24"/>
                <w:u w:val="single"/>
                <w14:textFill>
                  <w14:solidFill>
                    <w14:schemeClr w14:val="tx1"/>
                  </w14:solidFill>
                </w14:textFill>
              </w:rPr>
              <w:t>，破碎工序</w:t>
            </w:r>
            <w:r>
              <w:rPr>
                <w:color w:val="000000" w:themeColor="text1"/>
                <w:sz w:val="24"/>
                <w:u w:val="single"/>
                <w14:textFill>
                  <w14:solidFill>
                    <w14:schemeClr w14:val="tx1"/>
                  </w14:solidFill>
                </w14:textFill>
              </w:rPr>
              <w:t>在全封闭的状态下进行</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该工序会产生</w:t>
            </w:r>
            <w:r>
              <w:rPr>
                <w:rFonts w:hint="eastAsia"/>
                <w:color w:val="000000" w:themeColor="text1"/>
                <w:sz w:val="24"/>
                <w:u w:val="single"/>
                <w14:textFill>
                  <w14:solidFill>
                    <w14:schemeClr w14:val="tx1"/>
                  </w14:solidFill>
                </w14:textFill>
              </w:rPr>
              <w:t>粉尘和</w:t>
            </w:r>
            <w:r>
              <w:rPr>
                <w:color w:val="000000" w:themeColor="text1"/>
                <w:sz w:val="24"/>
                <w:u w:val="single"/>
                <w14:textFill>
                  <w14:solidFill>
                    <w14:schemeClr w14:val="tx1"/>
                  </w14:solidFill>
                </w14:textFill>
              </w:rPr>
              <w:t>噪声</w:t>
            </w:r>
            <w:r>
              <w:rPr>
                <w:rFonts w:hint="eastAsia"/>
                <w:color w:val="000000" w:themeColor="text1"/>
                <w:sz w:val="24"/>
                <w:u w:val="single"/>
                <w14:textFill>
                  <w14:solidFill>
                    <w14:schemeClr w14:val="tx1"/>
                  </w14:solidFill>
                </w14:textFill>
              </w:rPr>
              <w:t>，二道破碎粉尘经收集后进入脉冲布袋储存装置进行处理后经1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排放</w:t>
            </w:r>
            <w:r>
              <w:rPr>
                <w:color w:val="000000" w:themeColor="text1"/>
                <w:sz w:val="24"/>
                <w:u w:val="single"/>
                <w14:textFill>
                  <w14:solidFill>
                    <w14:schemeClr w14:val="tx1"/>
                  </w14:solidFill>
                </w14:textFill>
              </w:rPr>
              <w:t>。</w:t>
            </w:r>
          </w:p>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（6）</w:t>
            </w:r>
            <w:r>
              <w:rPr>
                <w:rFonts w:hint="eastAsia"/>
                <w:color w:val="000000" w:themeColor="text1"/>
                <w:sz w:val="24"/>
                <w:u w:val="single"/>
                <w14:textFill>
                  <w14:solidFill>
                    <w14:schemeClr w14:val="tx1"/>
                  </w14:solidFill>
                </w14:textFill>
              </w:rPr>
              <w:t>制棒</w:t>
            </w:r>
            <w:r>
              <w:rPr>
                <w:color w:val="000000" w:themeColor="text1"/>
                <w:sz w:val="24"/>
                <w:u w:val="single"/>
                <w14:textFill>
                  <w14:solidFill>
                    <w14:schemeClr w14:val="tx1"/>
                  </w14:solidFill>
                </w14:textFill>
              </w:rPr>
              <w:t>成型：</w:t>
            </w:r>
            <w:r>
              <w:rPr>
                <w:rFonts w:hint="eastAsia"/>
                <w:color w:val="000000" w:themeColor="text1"/>
                <w:sz w:val="24"/>
                <w:u w:val="single"/>
                <w14:textFill>
                  <w14:solidFill>
                    <w14:schemeClr w14:val="tx1"/>
                  </w14:solidFill>
                </w14:textFill>
              </w:rPr>
              <w:t>二次破碎后的</w:t>
            </w:r>
            <w:r>
              <w:rPr>
                <w:color w:val="000000" w:themeColor="text1"/>
                <w:sz w:val="24"/>
                <w:u w:val="single"/>
                <w14:textFill>
                  <w14:solidFill>
                    <w14:schemeClr w14:val="tx1"/>
                  </w14:solidFill>
                </w14:textFill>
              </w:rPr>
              <w:t>物料通过输送系统送经由双螺旋分料输送倒入制棒机投料口内，在高压、高温条件下将物料制成棒状固体。</w:t>
            </w:r>
            <w:r>
              <w:rPr>
                <w:rFonts w:hint="eastAsia"/>
                <w:color w:val="000000" w:themeColor="text1"/>
                <w:sz w:val="24"/>
                <w:u w:val="single"/>
                <w14:textFill>
                  <w14:solidFill>
                    <w14:schemeClr w14:val="tx1"/>
                  </w14:solidFill>
                </w14:textFill>
              </w:rPr>
              <w:t xml:space="preserve"> </w:t>
            </w:r>
          </w:p>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制棒工序工作原理为：在电动机的带动下，推进器高速旋转，用自身的螺旋将原料带入成型筒，成型筒通过加热圈加温，使原料中的木质素纤维软化粘合能力增强，在加之推进器头道螺旋的高强度挤压，最终形成高硬度高密度的成型棒，制棒机出料时为成型棒，出料过程无粉尘产生。因此在制棒及出料过程基本无废气产生，制棒工序废气产生环节主要为物料倒入制棒机投料口时产生的扬尘，建设单位将在制棒机</w:t>
            </w:r>
            <w:r>
              <w:rPr>
                <w:rFonts w:hint="eastAsia"/>
                <w:color w:val="000000" w:themeColor="text1"/>
                <w:sz w:val="24"/>
                <w:u w:val="single"/>
                <w14:textFill>
                  <w14:solidFill>
                    <w14:schemeClr w14:val="tx1"/>
                  </w14:solidFill>
                </w14:textFill>
              </w:rPr>
              <w:t>下</w:t>
            </w:r>
            <w:r>
              <w:rPr>
                <w:color w:val="000000" w:themeColor="text1"/>
                <w:sz w:val="24"/>
                <w:u w:val="single"/>
                <w14:textFill>
                  <w14:solidFill>
                    <w14:schemeClr w14:val="tx1"/>
                  </w14:solidFill>
                </w14:textFill>
              </w:rPr>
              <w:t>料口上方加盖挡板，</w:t>
            </w:r>
            <w:r>
              <w:rPr>
                <w:rFonts w:hint="eastAsia"/>
                <w:color w:val="000000" w:themeColor="text1"/>
                <w:sz w:val="24"/>
                <w:u w:val="single"/>
                <w14:textFill>
                  <w14:solidFill>
                    <w14:schemeClr w14:val="tx1"/>
                  </w14:solidFill>
                </w14:textFill>
              </w:rPr>
              <w:t>对制棒下</w:t>
            </w:r>
            <w:r>
              <w:rPr>
                <w:color w:val="000000" w:themeColor="text1"/>
                <w:sz w:val="24"/>
                <w:u w:val="single"/>
                <w14:textFill>
                  <w14:solidFill>
                    <w14:schemeClr w14:val="tx1"/>
                  </w14:solidFill>
                </w14:textFill>
              </w:rPr>
              <w:t>料口</w:t>
            </w:r>
            <w:r>
              <w:rPr>
                <w:rFonts w:hint="eastAsia"/>
                <w:color w:val="000000" w:themeColor="text1"/>
                <w:sz w:val="24"/>
                <w:u w:val="single"/>
                <w14:textFill>
                  <w14:solidFill>
                    <w14:schemeClr w14:val="tx1"/>
                  </w14:solidFill>
                </w14:textFill>
              </w:rPr>
              <w:t>进行整体全封闭，并对废气进行收集后引至水喷淋处理后经1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排气筒D</w:t>
            </w:r>
            <w:r>
              <w:rPr>
                <w:color w:val="000000" w:themeColor="text1"/>
                <w:sz w:val="24"/>
                <w:u w:val="single"/>
                <w14:textFill>
                  <w14:solidFill>
                    <w14:schemeClr w14:val="tx1"/>
                  </w14:solidFill>
                </w14:textFill>
              </w:rPr>
              <w:t>A001</w:t>
            </w:r>
            <w:r>
              <w:rPr>
                <w:rFonts w:hint="eastAsia"/>
                <w:color w:val="000000" w:themeColor="text1"/>
                <w:sz w:val="24"/>
                <w:u w:val="single"/>
                <w14:textFill>
                  <w14:solidFill>
                    <w14:schemeClr w14:val="tx1"/>
                  </w14:solidFill>
                </w14:textFill>
              </w:rPr>
              <w:t>排放。</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（7）炭化：将半成品在缺氧的条件下干馏成</w:t>
            </w:r>
            <w:r>
              <w:rPr>
                <w:rFonts w:hint="eastAsia"/>
                <w:color w:val="000000" w:themeColor="text1"/>
                <w:sz w:val="24"/>
                <w14:textFill>
                  <w14:solidFill>
                    <w14:schemeClr w14:val="tx1"/>
                  </w14:solidFill>
                </w14:textFill>
              </w:rPr>
              <w:t>竹炭</w:t>
            </w:r>
            <w:r>
              <w:rPr>
                <w:color w:val="000000" w:themeColor="text1"/>
                <w:sz w:val="24"/>
                <w14:textFill>
                  <w14:solidFill>
                    <w14:schemeClr w14:val="tx1"/>
                  </w14:solidFill>
                </w14:textFill>
              </w:rPr>
              <w:t>，其工作原理是半成品在缺氧的条件下燃烧而分解生成可燃气体，焦油和黑色物质(木炭)。该阶段产生的废气为</w:t>
            </w:r>
            <w:r>
              <w:rPr>
                <w:rFonts w:hint="eastAsia"/>
                <w:color w:val="000000" w:themeColor="text1"/>
                <w:sz w:val="24"/>
                <w14:textFill>
                  <w14:solidFill>
                    <w14:schemeClr w14:val="tx1"/>
                  </w14:solidFill>
                </w14:textFill>
              </w:rPr>
              <w:t>煤气等（烘干炭化热源）</w:t>
            </w:r>
            <w:r>
              <w:rPr>
                <w:color w:val="000000" w:themeColor="text1"/>
                <w:sz w:val="24"/>
                <w14:textFill>
                  <w14:solidFill>
                    <w14:schemeClr w14:val="tx1"/>
                  </w14:solidFill>
                </w14:textFill>
              </w:rPr>
              <w:t>，经收集后送</w:t>
            </w:r>
            <w:r>
              <w:rPr>
                <w:rFonts w:hint="eastAsia"/>
                <w:color w:val="000000" w:themeColor="text1"/>
                <w:sz w:val="24"/>
                <w14:textFill>
                  <w14:solidFill>
                    <w14:schemeClr w14:val="tx1"/>
                  </w14:solidFill>
                </w14:textFill>
              </w:rPr>
              <w:t>至</w:t>
            </w:r>
            <w:r>
              <w:rPr>
                <w:color w:val="000000" w:themeColor="text1"/>
                <w:sz w:val="24"/>
                <w14:textFill>
                  <w14:solidFill>
                    <w14:schemeClr w14:val="tx1"/>
                  </w14:solidFill>
                </w14:textFill>
              </w:rPr>
              <w:t>烘干炉</w:t>
            </w:r>
            <w:r>
              <w:rPr>
                <w:rFonts w:hint="eastAsia"/>
                <w:color w:val="000000" w:themeColor="text1"/>
                <w:sz w:val="24"/>
                <w14:textFill>
                  <w14:solidFill>
                    <w14:schemeClr w14:val="tx1"/>
                  </w14:solidFill>
                </w14:textFill>
              </w:rPr>
              <w:t>及炭化工序</w:t>
            </w:r>
            <w:r>
              <w:rPr>
                <w:color w:val="000000" w:themeColor="text1"/>
                <w:sz w:val="24"/>
                <w14:textFill>
                  <w14:solidFill>
                    <w14:schemeClr w14:val="tx1"/>
                  </w14:solidFill>
                </w14:textFill>
              </w:rPr>
              <w:t>利用。</w:t>
            </w:r>
            <w:r>
              <w:rPr>
                <w:rFonts w:hint="eastAsia"/>
                <w:color w:val="000000" w:themeColor="text1"/>
                <w:sz w:val="24"/>
                <w14:textFill>
                  <w14:solidFill>
                    <w14:schemeClr w14:val="tx1"/>
                  </w14:solidFill>
                </w14:textFill>
              </w:rPr>
              <w:t>当遇到停产，设备检修时，滚动式</w:t>
            </w:r>
            <w:r>
              <w:rPr>
                <w:color w:val="000000" w:themeColor="text1"/>
                <w:sz w:val="24"/>
                <w14:textFill>
                  <w14:solidFill>
                    <w14:schemeClr w14:val="tx1"/>
                  </w14:solidFill>
                </w14:textFill>
              </w:rPr>
              <w:t>烘干炉不运行时</w:t>
            </w:r>
            <w:r>
              <w:rPr>
                <w:rFonts w:hint="eastAsia"/>
                <w:color w:val="000000" w:themeColor="text1"/>
                <w:sz w:val="24"/>
                <w14:textFill>
                  <w14:solidFill>
                    <w14:schemeClr w14:val="tx1"/>
                  </w14:solidFill>
                </w14:textFill>
              </w:rPr>
              <w:t>炭化废气在炭化窑火道内充分燃烧后直接排放</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炭化窑为全封闭埋地式窑，窑体采用耐火砖，炭化窑靠近火道一侧墙壁上设有一个排气</w:t>
            </w:r>
            <w:r>
              <w:rPr>
                <w:rFonts w:hint="eastAsia"/>
                <w:color w:val="000000" w:themeColor="text1"/>
                <w:sz w:val="24"/>
                <w:u w:val="single"/>
                <w14:textFill>
                  <w14:solidFill>
                    <w14:schemeClr w14:val="tx1"/>
                  </w14:solidFill>
                </w14:textFill>
              </w:rPr>
              <w:t>筒</w:t>
            </w:r>
            <w:r>
              <w:rPr>
                <w:color w:val="000000" w:themeColor="text1"/>
                <w:sz w:val="24"/>
                <w:u w:val="single"/>
                <w14:textFill>
                  <w14:solidFill>
                    <w14:schemeClr w14:val="tx1"/>
                  </w14:solidFill>
                </w14:textFill>
              </w:rPr>
              <w:t>，炭化过程产生的炭化气在窑旁火道内充分燃烧，需要烘干时热风在变频温控调风系统调解下进入烘干机内提供烘干所需的热量，不需要烘干时热风经</w:t>
            </w:r>
            <w:r>
              <w:rPr>
                <w:rFonts w:hint="eastAsia"/>
                <w:color w:val="000000" w:themeColor="text1"/>
                <w:sz w:val="24"/>
                <w:u w:val="single"/>
                <w14:textFill>
                  <w14:solidFill>
                    <w14:schemeClr w14:val="tx1"/>
                  </w14:solidFill>
                </w14:textFill>
              </w:rPr>
              <w:t>火道充分燃烧后直接经</w:t>
            </w:r>
            <w:r>
              <w:rPr>
                <w:color w:val="000000" w:themeColor="text1"/>
                <w:sz w:val="24"/>
                <w:u w:val="single"/>
                <w14:textFill>
                  <w14:solidFill>
                    <w14:schemeClr w14:val="tx1"/>
                  </w14:solidFill>
                </w14:textFill>
              </w:rPr>
              <w:t>墙壁上排气</w:t>
            </w:r>
            <w:r>
              <w:rPr>
                <w:rFonts w:hint="eastAsia"/>
                <w:color w:val="000000" w:themeColor="text1"/>
                <w:sz w:val="24"/>
                <w:u w:val="single"/>
                <w14:textFill>
                  <w14:solidFill>
                    <w14:schemeClr w14:val="tx1"/>
                  </w14:solidFill>
                </w14:textFill>
              </w:rPr>
              <w:t>筒</w:t>
            </w:r>
            <w:r>
              <w:rPr>
                <w:color w:val="000000" w:themeColor="text1"/>
                <w:sz w:val="24"/>
                <w:u w:val="single"/>
                <w14:textFill>
                  <w14:solidFill>
                    <w14:schemeClr w14:val="tx1"/>
                  </w14:solidFill>
                </w14:textFill>
              </w:rPr>
              <w:t xml:space="preserve"> 15 米（DA003）排放</w:t>
            </w:r>
            <w:r>
              <w:rPr>
                <w:color w:val="000000" w:themeColor="text1"/>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将成型炭棒在炭化炉内通过自身缺氧燃烧产生热量，在高温高压环境下进行干馏炭化，炭化室封闭以隔绝空气，干馏是一个复杂的化学反应，炭化过程大体上可分为三个阶段。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炭化过程一般可以分为以下几个阶段。</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干燥阶段：这个阶段的温度在20-150℃，此阶段棒体基本无化学变化，木屑棒中的水分在外热的条件下被烘干，此过程废气主要产生水蒸气。</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炭化初始阶段：这个阶段主要靠薪棒自身燃烧产生热量，使炉温上升至 160℃-280℃之间，此时，</w:t>
            </w:r>
            <w:r>
              <w:rPr>
                <w:rFonts w:hint="eastAsia"/>
                <w:color w:val="000000" w:themeColor="text1"/>
                <w:sz w:val="24"/>
                <w14:textFill>
                  <w14:solidFill>
                    <w14:schemeClr w14:val="tx1"/>
                  </w14:solidFill>
                </w14:textFill>
              </w:rPr>
              <w:t>竹</w:t>
            </w:r>
            <w:r>
              <w:rPr>
                <w:color w:val="000000" w:themeColor="text1"/>
                <w:sz w:val="24"/>
                <w14:textFill>
                  <w14:solidFill>
                    <w14:schemeClr w14:val="tx1"/>
                  </w14:solidFill>
                </w14:textFill>
              </w:rPr>
              <w:t>质材料发生热分解反应，生产大量的</w:t>
            </w:r>
            <w:r>
              <w:rPr>
                <w:rFonts w:hint="eastAsia"/>
                <w:color w:val="000000" w:themeColor="text1"/>
                <w:sz w:val="24"/>
                <w14:textFill>
                  <w14:solidFill>
                    <w14:schemeClr w14:val="tx1"/>
                  </w14:solidFill>
                </w14:textFill>
              </w:rPr>
              <w:t>竹</w:t>
            </w:r>
            <w:r>
              <w:rPr>
                <w:color w:val="000000" w:themeColor="text1"/>
                <w:sz w:val="24"/>
                <w14:textFill>
                  <w14:solidFill>
                    <w14:schemeClr w14:val="tx1"/>
                  </w14:solidFill>
                </w14:textFill>
              </w:rPr>
              <w:t>焦油、</w:t>
            </w:r>
            <w:r>
              <w:rPr>
                <w:rFonts w:hint="eastAsia"/>
                <w:color w:val="000000" w:themeColor="text1"/>
                <w:sz w:val="24"/>
                <w14:textFill>
                  <w14:solidFill>
                    <w14:schemeClr w14:val="tx1"/>
                  </w14:solidFill>
                </w14:textFill>
              </w:rPr>
              <w:t>竹</w:t>
            </w:r>
            <w:r>
              <w:rPr>
                <w:color w:val="000000" w:themeColor="text1"/>
                <w:sz w:val="24"/>
                <w14:textFill>
                  <w14:solidFill>
                    <w14:schemeClr w14:val="tx1"/>
                  </w14:solidFill>
                </w14:textFill>
              </w:rPr>
              <w:t>煤气。</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以上两个阶段都要外界供给热量来保证热解温度的上升，所以又称为吸热分解阶段。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③全面炭化阶段：这个阶段的温度为</w:t>
            </w:r>
            <w:r>
              <w:rPr>
                <w:rFonts w:hint="eastAsia"/>
                <w:color w:val="000000" w:themeColor="text1"/>
                <w:sz w:val="24"/>
                <w14:textFill>
                  <w14:solidFill>
                    <w14:schemeClr w14:val="tx1"/>
                  </w14:solidFill>
                </w14:textFill>
              </w:rPr>
              <w:t>65</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00℃，在这阶段中，随着水和有机物蒸汽的析出，剩余物资受热缩合成胶体，同时析出的挥发物减少，胶体逐渐固化和炭化。随着时间延长，碳含量增多，其余元素减少。此过程会产生机制炭、焦油、煤气，机制炭是本项目最终产品，焦油是一种干烃类、酸类、酯类的复杂混合物，煤气主要是一氧化碳、二氧化碳、甲烷、丁烷等。</w:t>
            </w:r>
            <w:r>
              <w:rPr>
                <w:rFonts w:hint="eastAsia"/>
                <w:color w:val="000000" w:themeColor="text1"/>
                <w:sz w:val="24"/>
                <w14:textFill>
                  <w14:solidFill>
                    <w14:schemeClr w14:val="tx1"/>
                  </w14:solidFill>
                </w14:textFill>
              </w:rPr>
              <w:t>焦油沸点为200-220℃，炭化热解温度可达到280-400℃，因此燃烧的主要产物为二氧化碳和水。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注：炭化</w:t>
            </w:r>
            <w:r>
              <w:rPr>
                <w:rFonts w:hint="eastAsia"/>
                <w:color w:val="000000" w:themeColor="text1"/>
                <w:sz w:val="24"/>
                <w14:textFill>
                  <w14:solidFill>
                    <w14:schemeClr w14:val="tx1"/>
                  </w14:solidFill>
                </w14:textFill>
              </w:rPr>
              <w:t>窑</w:t>
            </w:r>
            <w:r>
              <w:rPr>
                <w:color w:val="000000" w:themeColor="text1"/>
                <w:sz w:val="24"/>
                <w14:textFill>
                  <w14:solidFill>
                    <w14:schemeClr w14:val="tx1"/>
                  </w14:solidFill>
                </w14:textFill>
              </w:rPr>
              <w:t>采用小木棒引火，炭化</w:t>
            </w:r>
            <w:r>
              <w:rPr>
                <w:rFonts w:hint="eastAsia"/>
                <w:color w:val="000000" w:themeColor="text1"/>
                <w:sz w:val="24"/>
                <w14:textFill>
                  <w14:solidFill>
                    <w14:schemeClr w14:val="tx1"/>
                  </w14:solidFill>
                </w14:textFill>
              </w:rPr>
              <w:t>窑</w:t>
            </w:r>
            <w:r>
              <w:rPr>
                <w:color w:val="000000" w:themeColor="text1"/>
                <w:sz w:val="24"/>
                <w14:textFill>
                  <w14:solidFill>
                    <w14:schemeClr w14:val="tx1"/>
                  </w14:solidFill>
                </w14:textFill>
              </w:rPr>
              <w:t>内薪棒会自</w:t>
            </w:r>
            <w:r>
              <w:rPr>
                <w:rFonts w:hint="eastAsia"/>
                <w:color w:val="000000" w:themeColor="text1"/>
                <w:sz w:val="24"/>
                <w14:textFill>
                  <w14:solidFill>
                    <w14:schemeClr w14:val="tx1"/>
                  </w14:solidFill>
                </w14:textFill>
              </w:rPr>
              <w:t>燃</w:t>
            </w:r>
            <w:r>
              <w:rPr>
                <w:color w:val="000000" w:themeColor="text1"/>
                <w:sz w:val="24"/>
                <w14:textFill>
                  <w14:solidFill>
                    <w14:schemeClr w14:val="tx1"/>
                  </w14:solidFill>
                </w14:textFill>
              </w:rPr>
              <w:t>。炭化</w:t>
            </w:r>
            <w:r>
              <w:rPr>
                <w:rFonts w:hint="eastAsia"/>
                <w:color w:val="000000" w:themeColor="text1"/>
                <w:sz w:val="24"/>
                <w14:textFill>
                  <w14:solidFill>
                    <w14:schemeClr w14:val="tx1"/>
                  </w14:solidFill>
                </w14:textFill>
              </w:rPr>
              <w:t>产生</w:t>
            </w:r>
            <w:r>
              <w:rPr>
                <w:color w:val="000000" w:themeColor="text1"/>
                <w:sz w:val="24"/>
                <w14:textFill>
                  <w14:solidFill>
                    <w14:schemeClr w14:val="tx1"/>
                  </w14:solidFill>
                </w14:textFill>
              </w:rPr>
              <w:t>可燃气直接经管道</w:t>
            </w:r>
            <w:r>
              <w:rPr>
                <w:rFonts w:hint="eastAsia"/>
                <w:color w:val="000000" w:themeColor="text1"/>
                <w:sz w:val="24"/>
                <w14:textFill>
                  <w14:solidFill>
                    <w14:schemeClr w14:val="tx1"/>
                  </w14:solidFill>
                </w14:textFill>
              </w:rPr>
              <w:t>回用于炭化工序</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煤气等（烘干炭化热源）</w:t>
            </w:r>
            <w:r>
              <w:rPr>
                <w:color w:val="000000" w:themeColor="text1"/>
                <w:sz w:val="24"/>
                <w14:textFill>
                  <w14:solidFill>
                    <w14:schemeClr w14:val="tx1"/>
                  </w14:solidFill>
                </w14:textFill>
              </w:rPr>
              <w:t>经收集后送烘干炉进行高温焚烧，其化学反应式：CnHnOn+O2 =CO2+H2O，其生成物为CO2和H2O。所以炭化烟气高温氧化后的碳排放为零，而水蒸汽对环境没有任何污染，所以炭化烟气高温氧化后，其排放的尾气对环境没有污染</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u w:val="single"/>
                <w14:textFill>
                  <w14:solidFill>
                    <w14:schemeClr w14:val="tx1"/>
                  </w14:solidFill>
                </w14:textFill>
              </w:rPr>
            </w:pPr>
            <w:bookmarkStart w:id="4" w:name="_Hlk160438680"/>
            <w:r>
              <w:rPr>
                <w:rFonts w:hint="eastAsia"/>
                <w:color w:val="000000" w:themeColor="text1"/>
                <w:sz w:val="24"/>
                <w:u w:val="single"/>
                <w14:textFill>
                  <w14:solidFill>
                    <w14:schemeClr w14:val="tx1"/>
                  </w14:solidFill>
                </w14:textFill>
              </w:rPr>
              <w:t>本项目炭化窑工序为避氧（2</w:t>
            </w:r>
            <w:r>
              <w:rPr>
                <w:color w:val="000000" w:themeColor="text1"/>
                <w:sz w:val="24"/>
                <w:u w:val="single"/>
                <w14:textFill>
                  <w14:solidFill>
                    <w14:schemeClr w14:val="tx1"/>
                  </w14:solidFill>
                </w14:textFill>
              </w:rPr>
              <w:t>4</w:t>
            </w:r>
            <w:r>
              <w:rPr>
                <w:rFonts w:hint="eastAsia"/>
                <w:color w:val="000000" w:themeColor="text1"/>
                <w:sz w:val="24"/>
                <w:u w:val="single"/>
                <w14:textFill>
                  <w14:solidFill>
                    <w14:schemeClr w14:val="tx1"/>
                  </w14:solidFill>
                </w14:textFill>
              </w:rPr>
              <w:t>小时）、炭化（4</w:t>
            </w:r>
            <w:r>
              <w:rPr>
                <w:color w:val="000000" w:themeColor="text1"/>
                <w:sz w:val="24"/>
                <w:u w:val="single"/>
                <w14:textFill>
                  <w14:solidFill>
                    <w14:schemeClr w14:val="tx1"/>
                  </w14:solidFill>
                </w14:textFill>
              </w:rPr>
              <w:t>8</w:t>
            </w:r>
            <w:r>
              <w:rPr>
                <w:rFonts w:hint="eastAsia"/>
                <w:color w:val="000000" w:themeColor="text1"/>
                <w:sz w:val="24"/>
                <w:u w:val="single"/>
                <w14:textFill>
                  <w14:solidFill>
                    <w14:schemeClr w14:val="tx1"/>
                  </w14:solidFill>
                </w14:textFill>
              </w:rPr>
              <w:t>小时）、冷却（</w:t>
            </w:r>
            <w:r>
              <w:rPr>
                <w:color w:val="000000" w:themeColor="text1"/>
                <w:sz w:val="24"/>
                <w:u w:val="single"/>
                <w14:textFill>
                  <w14:solidFill>
                    <w14:schemeClr w14:val="tx1"/>
                  </w14:solidFill>
                </w14:textFill>
              </w:rPr>
              <w:t>12</w:t>
            </w:r>
            <w:r>
              <w:rPr>
                <w:rFonts w:hint="eastAsia"/>
                <w:color w:val="000000" w:themeColor="text1"/>
                <w:sz w:val="24"/>
                <w:u w:val="single"/>
                <w14:textFill>
                  <w14:solidFill>
                    <w14:schemeClr w14:val="tx1"/>
                  </w14:solidFill>
                </w14:textFill>
              </w:rPr>
              <w:t>小时）、避氧（</w:t>
            </w:r>
            <w:r>
              <w:rPr>
                <w:color w:val="000000" w:themeColor="text1"/>
                <w:sz w:val="24"/>
                <w:u w:val="single"/>
                <w14:textFill>
                  <w14:solidFill>
                    <w14:schemeClr w14:val="tx1"/>
                  </w14:solidFill>
                </w14:textFill>
              </w:rPr>
              <w:t>12</w:t>
            </w:r>
            <w:r>
              <w:rPr>
                <w:rFonts w:hint="eastAsia"/>
                <w:color w:val="000000" w:themeColor="text1"/>
                <w:sz w:val="24"/>
                <w:u w:val="single"/>
                <w14:textFill>
                  <w14:solidFill>
                    <w14:schemeClr w14:val="tx1"/>
                  </w14:solidFill>
                </w14:textFill>
              </w:rPr>
              <w:t>小时）、机制炭冷却（</w:t>
            </w:r>
            <w:r>
              <w:rPr>
                <w:color w:val="000000" w:themeColor="text1"/>
                <w:sz w:val="24"/>
                <w:u w:val="single"/>
                <w14:textFill>
                  <w14:solidFill>
                    <w14:schemeClr w14:val="tx1"/>
                  </w14:solidFill>
                </w14:textFill>
              </w:rPr>
              <w:t>24</w:t>
            </w:r>
            <w:r>
              <w:rPr>
                <w:rFonts w:hint="eastAsia"/>
                <w:color w:val="000000" w:themeColor="text1"/>
                <w:sz w:val="24"/>
                <w:u w:val="single"/>
                <w14:textFill>
                  <w14:solidFill>
                    <w14:schemeClr w14:val="tx1"/>
                  </w14:solidFill>
                </w14:textFill>
              </w:rPr>
              <w:t>小时）、出窑（</w:t>
            </w:r>
            <w:r>
              <w:rPr>
                <w:color w:val="000000" w:themeColor="text1"/>
                <w:sz w:val="24"/>
                <w:u w:val="single"/>
                <w14:textFill>
                  <w14:solidFill>
                    <w14:schemeClr w14:val="tx1"/>
                  </w14:solidFill>
                </w14:textFill>
              </w:rPr>
              <w:t>8</w:t>
            </w:r>
            <w:r>
              <w:rPr>
                <w:rFonts w:hint="eastAsia"/>
                <w:color w:val="000000" w:themeColor="text1"/>
                <w:sz w:val="24"/>
                <w:u w:val="single"/>
                <w14:textFill>
                  <w14:solidFill>
                    <w14:schemeClr w14:val="tx1"/>
                  </w14:solidFill>
                </w14:textFill>
              </w:rPr>
              <w:t>小时）、窑冷却</w:t>
            </w:r>
            <w:bookmarkEnd w:id="4"/>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24</w:t>
            </w:r>
            <w:r>
              <w:rPr>
                <w:rFonts w:hint="eastAsia"/>
                <w:color w:val="000000" w:themeColor="text1"/>
                <w:sz w:val="24"/>
                <w:u w:val="single"/>
                <w14:textFill>
                  <w14:solidFill>
                    <w14:schemeClr w14:val="tx1"/>
                  </w14:solidFill>
                </w14:textFill>
              </w:rPr>
              <w:t>小时），冷却后随即</w:t>
            </w:r>
            <w:r>
              <w:rPr>
                <w:color w:val="000000" w:themeColor="text1"/>
                <w:sz w:val="24"/>
                <w:u w:val="single"/>
                <w14:textFill>
                  <w14:solidFill>
                    <w14:schemeClr w14:val="tx1"/>
                  </w14:solidFill>
                </w14:textFill>
              </w:rPr>
              <w:t>出窑成炭</w:t>
            </w:r>
            <w:r>
              <w:rPr>
                <w:rFonts w:hint="eastAsia"/>
                <w:color w:val="000000" w:themeColor="text1"/>
                <w:sz w:val="24"/>
                <w:u w:val="single"/>
                <w14:textFill>
                  <w14:solidFill>
                    <w14:schemeClr w14:val="tx1"/>
                  </w14:solidFill>
                </w14:textFill>
              </w:rPr>
              <w:t>成品</w:t>
            </w:r>
            <w:r>
              <w:rPr>
                <w:color w:val="000000" w:themeColor="text1"/>
                <w:sz w:val="24"/>
                <w:u w:val="single"/>
                <w14:textFill>
                  <w14:solidFill>
                    <w14:schemeClr w14:val="tx1"/>
                  </w14:solidFill>
                </w14:textFill>
              </w:rPr>
              <w:t>。</w: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）包装：成品出窑后包装、出售。</w:t>
            </w:r>
          </w:p>
          <w:p>
            <w:pPr>
              <w:adjustRightInd w:val="0"/>
              <w:snapToGrid w:val="0"/>
              <w:spacing w:line="360" w:lineRule="auto"/>
              <w:ind w:firstLine="240" w:firstLineChars="100"/>
              <w:rPr>
                <w:rFonts w:ascii="宋体" w:hAnsi="宋体"/>
                <w:bCs/>
                <w:color w:val="000000" w:themeColor="text1"/>
                <w:sz w:val="24"/>
                <w14:textFill>
                  <w14:solidFill>
                    <w14:schemeClr w14:val="tx1"/>
                  </w14:solidFill>
                </w14:textFill>
              </w:rPr>
            </w:pPr>
            <w:r>
              <w:rPr>
                <w:bCs/>
                <w:color w:val="000000" w:themeColor="text1"/>
                <w:sz w:val="24"/>
                <w14:textFill>
                  <w14:solidFill>
                    <w14:schemeClr w14:val="tx1"/>
                  </w14:solidFill>
                </w14:textFill>
              </w:rPr>
              <w:t>2.2 钾钠长石粉烘干工艺流程</w:t>
            </w:r>
            <w:r>
              <w:rPr>
                <w:rFonts w:hint="eastAsia" w:ascii="宋体" w:hAnsi="宋体"/>
                <w:bCs/>
                <w:color w:val="000000" w:themeColor="text1"/>
                <w:sz w:val="24"/>
                <w14:textFill>
                  <w14:solidFill>
                    <w14:schemeClr w14:val="tx1"/>
                  </w14:solidFill>
                </w14:textFill>
              </w:rPr>
              <w:t>：</w:t>
            </w:r>
          </w:p>
          <w:p>
            <w:pPr>
              <w:pStyle w:val="2"/>
              <w:ind w:left="0" w:leftChars="0"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本项目外购成品钾钠长石粉含水量为2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，通过密闭皮带将钾钠长石粉输送至烘干机进行烘干，本项目烘干热源利用炭化过程产生的热源进行烘干后打包外售，项目烘干和包装过程会产生粉尘和噪声。</w:t>
            </w: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3032760</wp:posOffset>
                      </wp:positionH>
                      <wp:positionV relativeFrom="paragraph">
                        <wp:posOffset>181610</wp:posOffset>
                      </wp:positionV>
                      <wp:extent cx="914400" cy="279400"/>
                      <wp:effectExtent l="0" t="0" r="0" b="0"/>
                      <wp:wrapNone/>
                      <wp:docPr id="2011583606" name="矩形 5"/>
                      <wp:cNvGraphicFramePr/>
                      <a:graphic xmlns:a="http://schemas.openxmlformats.org/drawingml/2006/main">
                        <a:graphicData uri="http://schemas.microsoft.com/office/word/2010/wordprocessingShape">
                          <wps:wsp>
                            <wps:cNvSpPr/>
                            <wps:spPr>
                              <a:xfrm>
                                <a:off x="0" y="0"/>
                                <a:ext cx="914400" cy="279400"/>
                              </a:xfrm>
                              <a:prstGeom prst="rect">
                                <a:avLst/>
                              </a:prstGeom>
                              <a:noFill/>
                              <a:ln w="25400" cap="flat" cmpd="sng" algn="ctr">
                                <a:noFill/>
                                <a:prstDash val="solid"/>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粉尘、噪声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238.8pt;margin-top:14.3pt;height:22pt;width:72pt;z-index:251709440;v-text-anchor:middle;mso-width-relative:page;mso-height-relative:page;" filled="f" stroked="f" coordsize="21600,21600" o:gfxdata="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iN+adcA&#10;AAAJAQAADwAAAAAAAAABACAAAAAiAAAAZHJzL2Rvd25yZXYueG1sUEsBAhQAFAAAAAgAh07iQGU+&#10;j0tZAgAArAQAAA4AAAAAAAAAAQAgAAAAJgEAAGRycy9lMm9Eb2MueG1sUEsFBgAAAAAGAAYAWQEA&#10;APEFAAAAAA==&#10;">
                      <v:fill on="f" focussize="0,0"/>
                      <v:stroke on="f" weight="2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粉尘、噪声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1644650</wp:posOffset>
                      </wp:positionH>
                      <wp:positionV relativeFrom="paragraph">
                        <wp:posOffset>184150</wp:posOffset>
                      </wp:positionV>
                      <wp:extent cx="914400" cy="279400"/>
                      <wp:effectExtent l="0" t="0" r="0" b="0"/>
                      <wp:wrapNone/>
                      <wp:docPr id="726663204" name="矩形 5"/>
                      <wp:cNvGraphicFramePr/>
                      <a:graphic xmlns:a="http://schemas.openxmlformats.org/drawingml/2006/main">
                        <a:graphicData uri="http://schemas.microsoft.com/office/word/2010/wordprocessingShape">
                          <wps:wsp>
                            <wps:cNvSpPr/>
                            <wps:spPr>
                              <a:xfrm>
                                <a:off x="0" y="0"/>
                                <a:ext cx="914400" cy="2794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粉尘、噪声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129.5pt;margin-top:14.5pt;height:22pt;width:72pt;z-index:251708416;v-text-anchor:middle;mso-width-relative:page;mso-height-relative:page;" filled="f" stroked="f" coordsize="21600,21600" o:gfxdata="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0XfRXVAAAACQEAAA8A&#10;AAAAAAAAAQAgAAAAIgAAAGRycy9kb3ducmV2LnhtbFBLAQIUABQAAAAIAIdO4kAeMlK7UwIAAJ0E&#10;AAAOAAAAAAAAAAEAIAAAACQBAABkcnMvZTJvRG9jLnhtbFBLBQYAAAAABgAGAFkBAADpBQAAAAA=&#10;">
                      <v:fill on="f" focussize="0,0"/>
                      <v:stroke on="f" weight="2pt"/>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粉尘、噪声</w:t>
                            </w:r>
                          </w:p>
                        </w:txbxContent>
                      </v:textbox>
                    </v:rect>
                  </w:pict>
                </mc:Fallback>
              </mc:AlternateConten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3521710</wp:posOffset>
                      </wp:positionH>
                      <wp:positionV relativeFrom="paragraph">
                        <wp:posOffset>123190</wp:posOffset>
                      </wp:positionV>
                      <wp:extent cx="0" cy="355600"/>
                      <wp:effectExtent l="76200" t="38100" r="57150" b="25400"/>
                      <wp:wrapNone/>
                      <wp:docPr id="383338284" name="直接箭头连接符 4"/>
                      <wp:cNvGraphicFramePr/>
                      <a:graphic xmlns:a="http://schemas.openxmlformats.org/drawingml/2006/main">
                        <a:graphicData uri="http://schemas.microsoft.com/office/word/2010/wordprocessingShape">
                          <wps:wsp>
                            <wps:cNvCnPr/>
                            <wps:spPr>
                              <a:xfrm flipV="1">
                                <a:off x="0" y="0"/>
                                <a:ext cx="0" cy="35560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anchor>
                  </w:drawing>
                </mc:Choice>
                <mc:Fallback>
                  <w:pict>
                    <v:shape id="直接箭头连接符 4" o:spid="_x0000_s1026" o:spt="32" type="#_x0000_t32" style="position:absolute;left:0pt;flip:y;margin-left:277.3pt;margin-top:9.7pt;height:28pt;width:0pt;z-index:251706368;mso-width-relative:page;mso-height-relative:page;" filled="f" stroked="t" coordsize="21600,21600" o:gfxdata="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9v0UI0wAAAAkBAAAPAAAAAAAAAAEAIAAAACIAAABkcnMvZG93bnJldi54bWxQSwEC&#10;FAAUAAAACACHTuJA/t+zPjICAAA0BAAADgAAAAAAAAABACAAAAAiAQAAZHJzL2Uyb0RvYy54bWxQ&#10;SwUGAAAAAAYABgBZAQAAxgUAAAAA&#10;">
                      <v:fill on="f" focussize="0,0"/>
                      <v:stroke color="#000000" joinstyle="round" dashstyle="dash" endarrow="block"/>
                      <v:imagedata o:title=""/>
                      <o:lock v:ext="edit" aspectratio="f"/>
                    </v:shape>
                  </w:pict>
                </mc:Fallback>
              </mc:AlternateContent>
            </w:r>
            <w:r>
              <w:rPr>
                <w:rFonts w:hint="eastAsia"/>
                <w:color w:val="000000" w:themeColor="text1"/>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2143760</wp:posOffset>
                      </wp:positionH>
                      <wp:positionV relativeFrom="paragraph">
                        <wp:posOffset>122555</wp:posOffset>
                      </wp:positionV>
                      <wp:extent cx="0" cy="355600"/>
                      <wp:effectExtent l="76200" t="38100" r="57150" b="25400"/>
                      <wp:wrapNone/>
                      <wp:docPr id="226898286" name="直接箭头连接符 4"/>
                      <wp:cNvGraphicFramePr/>
                      <a:graphic xmlns:a="http://schemas.openxmlformats.org/drawingml/2006/main">
                        <a:graphicData uri="http://schemas.microsoft.com/office/word/2010/wordprocessingShape">
                          <wps:wsp>
                            <wps:cNvCnPr/>
                            <wps:spPr>
                              <a:xfrm flipV="1">
                                <a:off x="0" y="0"/>
                                <a:ext cx="0" cy="355600"/>
                              </a:xfrm>
                              <a:prstGeom prst="straightConnector1">
                                <a:avLst/>
                              </a:prstGeom>
                              <a:noFill/>
                              <a:ln w="9525" cap="flat" cmpd="sng" algn="ctr">
                                <a:solidFill>
                                  <a:sysClr val="windowText" lastClr="000000">
                                    <a:shade val="95000"/>
                                    <a:satMod val="105000"/>
                                  </a:sysClr>
                                </a:solidFill>
                                <a:prstDash val="dash"/>
                                <a:tailEnd type="triangle"/>
                              </a:ln>
                              <a:effectLst/>
                            </wps:spPr>
                            <wps:bodyPr/>
                          </wps:wsp>
                        </a:graphicData>
                      </a:graphic>
                    </wp:anchor>
                  </w:drawing>
                </mc:Choice>
                <mc:Fallback>
                  <w:pict>
                    <v:shape id="直接箭头连接符 4" o:spid="_x0000_s1026" o:spt="32" type="#_x0000_t32" style="position:absolute;left:0pt;flip:y;margin-left:168.8pt;margin-top:9.65pt;height:28pt;width:0pt;z-index:251707392;mso-width-relative:page;mso-height-relative:page;" filled="f" stroked="t" coordsize="21600,21600" o:gfxdata="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CWXkzSAAAACQEAAA8AAAAAAAAAAQAgAAAAIgAAAGRycy9kb3ducmV2LnhtbFBLAQIU&#10;ABQAAAAIAIdO4kBeCT5TMgIAADQEAAAOAAAAAAAAAAEAIAAAACEBAABkcnMvZTJvRG9jLnhtbFBL&#10;BQYAAAAABgAGAFkBAADFBQAAAAA=&#10;">
                      <v:fill on="f" focussize="0,0"/>
                      <v:stroke color="#000000" joinstyle="round" dashstyle="dash" endarrow="block"/>
                      <v:imagedata o:title=""/>
                      <o:lock v:ext="edit" aspectratio="f"/>
                    </v:shape>
                  </w:pict>
                </mc:Fallback>
              </mc:AlternateContent>
            </w: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3134360</wp:posOffset>
                      </wp:positionH>
                      <wp:positionV relativeFrom="paragraph">
                        <wp:posOffset>130175</wp:posOffset>
                      </wp:positionV>
                      <wp:extent cx="749300" cy="342900"/>
                      <wp:effectExtent l="0" t="0" r="12700" b="19050"/>
                      <wp:wrapNone/>
                      <wp:docPr id="1254757200" name="矩形 1"/>
                      <wp:cNvGraphicFramePr/>
                      <a:graphic xmlns:a="http://schemas.openxmlformats.org/drawingml/2006/main">
                        <a:graphicData uri="http://schemas.microsoft.com/office/word/2010/wordprocessingShape">
                          <wps:wsp>
                            <wps:cNvSpPr/>
                            <wps:spPr>
                              <a:xfrm>
                                <a:off x="0" y="0"/>
                                <a:ext cx="749300" cy="342900"/>
                              </a:xfrm>
                              <a:prstGeom prst="rect">
                                <a:avLst/>
                              </a:prstGeom>
                              <a:noFill/>
                              <a:ln w="9525" cap="flat" cmpd="sng" algn="ctr">
                                <a:solidFill>
                                  <a:sysClr val="windowText" lastClr="000000"/>
                                </a:solidFill>
                                <a:prstDash val="solid"/>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包装入库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246.8pt;margin-top:10.25pt;height:27pt;width:59pt;z-index:251703296;v-text-anchor:middle;mso-width-relative:page;mso-height-relative:page;" filled="f" stroked="t" coordsize="21600,21600" o:gfxdata="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UxManZAAAACQEAAA8AAAAAAAAAAQAgAAAAIgAA&#10;AGRycy9kb3ducmV2LnhtbFBLAQIUABQAAAAIAIdO4kAkI33weQIAAOgEAAAOAAAAAAAAAAEAIAAA&#10;ACgBAABkcnMvZTJvRG9jLnhtbFBLBQYAAAAABgAGAFkBAAATBgAAAAA=&#10;">
                      <v:fill on="f" focussize="0,0"/>
                      <v:stroke color="#000000"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包装入库</w:t>
                            </w:r>
                          </w:p>
                        </w:txbxContent>
                      </v:textbox>
                    </v:rect>
                  </w:pict>
                </mc:Fallback>
              </mc:AlternateContent>
            </w:r>
            <w:r>
              <w:rPr>
                <w:rFonts w:ascii="宋体" w:hAnsi="宋体"/>
                <w:bCs/>
                <w:color w:val="000000" w:themeColor="text1"/>
                <w:sz w:val="24"/>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2559050</wp:posOffset>
                      </wp:positionH>
                      <wp:positionV relativeFrom="paragraph">
                        <wp:posOffset>285115</wp:posOffset>
                      </wp:positionV>
                      <wp:extent cx="577850" cy="0"/>
                      <wp:effectExtent l="0" t="76200" r="12700" b="95250"/>
                      <wp:wrapNone/>
                      <wp:docPr id="119315453" name="直接箭头连接符 3"/>
                      <wp:cNvGraphicFramePr/>
                      <a:graphic xmlns:a="http://schemas.openxmlformats.org/drawingml/2006/main">
                        <a:graphicData uri="http://schemas.microsoft.com/office/word/2010/wordprocessingShape">
                          <wps:wsp>
                            <wps:cNvCnPr/>
                            <wps:spPr>
                              <a:xfrm>
                                <a:off x="0" y="0"/>
                                <a:ext cx="577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 o:spid="_x0000_s1026" o:spt="32" type="#_x0000_t32" style="position:absolute;left:0pt;margin-left:201.5pt;margin-top:22.45pt;height:0pt;width:45.5pt;z-index:251705344;mso-width-relative:page;mso-height-relative:page;" filled="f" stroked="t" coordsize="21600,21600" o:gfxdata="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5z3LX2AAAAAkBAAAP&#10;AAAAAAAAAAEAIAAAACIAAABkcnMvZG93bnJldi54bWxQSwECFAAUAAAACACHTuJA1RbvzRgCAAAK&#10;BAAADgAAAAAAAAABACAAAAAnAQAAZHJzL2Uyb0RvYy54bWxQSwUGAAAAAAYABgBZAQAAsQUAAAAA&#10;">
                      <v:fill on="f" focussize="0,0"/>
                      <v:stroke color="#000000 [3200]" joinstyle="round" endarrow="block"/>
                      <v:imagedata o:title=""/>
                      <o:lock v:ext="edit" aspectratio="f"/>
                    </v:shape>
                  </w:pict>
                </mc:Fallback>
              </mc:AlternateContent>
            </w:r>
            <w:r>
              <w:rPr>
                <w:rFonts w:ascii="宋体" w:hAnsi="宋体"/>
                <w:bCs/>
                <w:color w:val="000000" w:themeColor="text1"/>
                <w:sz w:val="24"/>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1231900</wp:posOffset>
                      </wp:positionH>
                      <wp:positionV relativeFrom="paragraph">
                        <wp:posOffset>278765</wp:posOffset>
                      </wp:positionV>
                      <wp:extent cx="577850" cy="0"/>
                      <wp:effectExtent l="0" t="76200" r="12700" b="95250"/>
                      <wp:wrapNone/>
                      <wp:docPr id="1187494961" name="直接箭头连接符 2"/>
                      <wp:cNvGraphicFramePr/>
                      <a:graphic xmlns:a="http://schemas.openxmlformats.org/drawingml/2006/main">
                        <a:graphicData uri="http://schemas.microsoft.com/office/word/2010/wordprocessingShape">
                          <wps:wsp>
                            <wps:cNvCnPr/>
                            <wps:spPr>
                              <a:xfrm>
                                <a:off x="0" y="0"/>
                                <a:ext cx="577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 o:spid="_x0000_s1026" o:spt="32" type="#_x0000_t32" style="position:absolute;left:0pt;margin-left:97pt;margin-top:21.95pt;height:0pt;width:45.5pt;z-index:251704320;mso-width-relative:page;mso-height-relative:page;" filled="f" stroked="t" coordsize="21600,21600" o:gfxdata="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PQfxXYAAAACQEA&#10;AA8AAAAAAAAAAQAgAAAAIgAAAGRycy9kb3ducmV2LnhtbFBLAQIUABQAAAAIAIdO4kDIK49pGgIA&#10;AAsEAAAOAAAAAAAAAAEAIAAAACcBAABkcnMvZTJvRG9jLnhtbFBLBQYAAAAABgAGAFkBAACzBQAA&#10;AAA=&#10;">
                      <v:fill on="f" focussize="0,0"/>
                      <v:stroke color="#000000 [3200]" joinstyle="round" endarrow="block"/>
                      <v:imagedata o:title=""/>
                      <o:lock v:ext="edit" aspectratio="f"/>
                    </v:shape>
                  </w:pict>
                </mc:Fallback>
              </mc:AlternateContent>
            </w:r>
            <w:r>
              <w:rPr>
                <w:rFonts w:ascii="宋体" w:hAnsi="宋体"/>
                <w:bCs/>
                <w:color w:val="000000" w:themeColor="text1"/>
                <w:sz w:val="24"/>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1809750</wp:posOffset>
                      </wp:positionH>
                      <wp:positionV relativeFrom="paragraph">
                        <wp:posOffset>139065</wp:posOffset>
                      </wp:positionV>
                      <wp:extent cx="749300" cy="342900"/>
                      <wp:effectExtent l="0" t="0" r="12700" b="19050"/>
                      <wp:wrapNone/>
                      <wp:docPr id="305373766" name="矩形 1"/>
                      <wp:cNvGraphicFramePr/>
                      <a:graphic xmlns:a="http://schemas.openxmlformats.org/drawingml/2006/main">
                        <a:graphicData uri="http://schemas.microsoft.com/office/word/2010/wordprocessingShape">
                          <wps:wsp>
                            <wps:cNvSpPr/>
                            <wps:spPr>
                              <a:xfrm>
                                <a:off x="0" y="0"/>
                                <a:ext cx="749300" cy="342900"/>
                              </a:xfrm>
                              <a:prstGeom prst="rect">
                                <a:avLst/>
                              </a:prstGeom>
                              <a:noFill/>
                              <a:ln w="9525" cap="flat" cmpd="sng" algn="ctr">
                                <a:solidFill>
                                  <a:sysClr val="windowText" lastClr="000000"/>
                                </a:solidFill>
                                <a:prstDash val="solid"/>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烘干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42.5pt;margin-top:10.95pt;height:27pt;width:59pt;z-index:251702272;v-text-anchor:middle;mso-width-relative:page;mso-height-relative:page;" filled="f" stroked="t" coordsize="21600,21600" o:gfxdata="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RlqMQ2QAAAAkBAAAPAAAAAAAAAAEAIAAAACIA&#10;AABkcnMvZG93bnJldi54bWxQSwECFAAUAAAACACHTuJArMfHL3oCAADnBAAADgAAAAAAAAABACAA&#10;AAAoAQAAZHJzL2Uyb0RvYy54bWxQSwUGAAAAAAYABgBZAQAAFAYAAAAA&#10;">
                      <v:fill on="f" focussize="0,0"/>
                      <v:stroke color="#000000"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烘干</w:t>
                            </w:r>
                          </w:p>
                        </w:txbxContent>
                      </v:textbox>
                    </v:rect>
                  </w:pict>
                </mc:Fallback>
              </mc:AlternateContent>
            </w:r>
            <w:r>
              <w:rPr>
                <w:rFonts w:ascii="宋体" w:hAnsi="宋体"/>
                <w:bCs/>
                <w:color w:val="000000" w:themeColor="text1"/>
                <w:sz w:val="24"/>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165100</wp:posOffset>
                      </wp:positionH>
                      <wp:positionV relativeFrom="paragraph">
                        <wp:posOffset>100965</wp:posOffset>
                      </wp:positionV>
                      <wp:extent cx="1066800" cy="381000"/>
                      <wp:effectExtent l="0" t="0" r="19050" b="19050"/>
                      <wp:wrapNone/>
                      <wp:docPr id="673059663" name="矩形 1"/>
                      <wp:cNvGraphicFramePr/>
                      <a:graphic xmlns:a="http://schemas.openxmlformats.org/drawingml/2006/main">
                        <a:graphicData uri="http://schemas.microsoft.com/office/word/2010/wordprocessingShape">
                          <wps:wsp>
                            <wps:cNvSpPr/>
                            <wps:spPr>
                              <a:xfrm>
                                <a:off x="0" y="0"/>
                                <a:ext cx="1066800" cy="38100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钾钠长石粉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13pt;margin-top:7.95pt;height:30pt;width:84pt;z-index:251701248;v-text-anchor:middle;mso-width-relative:page;mso-height-relative:page;" filled="f" stroked="t" coordsize="21600,21600" o:gfxdata="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0i6UDXAAAACAEAAA8AAAAAAAAAAQAgAAAAIgAAAGRycy9kb3ducmV2LnhtbFBL&#10;AQIUABQAAAAIAIdO4kC3PnohaQIAAMYEAAAOAAAAAAAAAAEAIAAAACYBAABkcnMvZTJvRG9jLnht&#10;bFBLBQYAAAAABgAGAFkBAAABBgAAAAA=&#10;">
                      <v:fill on="f" focussize="0,0"/>
                      <v:stroke color="#000000 [3213]" joinstyle="round"/>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钾钠长石粉</w:t>
                            </w:r>
                          </w:p>
                        </w:txbxContent>
                      </v:textbox>
                    </v:rect>
                  </w:pict>
                </mc:Fallback>
              </mc:AlternateContent>
            </w:r>
          </w:p>
          <w:p>
            <w:pPr>
              <w:pStyle w:val="2"/>
              <w:ind w:firstLine="480"/>
              <w:rPr>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图</w:t>
            </w:r>
            <w:r>
              <w:rPr>
                <w:b/>
                <w:color w:val="000000" w:themeColor="text1"/>
                <w:szCs w:val="21"/>
                <w14:textFill>
                  <w14:solidFill>
                    <w14:schemeClr w14:val="tx1"/>
                  </w14:solidFill>
                </w14:textFill>
              </w:rPr>
              <w:t>2-4</w:t>
            </w:r>
            <w:r>
              <w:rPr>
                <w:rFonts w:hint="eastAsia"/>
                <w:b/>
                <w:color w:val="000000" w:themeColor="text1"/>
                <w:szCs w:val="21"/>
                <w14:textFill>
                  <w14:solidFill>
                    <w14:schemeClr w14:val="tx1"/>
                  </w14:solidFill>
                </w14:textFill>
              </w:rPr>
              <w:t xml:space="preserve"> 钾钠长石粉</w:t>
            </w:r>
            <w:r>
              <w:rPr>
                <w:b/>
                <w:color w:val="000000" w:themeColor="text1"/>
                <w:szCs w:val="21"/>
                <w14:textFill>
                  <w14:solidFill>
                    <w14:schemeClr w14:val="tx1"/>
                  </w14:solidFill>
                </w14:textFill>
              </w:rPr>
              <w:t>工艺流程</w:t>
            </w:r>
            <w:r>
              <w:rPr>
                <w:rFonts w:hint="eastAsia"/>
                <w:b/>
                <w:color w:val="000000" w:themeColor="text1"/>
                <w:szCs w:val="21"/>
                <w14:textFill>
                  <w14:solidFill>
                    <w14:schemeClr w14:val="tx1"/>
                  </w14:solidFill>
                </w14:textFill>
              </w:rPr>
              <w:t>及产污节点</w:t>
            </w:r>
            <w:r>
              <w:rPr>
                <w:b/>
                <w:color w:val="000000" w:themeColor="text1"/>
                <w:szCs w:val="21"/>
                <w14:textFill>
                  <w14:solidFill>
                    <w14:schemeClr w14:val="tx1"/>
                  </w14:solidFill>
                </w14:textFill>
              </w:rPr>
              <w:t>图</w:t>
            </w:r>
          </w:p>
          <w:p>
            <w:pPr>
              <w:spacing w:line="360" w:lineRule="auto"/>
              <w:ind w:firstLine="480" w:firstLineChars="200"/>
              <w:rPr>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本项目运营期产污情况见下表所示。</w:t>
            </w:r>
          </w:p>
          <w:p>
            <w:pPr>
              <w:adjustRightInd w:val="0"/>
              <w:snapToGrid w:val="0"/>
              <w:ind w:firstLine="422" w:firstLineChars="200"/>
              <w:jc w:val="center"/>
              <w:rPr>
                <w:rFonts w:ascii="宋体" w:hAnsi="宋体"/>
                <w:bCs/>
                <w:color w:val="000000" w:themeColor="text1"/>
                <w:szCs w:val="21"/>
                <w14:textFill>
                  <w14:solidFill>
                    <w14:schemeClr w14:val="tx1"/>
                  </w14:solidFill>
                </w14:textFill>
              </w:rPr>
            </w:pPr>
            <w:r>
              <w:rPr>
                <w:b/>
                <w:color w:val="000000" w:themeColor="text1"/>
                <w:szCs w:val="21"/>
                <w14:textFill>
                  <w14:solidFill>
                    <w14:schemeClr w14:val="tx1"/>
                  </w14:solidFill>
                </w14:textFill>
              </w:rPr>
              <w:t>表2-8  项目主要产污工序及污染物一览表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2195"/>
              <w:gridCol w:w="1865"/>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w:t>
                  </w:r>
                </w:p>
              </w:tc>
              <w:tc>
                <w:tcPr>
                  <w:tcW w:w="1329"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污染物</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产污环节</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w:t>
                  </w: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生活污水</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员工日常生活</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COD、BOD</w:t>
                  </w:r>
                  <w:r>
                    <w:rPr>
                      <w:rFonts w:hint="eastAsia"/>
                      <w:bCs/>
                      <w:color w:val="000000" w:themeColor="text1"/>
                      <w:szCs w:val="21"/>
                      <w:vertAlign w:val="subscript"/>
                      <w14:textFill>
                        <w14:solidFill>
                          <w14:schemeClr w14:val="tx1"/>
                        </w14:solidFill>
                      </w14:textFill>
                    </w:rPr>
                    <w:t>5</w:t>
                  </w:r>
                  <w:r>
                    <w:rPr>
                      <w:rFonts w:hint="eastAsia"/>
                      <w:bCs/>
                      <w:color w:val="000000" w:themeColor="text1"/>
                      <w:szCs w:val="21"/>
                      <w14:textFill>
                        <w14:solidFill>
                          <w14:schemeClr w14:val="tx1"/>
                        </w14:solidFill>
                      </w14:textFill>
                    </w:rPr>
                    <w:t>、氨氮、SS、动植物油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restar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废气</w:t>
                  </w: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炭化、燃烧废气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炭化</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烟尘、SO</w:t>
                  </w:r>
                  <w:r>
                    <w:rPr>
                      <w:rFonts w:hint="eastAsia"/>
                      <w:bCs/>
                      <w:color w:val="000000" w:themeColor="text1"/>
                      <w:szCs w:val="21"/>
                      <w:vertAlign w:val="subscript"/>
                      <w14:textFill>
                        <w14:solidFill>
                          <w14:schemeClr w14:val="tx1"/>
                        </w14:solidFill>
                      </w14:textFill>
                    </w:rPr>
                    <w:t>2</w:t>
                  </w:r>
                  <w:r>
                    <w:rPr>
                      <w:rFonts w:hint="eastAsia"/>
                      <w:bCs/>
                      <w:color w:val="000000" w:themeColor="text1"/>
                      <w:szCs w:val="21"/>
                      <w14:textFill>
                        <w14:solidFill>
                          <w14:schemeClr w14:val="tx1"/>
                        </w14:solidFill>
                      </w14:textFill>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一道、二道破碎废气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破碎</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制棒废气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制棒</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烘干废气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原料烘干</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颗粒物、SO</w:t>
                  </w:r>
                  <w:r>
                    <w:rPr>
                      <w:rFonts w:hint="eastAsia"/>
                      <w:bCs/>
                      <w:color w:val="000000" w:themeColor="text1"/>
                      <w:szCs w:val="21"/>
                      <w:vertAlign w:val="subscript"/>
                      <w14:textFill>
                        <w14:solidFill>
                          <w14:schemeClr w14:val="tx1"/>
                        </w14:solidFill>
                      </w14:textFill>
                    </w:rPr>
                    <w:t>2</w:t>
                  </w:r>
                  <w:r>
                    <w:rPr>
                      <w:rFonts w:hint="eastAsia"/>
                      <w:bCs/>
                      <w:color w:val="000000" w:themeColor="text1"/>
                      <w:szCs w:val="21"/>
                      <w14:textFill>
                        <w14:solidFill>
                          <w14:schemeClr w14:val="tx1"/>
                        </w14:solidFill>
                      </w14:textFill>
                    </w:rPr>
                    <w:t>、NOx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物料堆放、储存、运输废气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装卸、储存、输送</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烘干废气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钾钠长石粉烘干</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包装废气</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钾钠长石粉包装</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噪声</w:t>
                  </w: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设备噪声</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生产车间的所有生产设备</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噪声Leq（A）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87" w:type="pct"/>
                  <w:vMerge w:val="restar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固废</w:t>
                  </w: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生活垃圾</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员工日常生活</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纸张、塑料袋等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炉渣</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烘干炉</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灰渣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粉尘</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除尘器收集粉尘</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 w:type="pct"/>
                  <w:vMerge w:val="continue"/>
                  <w:vAlign w:val="center"/>
                </w:tcPr>
                <w:p>
                  <w:pPr>
                    <w:adjustRightInd w:val="0"/>
                    <w:snapToGrid w:val="0"/>
                    <w:jc w:val="center"/>
                    <w:rPr>
                      <w:bCs/>
                      <w:color w:val="000000" w:themeColor="text1"/>
                      <w:szCs w:val="21"/>
                      <w14:textFill>
                        <w14:solidFill>
                          <w14:schemeClr w14:val="tx1"/>
                        </w14:solidFill>
                      </w14:textFill>
                    </w:rPr>
                  </w:pPr>
                </w:p>
              </w:tc>
              <w:tc>
                <w:tcPr>
                  <w:tcW w:w="13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废包装材料</w:t>
                  </w:r>
                </w:p>
              </w:tc>
              <w:tc>
                <w:tcPr>
                  <w:tcW w:w="1129"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原料包装</w:t>
                  </w:r>
                </w:p>
              </w:tc>
              <w:tc>
                <w:tcPr>
                  <w:tcW w:w="2155"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纸盒、塑料包装袋</w:t>
                  </w:r>
                </w:p>
              </w:tc>
            </w:tr>
          </w:tbl>
          <w:p>
            <w:pPr>
              <w:adjustRightInd w:val="0"/>
              <w:snapToGrid w:val="0"/>
              <w:spacing w:line="360" w:lineRule="auto"/>
              <w:rPr>
                <w:rFonts w:ascii="宋体" w:hAnsi="宋体"/>
                <w:bCs/>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Align w:val="center"/>
          </w:tcPr>
          <w:p>
            <w:pPr>
              <w:pStyle w:val="22"/>
              <w:adjustRightInd w:val="0"/>
              <w:snapToGrid w:val="0"/>
              <w:spacing w:before="0" w:beforeAutospacing="0" w:after="0" w:afterAutospacing="0"/>
              <w:jc w:val="center"/>
              <w:rPr>
                <w:rFonts w:cs="宋体"/>
                <w:color w:val="000000" w:themeColor="text1"/>
                <w:szCs w:val="24"/>
                <w14:textFill>
                  <w14:solidFill>
                    <w14:schemeClr w14:val="tx1"/>
                  </w14:solidFill>
                </w14:textFill>
              </w:rPr>
            </w:pPr>
            <w:r>
              <w:rPr>
                <w:rFonts w:hint="eastAsia" w:cs="宋体"/>
                <w:bCs/>
                <w:color w:val="000000" w:themeColor="text1"/>
                <w:kern w:val="2"/>
                <w:szCs w:val="24"/>
                <w14:textFill>
                  <w14:solidFill>
                    <w14:schemeClr w14:val="tx1"/>
                  </w14:solidFill>
                </w14:textFill>
              </w:rPr>
              <w:t>与项目有关的原有环境污染问题</w:t>
            </w:r>
          </w:p>
        </w:tc>
        <w:tc>
          <w:tcPr>
            <w:tcW w:w="8471" w:type="dxa"/>
          </w:tcPr>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p>
          <w:p>
            <w:pPr>
              <w:adjustRightInd w:val="0"/>
              <w:snapToGrid w:val="0"/>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本项目为新建项目，本项目通过购买一块空地用于本项目的建设，根据业主提供的资料，项目建设前会将厂内土地平整，不存在遗留问题及原有环境污染问题。</w:t>
            </w:r>
          </w:p>
          <w:p>
            <w:pPr>
              <w:spacing w:line="360" w:lineRule="auto"/>
              <w:ind w:firstLine="420" w:firstLineChars="200"/>
              <w:rPr>
                <w:color w:val="000000" w:themeColor="text1"/>
                <w14:textFill>
                  <w14:solidFill>
                    <w14:schemeClr w14:val="tx1"/>
                  </w14:solidFill>
                </w14:textFill>
              </w:rPr>
            </w:pPr>
          </w:p>
        </w:tc>
      </w:tr>
    </w:tbl>
    <w:p>
      <w:pPr>
        <w:pStyle w:val="22"/>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Pr>
        <w:pStyle w:val="22"/>
        <w:adjustRightInd w:val="0"/>
        <w:snapToGrid w:val="0"/>
        <w:spacing w:before="0" w:beforeAutospacing="0" w:after="0" w:afterAutospacing="0" w:line="14" w:lineRule="auto"/>
        <w:jc w:val="center"/>
        <w:rPr>
          <w:rFonts w:ascii="黑体" w:hAnsi="黑体" w:eastAsia="黑体"/>
          <w:snapToGrid w:val="0"/>
          <w:sz w:val="30"/>
          <w:szCs w:val="30"/>
        </w:rPr>
      </w:pPr>
    </w:p>
    <w:p>
      <w:pPr>
        <w:pStyle w:val="22"/>
        <w:jc w:val="center"/>
        <w:outlineLvl w:val="0"/>
        <w:rPr>
          <w:rFonts w:ascii="黑体" w:hAnsi="黑体" w:eastAsia="黑体"/>
          <w:snapToGrid w:val="0"/>
          <w:sz w:val="30"/>
          <w:szCs w:val="30"/>
        </w:rPr>
      </w:pPr>
      <w:bookmarkStart w:id="5" w:name="_Toc26667"/>
      <w:r>
        <w:rPr>
          <w:rFonts w:hint="eastAsia" w:ascii="黑体" w:hAnsi="黑体" w:eastAsia="黑体"/>
          <w:snapToGrid w:val="0"/>
          <w:sz w:val="30"/>
          <w:szCs w:val="30"/>
        </w:rPr>
        <w:t>三、区域环境质量现状、环境保护目标及评价标准</w:t>
      </w:r>
      <w:bookmarkEnd w:id="5"/>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84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vAlign w:val="center"/>
          </w:tcPr>
          <w:p>
            <w:pPr>
              <w:adjustRightInd w:val="0"/>
              <w:snapToGrid w:val="0"/>
              <w:jc w:val="center"/>
              <w:rPr>
                <w:kern w:val="0"/>
                <w:sz w:val="24"/>
              </w:rPr>
            </w:pPr>
            <w:r>
              <w:rPr>
                <w:kern w:val="0"/>
                <w:sz w:val="24"/>
              </w:rPr>
              <w:t>区域</w:t>
            </w:r>
          </w:p>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质量</w:t>
            </w:r>
          </w:p>
          <w:p>
            <w:pPr>
              <w:adjustRightInd w:val="0"/>
              <w:snapToGrid w:val="0"/>
              <w:jc w:val="center"/>
              <w:rPr>
                <w:kern w:val="0"/>
                <w:sz w:val="24"/>
              </w:rPr>
            </w:pPr>
            <w:r>
              <w:rPr>
                <w:kern w:val="0"/>
                <w:sz w:val="24"/>
              </w:rPr>
              <w:t>现状</w:t>
            </w:r>
          </w:p>
        </w:tc>
        <w:tc>
          <w:tcPr>
            <w:tcW w:w="8190" w:type="dxa"/>
            <w:vAlign w:val="center"/>
          </w:tcPr>
          <w:p>
            <w:pPr>
              <w:pStyle w:val="54"/>
              <w:ind w:firstLine="482"/>
              <w:rPr>
                <w:b/>
                <w:bCs/>
              </w:rPr>
            </w:pPr>
            <w:r>
              <w:rPr>
                <w:b/>
                <w:bCs/>
              </w:rPr>
              <w:t>1、环境空气质量现状</w:t>
            </w:r>
          </w:p>
          <w:p>
            <w:pPr>
              <w:spacing w:line="360" w:lineRule="auto"/>
              <w:ind w:firstLine="480" w:firstLineChars="200"/>
              <w:rPr>
                <w:kern w:val="0"/>
                <w:sz w:val="24"/>
              </w:rPr>
            </w:pPr>
            <w:r>
              <w:rPr>
                <w:sz w:val="24"/>
              </w:rPr>
              <w:t>按照《环境影响评价技术导则 大气环境》（HJ2.2-2018）要求，项目所在 区域达标判定，优先采用国家或地方生态环境部门公开发布的评价基准年环境质量公告或环境质量报告中的数据或结论。评价范围内没有环境质量监测网数据或公开发布的环境空气质量现状数据的，可选择符合 HJ664 规定，并且与评价范围地理位置邻近，地形、气候条件相近的环境空气质量城市点或区域点监测数据</w:t>
            </w:r>
            <w:r>
              <w:rPr>
                <w:rFonts w:hint="eastAsia"/>
                <w:sz w:val="24"/>
              </w:rPr>
              <w:t>。</w:t>
            </w:r>
          </w:p>
          <w:p>
            <w:pPr>
              <w:spacing w:line="360" w:lineRule="auto"/>
              <w:ind w:firstLine="480" w:firstLineChars="200"/>
              <w:rPr>
                <w:kern w:val="0"/>
                <w:sz w:val="24"/>
                <w:szCs w:val="20"/>
              </w:rPr>
            </w:pPr>
            <w:r>
              <w:rPr>
                <w:rFonts w:hint="eastAsia"/>
                <w:color w:val="ED0000"/>
                <w:kern w:val="0"/>
                <w:sz w:val="24"/>
                <w:szCs w:val="20"/>
                <w:u w:val="single"/>
              </w:rPr>
              <w:t>根据衡阳市监测站发布的《关于202</w:t>
            </w:r>
            <w:r>
              <w:rPr>
                <w:color w:val="ED0000"/>
                <w:kern w:val="0"/>
                <w:sz w:val="24"/>
                <w:szCs w:val="20"/>
                <w:u w:val="single"/>
              </w:rPr>
              <w:t>3</w:t>
            </w:r>
            <w:r>
              <w:rPr>
                <w:rFonts w:hint="eastAsia"/>
                <w:color w:val="ED0000"/>
                <w:kern w:val="0"/>
                <w:sz w:val="24"/>
                <w:szCs w:val="20"/>
                <w:u w:val="single"/>
              </w:rPr>
              <w:t>年12月及1~12月份全市环境质量状况的通报》，衡山县</w:t>
            </w:r>
            <w:r>
              <w:rPr>
                <w:color w:val="ED0000"/>
                <w:kern w:val="0"/>
                <w:sz w:val="24"/>
                <w:szCs w:val="20"/>
                <w:u w:val="single"/>
              </w:rPr>
              <w:t>二氧化硫和二氧化氮年平均质量浓度、一氧化碳</w:t>
            </w:r>
            <w:r>
              <w:rPr>
                <w:rFonts w:hint="eastAsia"/>
                <w:color w:val="ED0000"/>
                <w:kern w:val="0"/>
                <w:sz w:val="24"/>
                <w:szCs w:val="20"/>
                <w:u w:val="single"/>
              </w:rPr>
              <w:t>年</w:t>
            </w:r>
            <w:r>
              <w:rPr>
                <w:color w:val="ED0000"/>
                <w:kern w:val="0"/>
                <w:sz w:val="24"/>
                <w:szCs w:val="20"/>
                <w:u w:val="single"/>
              </w:rPr>
              <w:t>评价浓度（第95百分位数）、臭氧年评价浓度（第90百分位数）</w:t>
            </w:r>
            <w:r>
              <w:rPr>
                <w:rFonts w:hint="eastAsia"/>
                <w:color w:val="ED0000"/>
                <w:kern w:val="0"/>
                <w:sz w:val="24"/>
                <w:szCs w:val="20"/>
                <w:u w:val="single"/>
              </w:rPr>
              <w:t>、</w:t>
            </w:r>
            <w:r>
              <w:rPr>
                <w:color w:val="ED0000"/>
                <w:kern w:val="0"/>
                <w:sz w:val="24"/>
                <w:szCs w:val="20"/>
                <w:u w:val="single"/>
              </w:rPr>
              <w:t>可吸入颗粒物（</w:t>
            </w:r>
            <w:r>
              <w:rPr>
                <w:rFonts w:hint="eastAsia"/>
                <w:color w:val="ED0000"/>
                <w:kern w:val="0"/>
                <w:sz w:val="24"/>
                <w:szCs w:val="20"/>
                <w:u w:val="single"/>
              </w:rPr>
              <w:t>PM</w:t>
            </w:r>
            <w:r>
              <w:rPr>
                <w:rFonts w:hint="eastAsia"/>
                <w:color w:val="ED0000"/>
                <w:kern w:val="0"/>
                <w:sz w:val="24"/>
                <w:szCs w:val="20"/>
                <w:u w:val="single"/>
                <w:vertAlign w:val="subscript"/>
              </w:rPr>
              <w:t>10</w:t>
            </w:r>
            <w:r>
              <w:rPr>
                <w:color w:val="ED0000"/>
                <w:kern w:val="0"/>
                <w:sz w:val="24"/>
                <w:szCs w:val="20"/>
                <w:u w:val="single"/>
              </w:rPr>
              <w:t>）</w:t>
            </w:r>
            <w:r>
              <w:rPr>
                <w:rFonts w:hint="eastAsia"/>
                <w:color w:val="ED0000"/>
                <w:kern w:val="0"/>
                <w:sz w:val="24"/>
                <w:szCs w:val="20"/>
                <w:u w:val="single"/>
              </w:rPr>
              <w:t>和</w:t>
            </w:r>
            <w:r>
              <w:rPr>
                <w:color w:val="ED0000"/>
                <w:kern w:val="0"/>
                <w:sz w:val="24"/>
                <w:szCs w:val="20"/>
                <w:u w:val="single"/>
              </w:rPr>
              <w:t>细颗粒物（</w:t>
            </w:r>
            <w:r>
              <w:rPr>
                <w:rFonts w:hint="eastAsia"/>
                <w:color w:val="ED0000"/>
                <w:kern w:val="0"/>
                <w:sz w:val="24"/>
                <w:szCs w:val="20"/>
                <w:u w:val="single"/>
              </w:rPr>
              <w:t>PM</w:t>
            </w:r>
            <w:r>
              <w:rPr>
                <w:rFonts w:hint="eastAsia"/>
                <w:color w:val="ED0000"/>
                <w:kern w:val="0"/>
                <w:sz w:val="24"/>
                <w:szCs w:val="20"/>
                <w:u w:val="single"/>
                <w:vertAlign w:val="subscript"/>
              </w:rPr>
              <w:t>2.5</w:t>
            </w:r>
            <w:r>
              <w:rPr>
                <w:color w:val="ED0000"/>
                <w:kern w:val="0"/>
                <w:sz w:val="24"/>
                <w:szCs w:val="20"/>
                <w:u w:val="single"/>
              </w:rPr>
              <w:t>）年平均质量</w:t>
            </w:r>
            <w:r>
              <w:rPr>
                <w:rFonts w:hint="eastAsia"/>
                <w:color w:val="ED0000"/>
                <w:kern w:val="0"/>
                <w:sz w:val="24"/>
                <w:szCs w:val="20"/>
                <w:u w:val="single"/>
              </w:rPr>
              <w:t>浓度</w:t>
            </w:r>
            <w:r>
              <w:rPr>
                <w:color w:val="ED0000"/>
                <w:kern w:val="0"/>
                <w:sz w:val="24"/>
                <w:szCs w:val="20"/>
                <w:u w:val="single"/>
              </w:rPr>
              <w:t>均达到《环境空气质量标准》（GB3095-2012）二级标准，具体见</w:t>
            </w:r>
            <w:r>
              <w:rPr>
                <w:rFonts w:hint="eastAsia"/>
                <w:color w:val="ED0000"/>
                <w:kern w:val="0"/>
                <w:sz w:val="24"/>
                <w:szCs w:val="20"/>
                <w:u w:val="single"/>
              </w:rPr>
              <w:t>表3-1</w:t>
            </w:r>
            <w:r>
              <w:rPr>
                <w:color w:val="ED0000"/>
                <w:kern w:val="0"/>
                <w:sz w:val="24"/>
                <w:szCs w:val="20"/>
                <w:u w:val="single"/>
              </w:rPr>
              <w:t>，项目所在区域为达标区</w:t>
            </w:r>
            <w:r>
              <w:rPr>
                <w:kern w:val="0"/>
                <w:sz w:val="24"/>
                <w:szCs w:val="20"/>
              </w:rPr>
              <w:t>。</w:t>
            </w:r>
          </w:p>
          <w:p>
            <w:pPr>
              <w:autoSpaceDE w:val="0"/>
              <w:autoSpaceDN w:val="0"/>
              <w:jc w:val="center"/>
              <w:rPr>
                <w:b/>
                <w:kern w:val="0"/>
                <w:szCs w:val="21"/>
              </w:rPr>
            </w:pPr>
            <w:bookmarkStart w:id="6" w:name="_Ref528415780"/>
            <w:r>
              <w:rPr>
                <w:b/>
                <w:kern w:val="0"/>
                <w:szCs w:val="21"/>
              </w:rPr>
              <w:t>表</w:t>
            </w:r>
            <w:bookmarkEnd w:id="6"/>
            <w:r>
              <w:rPr>
                <w:rFonts w:hint="eastAsia"/>
                <w:b/>
                <w:kern w:val="0"/>
                <w:szCs w:val="21"/>
              </w:rPr>
              <w:t xml:space="preserve">3-1 </w:t>
            </w:r>
            <w:r>
              <w:rPr>
                <w:b/>
                <w:kern w:val="0"/>
                <w:szCs w:val="21"/>
              </w:rPr>
              <w:t xml:space="preserve"> 区域空气质量现状评价表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38"/>
              <w:gridCol w:w="2388"/>
              <w:gridCol w:w="1802"/>
              <w:gridCol w:w="1543"/>
              <w:gridCol w:w="887"/>
              <w:gridCol w:w="8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b/>
                      <w:szCs w:val="21"/>
                    </w:rPr>
                  </w:pPr>
                  <w:r>
                    <w:rPr>
                      <w:b/>
                      <w:szCs w:val="21"/>
                    </w:rPr>
                    <w:t>污染物</w:t>
                  </w:r>
                </w:p>
              </w:tc>
              <w:tc>
                <w:tcPr>
                  <w:tcW w:w="1459" w:type="pct"/>
                  <w:vAlign w:val="center"/>
                </w:tcPr>
                <w:p>
                  <w:pPr>
                    <w:snapToGrid w:val="0"/>
                    <w:spacing w:line="0" w:lineRule="atLeast"/>
                    <w:jc w:val="center"/>
                    <w:rPr>
                      <w:b/>
                      <w:szCs w:val="21"/>
                    </w:rPr>
                  </w:pPr>
                  <w:r>
                    <w:rPr>
                      <w:b/>
                      <w:szCs w:val="21"/>
                    </w:rPr>
                    <w:t>年评价指标</w:t>
                  </w:r>
                </w:p>
              </w:tc>
              <w:tc>
                <w:tcPr>
                  <w:tcW w:w="1101" w:type="pct"/>
                  <w:vAlign w:val="center"/>
                </w:tcPr>
                <w:p>
                  <w:pPr>
                    <w:snapToGrid w:val="0"/>
                    <w:spacing w:line="0" w:lineRule="atLeast"/>
                    <w:jc w:val="center"/>
                    <w:rPr>
                      <w:b/>
                      <w:szCs w:val="21"/>
                    </w:rPr>
                  </w:pPr>
                  <w:r>
                    <w:rPr>
                      <w:b/>
                      <w:szCs w:val="21"/>
                    </w:rPr>
                    <w:t>现状浓度（</w:t>
                  </w:r>
                  <w:r>
                    <w:rPr>
                      <w:b/>
                      <w:szCs w:val="20"/>
                    </w:rPr>
                    <w:t>µg/m</w:t>
                  </w:r>
                  <w:r>
                    <w:rPr>
                      <w:b/>
                      <w:szCs w:val="20"/>
                      <w:vertAlign w:val="superscript"/>
                    </w:rPr>
                    <w:t>3</w:t>
                  </w:r>
                  <w:r>
                    <w:rPr>
                      <w:b/>
                      <w:szCs w:val="21"/>
                    </w:rPr>
                    <w:t>）</w:t>
                  </w:r>
                </w:p>
              </w:tc>
              <w:tc>
                <w:tcPr>
                  <w:tcW w:w="943" w:type="pct"/>
                  <w:vAlign w:val="center"/>
                </w:tcPr>
                <w:p>
                  <w:pPr>
                    <w:snapToGrid w:val="0"/>
                    <w:spacing w:line="0" w:lineRule="atLeast"/>
                    <w:jc w:val="center"/>
                    <w:rPr>
                      <w:b/>
                      <w:szCs w:val="21"/>
                    </w:rPr>
                  </w:pPr>
                  <w:r>
                    <w:rPr>
                      <w:b/>
                      <w:szCs w:val="21"/>
                    </w:rPr>
                    <w:t>标准值（</w:t>
                  </w:r>
                  <w:r>
                    <w:rPr>
                      <w:b/>
                      <w:szCs w:val="20"/>
                    </w:rPr>
                    <w:t>µg/m</w:t>
                  </w:r>
                  <w:r>
                    <w:rPr>
                      <w:b/>
                      <w:szCs w:val="20"/>
                      <w:vertAlign w:val="superscript"/>
                    </w:rPr>
                    <w:t>3</w:t>
                  </w:r>
                  <w:r>
                    <w:rPr>
                      <w:b/>
                      <w:szCs w:val="21"/>
                    </w:rPr>
                    <w:t>）</w:t>
                  </w:r>
                </w:p>
              </w:tc>
              <w:tc>
                <w:tcPr>
                  <w:tcW w:w="542" w:type="pct"/>
                  <w:vAlign w:val="center"/>
                </w:tcPr>
                <w:p>
                  <w:pPr>
                    <w:snapToGrid w:val="0"/>
                    <w:spacing w:line="0" w:lineRule="atLeast"/>
                    <w:jc w:val="center"/>
                    <w:rPr>
                      <w:b/>
                      <w:szCs w:val="21"/>
                    </w:rPr>
                  </w:pPr>
                  <w:r>
                    <w:rPr>
                      <w:b/>
                      <w:szCs w:val="21"/>
                    </w:rPr>
                    <w:t>占标率%</w:t>
                  </w:r>
                </w:p>
              </w:tc>
              <w:tc>
                <w:tcPr>
                  <w:tcW w:w="505" w:type="pct"/>
                  <w:vAlign w:val="center"/>
                </w:tcPr>
                <w:p>
                  <w:pPr>
                    <w:snapToGrid w:val="0"/>
                    <w:spacing w:line="0" w:lineRule="atLeast"/>
                    <w:jc w:val="center"/>
                    <w:rPr>
                      <w:b/>
                      <w:szCs w:val="21"/>
                    </w:rPr>
                  </w:pPr>
                  <w:r>
                    <w:rPr>
                      <w:b/>
                      <w:szCs w:val="21"/>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rPr>
                  </w:pPr>
                  <w:r>
                    <w:rPr>
                      <w:szCs w:val="21"/>
                    </w:rPr>
                    <w:t>SO</w:t>
                  </w:r>
                  <w:r>
                    <w:rPr>
                      <w:szCs w:val="21"/>
                      <w:vertAlign w:val="subscript"/>
                    </w:rPr>
                    <w:t>2</w:t>
                  </w:r>
                </w:p>
              </w:tc>
              <w:tc>
                <w:tcPr>
                  <w:tcW w:w="1459" w:type="pct"/>
                  <w:vAlign w:val="center"/>
                </w:tcPr>
                <w:p>
                  <w:pPr>
                    <w:jc w:val="center"/>
                    <w:rPr>
                      <w:bCs/>
                      <w:szCs w:val="21"/>
                    </w:rPr>
                  </w:pPr>
                  <w:r>
                    <w:rPr>
                      <w:bCs/>
                      <w:szCs w:val="21"/>
                    </w:rPr>
                    <w:t>年平均质量浓度</w:t>
                  </w:r>
                </w:p>
              </w:tc>
              <w:tc>
                <w:tcPr>
                  <w:tcW w:w="1101" w:type="pct"/>
                  <w:vAlign w:val="center"/>
                </w:tcPr>
                <w:p>
                  <w:pPr>
                    <w:jc w:val="center"/>
                    <w:rPr>
                      <w:bCs/>
                      <w:color w:val="ED0000"/>
                      <w:szCs w:val="21"/>
                      <w:u w:val="single"/>
                    </w:rPr>
                  </w:pPr>
                  <w:r>
                    <w:rPr>
                      <w:bCs/>
                      <w:color w:val="ED0000"/>
                      <w:szCs w:val="21"/>
                      <w:u w:val="single"/>
                    </w:rPr>
                    <w:t>7</w:t>
                  </w:r>
                </w:p>
              </w:tc>
              <w:tc>
                <w:tcPr>
                  <w:tcW w:w="943" w:type="pct"/>
                  <w:vAlign w:val="center"/>
                </w:tcPr>
                <w:p>
                  <w:pPr>
                    <w:jc w:val="center"/>
                    <w:rPr>
                      <w:bCs/>
                      <w:szCs w:val="21"/>
                    </w:rPr>
                  </w:pPr>
                  <w:r>
                    <w:rPr>
                      <w:bCs/>
                      <w:szCs w:val="21"/>
                    </w:rPr>
                    <w:t>60</w:t>
                  </w:r>
                </w:p>
              </w:tc>
              <w:tc>
                <w:tcPr>
                  <w:tcW w:w="542" w:type="pct"/>
                  <w:vAlign w:val="center"/>
                </w:tcPr>
                <w:p>
                  <w:pPr>
                    <w:jc w:val="center"/>
                    <w:rPr>
                      <w:bCs/>
                      <w:color w:val="ED0000"/>
                      <w:szCs w:val="21"/>
                      <w:u w:val="single"/>
                    </w:rPr>
                  </w:pPr>
                  <w:r>
                    <w:rPr>
                      <w:bCs/>
                      <w:color w:val="ED0000"/>
                      <w:szCs w:val="21"/>
                      <w:u w:val="single"/>
                    </w:rPr>
                    <w:t>11.2</w:t>
                  </w:r>
                </w:p>
              </w:tc>
              <w:tc>
                <w:tcPr>
                  <w:tcW w:w="505" w:type="pct"/>
                  <w:vAlign w:val="center"/>
                </w:tcPr>
                <w:p>
                  <w:pPr>
                    <w:jc w:val="center"/>
                    <w:rPr>
                      <w:bCs/>
                      <w:color w:val="ED0000"/>
                      <w:szCs w:val="21"/>
                      <w:u w:val="single"/>
                    </w:rPr>
                  </w:pPr>
                  <w:r>
                    <w:rPr>
                      <w:bCs/>
                      <w:color w:val="ED0000"/>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rPr>
                  </w:pPr>
                  <w:r>
                    <w:rPr>
                      <w:szCs w:val="21"/>
                    </w:rPr>
                    <w:t>NO</w:t>
                  </w:r>
                  <w:r>
                    <w:rPr>
                      <w:szCs w:val="21"/>
                      <w:vertAlign w:val="subscript"/>
                    </w:rPr>
                    <w:t>2</w:t>
                  </w:r>
                </w:p>
              </w:tc>
              <w:tc>
                <w:tcPr>
                  <w:tcW w:w="1459" w:type="pct"/>
                  <w:vAlign w:val="center"/>
                </w:tcPr>
                <w:p>
                  <w:pPr>
                    <w:jc w:val="center"/>
                    <w:rPr>
                      <w:bCs/>
                      <w:szCs w:val="21"/>
                    </w:rPr>
                  </w:pPr>
                  <w:r>
                    <w:rPr>
                      <w:bCs/>
                      <w:szCs w:val="21"/>
                    </w:rPr>
                    <w:t>年平均质量浓度</w:t>
                  </w:r>
                </w:p>
              </w:tc>
              <w:tc>
                <w:tcPr>
                  <w:tcW w:w="1101" w:type="pct"/>
                  <w:vAlign w:val="center"/>
                </w:tcPr>
                <w:p>
                  <w:pPr>
                    <w:jc w:val="center"/>
                    <w:rPr>
                      <w:bCs/>
                      <w:color w:val="ED0000"/>
                      <w:szCs w:val="21"/>
                      <w:u w:val="single"/>
                    </w:rPr>
                  </w:pPr>
                  <w:r>
                    <w:rPr>
                      <w:rFonts w:hint="eastAsia"/>
                      <w:bCs/>
                      <w:color w:val="ED0000"/>
                      <w:szCs w:val="21"/>
                      <w:u w:val="single"/>
                    </w:rPr>
                    <w:t>17</w:t>
                  </w:r>
                </w:p>
              </w:tc>
              <w:tc>
                <w:tcPr>
                  <w:tcW w:w="943" w:type="pct"/>
                  <w:vAlign w:val="center"/>
                </w:tcPr>
                <w:p>
                  <w:pPr>
                    <w:jc w:val="center"/>
                    <w:rPr>
                      <w:bCs/>
                      <w:szCs w:val="21"/>
                    </w:rPr>
                  </w:pPr>
                  <w:r>
                    <w:rPr>
                      <w:bCs/>
                      <w:szCs w:val="21"/>
                    </w:rPr>
                    <w:t>40</w:t>
                  </w:r>
                </w:p>
              </w:tc>
              <w:tc>
                <w:tcPr>
                  <w:tcW w:w="542" w:type="pct"/>
                  <w:vAlign w:val="center"/>
                </w:tcPr>
                <w:p>
                  <w:pPr>
                    <w:jc w:val="center"/>
                    <w:rPr>
                      <w:bCs/>
                      <w:color w:val="ED0000"/>
                      <w:szCs w:val="21"/>
                      <w:u w:val="single"/>
                    </w:rPr>
                  </w:pPr>
                  <w:r>
                    <w:rPr>
                      <w:rFonts w:hint="eastAsia"/>
                      <w:bCs/>
                      <w:color w:val="ED0000"/>
                      <w:szCs w:val="21"/>
                      <w:u w:val="single"/>
                    </w:rPr>
                    <w:t>42.5</w:t>
                  </w:r>
                </w:p>
              </w:tc>
              <w:tc>
                <w:tcPr>
                  <w:tcW w:w="505" w:type="pct"/>
                  <w:vAlign w:val="center"/>
                </w:tcPr>
                <w:p>
                  <w:pPr>
                    <w:jc w:val="center"/>
                    <w:rPr>
                      <w:bCs/>
                      <w:color w:val="ED0000"/>
                      <w:szCs w:val="21"/>
                      <w:u w:val="single"/>
                    </w:rPr>
                  </w:pPr>
                  <w:r>
                    <w:rPr>
                      <w:bCs/>
                      <w:color w:val="ED0000"/>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rPr>
                  </w:pPr>
                  <w:r>
                    <w:rPr>
                      <w:szCs w:val="21"/>
                    </w:rPr>
                    <w:t>CO</w:t>
                  </w:r>
                </w:p>
              </w:tc>
              <w:tc>
                <w:tcPr>
                  <w:tcW w:w="1459" w:type="pct"/>
                  <w:vAlign w:val="center"/>
                </w:tcPr>
                <w:p>
                  <w:pPr>
                    <w:jc w:val="center"/>
                    <w:rPr>
                      <w:szCs w:val="21"/>
                    </w:rPr>
                  </w:pPr>
                  <w:r>
                    <w:rPr>
                      <w:szCs w:val="21"/>
                    </w:rPr>
                    <w:t>百分位数日平均质量浓度</w:t>
                  </w:r>
                </w:p>
              </w:tc>
              <w:tc>
                <w:tcPr>
                  <w:tcW w:w="1101" w:type="pct"/>
                  <w:vAlign w:val="center"/>
                </w:tcPr>
                <w:p>
                  <w:pPr>
                    <w:jc w:val="center"/>
                    <w:rPr>
                      <w:color w:val="ED0000"/>
                      <w:szCs w:val="21"/>
                      <w:highlight w:val="yellow"/>
                      <w:u w:val="single"/>
                    </w:rPr>
                  </w:pPr>
                  <w:r>
                    <w:rPr>
                      <w:color w:val="ED0000"/>
                      <w:szCs w:val="21"/>
                      <w:u w:val="single"/>
                    </w:rPr>
                    <w:t>1000</w:t>
                  </w:r>
                </w:p>
              </w:tc>
              <w:tc>
                <w:tcPr>
                  <w:tcW w:w="943" w:type="pct"/>
                  <w:vAlign w:val="center"/>
                </w:tcPr>
                <w:p>
                  <w:pPr>
                    <w:jc w:val="center"/>
                    <w:rPr>
                      <w:szCs w:val="21"/>
                    </w:rPr>
                  </w:pPr>
                  <w:r>
                    <w:rPr>
                      <w:szCs w:val="21"/>
                    </w:rPr>
                    <w:t>4000</w:t>
                  </w:r>
                </w:p>
              </w:tc>
              <w:tc>
                <w:tcPr>
                  <w:tcW w:w="542" w:type="pct"/>
                  <w:vAlign w:val="center"/>
                </w:tcPr>
                <w:p>
                  <w:pPr>
                    <w:jc w:val="center"/>
                    <w:rPr>
                      <w:color w:val="ED0000"/>
                      <w:szCs w:val="21"/>
                      <w:u w:val="single"/>
                    </w:rPr>
                  </w:pPr>
                  <w:r>
                    <w:rPr>
                      <w:color w:val="ED0000"/>
                      <w:szCs w:val="21"/>
                      <w:u w:val="single"/>
                    </w:rPr>
                    <w:t>25.0</w:t>
                  </w:r>
                </w:p>
              </w:tc>
              <w:tc>
                <w:tcPr>
                  <w:tcW w:w="505" w:type="pct"/>
                  <w:vAlign w:val="center"/>
                </w:tcPr>
                <w:p>
                  <w:pPr>
                    <w:jc w:val="center"/>
                    <w:rPr>
                      <w:color w:val="ED0000"/>
                      <w:szCs w:val="21"/>
                      <w:u w:val="single"/>
                    </w:rPr>
                  </w:pPr>
                  <w:r>
                    <w:rPr>
                      <w:bCs/>
                      <w:color w:val="ED0000"/>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rPr>
                  </w:pPr>
                  <w:r>
                    <w:rPr>
                      <w:szCs w:val="21"/>
                    </w:rPr>
                    <w:t>O</w:t>
                  </w:r>
                  <w:r>
                    <w:rPr>
                      <w:szCs w:val="21"/>
                      <w:vertAlign w:val="subscript"/>
                    </w:rPr>
                    <w:t>3</w:t>
                  </w:r>
                </w:p>
              </w:tc>
              <w:tc>
                <w:tcPr>
                  <w:tcW w:w="1459" w:type="pct"/>
                  <w:vAlign w:val="center"/>
                </w:tcPr>
                <w:p>
                  <w:pPr>
                    <w:jc w:val="center"/>
                    <w:rPr>
                      <w:szCs w:val="21"/>
                    </w:rPr>
                  </w:pPr>
                  <w:r>
                    <w:rPr>
                      <w:szCs w:val="21"/>
                    </w:rPr>
                    <w:t>百分位数8h平均质量浓度</w:t>
                  </w:r>
                </w:p>
              </w:tc>
              <w:tc>
                <w:tcPr>
                  <w:tcW w:w="1101" w:type="pct"/>
                  <w:vAlign w:val="center"/>
                </w:tcPr>
                <w:p>
                  <w:pPr>
                    <w:jc w:val="center"/>
                    <w:rPr>
                      <w:color w:val="ED0000"/>
                      <w:szCs w:val="21"/>
                      <w:u w:val="single"/>
                    </w:rPr>
                  </w:pPr>
                  <w:r>
                    <w:rPr>
                      <w:rFonts w:hint="eastAsia"/>
                      <w:color w:val="ED0000"/>
                      <w:szCs w:val="21"/>
                      <w:u w:val="single"/>
                    </w:rPr>
                    <w:t>1</w:t>
                  </w:r>
                  <w:r>
                    <w:rPr>
                      <w:color w:val="ED0000"/>
                      <w:szCs w:val="21"/>
                      <w:u w:val="single"/>
                    </w:rPr>
                    <w:t>24</w:t>
                  </w:r>
                </w:p>
              </w:tc>
              <w:tc>
                <w:tcPr>
                  <w:tcW w:w="943" w:type="pct"/>
                  <w:vAlign w:val="center"/>
                </w:tcPr>
                <w:p>
                  <w:pPr>
                    <w:jc w:val="center"/>
                    <w:rPr>
                      <w:szCs w:val="21"/>
                    </w:rPr>
                  </w:pPr>
                  <w:r>
                    <w:rPr>
                      <w:szCs w:val="21"/>
                    </w:rPr>
                    <w:t>160</w:t>
                  </w:r>
                </w:p>
              </w:tc>
              <w:tc>
                <w:tcPr>
                  <w:tcW w:w="542" w:type="pct"/>
                  <w:vAlign w:val="center"/>
                </w:tcPr>
                <w:p>
                  <w:pPr>
                    <w:jc w:val="center"/>
                    <w:rPr>
                      <w:color w:val="ED0000"/>
                      <w:szCs w:val="21"/>
                      <w:u w:val="single"/>
                    </w:rPr>
                  </w:pPr>
                  <w:r>
                    <w:rPr>
                      <w:color w:val="ED0000"/>
                      <w:szCs w:val="21"/>
                      <w:u w:val="single"/>
                    </w:rPr>
                    <w:t>77.5</w:t>
                  </w:r>
                </w:p>
              </w:tc>
              <w:tc>
                <w:tcPr>
                  <w:tcW w:w="505" w:type="pct"/>
                  <w:vAlign w:val="center"/>
                </w:tcPr>
                <w:p>
                  <w:pPr>
                    <w:jc w:val="center"/>
                    <w:rPr>
                      <w:color w:val="ED0000"/>
                      <w:szCs w:val="21"/>
                      <w:u w:val="single"/>
                    </w:rPr>
                  </w:pPr>
                  <w:r>
                    <w:rPr>
                      <w:bCs/>
                      <w:color w:val="ED0000"/>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vertAlign w:val="subscript"/>
                    </w:rPr>
                  </w:pPr>
                  <w:r>
                    <w:rPr>
                      <w:szCs w:val="21"/>
                    </w:rPr>
                    <w:t>PM</w:t>
                  </w:r>
                  <w:r>
                    <w:rPr>
                      <w:szCs w:val="21"/>
                      <w:vertAlign w:val="subscript"/>
                    </w:rPr>
                    <w:t>10</w:t>
                  </w:r>
                </w:p>
              </w:tc>
              <w:tc>
                <w:tcPr>
                  <w:tcW w:w="1459" w:type="pct"/>
                  <w:vAlign w:val="center"/>
                </w:tcPr>
                <w:p>
                  <w:pPr>
                    <w:jc w:val="center"/>
                    <w:rPr>
                      <w:szCs w:val="21"/>
                    </w:rPr>
                  </w:pPr>
                  <w:r>
                    <w:rPr>
                      <w:bCs/>
                      <w:szCs w:val="21"/>
                    </w:rPr>
                    <w:t>年平均质量浓度</w:t>
                  </w:r>
                </w:p>
              </w:tc>
              <w:tc>
                <w:tcPr>
                  <w:tcW w:w="1101" w:type="pct"/>
                  <w:vAlign w:val="center"/>
                </w:tcPr>
                <w:p>
                  <w:pPr>
                    <w:jc w:val="center"/>
                    <w:rPr>
                      <w:color w:val="ED0000"/>
                      <w:szCs w:val="21"/>
                      <w:u w:val="single"/>
                    </w:rPr>
                  </w:pPr>
                  <w:r>
                    <w:rPr>
                      <w:rFonts w:hint="eastAsia"/>
                      <w:color w:val="ED0000"/>
                      <w:szCs w:val="21"/>
                      <w:u w:val="single"/>
                    </w:rPr>
                    <w:t>5</w:t>
                  </w:r>
                  <w:r>
                    <w:rPr>
                      <w:color w:val="ED0000"/>
                      <w:szCs w:val="21"/>
                      <w:u w:val="single"/>
                    </w:rPr>
                    <w:t>2</w:t>
                  </w:r>
                </w:p>
              </w:tc>
              <w:tc>
                <w:tcPr>
                  <w:tcW w:w="943" w:type="pct"/>
                  <w:vAlign w:val="center"/>
                </w:tcPr>
                <w:p>
                  <w:pPr>
                    <w:jc w:val="center"/>
                    <w:rPr>
                      <w:szCs w:val="21"/>
                    </w:rPr>
                  </w:pPr>
                  <w:r>
                    <w:rPr>
                      <w:szCs w:val="21"/>
                    </w:rPr>
                    <w:t>70</w:t>
                  </w:r>
                </w:p>
              </w:tc>
              <w:tc>
                <w:tcPr>
                  <w:tcW w:w="542" w:type="pct"/>
                  <w:vAlign w:val="center"/>
                </w:tcPr>
                <w:p>
                  <w:pPr>
                    <w:jc w:val="center"/>
                    <w:rPr>
                      <w:color w:val="ED0000"/>
                      <w:szCs w:val="21"/>
                      <w:u w:val="single"/>
                    </w:rPr>
                  </w:pPr>
                  <w:r>
                    <w:rPr>
                      <w:color w:val="ED0000"/>
                      <w:szCs w:val="21"/>
                      <w:u w:val="single"/>
                    </w:rPr>
                    <w:t>74.2</w:t>
                  </w:r>
                </w:p>
              </w:tc>
              <w:tc>
                <w:tcPr>
                  <w:tcW w:w="505" w:type="pct"/>
                  <w:vAlign w:val="center"/>
                </w:tcPr>
                <w:p>
                  <w:pPr>
                    <w:jc w:val="center"/>
                    <w:rPr>
                      <w:color w:val="ED0000"/>
                      <w:szCs w:val="21"/>
                      <w:u w:val="single"/>
                    </w:rPr>
                  </w:pPr>
                  <w:r>
                    <w:rPr>
                      <w:rFonts w:hint="eastAsia"/>
                      <w:color w:val="ED0000"/>
                      <w:szCs w:val="21"/>
                      <w:u w:val="single"/>
                    </w:rPr>
                    <w:t>达</w:t>
                  </w:r>
                  <w:r>
                    <w:rPr>
                      <w:color w:val="ED0000"/>
                      <w:szCs w:val="21"/>
                      <w:u w:val="single"/>
                    </w:rPr>
                    <w:t>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1" w:type="pct"/>
                  <w:vAlign w:val="center"/>
                </w:tcPr>
                <w:p>
                  <w:pPr>
                    <w:snapToGrid w:val="0"/>
                    <w:spacing w:line="0" w:lineRule="atLeast"/>
                    <w:jc w:val="center"/>
                    <w:rPr>
                      <w:szCs w:val="21"/>
                      <w:vertAlign w:val="subscript"/>
                    </w:rPr>
                  </w:pPr>
                  <w:r>
                    <w:rPr>
                      <w:szCs w:val="21"/>
                    </w:rPr>
                    <w:t>PM</w:t>
                  </w:r>
                  <w:r>
                    <w:rPr>
                      <w:szCs w:val="21"/>
                      <w:vertAlign w:val="subscript"/>
                    </w:rPr>
                    <w:t>2.5</w:t>
                  </w:r>
                </w:p>
              </w:tc>
              <w:tc>
                <w:tcPr>
                  <w:tcW w:w="1459" w:type="pct"/>
                  <w:vAlign w:val="center"/>
                </w:tcPr>
                <w:p>
                  <w:pPr>
                    <w:snapToGrid w:val="0"/>
                    <w:spacing w:line="0" w:lineRule="atLeast"/>
                    <w:jc w:val="center"/>
                    <w:rPr>
                      <w:szCs w:val="21"/>
                      <w:vertAlign w:val="subscript"/>
                    </w:rPr>
                  </w:pPr>
                  <w:r>
                    <w:rPr>
                      <w:bCs/>
                      <w:szCs w:val="21"/>
                    </w:rPr>
                    <w:t>年平均质量浓度</w:t>
                  </w:r>
                </w:p>
              </w:tc>
              <w:tc>
                <w:tcPr>
                  <w:tcW w:w="1101" w:type="pct"/>
                  <w:vAlign w:val="center"/>
                </w:tcPr>
                <w:p>
                  <w:pPr>
                    <w:jc w:val="center"/>
                    <w:rPr>
                      <w:color w:val="ED0000"/>
                      <w:szCs w:val="21"/>
                      <w:u w:val="single"/>
                    </w:rPr>
                  </w:pPr>
                  <w:r>
                    <w:rPr>
                      <w:color w:val="ED0000"/>
                      <w:szCs w:val="21"/>
                      <w:u w:val="single"/>
                    </w:rPr>
                    <w:t>33</w:t>
                  </w:r>
                </w:p>
              </w:tc>
              <w:tc>
                <w:tcPr>
                  <w:tcW w:w="943" w:type="pct"/>
                  <w:vAlign w:val="center"/>
                </w:tcPr>
                <w:p>
                  <w:pPr>
                    <w:jc w:val="center"/>
                    <w:rPr>
                      <w:szCs w:val="21"/>
                    </w:rPr>
                  </w:pPr>
                  <w:r>
                    <w:rPr>
                      <w:szCs w:val="21"/>
                    </w:rPr>
                    <w:t>35</w:t>
                  </w:r>
                </w:p>
              </w:tc>
              <w:tc>
                <w:tcPr>
                  <w:tcW w:w="542" w:type="pct"/>
                  <w:vAlign w:val="center"/>
                </w:tcPr>
                <w:p>
                  <w:pPr>
                    <w:jc w:val="center"/>
                    <w:rPr>
                      <w:color w:val="ED0000"/>
                      <w:szCs w:val="21"/>
                      <w:u w:val="single"/>
                    </w:rPr>
                  </w:pPr>
                  <w:r>
                    <w:rPr>
                      <w:color w:val="ED0000"/>
                      <w:szCs w:val="21"/>
                      <w:u w:val="single"/>
                    </w:rPr>
                    <w:t>94.3</w:t>
                  </w:r>
                </w:p>
              </w:tc>
              <w:tc>
                <w:tcPr>
                  <w:tcW w:w="505" w:type="pct"/>
                  <w:vAlign w:val="center"/>
                </w:tcPr>
                <w:p>
                  <w:pPr>
                    <w:jc w:val="center"/>
                    <w:rPr>
                      <w:color w:val="ED0000"/>
                      <w:szCs w:val="21"/>
                      <w:u w:val="single"/>
                    </w:rPr>
                  </w:pPr>
                  <w:r>
                    <w:rPr>
                      <w:rFonts w:hint="eastAsia"/>
                      <w:color w:val="ED0000"/>
                      <w:szCs w:val="21"/>
                      <w:u w:val="single"/>
                    </w:rPr>
                    <w:t>达</w:t>
                  </w:r>
                  <w:r>
                    <w:rPr>
                      <w:color w:val="ED0000"/>
                      <w:szCs w:val="21"/>
                      <w:u w:val="single"/>
                    </w:rPr>
                    <w:t>标</w:t>
                  </w:r>
                </w:p>
              </w:tc>
            </w:tr>
          </w:tbl>
          <w:p>
            <w:pPr>
              <w:pStyle w:val="30"/>
              <w:spacing w:line="360" w:lineRule="auto"/>
              <w:ind w:firstLine="480" w:firstLineChars="200"/>
              <w:rPr>
                <w:rFonts w:ascii="Times New Roman" w:cs="Times New Roman"/>
              </w:rPr>
            </w:pPr>
            <w:r>
              <w:rPr>
                <w:rFonts w:hint="eastAsia" w:ascii="Times New Roman" w:cs="Times New Roman"/>
              </w:rPr>
              <w:t>（2）特征因子补充监测</w:t>
            </w:r>
          </w:p>
          <w:p>
            <w:pPr>
              <w:pStyle w:val="30"/>
              <w:spacing w:line="360" w:lineRule="auto"/>
              <w:ind w:firstLine="480" w:firstLineChars="200"/>
              <w:rPr>
                <w:rFonts w:ascii="Times New Roman" w:cs="Times New Roman"/>
              </w:rPr>
            </w:pPr>
            <w:r>
              <w:rPr>
                <w:rFonts w:hint="eastAsia" w:ascii="Times New Roman" w:cs="Times New Roman"/>
              </w:rPr>
              <w:t>本项目主要特征大气污染物为颗粒物，本次环评引用《</w:t>
            </w:r>
            <w:r>
              <w:rPr>
                <w:rFonts w:hint="eastAsia"/>
              </w:rPr>
              <w:t>衡山县恒东竹木有限公司竹炭、竹制半成品生产建设项目环评报告表</w:t>
            </w:r>
            <w:r>
              <w:rPr>
                <w:rFonts w:hint="eastAsia" w:ascii="Times New Roman" w:cs="Times New Roman"/>
              </w:rPr>
              <w:t>》中耒阳市绿鑫环保有限公司对项目所在区域的TSP进行补充监测数据，监测时间为2</w:t>
            </w:r>
            <w:r>
              <w:rPr>
                <w:rFonts w:ascii="Times New Roman" w:cs="Times New Roman"/>
              </w:rPr>
              <w:t>022</w:t>
            </w:r>
            <w:r>
              <w:rPr>
                <w:rFonts w:hint="eastAsia" w:ascii="Times New Roman" w:cs="Times New Roman"/>
              </w:rPr>
              <w:t>年1月，满足3年有效期，该项目位于本项目西北侧约</w:t>
            </w:r>
            <w:r>
              <w:rPr>
                <w:rFonts w:ascii="Times New Roman" w:cs="Times New Roman"/>
              </w:rPr>
              <w:t>210m</w:t>
            </w:r>
            <w:r>
              <w:rPr>
                <w:rFonts w:hint="eastAsia" w:ascii="Times New Roman" w:cs="Times New Roman"/>
              </w:rPr>
              <w:t>，因此本项目引用数据有效。</w:t>
            </w:r>
          </w:p>
          <w:p>
            <w:pPr>
              <w:autoSpaceDE w:val="0"/>
              <w:autoSpaceDN w:val="0"/>
              <w:adjustRightInd w:val="0"/>
              <w:snapToGrid w:val="0"/>
              <w:spacing w:line="360" w:lineRule="auto"/>
              <w:ind w:firstLine="360" w:firstLineChars="150"/>
              <w:textAlignment w:val="baseline"/>
              <w:rPr>
                <w:kern w:val="0"/>
                <w:sz w:val="24"/>
              </w:rPr>
            </w:pPr>
            <w:r>
              <w:rPr>
                <w:kern w:val="0"/>
                <w:sz w:val="24"/>
              </w:rPr>
              <w:t>（1）监测布点：</w:t>
            </w:r>
            <w:r>
              <w:rPr>
                <w:rFonts w:hint="eastAsia"/>
                <w:kern w:val="0"/>
                <w:sz w:val="24"/>
              </w:rPr>
              <w:t>厂区下风向西南侧</w:t>
            </w:r>
            <w:r>
              <w:rPr>
                <w:kern w:val="0"/>
                <w:sz w:val="24"/>
              </w:rPr>
              <w:t>；</w:t>
            </w:r>
          </w:p>
          <w:p>
            <w:pPr>
              <w:autoSpaceDE w:val="0"/>
              <w:autoSpaceDN w:val="0"/>
              <w:adjustRightInd w:val="0"/>
              <w:snapToGrid w:val="0"/>
              <w:spacing w:line="360" w:lineRule="auto"/>
              <w:ind w:firstLine="360" w:firstLineChars="150"/>
              <w:textAlignment w:val="baseline"/>
              <w:rPr>
                <w:kern w:val="0"/>
                <w:sz w:val="24"/>
              </w:rPr>
            </w:pPr>
            <w:r>
              <w:rPr>
                <w:kern w:val="0"/>
                <w:sz w:val="24"/>
              </w:rPr>
              <w:t>（2）监测因子：</w:t>
            </w:r>
            <w:r>
              <w:rPr>
                <w:bCs/>
                <w:kern w:val="0"/>
                <w:sz w:val="24"/>
              </w:rPr>
              <w:t>颗粒物</w:t>
            </w:r>
            <w:r>
              <w:rPr>
                <w:kern w:val="0"/>
                <w:sz w:val="24"/>
              </w:rPr>
              <w:t>；</w:t>
            </w:r>
          </w:p>
          <w:p>
            <w:pPr>
              <w:autoSpaceDE w:val="0"/>
              <w:autoSpaceDN w:val="0"/>
              <w:adjustRightInd w:val="0"/>
              <w:snapToGrid w:val="0"/>
              <w:spacing w:line="360" w:lineRule="auto"/>
              <w:ind w:firstLine="360" w:firstLineChars="150"/>
              <w:textAlignment w:val="baseline"/>
              <w:rPr>
                <w:kern w:val="0"/>
                <w:sz w:val="24"/>
              </w:rPr>
            </w:pPr>
            <w:r>
              <w:rPr>
                <w:kern w:val="0"/>
                <w:sz w:val="24"/>
              </w:rPr>
              <w:t>（3）监测频次：</w:t>
            </w:r>
            <w:r>
              <w:rPr>
                <w:bCs/>
                <w:kern w:val="0"/>
                <w:sz w:val="24"/>
              </w:rPr>
              <w:t>连续监测</w:t>
            </w:r>
            <w:r>
              <w:rPr>
                <w:rFonts w:hint="eastAsia"/>
                <w:bCs/>
                <w:kern w:val="0"/>
                <w:sz w:val="24"/>
              </w:rPr>
              <w:t>3</w:t>
            </w:r>
            <w:r>
              <w:rPr>
                <w:bCs/>
                <w:kern w:val="0"/>
                <w:sz w:val="24"/>
              </w:rPr>
              <w:t>天，</w:t>
            </w:r>
            <w:r>
              <w:rPr>
                <w:rFonts w:hint="eastAsia"/>
                <w:bCs/>
                <w:kern w:val="0"/>
                <w:sz w:val="24"/>
              </w:rPr>
              <w:t>颗粒物监测日均值</w:t>
            </w:r>
            <w:r>
              <w:rPr>
                <w:bCs/>
                <w:kern w:val="0"/>
                <w:sz w:val="24"/>
              </w:rPr>
              <w:t>；</w:t>
            </w:r>
          </w:p>
          <w:p>
            <w:pPr>
              <w:autoSpaceDE w:val="0"/>
              <w:autoSpaceDN w:val="0"/>
              <w:adjustRightInd w:val="0"/>
              <w:snapToGrid w:val="0"/>
              <w:spacing w:line="360" w:lineRule="auto"/>
              <w:ind w:firstLine="360" w:firstLineChars="150"/>
              <w:textAlignment w:val="baseline"/>
              <w:rPr>
                <w:kern w:val="0"/>
                <w:sz w:val="24"/>
              </w:rPr>
            </w:pPr>
            <w:r>
              <w:rPr>
                <w:kern w:val="0"/>
                <w:sz w:val="24"/>
              </w:rPr>
              <w:t>（4）评价标准：颗粒物执行《环境空气质量标准》（GB 3095-2012）表2中二级标准限值。</w:t>
            </w:r>
          </w:p>
          <w:p>
            <w:pPr>
              <w:adjustRightInd w:val="0"/>
              <w:snapToGrid w:val="0"/>
              <w:spacing w:line="360" w:lineRule="auto"/>
              <w:ind w:firstLine="360" w:firstLineChars="150"/>
              <w:textAlignment w:val="baseline"/>
              <w:rPr>
                <w:sz w:val="24"/>
              </w:rPr>
            </w:pPr>
            <w:r>
              <w:rPr>
                <w:sz w:val="24"/>
              </w:rPr>
              <w:t>（5）监测结果如下表3-2。</w:t>
            </w:r>
          </w:p>
          <w:p>
            <w:pPr>
              <w:widowControl/>
              <w:jc w:val="center"/>
              <w:rPr>
                <w:b/>
                <w:szCs w:val="21"/>
              </w:rPr>
            </w:pPr>
            <w:r>
              <w:rPr>
                <w:b/>
                <w:szCs w:val="21"/>
              </w:rPr>
              <w:t>表3-2  其他污染物补充监测点位基本信息</w:t>
            </w:r>
          </w:p>
          <w:tbl>
            <w:tblPr>
              <w:tblStyle w:val="2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1167"/>
              <w:gridCol w:w="1169"/>
              <w:gridCol w:w="1169"/>
              <w:gridCol w:w="1169"/>
              <w:gridCol w:w="116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Merge w:val="restart"/>
                  <w:vAlign w:val="center"/>
                </w:tcPr>
                <w:p>
                  <w:pPr>
                    <w:widowControl/>
                    <w:jc w:val="center"/>
                    <w:rPr>
                      <w:b/>
                      <w:szCs w:val="21"/>
                    </w:rPr>
                  </w:pPr>
                  <w:r>
                    <w:rPr>
                      <w:b/>
                      <w:szCs w:val="21"/>
                    </w:rPr>
                    <w:t>监测点</w:t>
                  </w:r>
                  <w:r>
                    <w:rPr>
                      <w:rFonts w:hint="eastAsia"/>
                      <w:b/>
                      <w:szCs w:val="21"/>
                    </w:rPr>
                    <w:t>名</w:t>
                  </w:r>
                  <w:r>
                    <w:rPr>
                      <w:b/>
                      <w:szCs w:val="21"/>
                    </w:rPr>
                    <w:t>称</w:t>
                  </w:r>
                </w:p>
              </w:tc>
              <w:tc>
                <w:tcPr>
                  <w:tcW w:w="1427" w:type="pct"/>
                  <w:gridSpan w:val="2"/>
                  <w:vAlign w:val="center"/>
                </w:tcPr>
                <w:p>
                  <w:pPr>
                    <w:widowControl/>
                    <w:jc w:val="center"/>
                    <w:rPr>
                      <w:b/>
                      <w:szCs w:val="21"/>
                    </w:rPr>
                  </w:pPr>
                  <w:r>
                    <w:rPr>
                      <w:b/>
                      <w:szCs w:val="21"/>
                    </w:rPr>
                    <w:t>监测点坐标/m</w:t>
                  </w:r>
                </w:p>
              </w:tc>
              <w:tc>
                <w:tcPr>
                  <w:tcW w:w="714" w:type="pct"/>
                  <w:vMerge w:val="restart"/>
                  <w:vAlign w:val="center"/>
                </w:tcPr>
                <w:p>
                  <w:pPr>
                    <w:widowControl/>
                    <w:jc w:val="center"/>
                    <w:rPr>
                      <w:b/>
                      <w:szCs w:val="21"/>
                    </w:rPr>
                  </w:pPr>
                  <w:r>
                    <w:rPr>
                      <w:b/>
                      <w:szCs w:val="21"/>
                    </w:rPr>
                    <w:t>监测因子</w:t>
                  </w:r>
                </w:p>
              </w:tc>
              <w:tc>
                <w:tcPr>
                  <w:tcW w:w="714" w:type="pct"/>
                  <w:vMerge w:val="restart"/>
                  <w:vAlign w:val="center"/>
                </w:tcPr>
                <w:p>
                  <w:pPr>
                    <w:widowControl/>
                    <w:jc w:val="center"/>
                    <w:rPr>
                      <w:b/>
                      <w:szCs w:val="21"/>
                    </w:rPr>
                  </w:pPr>
                  <w:r>
                    <w:rPr>
                      <w:b/>
                      <w:szCs w:val="21"/>
                    </w:rPr>
                    <w:t>监测时段</w:t>
                  </w:r>
                </w:p>
              </w:tc>
              <w:tc>
                <w:tcPr>
                  <w:tcW w:w="714" w:type="pct"/>
                  <w:vMerge w:val="restart"/>
                  <w:vAlign w:val="center"/>
                </w:tcPr>
                <w:p>
                  <w:pPr>
                    <w:widowControl/>
                    <w:jc w:val="center"/>
                    <w:rPr>
                      <w:b/>
                      <w:szCs w:val="21"/>
                    </w:rPr>
                  </w:pPr>
                  <w:r>
                    <w:rPr>
                      <w:b/>
                      <w:szCs w:val="21"/>
                    </w:rPr>
                    <w:t>相对厂址方位</w:t>
                  </w:r>
                </w:p>
              </w:tc>
              <w:tc>
                <w:tcPr>
                  <w:tcW w:w="714" w:type="pct"/>
                  <w:vMerge w:val="restart"/>
                  <w:vAlign w:val="center"/>
                </w:tcPr>
                <w:p>
                  <w:pPr>
                    <w:widowControl/>
                    <w:jc w:val="center"/>
                    <w:rPr>
                      <w:b/>
                      <w:szCs w:val="21"/>
                    </w:rPr>
                  </w:pPr>
                  <w:r>
                    <w:rPr>
                      <w:b/>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Merge w:val="continue"/>
                  <w:vAlign w:val="center"/>
                </w:tcPr>
                <w:p>
                  <w:pPr>
                    <w:widowControl/>
                    <w:jc w:val="center"/>
                    <w:rPr>
                      <w:b/>
                      <w:szCs w:val="21"/>
                    </w:rPr>
                  </w:pPr>
                </w:p>
              </w:tc>
              <w:tc>
                <w:tcPr>
                  <w:tcW w:w="713" w:type="pct"/>
                  <w:vAlign w:val="center"/>
                </w:tcPr>
                <w:p>
                  <w:pPr>
                    <w:widowControl/>
                    <w:jc w:val="center"/>
                    <w:rPr>
                      <w:b/>
                      <w:szCs w:val="21"/>
                    </w:rPr>
                  </w:pPr>
                  <w:r>
                    <w:rPr>
                      <w:b/>
                      <w:szCs w:val="21"/>
                    </w:rPr>
                    <w:t>X</w:t>
                  </w:r>
                </w:p>
              </w:tc>
              <w:tc>
                <w:tcPr>
                  <w:tcW w:w="714" w:type="pct"/>
                  <w:vAlign w:val="center"/>
                </w:tcPr>
                <w:p>
                  <w:pPr>
                    <w:widowControl/>
                    <w:jc w:val="center"/>
                    <w:rPr>
                      <w:b/>
                      <w:szCs w:val="21"/>
                    </w:rPr>
                  </w:pPr>
                  <w:r>
                    <w:rPr>
                      <w:b/>
                      <w:szCs w:val="21"/>
                    </w:rPr>
                    <w:t>Y</w:t>
                  </w:r>
                </w:p>
              </w:tc>
              <w:tc>
                <w:tcPr>
                  <w:tcW w:w="714" w:type="pct"/>
                  <w:vMerge w:val="continue"/>
                  <w:vAlign w:val="center"/>
                </w:tcPr>
                <w:p>
                  <w:pPr>
                    <w:widowControl/>
                    <w:jc w:val="center"/>
                    <w:rPr>
                      <w:b/>
                      <w:szCs w:val="21"/>
                    </w:rPr>
                  </w:pPr>
                </w:p>
              </w:tc>
              <w:tc>
                <w:tcPr>
                  <w:tcW w:w="714" w:type="pct"/>
                  <w:vMerge w:val="continue"/>
                  <w:vAlign w:val="center"/>
                </w:tcPr>
                <w:p>
                  <w:pPr>
                    <w:widowControl/>
                    <w:jc w:val="center"/>
                    <w:rPr>
                      <w:b/>
                      <w:szCs w:val="21"/>
                    </w:rPr>
                  </w:pPr>
                </w:p>
              </w:tc>
              <w:tc>
                <w:tcPr>
                  <w:tcW w:w="714" w:type="pct"/>
                  <w:vMerge w:val="continue"/>
                  <w:vAlign w:val="center"/>
                </w:tcPr>
                <w:p>
                  <w:pPr>
                    <w:widowControl/>
                    <w:jc w:val="center"/>
                    <w:rPr>
                      <w:b/>
                      <w:szCs w:val="21"/>
                    </w:rPr>
                  </w:pPr>
                </w:p>
              </w:tc>
              <w:tc>
                <w:tcPr>
                  <w:tcW w:w="714" w:type="pct"/>
                  <w:vMerge w:val="continue"/>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pct"/>
                  <w:vAlign w:val="center"/>
                </w:tcPr>
                <w:p>
                  <w:pPr>
                    <w:widowControl/>
                    <w:jc w:val="center"/>
                    <w:rPr>
                      <w:bCs/>
                      <w:szCs w:val="21"/>
                    </w:rPr>
                  </w:pPr>
                  <w:r>
                    <w:rPr>
                      <w:rFonts w:hint="eastAsia"/>
                      <w:bCs/>
                      <w:szCs w:val="21"/>
                    </w:rPr>
                    <w:t>厂区下风向西南侧</w:t>
                  </w:r>
                </w:p>
              </w:tc>
              <w:tc>
                <w:tcPr>
                  <w:tcW w:w="713" w:type="pct"/>
                  <w:vAlign w:val="center"/>
                </w:tcPr>
                <w:p>
                  <w:pPr>
                    <w:widowControl/>
                    <w:jc w:val="center"/>
                    <w:rPr>
                      <w:bCs/>
                      <w:szCs w:val="21"/>
                    </w:rPr>
                  </w:pPr>
                  <w:r>
                    <w:rPr>
                      <w:rFonts w:hint="eastAsia"/>
                      <w:bCs/>
                      <w:szCs w:val="21"/>
                    </w:rPr>
                    <w:t>-5</w:t>
                  </w:r>
                </w:p>
              </w:tc>
              <w:tc>
                <w:tcPr>
                  <w:tcW w:w="714" w:type="pct"/>
                  <w:vAlign w:val="center"/>
                </w:tcPr>
                <w:p>
                  <w:pPr>
                    <w:widowControl/>
                    <w:jc w:val="center"/>
                    <w:rPr>
                      <w:bCs/>
                      <w:szCs w:val="21"/>
                    </w:rPr>
                  </w:pPr>
                  <w:r>
                    <w:rPr>
                      <w:rFonts w:hint="eastAsia"/>
                      <w:bCs/>
                      <w:szCs w:val="21"/>
                    </w:rPr>
                    <w:t>-9</w:t>
                  </w:r>
                </w:p>
              </w:tc>
              <w:tc>
                <w:tcPr>
                  <w:tcW w:w="714" w:type="pct"/>
                  <w:vAlign w:val="center"/>
                </w:tcPr>
                <w:p>
                  <w:pPr>
                    <w:widowControl/>
                    <w:jc w:val="center"/>
                    <w:rPr>
                      <w:bCs/>
                      <w:szCs w:val="21"/>
                    </w:rPr>
                  </w:pPr>
                  <w:r>
                    <w:rPr>
                      <w:bCs/>
                      <w:szCs w:val="21"/>
                    </w:rPr>
                    <w:t>颗粒物</w:t>
                  </w:r>
                </w:p>
              </w:tc>
              <w:tc>
                <w:tcPr>
                  <w:tcW w:w="714" w:type="pct"/>
                  <w:vAlign w:val="center"/>
                </w:tcPr>
                <w:p>
                  <w:pPr>
                    <w:widowControl/>
                    <w:jc w:val="center"/>
                    <w:rPr>
                      <w:bCs/>
                      <w:szCs w:val="21"/>
                    </w:rPr>
                  </w:pPr>
                  <w:r>
                    <w:rPr>
                      <w:bCs/>
                      <w:szCs w:val="21"/>
                    </w:rPr>
                    <w:t>20</w:t>
                  </w:r>
                  <w:r>
                    <w:rPr>
                      <w:rFonts w:hint="eastAsia"/>
                      <w:bCs/>
                      <w:szCs w:val="21"/>
                    </w:rPr>
                    <w:t>22</w:t>
                  </w:r>
                  <w:r>
                    <w:rPr>
                      <w:bCs/>
                      <w:szCs w:val="21"/>
                    </w:rPr>
                    <w:t>.</w:t>
                  </w:r>
                  <w:r>
                    <w:rPr>
                      <w:rFonts w:hint="eastAsia"/>
                      <w:bCs/>
                      <w:szCs w:val="21"/>
                    </w:rPr>
                    <w:t>1</w:t>
                  </w:r>
                  <w:r>
                    <w:rPr>
                      <w:bCs/>
                      <w:szCs w:val="21"/>
                    </w:rPr>
                    <w:t>.</w:t>
                  </w:r>
                  <w:r>
                    <w:rPr>
                      <w:rFonts w:hint="eastAsia"/>
                      <w:bCs/>
                      <w:szCs w:val="21"/>
                    </w:rPr>
                    <w:t>12</w:t>
                  </w:r>
                  <w:r>
                    <w:rPr>
                      <w:bCs/>
                      <w:szCs w:val="21"/>
                    </w:rPr>
                    <w:t>-</w:t>
                  </w:r>
                </w:p>
                <w:p>
                  <w:pPr>
                    <w:widowControl/>
                    <w:jc w:val="center"/>
                    <w:rPr>
                      <w:bCs/>
                      <w:szCs w:val="21"/>
                    </w:rPr>
                  </w:pPr>
                  <w:r>
                    <w:rPr>
                      <w:bCs/>
                      <w:szCs w:val="21"/>
                    </w:rPr>
                    <w:t>202</w:t>
                  </w:r>
                  <w:r>
                    <w:rPr>
                      <w:rFonts w:hint="eastAsia"/>
                      <w:bCs/>
                      <w:szCs w:val="21"/>
                    </w:rPr>
                    <w:t>2.1.14</w:t>
                  </w:r>
                </w:p>
              </w:tc>
              <w:tc>
                <w:tcPr>
                  <w:tcW w:w="714" w:type="pct"/>
                  <w:vAlign w:val="center"/>
                </w:tcPr>
                <w:p>
                  <w:pPr>
                    <w:widowControl/>
                    <w:jc w:val="center"/>
                    <w:rPr>
                      <w:bCs/>
                      <w:szCs w:val="21"/>
                    </w:rPr>
                  </w:pPr>
                  <w:r>
                    <w:rPr>
                      <w:rFonts w:hint="eastAsia"/>
                      <w:bCs/>
                      <w:szCs w:val="21"/>
                    </w:rPr>
                    <w:t>西南</w:t>
                  </w:r>
                </w:p>
              </w:tc>
              <w:tc>
                <w:tcPr>
                  <w:tcW w:w="714" w:type="pct"/>
                  <w:vAlign w:val="center"/>
                </w:tcPr>
                <w:p>
                  <w:pPr>
                    <w:widowControl/>
                    <w:jc w:val="center"/>
                    <w:rPr>
                      <w:bCs/>
                      <w:szCs w:val="21"/>
                    </w:rPr>
                  </w:pPr>
                  <w:r>
                    <w:rPr>
                      <w:rFonts w:hint="eastAsia"/>
                      <w:bCs/>
                      <w:szCs w:val="21"/>
                    </w:rPr>
                    <w:t>10</w:t>
                  </w:r>
                </w:p>
              </w:tc>
            </w:tr>
          </w:tbl>
          <w:p>
            <w:pPr>
              <w:widowControl/>
              <w:jc w:val="center"/>
              <w:rPr>
                <w:b/>
                <w:szCs w:val="21"/>
              </w:rPr>
            </w:pPr>
            <w:r>
              <w:rPr>
                <w:b/>
                <w:szCs w:val="21"/>
              </w:rPr>
              <w:t>表3-3  其他污染物环境质量现状（监测结果）表</w:t>
            </w:r>
          </w:p>
          <w:tbl>
            <w:tblPr>
              <w:tblStyle w:val="24"/>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661"/>
              <w:gridCol w:w="666"/>
              <w:gridCol w:w="808"/>
              <w:gridCol w:w="669"/>
              <w:gridCol w:w="1198"/>
              <w:gridCol w:w="1202"/>
              <w:gridCol w:w="708"/>
              <w:gridCol w:w="649"/>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 w:type="pct"/>
                  <w:vMerge w:val="restart"/>
                  <w:vAlign w:val="center"/>
                </w:tcPr>
                <w:p>
                  <w:pPr>
                    <w:widowControl/>
                    <w:jc w:val="center"/>
                    <w:rPr>
                      <w:b/>
                      <w:szCs w:val="21"/>
                    </w:rPr>
                  </w:pPr>
                  <w:r>
                    <w:rPr>
                      <w:b/>
                      <w:szCs w:val="21"/>
                    </w:rPr>
                    <w:t>监测点位</w:t>
                  </w:r>
                </w:p>
              </w:tc>
              <w:tc>
                <w:tcPr>
                  <w:tcW w:w="811" w:type="pct"/>
                  <w:gridSpan w:val="2"/>
                  <w:vAlign w:val="center"/>
                </w:tcPr>
                <w:p>
                  <w:pPr>
                    <w:widowControl/>
                    <w:jc w:val="center"/>
                    <w:rPr>
                      <w:b/>
                      <w:szCs w:val="21"/>
                    </w:rPr>
                  </w:pPr>
                  <w:r>
                    <w:rPr>
                      <w:b/>
                      <w:szCs w:val="21"/>
                    </w:rPr>
                    <w:t>监测点坐标/m</w:t>
                  </w:r>
                </w:p>
              </w:tc>
              <w:tc>
                <w:tcPr>
                  <w:tcW w:w="494" w:type="pct"/>
                  <w:vMerge w:val="restart"/>
                  <w:vAlign w:val="center"/>
                </w:tcPr>
                <w:p>
                  <w:pPr>
                    <w:widowControl/>
                    <w:jc w:val="center"/>
                    <w:rPr>
                      <w:b/>
                      <w:szCs w:val="21"/>
                    </w:rPr>
                  </w:pPr>
                  <w:r>
                    <w:rPr>
                      <w:b/>
                      <w:szCs w:val="21"/>
                    </w:rPr>
                    <w:t>污染物</w:t>
                  </w:r>
                </w:p>
              </w:tc>
              <w:tc>
                <w:tcPr>
                  <w:tcW w:w="409" w:type="pct"/>
                  <w:vMerge w:val="restart"/>
                  <w:vAlign w:val="center"/>
                </w:tcPr>
                <w:p>
                  <w:pPr>
                    <w:widowControl/>
                    <w:jc w:val="center"/>
                    <w:rPr>
                      <w:b/>
                      <w:szCs w:val="21"/>
                    </w:rPr>
                  </w:pPr>
                  <w:r>
                    <w:rPr>
                      <w:b/>
                      <w:szCs w:val="21"/>
                    </w:rPr>
                    <w:t>平均时间</w:t>
                  </w:r>
                </w:p>
              </w:tc>
              <w:tc>
                <w:tcPr>
                  <w:tcW w:w="732" w:type="pct"/>
                  <w:vMerge w:val="restart"/>
                  <w:vAlign w:val="center"/>
                </w:tcPr>
                <w:p>
                  <w:pPr>
                    <w:widowControl/>
                    <w:jc w:val="center"/>
                    <w:rPr>
                      <w:b/>
                      <w:szCs w:val="21"/>
                    </w:rPr>
                  </w:pPr>
                  <w:r>
                    <w:rPr>
                      <w:b/>
                      <w:szCs w:val="21"/>
                    </w:rPr>
                    <w:t>评价标准/（µg/m</w:t>
                  </w:r>
                  <w:r>
                    <w:rPr>
                      <w:b/>
                      <w:szCs w:val="21"/>
                      <w:vertAlign w:val="superscript"/>
                    </w:rPr>
                    <w:t>3</w:t>
                  </w:r>
                  <w:r>
                    <w:rPr>
                      <w:b/>
                      <w:szCs w:val="21"/>
                    </w:rPr>
                    <w:t>）</w:t>
                  </w:r>
                </w:p>
              </w:tc>
              <w:tc>
                <w:tcPr>
                  <w:tcW w:w="735" w:type="pct"/>
                  <w:vMerge w:val="restart"/>
                  <w:vAlign w:val="center"/>
                </w:tcPr>
                <w:p>
                  <w:pPr>
                    <w:widowControl/>
                    <w:jc w:val="center"/>
                    <w:rPr>
                      <w:b/>
                      <w:szCs w:val="21"/>
                    </w:rPr>
                  </w:pPr>
                  <w:r>
                    <w:rPr>
                      <w:b/>
                      <w:szCs w:val="21"/>
                    </w:rPr>
                    <w:t>监测浓度范围/（µg/m</w:t>
                  </w:r>
                  <w:r>
                    <w:rPr>
                      <w:b/>
                      <w:szCs w:val="21"/>
                      <w:vertAlign w:val="superscript"/>
                    </w:rPr>
                    <w:t>3</w:t>
                  </w:r>
                  <w:r>
                    <w:rPr>
                      <w:b/>
                      <w:szCs w:val="21"/>
                    </w:rPr>
                    <w:t>）</w:t>
                  </w:r>
                </w:p>
              </w:tc>
              <w:tc>
                <w:tcPr>
                  <w:tcW w:w="433" w:type="pct"/>
                  <w:vMerge w:val="restart"/>
                  <w:vAlign w:val="center"/>
                </w:tcPr>
                <w:p>
                  <w:pPr>
                    <w:widowControl/>
                    <w:jc w:val="center"/>
                    <w:rPr>
                      <w:b/>
                      <w:szCs w:val="21"/>
                    </w:rPr>
                  </w:pPr>
                  <w:r>
                    <w:rPr>
                      <w:b/>
                      <w:szCs w:val="21"/>
                    </w:rPr>
                    <w:t>最大浓度占标率/%</w:t>
                  </w:r>
                </w:p>
              </w:tc>
              <w:tc>
                <w:tcPr>
                  <w:tcW w:w="397" w:type="pct"/>
                  <w:vMerge w:val="restart"/>
                  <w:vAlign w:val="center"/>
                </w:tcPr>
                <w:p>
                  <w:pPr>
                    <w:widowControl/>
                    <w:jc w:val="center"/>
                    <w:rPr>
                      <w:b/>
                      <w:szCs w:val="21"/>
                    </w:rPr>
                  </w:pPr>
                  <w:r>
                    <w:rPr>
                      <w:b/>
                      <w:szCs w:val="21"/>
                    </w:rPr>
                    <w:t>超标率/%</w:t>
                  </w:r>
                </w:p>
              </w:tc>
              <w:tc>
                <w:tcPr>
                  <w:tcW w:w="411" w:type="pct"/>
                  <w:vMerge w:val="restart"/>
                  <w:vAlign w:val="center"/>
                </w:tcPr>
                <w:p>
                  <w:pPr>
                    <w:widowControl/>
                    <w:jc w:val="center"/>
                    <w:rPr>
                      <w:b/>
                      <w:szCs w:val="21"/>
                    </w:rPr>
                  </w:pPr>
                  <w:r>
                    <w:rPr>
                      <w:b/>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Merge w:val="continue"/>
                  <w:vAlign w:val="center"/>
                </w:tcPr>
                <w:p>
                  <w:pPr>
                    <w:widowControl/>
                    <w:jc w:val="center"/>
                    <w:rPr>
                      <w:b/>
                      <w:szCs w:val="21"/>
                    </w:rPr>
                  </w:pPr>
                </w:p>
              </w:tc>
              <w:tc>
                <w:tcPr>
                  <w:tcW w:w="404" w:type="pct"/>
                  <w:vAlign w:val="center"/>
                </w:tcPr>
                <w:p>
                  <w:pPr>
                    <w:widowControl/>
                    <w:jc w:val="center"/>
                    <w:rPr>
                      <w:b/>
                      <w:szCs w:val="21"/>
                    </w:rPr>
                  </w:pPr>
                  <w:r>
                    <w:rPr>
                      <w:b/>
                      <w:szCs w:val="21"/>
                    </w:rPr>
                    <w:t>X</w:t>
                  </w:r>
                </w:p>
              </w:tc>
              <w:tc>
                <w:tcPr>
                  <w:tcW w:w="406" w:type="pct"/>
                  <w:vAlign w:val="center"/>
                </w:tcPr>
                <w:p>
                  <w:pPr>
                    <w:widowControl/>
                    <w:jc w:val="center"/>
                    <w:rPr>
                      <w:b/>
                      <w:szCs w:val="21"/>
                    </w:rPr>
                  </w:pPr>
                  <w:r>
                    <w:rPr>
                      <w:b/>
                      <w:szCs w:val="21"/>
                    </w:rPr>
                    <w:t>Y</w:t>
                  </w:r>
                </w:p>
              </w:tc>
              <w:tc>
                <w:tcPr>
                  <w:tcW w:w="494" w:type="pct"/>
                  <w:vMerge w:val="continue"/>
                  <w:vAlign w:val="center"/>
                </w:tcPr>
                <w:p>
                  <w:pPr>
                    <w:widowControl/>
                    <w:jc w:val="center"/>
                    <w:rPr>
                      <w:b/>
                      <w:szCs w:val="21"/>
                    </w:rPr>
                  </w:pPr>
                </w:p>
              </w:tc>
              <w:tc>
                <w:tcPr>
                  <w:tcW w:w="409" w:type="pct"/>
                  <w:vMerge w:val="continue"/>
                  <w:vAlign w:val="center"/>
                </w:tcPr>
                <w:p>
                  <w:pPr>
                    <w:widowControl/>
                    <w:jc w:val="center"/>
                    <w:rPr>
                      <w:b/>
                      <w:szCs w:val="21"/>
                    </w:rPr>
                  </w:pPr>
                </w:p>
              </w:tc>
              <w:tc>
                <w:tcPr>
                  <w:tcW w:w="732" w:type="pct"/>
                  <w:vMerge w:val="continue"/>
                  <w:vAlign w:val="center"/>
                </w:tcPr>
                <w:p>
                  <w:pPr>
                    <w:widowControl/>
                    <w:jc w:val="center"/>
                    <w:rPr>
                      <w:b/>
                      <w:szCs w:val="21"/>
                    </w:rPr>
                  </w:pPr>
                </w:p>
              </w:tc>
              <w:tc>
                <w:tcPr>
                  <w:tcW w:w="735" w:type="pct"/>
                  <w:vMerge w:val="continue"/>
                  <w:vAlign w:val="center"/>
                </w:tcPr>
                <w:p>
                  <w:pPr>
                    <w:widowControl/>
                    <w:jc w:val="center"/>
                    <w:rPr>
                      <w:b/>
                      <w:szCs w:val="21"/>
                    </w:rPr>
                  </w:pPr>
                </w:p>
              </w:tc>
              <w:tc>
                <w:tcPr>
                  <w:tcW w:w="433" w:type="pct"/>
                  <w:vMerge w:val="continue"/>
                  <w:vAlign w:val="center"/>
                </w:tcPr>
                <w:p>
                  <w:pPr>
                    <w:widowControl/>
                    <w:jc w:val="center"/>
                    <w:rPr>
                      <w:b/>
                      <w:szCs w:val="21"/>
                    </w:rPr>
                  </w:pPr>
                </w:p>
              </w:tc>
              <w:tc>
                <w:tcPr>
                  <w:tcW w:w="397" w:type="pct"/>
                  <w:vMerge w:val="continue"/>
                  <w:vAlign w:val="center"/>
                </w:tcPr>
                <w:p>
                  <w:pPr>
                    <w:widowControl/>
                    <w:jc w:val="center"/>
                    <w:rPr>
                      <w:b/>
                      <w:szCs w:val="21"/>
                    </w:rPr>
                  </w:pPr>
                </w:p>
              </w:tc>
              <w:tc>
                <w:tcPr>
                  <w:tcW w:w="411" w:type="pct"/>
                  <w:vMerge w:val="continue"/>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pct"/>
                  <w:vAlign w:val="center"/>
                </w:tcPr>
                <w:p>
                  <w:pPr>
                    <w:widowControl/>
                    <w:jc w:val="center"/>
                    <w:rPr>
                      <w:bCs/>
                      <w:szCs w:val="21"/>
                    </w:rPr>
                  </w:pPr>
                  <w:r>
                    <w:rPr>
                      <w:rFonts w:hint="eastAsia"/>
                      <w:bCs/>
                      <w:szCs w:val="21"/>
                    </w:rPr>
                    <w:t>厂区下风向西南侧</w:t>
                  </w:r>
                </w:p>
              </w:tc>
              <w:tc>
                <w:tcPr>
                  <w:tcW w:w="677" w:type="dxa"/>
                  <w:vAlign w:val="center"/>
                </w:tcPr>
                <w:p>
                  <w:pPr>
                    <w:widowControl/>
                    <w:jc w:val="center"/>
                    <w:rPr>
                      <w:bCs/>
                      <w:szCs w:val="21"/>
                    </w:rPr>
                  </w:pPr>
                  <w:r>
                    <w:rPr>
                      <w:rFonts w:hint="eastAsia"/>
                      <w:bCs/>
                      <w:szCs w:val="21"/>
                    </w:rPr>
                    <w:t>-5</w:t>
                  </w:r>
                </w:p>
              </w:tc>
              <w:tc>
                <w:tcPr>
                  <w:tcW w:w="682" w:type="dxa"/>
                  <w:vAlign w:val="center"/>
                </w:tcPr>
                <w:p>
                  <w:pPr>
                    <w:widowControl/>
                    <w:jc w:val="center"/>
                    <w:rPr>
                      <w:bCs/>
                      <w:szCs w:val="21"/>
                    </w:rPr>
                  </w:pPr>
                  <w:r>
                    <w:rPr>
                      <w:rFonts w:hint="eastAsia"/>
                      <w:bCs/>
                      <w:szCs w:val="21"/>
                    </w:rPr>
                    <w:t>-9</w:t>
                  </w:r>
                </w:p>
              </w:tc>
              <w:tc>
                <w:tcPr>
                  <w:tcW w:w="494" w:type="pct"/>
                  <w:vAlign w:val="center"/>
                </w:tcPr>
                <w:p>
                  <w:pPr>
                    <w:widowControl/>
                    <w:jc w:val="center"/>
                    <w:rPr>
                      <w:bCs/>
                      <w:szCs w:val="21"/>
                    </w:rPr>
                  </w:pPr>
                  <w:r>
                    <w:rPr>
                      <w:bCs/>
                      <w:szCs w:val="21"/>
                    </w:rPr>
                    <w:t>颗粒物</w:t>
                  </w:r>
                </w:p>
              </w:tc>
              <w:tc>
                <w:tcPr>
                  <w:tcW w:w="409" w:type="pct"/>
                  <w:vAlign w:val="center"/>
                </w:tcPr>
                <w:p>
                  <w:pPr>
                    <w:widowControl/>
                    <w:jc w:val="center"/>
                    <w:rPr>
                      <w:bCs/>
                      <w:szCs w:val="21"/>
                    </w:rPr>
                  </w:pPr>
                  <w:r>
                    <w:rPr>
                      <w:bCs/>
                      <w:szCs w:val="21"/>
                    </w:rPr>
                    <w:t>1天</w:t>
                  </w:r>
                </w:p>
              </w:tc>
              <w:tc>
                <w:tcPr>
                  <w:tcW w:w="732" w:type="pct"/>
                  <w:vAlign w:val="center"/>
                </w:tcPr>
                <w:p>
                  <w:pPr>
                    <w:widowControl/>
                    <w:jc w:val="center"/>
                    <w:rPr>
                      <w:bCs/>
                      <w:szCs w:val="21"/>
                    </w:rPr>
                  </w:pPr>
                  <w:r>
                    <w:rPr>
                      <w:bCs/>
                      <w:szCs w:val="21"/>
                    </w:rPr>
                    <w:t>300</w:t>
                  </w:r>
                </w:p>
              </w:tc>
              <w:tc>
                <w:tcPr>
                  <w:tcW w:w="735" w:type="pct"/>
                  <w:vAlign w:val="center"/>
                </w:tcPr>
                <w:p>
                  <w:pPr>
                    <w:widowControl/>
                    <w:jc w:val="center"/>
                    <w:rPr>
                      <w:bCs/>
                      <w:szCs w:val="21"/>
                    </w:rPr>
                  </w:pPr>
                  <w:r>
                    <w:rPr>
                      <w:rFonts w:hint="eastAsia"/>
                      <w:bCs/>
                      <w:szCs w:val="21"/>
                    </w:rPr>
                    <w:t>137-170</w:t>
                  </w:r>
                </w:p>
              </w:tc>
              <w:tc>
                <w:tcPr>
                  <w:tcW w:w="433" w:type="pct"/>
                  <w:vAlign w:val="center"/>
                </w:tcPr>
                <w:p>
                  <w:pPr>
                    <w:widowControl/>
                    <w:jc w:val="center"/>
                    <w:rPr>
                      <w:bCs/>
                      <w:szCs w:val="21"/>
                    </w:rPr>
                  </w:pPr>
                  <w:r>
                    <w:rPr>
                      <w:rFonts w:hint="eastAsia"/>
                      <w:bCs/>
                      <w:szCs w:val="21"/>
                    </w:rPr>
                    <w:t>5</w:t>
                  </w:r>
                  <w:r>
                    <w:rPr>
                      <w:bCs/>
                      <w:szCs w:val="21"/>
                    </w:rPr>
                    <w:t>6.7</w:t>
                  </w:r>
                </w:p>
              </w:tc>
              <w:tc>
                <w:tcPr>
                  <w:tcW w:w="397" w:type="pct"/>
                  <w:vAlign w:val="center"/>
                </w:tcPr>
                <w:p>
                  <w:pPr>
                    <w:widowControl/>
                    <w:jc w:val="center"/>
                    <w:rPr>
                      <w:bCs/>
                      <w:szCs w:val="21"/>
                    </w:rPr>
                  </w:pPr>
                  <w:r>
                    <w:rPr>
                      <w:rFonts w:hint="eastAsia"/>
                      <w:bCs/>
                      <w:szCs w:val="21"/>
                    </w:rPr>
                    <w:t>0</w:t>
                  </w:r>
                </w:p>
              </w:tc>
              <w:tc>
                <w:tcPr>
                  <w:tcW w:w="411" w:type="pct"/>
                  <w:vAlign w:val="center"/>
                </w:tcPr>
                <w:p>
                  <w:pPr>
                    <w:widowControl/>
                    <w:jc w:val="center"/>
                    <w:rPr>
                      <w:bCs/>
                      <w:szCs w:val="21"/>
                    </w:rPr>
                  </w:pPr>
                  <w:r>
                    <w:rPr>
                      <w:bCs/>
                      <w:szCs w:val="21"/>
                    </w:rPr>
                    <w:t>达标</w:t>
                  </w:r>
                </w:p>
              </w:tc>
            </w:tr>
          </w:tbl>
          <w:p>
            <w:pPr>
              <w:adjustRightInd w:val="0"/>
              <w:snapToGrid w:val="0"/>
              <w:spacing w:line="360" w:lineRule="auto"/>
              <w:ind w:firstLine="480" w:firstLineChars="200"/>
              <w:textAlignment w:val="baseline"/>
            </w:pPr>
            <w:r>
              <w:rPr>
                <w:kern w:val="0"/>
                <w:sz w:val="24"/>
              </w:rPr>
              <w:t>监测结果表明，颗粒物可满足《环境空气质量标准》（GB 3095-2012）表2中二级标准限值。</w:t>
            </w:r>
          </w:p>
          <w:p>
            <w:pPr>
              <w:pStyle w:val="53"/>
              <w:widowControl/>
              <w:adjustRightInd w:val="0"/>
              <w:snapToGrid w:val="0"/>
              <w:ind w:firstLine="482" w:firstLineChars="200"/>
              <w:rPr>
                <w:b/>
              </w:rPr>
            </w:pPr>
            <w:r>
              <w:rPr>
                <w:b/>
              </w:rPr>
              <w:t>2、地表水环境质量现状</w:t>
            </w:r>
          </w:p>
          <w:p>
            <w:pPr>
              <w:spacing w:line="360" w:lineRule="auto"/>
              <w:ind w:firstLine="480" w:firstLineChars="200"/>
              <w:rPr>
                <w:sz w:val="24"/>
                <w:szCs w:val="20"/>
              </w:rPr>
            </w:pPr>
            <w:r>
              <w:rPr>
                <w:sz w:val="24"/>
                <w:szCs w:val="20"/>
              </w:rPr>
              <w:t>项目运营期生活污水经</w:t>
            </w:r>
            <w:r>
              <w:rPr>
                <w:rFonts w:hint="eastAsia"/>
                <w:sz w:val="24"/>
                <w:szCs w:val="20"/>
              </w:rPr>
              <w:t>隔</w:t>
            </w:r>
            <w:r>
              <w:rPr>
                <w:sz w:val="24"/>
                <w:szCs w:val="20"/>
              </w:rPr>
              <w:t>化粪池</w:t>
            </w:r>
            <w:r>
              <w:rPr>
                <w:rFonts w:hint="eastAsia"/>
                <w:sz w:val="24"/>
                <w:szCs w:val="20"/>
              </w:rPr>
              <w:t>预</w:t>
            </w:r>
            <w:r>
              <w:rPr>
                <w:sz w:val="24"/>
                <w:szCs w:val="20"/>
              </w:rPr>
              <w:t>处理后</w:t>
            </w:r>
            <w:r>
              <w:rPr>
                <w:rFonts w:hint="eastAsia"/>
                <w:sz w:val="24"/>
                <w:szCs w:val="20"/>
              </w:rPr>
              <w:t>定期清掏用作农肥</w:t>
            </w:r>
            <w:r>
              <w:rPr>
                <w:sz w:val="24"/>
                <w:szCs w:val="20"/>
              </w:rPr>
              <w:t>。</w:t>
            </w:r>
            <w:r>
              <w:rPr>
                <w:rFonts w:hint="eastAsia"/>
                <w:sz w:val="24"/>
                <w:szCs w:val="20"/>
              </w:rPr>
              <w:t>本项目无废水外排。</w:t>
            </w:r>
          </w:p>
          <w:p>
            <w:pPr>
              <w:spacing w:line="360" w:lineRule="auto"/>
              <w:ind w:firstLine="480" w:firstLineChars="200"/>
              <w:rPr>
                <w:color w:val="000000" w:themeColor="text1"/>
                <w:sz w:val="24"/>
                <w:szCs w:val="20"/>
                <w14:textFill>
                  <w14:solidFill>
                    <w14:schemeClr w14:val="tx1"/>
                  </w14:solidFill>
                </w14:textFill>
              </w:rPr>
            </w:pPr>
            <w:r>
              <w:rPr>
                <w:sz w:val="24"/>
                <w:szCs w:val="20"/>
              </w:rPr>
              <w:t>结合《环境影响评价技术导则地表水环境》（HJ2.3-2018）：</w:t>
            </w:r>
            <w:r>
              <w:rPr>
                <w:rFonts w:hint="eastAsia"/>
                <w:sz w:val="24"/>
                <w:szCs w:val="20"/>
              </w:rPr>
              <w:t>“</w:t>
            </w:r>
            <w:r>
              <w:rPr>
                <w:sz w:val="24"/>
                <w:szCs w:val="20"/>
              </w:rPr>
              <w:t>6.6.3.2环境现状调查与评价应优先采用国务院生态环境保护主管部门统一发布的水环境状况信息</w:t>
            </w:r>
            <w:r>
              <w:rPr>
                <w:rFonts w:hint="eastAsia"/>
                <w:sz w:val="24"/>
                <w:szCs w:val="20"/>
              </w:rPr>
              <w:t>”</w:t>
            </w:r>
            <w:r>
              <w:rPr>
                <w:color w:val="000000" w:themeColor="text1"/>
                <w:sz w:val="24"/>
                <w:szCs w:val="20"/>
                <w14:textFill>
                  <w14:solidFill>
                    <w14:schemeClr w14:val="tx1"/>
                  </w14:solidFill>
                </w14:textFill>
              </w:rPr>
              <w:t>。</w:t>
            </w:r>
            <w:r>
              <w:rPr>
                <w:color w:val="000000" w:themeColor="text1"/>
                <w:sz w:val="24"/>
                <w:szCs w:val="20"/>
                <w:u w:val="single"/>
                <w14:textFill>
                  <w14:solidFill>
                    <w14:schemeClr w14:val="tx1"/>
                  </w14:solidFill>
                </w14:textFill>
              </w:rPr>
              <w:t>本次地表水环境质量现状评价引用</w:t>
            </w:r>
            <w:r>
              <w:rPr>
                <w:rFonts w:hint="eastAsia"/>
                <w:color w:val="000000" w:themeColor="text1"/>
                <w:sz w:val="24"/>
                <w:szCs w:val="20"/>
                <w:u w:val="single"/>
                <w14:textFill>
                  <w14:solidFill>
                    <w14:schemeClr w14:val="tx1"/>
                  </w14:solidFill>
                </w14:textFill>
              </w:rPr>
              <w:t>衡阳市生态环境局《关于20</w:t>
            </w:r>
            <w:r>
              <w:rPr>
                <w:color w:val="000000" w:themeColor="text1"/>
                <w:sz w:val="24"/>
                <w:szCs w:val="20"/>
                <w:u w:val="single"/>
                <w14:textFill>
                  <w14:solidFill>
                    <w14:schemeClr w14:val="tx1"/>
                  </w14:solidFill>
                </w14:textFill>
              </w:rPr>
              <w:t>23</w:t>
            </w:r>
            <w:r>
              <w:rPr>
                <w:rFonts w:hint="eastAsia"/>
                <w:color w:val="000000" w:themeColor="text1"/>
                <w:sz w:val="24"/>
                <w:szCs w:val="20"/>
                <w:u w:val="single"/>
                <w14:textFill>
                  <w14:solidFill>
                    <w14:schemeClr w14:val="tx1"/>
                  </w14:solidFill>
                </w14:textFill>
              </w:rPr>
              <w:t>年12月份及1~12月份全市环境质量状况的通报》</w:t>
            </w:r>
            <w:r>
              <w:rPr>
                <w:color w:val="000000" w:themeColor="text1"/>
                <w:sz w:val="24"/>
                <w:szCs w:val="20"/>
                <w:u w:val="single"/>
                <w14:textFill>
                  <w14:solidFill>
                    <w14:schemeClr w14:val="tx1"/>
                  </w14:solidFill>
                </w14:textFill>
              </w:rPr>
              <w:t>中结论</w:t>
            </w:r>
            <w:r>
              <w:rPr>
                <w:color w:val="000000" w:themeColor="text1"/>
                <w:sz w:val="24"/>
                <w:szCs w:val="20"/>
                <w14:textFill>
                  <w14:solidFill>
                    <w14:schemeClr w14:val="tx1"/>
                  </w14:solidFill>
                </w14:textFill>
              </w:rPr>
              <w:t>。</w:t>
            </w:r>
          </w:p>
          <w:p>
            <w:pPr>
              <w:spacing w:line="360" w:lineRule="auto"/>
              <w:ind w:firstLine="480" w:firstLineChars="200"/>
              <w:rPr>
                <w:color w:val="000000" w:themeColor="text1"/>
                <w:sz w:val="24"/>
                <w:szCs w:val="20"/>
                <w14:textFill>
                  <w14:solidFill>
                    <w14:schemeClr w14:val="tx1"/>
                  </w14:solidFill>
                </w14:textFill>
              </w:rPr>
            </w:pPr>
            <w:r>
              <w:rPr>
                <w:color w:val="000000" w:themeColor="text1"/>
                <w:sz w:val="24"/>
                <w:szCs w:val="20"/>
                <w:u w:val="single"/>
                <w14:textFill>
                  <w14:solidFill>
                    <w14:schemeClr w14:val="tx1"/>
                  </w14:solidFill>
                </w14:textFill>
              </w:rPr>
              <w:t>公报中湘江流域湘江共设置</w:t>
            </w:r>
            <w:r>
              <w:rPr>
                <w:rFonts w:hint="eastAsia"/>
                <w:color w:val="000000" w:themeColor="text1"/>
                <w:sz w:val="24"/>
                <w:szCs w:val="20"/>
                <w:u w:val="single"/>
                <w14:textFill>
                  <w14:solidFill>
                    <w14:schemeClr w14:val="tx1"/>
                  </w14:solidFill>
                </w14:textFill>
              </w:rPr>
              <w:t>12</w:t>
            </w:r>
            <w:r>
              <w:rPr>
                <w:color w:val="000000" w:themeColor="text1"/>
                <w:sz w:val="24"/>
                <w:szCs w:val="20"/>
                <w:u w:val="single"/>
                <w14:textFill>
                  <w14:solidFill>
                    <w14:schemeClr w14:val="tx1"/>
                  </w14:solidFill>
                </w14:textFill>
              </w:rPr>
              <w:t>个监测断面，分别为管山村断面、松柏断面、云集水厂断面、新塘铺断面、江东水厂断面、城南水厂断面、城北水厂断面、鱼石村断面、大浦镇下游断面、熬洲断面和朱亭断面。</w:t>
            </w:r>
            <w:r>
              <w:rPr>
                <w:rFonts w:hint="eastAsia"/>
                <w:color w:val="000000" w:themeColor="text1"/>
                <w:sz w:val="24"/>
                <w:szCs w:val="20"/>
                <w:u w:val="single"/>
                <w14:textFill>
                  <w14:solidFill>
                    <w14:schemeClr w14:val="tx1"/>
                  </w14:solidFill>
                </w14:textFill>
              </w:rPr>
              <w:t>12</w:t>
            </w:r>
            <w:r>
              <w:rPr>
                <w:color w:val="000000" w:themeColor="text1"/>
                <w:sz w:val="24"/>
                <w:szCs w:val="20"/>
                <w:u w:val="single"/>
                <w14:textFill>
                  <w14:solidFill>
                    <w14:schemeClr w14:val="tx1"/>
                  </w14:solidFill>
                </w14:textFill>
              </w:rPr>
              <w:t>个断面水质均满足《地表水环境质量标准》（GB3838-2002）</w:t>
            </w:r>
            <w:r>
              <w:rPr>
                <w:rFonts w:hint="eastAsia"/>
                <w:color w:val="000000" w:themeColor="text1"/>
                <w:sz w:val="24"/>
                <w:szCs w:val="20"/>
                <w:u w:val="single"/>
                <w14:textFill>
                  <w14:solidFill>
                    <w14:schemeClr w14:val="tx1"/>
                  </w14:solidFill>
                </w14:textFill>
              </w:rPr>
              <w:t>II</w:t>
            </w:r>
            <w:r>
              <w:rPr>
                <w:color w:val="000000" w:themeColor="text1"/>
                <w:sz w:val="24"/>
                <w:szCs w:val="20"/>
                <w:u w:val="single"/>
                <w14:textFill>
                  <w14:solidFill>
                    <w14:schemeClr w14:val="tx1"/>
                  </w14:solidFill>
                </w14:textFill>
              </w:rPr>
              <w:t>类水质标准，水质状况为良好</w:t>
            </w:r>
            <w:r>
              <w:rPr>
                <w:color w:val="000000" w:themeColor="text1"/>
                <w:sz w:val="24"/>
                <w:szCs w:val="20"/>
                <w14:textFill>
                  <w14:solidFill>
                    <w14:schemeClr w14:val="tx1"/>
                  </w14:solidFill>
                </w14:textFill>
              </w:rPr>
              <w:t>。</w:t>
            </w:r>
          </w:p>
          <w:p>
            <w:pPr>
              <w:ind w:firstLine="422" w:firstLineChars="200"/>
              <w:jc w:val="center"/>
              <w:rPr>
                <w:rFonts w:eastAsiaTheme="minorEastAsia"/>
                <w:b/>
                <w:bCs/>
                <w:szCs w:val="21"/>
              </w:rPr>
            </w:pPr>
          </w:p>
          <w:p>
            <w:pPr>
              <w:ind w:firstLine="422" w:firstLineChars="200"/>
              <w:jc w:val="center"/>
              <w:rPr>
                <w:rFonts w:eastAsiaTheme="minorEastAsia"/>
                <w:b/>
                <w:bCs/>
                <w:szCs w:val="21"/>
              </w:rPr>
            </w:pPr>
            <w:r>
              <w:rPr>
                <w:rFonts w:eastAsiaTheme="minorEastAsia"/>
                <w:b/>
                <w:bCs/>
                <w:szCs w:val="21"/>
              </w:rPr>
              <w:t>表3-4  2023年1-12月衡山县地表水水质情况</w:t>
            </w:r>
          </w:p>
          <w:tbl>
            <w:tblPr>
              <w:tblStyle w:val="24"/>
              <w:tblW w:w="4997"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403"/>
              <w:gridCol w:w="1318"/>
              <w:gridCol w:w="1318"/>
              <w:gridCol w:w="944"/>
              <w:gridCol w:w="2257"/>
              <w:gridCol w:w="577"/>
              <w:gridCol w:w="489"/>
              <w:gridCol w:w="8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jc w:val="center"/>
              </w:trPr>
              <w:tc>
                <w:tcPr>
                  <w:tcW w:w="247"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序号</w:t>
                  </w:r>
                </w:p>
              </w:tc>
              <w:tc>
                <w:tcPr>
                  <w:tcW w:w="806"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断面名称</w:t>
                  </w:r>
                </w:p>
              </w:tc>
              <w:tc>
                <w:tcPr>
                  <w:tcW w:w="806"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考核</w:t>
                  </w:r>
                </w:p>
                <w:p>
                  <w:pPr>
                    <w:widowControl/>
                    <w:jc w:val="center"/>
                    <w:rPr>
                      <w:rFonts w:eastAsiaTheme="minorEastAsia"/>
                      <w:bCs/>
                      <w:color w:val="454545"/>
                      <w:kern w:val="0"/>
                      <w:szCs w:val="21"/>
                    </w:rPr>
                  </w:pPr>
                  <w:r>
                    <w:rPr>
                      <w:rFonts w:eastAsiaTheme="minorEastAsia"/>
                      <w:bCs/>
                      <w:color w:val="454545"/>
                      <w:kern w:val="0"/>
                      <w:szCs w:val="21"/>
                    </w:rPr>
                    <w:t>县市区</w:t>
                  </w:r>
                </w:p>
              </w:tc>
              <w:tc>
                <w:tcPr>
                  <w:tcW w:w="577"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所在河流</w:t>
                  </w:r>
                </w:p>
              </w:tc>
              <w:tc>
                <w:tcPr>
                  <w:tcW w:w="1380"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断面属性</w:t>
                  </w:r>
                </w:p>
              </w:tc>
              <w:tc>
                <w:tcPr>
                  <w:tcW w:w="353"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上年同期类别</w:t>
                  </w:r>
                </w:p>
              </w:tc>
              <w:tc>
                <w:tcPr>
                  <w:tcW w:w="829" w:type="pct"/>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2023年1-12月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312" w:hRule="atLeast"/>
                <w:jc w:val="center"/>
              </w:trPr>
              <w:tc>
                <w:tcPr>
                  <w:tcW w:w="247"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806"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806"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577"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1380"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353" w:type="pct"/>
                  <w:vMerge w:val="continue"/>
                  <w:tcBorders>
                    <w:left w:val="outset" w:color="000000" w:sz="6" w:space="0"/>
                    <w:right w:val="outset" w:color="000000" w:sz="6" w:space="0"/>
                  </w:tcBorders>
                  <w:vAlign w:val="center"/>
                </w:tcPr>
                <w:p>
                  <w:pPr>
                    <w:widowControl/>
                    <w:jc w:val="center"/>
                    <w:rPr>
                      <w:rFonts w:eastAsiaTheme="minorEastAsia"/>
                      <w:bCs/>
                      <w:color w:val="454545"/>
                      <w:kern w:val="0"/>
                      <w:szCs w:val="21"/>
                    </w:rPr>
                  </w:pPr>
                </w:p>
              </w:tc>
              <w:tc>
                <w:tcPr>
                  <w:tcW w:w="299"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水质类别</w:t>
                  </w:r>
                </w:p>
              </w:tc>
              <w:tc>
                <w:tcPr>
                  <w:tcW w:w="530" w:type="pct"/>
                  <w:vMerge w:val="restart"/>
                  <w:tcBorders>
                    <w:top w:val="outset" w:color="000000" w:sz="6" w:space="0"/>
                    <w:left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超Ⅲ类标准的指标(超标倍数)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735" w:hRule="atLeast"/>
                <w:jc w:val="center"/>
              </w:trPr>
              <w:tc>
                <w:tcPr>
                  <w:tcW w:w="247"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806"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806"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577"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1380"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353"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299"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c>
                <w:tcPr>
                  <w:tcW w:w="530" w:type="pct"/>
                  <w:vMerge w:val="continue"/>
                  <w:tcBorders>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44" w:hRule="atLeast"/>
                <w:jc w:val="center"/>
              </w:trPr>
              <w:tc>
                <w:tcPr>
                  <w:tcW w:w="24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1</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衡山自来水厂</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衡山县</w:t>
                  </w:r>
                </w:p>
              </w:tc>
              <w:tc>
                <w:tcPr>
                  <w:tcW w:w="57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w:t>
                  </w:r>
                </w:p>
              </w:tc>
              <w:tc>
                <w:tcPr>
                  <w:tcW w:w="138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饮用水</w:t>
                  </w:r>
                </w:p>
              </w:tc>
              <w:tc>
                <w:tcPr>
                  <w:tcW w:w="353"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299"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53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44" w:hRule="atLeast"/>
                <w:jc w:val="center"/>
              </w:trPr>
              <w:tc>
                <w:tcPr>
                  <w:tcW w:w="24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2</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熬洲</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衡山县、衡东县</w:t>
                  </w:r>
                </w:p>
              </w:tc>
              <w:tc>
                <w:tcPr>
                  <w:tcW w:w="57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w:t>
                  </w:r>
                </w:p>
              </w:tc>
              <w:tc>
                <w:tcPr>
                  <w:tcW w:w="138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控制*</w:t>
                  </w:r>
                </w:p>
              </w:tc>
              <w:tc>
                <w:tcPr>
                  <w:tcW w:w="353"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299"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53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44" w:hRule="atLeast"/>
                <w:jc w:val="center"/>
              </w:trPr>
              <w:tc>
                <w:tcPr>
                  <w:tcW w:w="24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3</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和平村</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衡山县</w:t>
                  </w:r>
                </w:p>
              </w:tc>
              <w:tc>
                <w:tcPr>
                  <w:tcW w:w="57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湘江涓水</w:t>
                  </w:r>
                </w:p>
              </w:tc>
              <w:tc>
                <w:tcPr>
                  <w:tcW w:w="138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控制</w:t>
                  </w:r>
                </w:p>
              </w:tc>
              <w:tc>
                <w:tcPr>
                  <w:tcW w:w="353"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299"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530"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44" w:hRule="atLeast"/>
                <w:jc w:val="center"/>
              </w:trPr>
              <w:tc>
                <w:tcPr>
                  <w:tcW w:w="247"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4</w:t>
                  </w:r>
                </w:p>
              </w:tc>
              <w:tc>
                <w:tcPr>
                  <w:tcW w:w="806"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晓岚村（泥湾村）</w:t>
                  </w:r>
                </w:p>
              </w:tc>
              <w:tc>
                <w:tcPr>
                  <w:tcW w:w="806"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衡山县</w:t>
                  </w:r>
                </w:p>
              </w:tc>
              <w:tc>
                <w:tcPr>
                  <w:tcW w:w="577"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湘江涓水</w:t>
                  </w:r>
                </w:p>
              </w:tc>
              <w:tc>
                <w:tcPr>
                  <w:tcW w:w="1380"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市界（衡阳市-湘潭市）*</w:t>
                  </w:r>
                </w:p>
              </w:tc>
              <w:tc>
                <w:tcPr>
                  <w:tcW w:w="353"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299" w:type="pct"/>
                  <w:tcBorders>
                    <w:top w:val="outset" w:color="000000" w:sz="6" w:space="0"/>
                    <w:left w:val="outset" w:color="000000" w:sz="6" w:space="0"/>
                    <w:bottom w:val="outset" w:color="000000" w:sz="12" w:space="0"/>
                    <w:right w:val="outset" w:color="000000" w:sz="6" w:space="0"/>
                  </w:tcBorders>
                  <w:vAlign w:val="center"/>
                </w:tcPr>
                <w:p>
                  <w:pPr>
                    <w:jc w:val="center"/>
                    <w:rPr>
                      <w:rFonts w:eastAsiaTheme="minorEastAsia"/>
                      <w:bCs/>
                      <w:color w:val="000000" w:themeColor="text1"/>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530" w:type="pct"/>
                  <w:tcBorders>
                    <w:top w:val="outset" w:color="000000" w:sz="6" w:space="0"/>
                    <w:left w:val="outset" w:color="000000" w:sz="6" w:space="0"/>
                    <w:bottom w:val="outset" w:color="000000" w:sz="12"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924" w:hRule="exact"/>
                <w:jc w:val="center"/>
              </w:trPr>
              <w:tc>
                <w:tcPr>
                  <w:tcW w:w="247"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5</w:t>
                  </w:r>
                </w:p>
              </w:tc>
              <w:tc>
                <w:tcPr>
                  <w:tcW w:w="806"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鱼石村</w:t>
                  </w:r>
                </w:p>
              </w:tc>
              <w:tc>
                <w:tcPr>
                  <w:tcW w:w="806"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石鼓区、松木经开区、珠晖区</w:t>
                  </w:r>
                </w:p>
              </w:tc>
              <w:tc>
                <w:tcPr>
                  <w:tcW w:w="577"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w:t>
                  </w:r>
                </w:p>
              </w:tc>
              <w:tc>
                <w:tcPr>
                  <w:tcW w:w="1380"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县界(左岸：石鼓区、松木经开区--衡山县，右岸：珠晖区-衡东县)*</w:t>
                  </w:r>
                </w:p>
              </w:tc>
              <w:tc>
                <w:tcPr>
                  <w:tcW w:w="353" w:type="pct"/>
                  <w:tcBorders>
                    <w:top w:val="outset" w:color="000000" w:sz="12"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299" w:type="pct"/>
                  <w:tcBorders>
                    <w:top w:val="outset" w:color="000000" w:sz="12"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Ⅱ</w:t>
                  </w:r>
                </w:p>
              </w:tc>
              <w:tc>
                <w:tcPr>
                  <w:tcW w:w="530" w:type="pct"/>
                  <w:tcBorders>
                    <w:top w:val="outset" w:color="000000" w:sz="12" w:space="0"/>
                    <w:left w:val="outset" w:color="000000" w:sz="6" w:space="0"/>
                    <w:bottom w:val="outset" w:color="000000" w:sz="6" w:space="0"/>
                    <w:right w:val="outset" w:color="000000" w:sz="6" w:space="0"/>
                  </w:tcBorders>
                  <w:vAlign w:val="center"/>
                </w:tcPr>
                <w:p>
                  <w:pPr>
                    <w:widowControl/>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597" w:hRule="exact"/>
                <w:jc w:val="center"/>
              </w:trPr>
              <w:tc>
                <w:tcPr>
                  <w:tcW w:w="24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6</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梅桥村</w:t>
                  </w:r>
                </w:p>
              </w:tc>
              <w:tc>
                <w:tcPr>
                  <w:tcW w:w="806"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南岳区</w:t>
                  </w:r>
                </w:p>
              </w:tc>
              <w:tc>
                <w:tcPr>
                  <w:tcW w:w="577" w:type="pct"/>
                  <w:tcBorders>
                    <w:top w:val="outset" w:color="000000" w:sz="6" w:space="0"/>
                    <w:left w:val="outset" w:color="000000" w:sz="6" w:space="0"/>
                    <w:bottom w:val="outset" w:color="000000" w:sz="6" w:space="0"/>
                    <w:right w:val="outset" w:color="000000" w:sz="6" w:space="0"/>
                  </w:tcBorders>
                  <w:vAlign w:val="center"/>
                </w:tcPr>
                <w:p>
                  <w:pPr>
                    <w:widowControl/>
                    <w:jc w:val="center"/>
                    <w:rPr>
                      <w:rFonts w:eastAsiaTheme="minorEastAsia"/>
                      <w:bCs/>
                      <w:color w:val="454545"/>
                      <w:kern w:val="0"/>
                      <w:szCs w:val="21"/>
                    </w:rPr>
                  </w:pPr>
                  <w:r>
                    <w:rPr>
                      <w:rFonts w:eastAsiaTheme="minorEastAsia"/>
                      <w:bCs/>
                      <w:color w:val="454545"/>
                      <w:kern w:val="0"/>
                      <w:szCs w:val="21"/>
                    </w:rPr>
                    <w:t>湘江龙荫港</w:t>
                  </w:r>
                </w:p>
              </w:tc>
              <w:tc>
                <w:tcPr>
                  <w:tcW w:w="1380"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县界（南岳区-衡山县）</w:t>
                  </w:r>
                </w:p>
              </w:tc>
              <w:tc>
                <w:tcPr>
                  <w:tcW w:w="353"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III</w:t>
                  </w:r>
                </w:p>
              </w:tc>
              <w:tc>
                <w:tcPr>
                  <w:tcW w:w="299" w:type="pct"/>
                  <w:tcBorders>
                    <w:top w:val="outset" w:color="000000" w:sz="6" w:space="0"/>
                    <w:left w:val="outset" w:color="000000" w:sz="6" w:space="0"/>
                    <w:bottom w:val="outset" w:color="000000" w:sz="6" w:space="0"/>
                    <w:right w:val="outset" w:color="000000" w:sz="6" w:space="0"/>
                  </w:tcBorders>
                  <w:vAlign w:val="center"/>
                </w:tcPr>
                <w:p>
                  <w:pPr>
                    <w:jc w:val="center"/>
                    <w:rPr>
                      <w:rFonts w:eastAsiaTheme="minorEastAsia"/>
                      <w:bCs/>
                      <w:color w:val="000000" w:themeColor="text1"/>
                      <w:kern w:val="0"/>
                      <w:szCs w:val="21"/>
                      <w:u w:val="single"/>
                      <w14:textFill>
                        <w14:solidFill>
                          <w14:schemeClr w14:val="tx1"/>
                        </w14:solidFill>
                      </w14:textFill>
                    </w:rPr>
                  </w:pPr>
                  <w:r>
                    <w:rPr>
                      <w:rFonts w:eastAsiaTheme="minorEastAsia"/>
                      <w:bCs/>
                      <w:color w:val="000000" w:themeColor="text1"/>
                      <w:kern w:val="0"/>
                      <w:szCs w:val="21"/>
                      <w:u w:val="single"/>
                      <w14:textFill>
                        <w14:solidFill>
                          <w14:schemeClr w14:val="tx1"/>
                        </w14:solidFill>
                      </w14:textFill>
                    </w:rPr>
                    <w:t>IV</w:t>
                  </w:r>
                </w:p>
              </w:tc>
              <w:tc>
                <w:tcPr>
                  <w:tcW w:w="530" w:type="pct"/>
                  <w:tcBorders>
                    <w:top w:val="outset" w:color="000000" w:sz="6" w:space="0"/>
                    <w:left w:val="outset" w:color="000000" w:sz="6" w:space="0"/>
                    <w:bottom w:val="outset" w:color="000000" w:sz="6" w:space="0"/>
                    <w:right w:val="outset" w:color="000000" w:sz="6" w:space="0"/>
                  </w:tcBorders>
                  <w:vAlign w:val="center"/>
                </w:tcPr>
                <w:p>
                  <w:pPr>
                    <w:widowControl/>
                    <w:spacing w:line="240" w:lineRule="exact"/>
                    <w:jc w:val="center"/>
                    <w:rPr>
                      <w:rFonts w:eastAsiaTheme="minorEastAsia"/>
                      <w:bCs/>
                      <w:color w:val="000000" w:themeColor="text1"/>
                      <w:kern w:val="0"/>
                      <w:szCs w:val="21"/>
                      <w14:textFill>
                        <w14:solidFill>
                          <w14:schemeClr w14:val="tx1"/>
                        </w14:solidFill>
                      </w14:textFill>
                    </w:rPr>
                  </w:pPr>
                  <w:r>
                    <w:rPr>
                      <w:rFonts w:eastAsiaTheme="minorEastAsia"/>
                      <w:bCs/>
                      <w:color w:val="000000" w:themeColor="text1"/>
                      <w:kern w:val="0"/>
                      <w:szCs w:val="21"/>
                      <w14:textFill>
                        <w14:solidFill>
                          <w14:schemeClr w14:val="tx1"/>
                        </w14:solidFill>
                      </w14:textFill>
                    </w:rPr>
                    <w:t>/</w:t>
                  </w:r>
                </w:p>
              </w:tc>
            </w:tr>
          </w:tbl>
          <w:p>
            <w:pPr>
              <w:spacing w:line="360" w:lineRule="auto"/>
              <w:ind w:firstLine="480" w:firstLineChars="200"/>
              <w:rPr>
                <w:kern w:val="0"/>
                <w:sz w:val="24"/>
              </w:rPr>
            </w:pPr>
            <w:r>
              <w:rPr>
                <w:rFonts w:hint="eastAsia"/>
                <w:kern w:val="0"/>
                <w:sz w:val="24"/>
              </w:rPr>
              <w:t>根据表3-4的“1、衡山自来水厂（衡山县）”的监测断面数据</w:t>
            </w:r>
            <w:r>
              <w:rPr>
                <w:kern w:val="0"/>
                <w:sz w:val="24"/>
              </w:rPr>
              <w:t>可知</w:t>
            </w:r>
            <w:r>
              <w:rPr>
                <w:rFonts w:hint="eastAsia"/>
                <w:kern w:val="0"/>
                <w:sz w:val="24"/>
              </w:rPr>
              <w:t>，水质</w:t>
            </w:r>
            <w:r>
              <w:rPr>
                <w:kern w:val="0"/>
                <w:sz w:val="24"/>
              </w:rPr>
              <w:t>可达到《地表水环境质量标准》（GB3838-2002）中的</w:t>
            </w:r>
            <w:r>
              <w:rPr>
                <w:rFonts w:hint="eastAsia"/>
                <w:kern w:val="0"/>
                <w:sz w:val="24"/>
              </w:rPr>
              <w:t>II</w:t>
            </w:r>
            <w:r>
              <w:rPr>
                <w:kern w:val="0"/>
                <w:sz w:val="24"/>
              </w:rPr>
              <w:t>类标准。</w:t>
            </w:r>
            <w:r>
              <w:rPr>
                <w:rFonts w:hint="eastAsia"/>
                <w:kern w:val="0"/>
                <w:sz w:val="24"/>
              </w:rPr>
              <w:t>区域地表水环境质量现状良好。</w:t>
            </w:r>
          </w:p>
          <w:p>
            <w:pPr>
              <w:spacing w:line="360" w:lineRule="auto"/>
              <w:ind w:firstLine="472" w:firstLineChars="196"/>
              <w:rPr>
                <w:b/>
                <w:sz w:val="24"/>
              </w:rPr>
            </w:pPr>
            <w:r>
              <w:rPr>
                <w:b/>
                <w:sz w:val="24"/>
              </w:rPr>
              <w:t>3、声环境质量现状</w:t>
            </w:r>
          </w:p>
          <w:p>
            <w:pPr>
              <w:pStyle w:val="8"/>
              <w:ind w:firstLine="480" w:firstLineChars="200"/>
              <w:rPr>
                <w:color w:val="000000"/>
                <w:sz w:val="24"/>
                <w:szCs w:val="24"/>
              </w:rPr>
            </w:pPr>
            <w:r>
              <w:rPr>
                <w:rFonts w:hint="eastAsia"/>
                <w:color w:val="000000"/>
                <w:sz w:val="24"/>
                <w:szCs w:val="24"/>
              </w:rPr>
              <w:t>本项目周边5</w:t>
            </w:r>
            <w:r>
              <w:rPr>
                <w:color w:val="000000"/>
                <w:sz w:val="24"/>
                <w:szCs w:val="24"/>
              </w:rPr>
              <w:t>0</w:t>
            </w:r>
            <w:r>
              <w:rPr>
                <w:rFonts w:hint="eastAsia"/>
                <w:color w:val="000000"/>
                <w:sz w:val="24"/>
                <w:szCs w:val="24"/>
              </w:rPr>
              <w:t>m范围内无噪声敏感目标，不需进行现状监测。</w:t>
            </w:r>
          </w:p>
          <w:p>
            <w:pPr>
              <w:spacing w:line="360" w:lineRule="auto"/>
              <w:ind w:firstLine="480" w:firstLineChars="200"/>
              <w:rPr>
                <w:color w:val="000000"/>
                <w:kern w:val="0"/>
                <w:sz w:val="24"/>
              </w:rPr>
            </w:pPr>
          </w:p>
          <w:p>
            <w:pPr>
              <w:spacing w:line="360" w:lineRule="auto"/>
              <w:ind w:left="420" w:leftChars="200"/>
              <w:rPr>
                <w:b/>
                <w:sz w:val="24"/>
              </w:rPr>
            </w:pPr>
            <w:r>
              <w:rPr>
                <w:b/>
                <w:sz w:val="24"/>
              </w:rPr>
              <w:t>4、生态环境</w:t>
            </w:r>
          </w:p>
          <w:p>
            <w:pPr>
              <w:adjustRightInd w:val="0"/>
              <w:snapToGrid w:val="0"/>
              <w:spacing w:line="360" w:lineRule="auto"/>
              <w:ind w:firstLine="480" w:firstLineChars="200"/>
              <w:rPr>
                <w:kern w:val="0"/>
                <w:sz w:val="24"/>
              </w:rPr>
            </w:pPr>
            <w:r>
              <w:rPr>
                <w:kern w:val="0"/>
                <w:sz w:val="24"/>
              </w:rPr>
              <w:t>本项目位于</w:t>
            </w:r>
            <w:r>
              <w:rPr>
                <w:rFonts w:hint="eastAsia"/>
                <w:kern w:val="0"/>
                <w:sz w:val="24"/>
              </w:rPr>
              <w:t>衡山县</w:t>
            </w:r>
            <w:r>
              <w:rPr>
                <w:rFonts w:hint="eastAsia"/>
                <w:sz w:val="24"/>
              </w:rPr>
              <w:t>新桥镇</w:t>
            </w:r>
            <w:r>
              <w:rPr>
                <w:kern w:val="0"/>
                <w:sz w:val="24"/>
              </w:rPr>
              <w:t>，</w:t>
            </w:r>
            <w:r>
              <w:rPr>
                <w:rFonts w:hint="eastAsia"/>
                <w:kern w:val="0"/>
                <w:sz w:val="24"/>
              </w:rPr>
              <w:t>使用一块工业用地的空地进行</w:t>
            </w:r>
            <w:r>
              <w:rPr>
                <w:kern w:val="0"/>
                <w:sz w:val="24"/>
              </w:rPr>
              <w:t>生产，项目新增用地</w:t>
            </w:r>
            <w:r>
              <w:rPr>
                <w:rFonts w:hint="eastAsia"/>
                <w:kern w:val="0"/>
                <w:sz w:val="24"/>
              </w:rPr>
              <w:t>。根据</w:t>
            </w:r>
            <w:r>
              <w:rPr>
                <w:kern w:val="0"/>
                <w:sz w:val="24"/>
              </w:rPr>
              <w:t>《建设项目环境影响报告表编制技术指南（污染影响类）（试行）》</w:t>
            </w:r>
            <w:r>
              <w:rPr>
                <w:rFonts w:hint="eastAsia"/>
                <w:kern w:val="0"/>
                <w:sz w:val="24"/>
              </w:rPr>
              <w:t>提到的“产业园区外建设项目新增用地且用地范围内含有生态环境保护目标时，应进行生态现状调查”，本项目用地范围内不涉及生态环境保护目标，故本项目不开展生态环境调查</w:t>
            </w:r>
            <w:r>
              <w:rPr>
                <w:kern w:val="0"/>
                <w:sz w:val="24"/>
              </w:rPr>
              <w:t>。</w:t>
            </w:r>
          </w:p>
          <w:p>
            <w:pPr>
              <w:adjustRightInd w:val="0"/>
              <w:snapToGrid w:val="0"/>
              <w:spacing w:line="360" w:lineRule="auto"/>
              <w:ind w:firstLine="482" w:firstLineChars="200"/>
              <w:rPr>
                <w:kern w:val="0"/>
                <w:sz w:val="24"/>
              </w:rPr>
            </w:pPr>
            <w:r>
              <w:rPr>
                <w:b/>
                <w:bCs/>
                <w:kern w:val="0"/>
                <w:sz w:val="24"/>
              </w:rPr>
              <w:t>5、地下水、土壤环境</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本项目位于衡山县</w:t>
            </w:r>
            <w:r>
              <w:rPr>
                <w:rFonts w:hint="eastAsia"/>
                <w:color w:val="000000" w:themeColor="text1"/>
                <w:sz w:val="24"/>
                <w14:textFill>
                  <w14:solidFill>
                    <w14:schemeClr w14:val="tx1"/>
                  </w14:solidFill>
                </w14:textFill>
              </w:rPr>
              <w:t>新桥镇</w:t>
            </w:r>
            <w:r>
              <w:rPr>
                <w:rFonts w:hint="eastAsia"/>
                <w:color w:val="000000" w:themeColor="text1"/>
                <w:kern w:val="0"/>
                <w:sz w:val="24"/>
                <w14:textFill>
                  <w14:solidFill>
                    <w14:schemeClr w14:val="tx1"/>
                  </w14:solidFill>
                </w14:textFill>
              </w:rPr>
              <w:t>，项目建设时会将土地平整且硬化，</w:t>
            </w:r>
            <w:r>
              <w:rPr>
                <w:rFonts w:hint="eastAsia"/>
                <w:color w:val="000000" w:themeColor="text1"/>
                <w:sz w:val="24"/>
                <w14:textFill>
                  <w14:solidFill>
                    <w14:schemeClr w14:val="tx1"/>
                  </w14:solidFill>
                </w14:textFill>
              </w:rPr>
              <w:t>项目周边居民点用水来源为自来水公司供应，</w:t>
            </w:r>
            <w:r>
              <w:rPr>
                <w:rFonts w:hint="eastAsia"/>
                <w:color w:val="000000" w:themeColor="text1"/>
                <w:kern w:val="0"/>
                <w:sz w:val="24"/>
                <w14:textFill>
                  <w14:solidFill>
                    <w14:schemeClr w14:val="tx1"/>
                  </w14:solidFill>
                </w14:textFill>
              </w:rPr>
              <w:t>且本项目运营期主要的废气为SO</w:t>
            </w:r>
            <w:r>
              <w:rPr>
                <w:rFonts w:hint="eastAsia"/>
                <w:color w:val="000000" w:themeColor="text1"/>
                <w:kern w:val="0"/>
                <w:sz w:val="24"/>
                <w:vertAlign w:val="subscript"/>
                <w14:textFill>
                  <w14:solidFill>
                    <w14:schemeClr w14:val="tx1"/>
                  </w14:solidFill>
                </w14:textFill>
              </w:rPr>
              <w:t>2</w:t>
            </w:r>
            <w:r>
              <w:rPr>
                <w:rFonts w:hint="eastAsia"/>
                <w:color w:val="000000" w:themeColor="text1"/>
                <w:kern w:val="0"/>
                <w:sz w:val="24"/>
                <w14:textFill>
                  <w14:solidFill>
                    <w14:schemeClr w14:val="tx1"/>
                  </w14:solidFill>
                </w14:textFill>
              </w:rPr>
              <w:t>、NOx、颗粒物，生活污水先经隔油池、化粪池预处理后用作农肥</w:t>
            </w:r>
            <w:r>
              <w:rPr>
                <w:rFonts w:hint="eastAsia"/>
                <w:color w:val="000000" w:themeColor="text1"/>
                <w:sz w:val="24"/>
                <w14:textFill>
                  <w14:solidFill>
                    <w14:schemeClr w14:val="tx1"/>
                  </w14:solidFill>
                </w14:textFill>
              </w:rPr>
              <w:t>。周边500m范围内无地下水井，居民饮用水源均为自来水公司供应。</w:t>
            </w:r>
            <w:r>
              <w:rPr>
                <w:color w:val="000000" w:themeColor="text1"/>
                <w:kern w:val="0"/>
                <w:sz w:val="24"/>
                <w14:textFill>
                  <w14:solidFill>
                    <w14:schemeClr w14:val="tx1"/>
                  </w14:solidFill>
                </w14:textFill>
              </w:rPr>
              <w:t>根据《建设项目环境影响报告表编制技术指南（污染影响类）（试行）》，本项目</w:t>
            </w:r>
            <w:r>
              <w:rPr>
                <w:rFonts w:hint="eastAsia"/>
                <w:color w:val="000000" w:themeColor="text1"/>
                <w:kern w:val="0"/>
                <w:sz w:val="24"/>
                <w14:textFill>
                  <w14:solidFill>
                    <w14:schemeClr w14:val="tx1"/>
                  </w14:solidFill>
                </w14:textFill>
              </w:rPr>
              <w:t>不存在相关土壤、地下水污染途径。故</w:t>
            </w:r>
            <w:r>
              <w:rPr>
                <w:color w:val="000000" w:themeColor="text1"/>
                <w:kern w:val="0"/>
                <w:sz w:val="24"/>
                <w14:textFill>
                  <w14:solidFill>
                    <w14:schemeClr w14:val="tx1"/>
                  </w14:solidFill>
                </w14:textFill>
              </w:rPr>
              <w:t>可不开展土壤、地下水环境现状调查。</w:t>
            </w:r>
          </w:p>
          <w:p>
            <w:pPr>
              <w:adjustRightInd w:val="0"/>
              <w:snapToGrid w:val="0"/>
              <w:spacing w:line="360" w:lineRule="auto"/>
              <w:ind w:firstLine="482" w:firstLineChars="200"/>
              <w:rPr>
                <w:kern w:val="0"/>
                <w:sz w:val="24"/>
              </w:rPr>
            </w:pPr>
            <w:r>
              <w:rPr>
                <w:b/>
                <w:bCs/>
                <w:kern w:val="0"/>
                <w:sz w:val="24"/>
              </w:rPr>
              <w:t>6、电磁辐射</w:t>
            </w:r>
          </w:p>
          <w:p>
            <w:pPr>
              <w:spacing w:line="360" w:lineRule="auto"/>
              <w:ind w:firstLine="480" w:firstLineChars="200"/>
              <w:rPr>
                <w:sz w:val="24"/>
              </w:rPr>
            </w:pPr>
            <w:r>
              <w:rPr>
                <w:kern w:val="0"/>
                <w:sz w:val="24"/>
              </w:rPr>
              <w:t>本项目不涉及电磁辐射设备，不进行电磁辐射影响评价，因此无需进行电磁辐射环境现状调查。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kern w:val="0"/>
                <w:sz w:val="24"/>
              </w:rPr>
            </w:pPr>
            <w:r>
              <w:rPr>
                <w:kern w:val="0"/>
                <w:sz w:val="24"/>
              </w:rPr>
              <w:t>目标</w:t>
            </w:r>
          </w:p>
        </w:tc>
        <w:tc>
          <w:tcPr>
            <w:tcW w:w="8190" w:type="dxa"/>
            <w:vAlign w:val="center"/>
          </w:tcPr>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（1）大气环境：本项目厂界外500m范围内无自然保护区、风景名胜区、文化区。</w:t>
            </w:r>
            <w:r>
              <w:rPr>
                <w:rFonts w:hint="eastAsia"/>
                <w:color w:val="000000" w:themeColor="text1"/>
                <w:kern w:val="0"/>
                <w:sz w:val="24"/>
                <w14:textFill>
                  <w14:solidFill>
                    <w14:schemeClr w14:val="tx1"/>
                  </w14:solidFill>
                </w14:textFill>
              </w:rPr>
              <w:t>东北方向有零散居民点。</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（2）声环境：本项目厂界50m范围内无声环境保护目标。</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（3）地下水环境：本项目厂界外500米范围内无地下水集中式饮用水水源和热水、矿泉水、温泉等特殊地下水资源。</w:t>
            </w:r>
          </w:p>
          <w:p>
            <w:pPr>
              <w:pStyle w:val="48"/>
              <w:rPr>
                <w:color w:val="auto"/>
                <w:szCs w:val="22"/>
              </w:rPr>
            </w:pPr>
            <w:r>
              <w:rPr>
                <w:color w:val="auto"/>
                <w:szCs w:val="22"/>
              </w:rPr>
              <w:t>表3-</w:t>
            </w:r>
            <w:r>
              <w:rPr>
                <w:rFonts w:hint="eastAsia"/>
                <w:color w:val="auto"/>
                <w:szCs w:val="22"/>
              </w:rPr>
              <w:t>6</w:t>
            </w:r>
            <w:r>
              <w:rPr>
                <w:color w:val="auto"/>
                <w:szCs w:val="22"/>
              </w:rPr>
              <w:t xml:space="preserve">  主要环境保护目标</w:t>
            </w:r>
          </w:p>
          <w:tbl>
            <w:tblPr>
              <w:tblStyle w:val="24"/>
              <w:tblW w:w="499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879"/>
              <w:gridCol w:w="1319"/>
              <w:gridCol w:w="1169"/>
              <w:gridCol w:w="652"/>
              <w:gridCol w:w="908"/>
              <w:gridCol w:w="750"/>
              <w:gridCol w:w="845"/>
              <w:gridCol w:w="10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5" w:hRule="atLeast"/>
                <w:jc w:val="center"/>
              </w:trPr>
              <w:tc>
                <w:tcPr>
                  <w:tcW w:w="354" w:type="pct"/>
                  <w:vMerge w:val="restart"/>
                  <w:vAlign w:val="center"/>
                </w:tcPr>
                <w:p>
                  <w:pPr>
                    <w:pStyle w:val="54"/>
                    <w:adjustRightInd w:val="0"/>
                    <w:snapToGrid w:val="0"/>
                    <w:spacing w:line="240" w:lineRule="auto"/>
                    <w:ind w:firstLine="0" w:firstLineChars="0"/>
                    <w:jc w:val="center"/>
                    <w:rPr>
                      <w:sz w:val="21"/>
                      <w:szCs w:val="21"/>
                    </w:rPr>
                  </w:pPr>
                  <w:r>
                    <w:rPr>
                      <w:sz w:val="21"/>
                      <w:szCs w:val="21"/>
                    </w:rPr>
                    <w:t>保护类别</w:t>
                  </w:r>
                </w:p>
              </w:tc>
              <w:tc>
                <w:tcPr>
                  <w:tcW w:w="539" w:type="pct"/>
                  <w:vMerge w:val="restart"/>
                  <w:vAlign w:val="center"/>
                </w:tcPr>
                <w:p>
                  <w:pPr>
                    <w:pStyle w:val="54"/>
                    <w:adjustRightInd w:val="0"/>
                    <w:snapToGrid w:val="0"/>
                    <w:spacing w:line="240" w:lineRule="auto"/>
                    <w:ind w:firstLine="0" w:firstLineChars="0"/>
                    <w:jc w:val="center"/>
                    <w:rPr>
                      <w:sz w:val="21"/>
                      <w:szCs w:val="21"/>
                    </w:rPr>
                  </w:pPr>
                  <w:r>
                    <w:rPr>
                      <w:sz w:val="21"/>
                      <w:szCs w:val="21"/>
                    </w:rPr>
                    <w:t>名称</w:t>
                  </w:r>
                </w:p>
              </w:tc>
              <w:tc>
                <w:tcPr>
                  <w:tcW w:w="1526" w:type="pct"/>
                  <w:gridSpan w:val="2"/>
                  <w:vAlign w:val="center"/>
                </w:tcPr>
                <w:p>
                  <w:pPr>
                    <w:pStyle w:val="54"/>
                    <w:adjustRightInd w:val="0"/>
                    <w:snapToGrid w:val="0"/>
                    <w:spacing w:line="240" w:lineRule="auto"/>
                    <w:ind w:firstLine="0" w:firstLineChars="0"/>
                    <w:jc w:val="center"/>
                    <w:rPr>
                      <w:sz w:val="21"/>
                      <w:szCs w:val="21"/>
                    </w:rPr>
                  </w:pPr>
                  <w:r>
                    <w:rPr>
                      <w:sz w:val="21"/>
                      <w:szCs w:val="21"/>
                    </w:rPr>
                    <w:t>坐标</w:t>
                  </w:r>
                </w:p>
              </w:tc>
              <w:tc>
                <w:tcPr>
                  <w:tcW w:w="400" w:type="pct"/>
                  <w:vMerge w:val="restart"/>
                  <w:vAlign w:val="center"/>
                </w:tcPr>
                <w:p>
                  <w:pPr>
                    <w:pStyle w:val="54"/>
                    <w:adjustRightInd w:val="0"/>
                    <w:snapToGrid w:val="0"/>
                    <w:spacing w:line="240" w:lineRule="auto"/>
                    <w:ind w:firstLine="0" w:firstLineChars="0"/>
                    <w:jc w:val="center"/>
                    <w:rPr>
                      <w:sz w:val="21"/>
                      <w:szCs w:val="21"/>
                    </w:rPr>
                  </w:pPr>
                  <w:r>
                    <w:rPr>
                      <w:sz w:val="21"/>
                      <w:szCs w:val="21"/>
                    </w:rPr>
                    <w:t>保护对象</w:t>
                  </w:r>
                </w:p>
              </w:tc>
              <w:tc>
                <w:tcPr>
                  <w:tcW w:w="557" w:type="pct"/>
                  <w:vMerge w:val="restart"/>
                  <w:vAlign w:val="center"/>
                </w:tcPr>
                <w:p>
                  <w:pPr>
                    <w:pStyle w:val="54"/>
                    <w:adjustRightInd w:val="0"/>
                    <w:snapToGrid w:val="0"/>
                    <w:spacing w:line="240" w:lineRule="auto"/>
                    <w:ind w:firstLine="0" w:firstLineChars="0"/>
                    <w:jc w:val="center"/>
                    <w:rPr>
                      <w:sz w:val="21"/>
                      <w:szCs w:val="21"/>
                    </w:rPr>
                  </w:pPr>
                  <w:r>
                    <w:rPr>
                      <w:sz w:val="21"/>
                      <w:szCs w:val="21"/>
                    </w:rPr>
                    <w:t>保护内容</w:t>
                  </w:r>
                </w:p>
              </w:tc>
              <w:tc>
                <w:tcPr>
                  <w:tcW w:w="460" w:type="pct"/>
                  <w:vMerge w:val="restart"/>
                  <w:vAlign w:val="center"/>
                </w:tcPr>
                <w:p>
                  <w:pPr>
                    <w:pStyle w:val="54"/>
                    <w:adjustRightInd w:val="0"/>
                    <w:snapToGrid w:val="0"/>
                    <w:spacing w:line="240" w:lineRule="auto"/>
                    <w:ind w:firstLine="0" w:firstLineChars="0"/>
                    <w:jc w:val="center"/>
                    <w:rPr>
                      <w:sz w:val="21"/>
                      <w:szCs w:val="21"/>
                    </w:rPr>
                  </w:pPr>
                  <w:r>
                    <w:rPr>
                      <w:sz w:val="21"/>
                      <w:szCs w:val="21"/>
                    </w:rPr>
                    <w:t>环境功能区</w:t>
                  </w:r>
                </w:p>
              </w:tc>
              <w:tc>
                <w:tcPr>
                  <w:tcW w:w="518" w:type="pct"/>
                  <w:vMerge w:val="restart"/>
                  <w:vAlign w:val="center"/>
                </w:tcPr>
                <w:p>
                  <w:pPr>
                    <w:pStyle w:val="54"/>
                    <w:adjustRightInd w:val="0"/>
                    <w:snapToGrid w:val="0"/>
                    <w:spacing w:line="240" w:lineRule="auto"/>
                    <w:ind w:firstLine="0" w:firstLineChars="0"/>
                    <w:jc w:val="center"/>
                    <w:rPr>
                      <w:sz w:val="21"/>
                      <w:szCs w:val="21"/>
                    </w:rPr>
                  </w:pPr>
                  <w:r>
                    <w:rPr>
                      <w:sz w:val="21"/>
                      <w:szCs w:val="21"/>
                    </w:rPr>
                    <w:t>相对厂界方位</w:t>
                  </w:r>
                </w:p>
              </w:tc>
              <w:tc>
                <w:tcPr>
                  <w:tcW w:w="646" w:type="pct"/>
                  <w:vMerge w:val="restart"/>
                  <w:vAlign w:val="center"/>
                </w:tcPr>
                <w:p>
                  <w:pPr>
                    <w:pStyle w:val="54"/>
                    <w:adjustRightInd w:val="0"/>
                    <w:snapToGrid w:val="0"/>
                    <w:spacing w:line="240" w:lineRule="auto"/>
                    <w:ind w:firstLine="0" w:firstLineChars="0"/>
                    <w:jc w:val="center"/>
                    <w:rPr>
                      <w:sz w:val="21"/>
                      <w:szCs w:val="21"/>
                    </w:rPr>
                  </w:pPr>
                  <w:r>
                    <w:rPr>
                      <w:sz w:val="21"/>
                      <w:szCs w:val="21"/>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54" w:type="pct"/>
                  <w:vMerge w:val="continue"/>
                  <w:vAlign w:val="center"/>
                </w:tcPr>
                <w:p>
                  <w:pPr>
                    <w:pStyle w:val="54"/>
                    <w:adjustRightInd w:val="0"/>
                    <w:snapToGrid w:val="0"/>
                    <w:spacing w:line="240" w:lineRule="auto"/>
                    <w:ind w:firstLine="0" w:firstLineChars="0"/>
                    <w:jc w:val="center"/>
                    <w:rPr>
                      <w:sz w:val="21"/>
                      <w:szCs w:val="21"/>
                    </w:rPr>
                  </w:pPr>
                </w:p>
              </w:tc>
              <w:tc>
                <w:tcPr>
                  <w:tcW w:w="539" w:type="pct"/>
                  <w:vMerge w:val="continue"/>
                  <w:vAlign w:val="center"/>
                </w:tcPr>
                <w:p>
                  <w:pPr>
                    <w:pStyle w:val="54"/>
                    <w:adjustRightInd w:val="0"/>
                    <w:snapToGrid w:val="0"/>
                    <w:spacing w:line="240" w:lineRule="auto"/>
                    <w:ind w:firstLine="0" w:firstLineChars="0"/>
                    <w:jc w:val="center"/>
                    <w:rPr>
                      <w:sz w:val="21"/>
                      <w:szCs w:val="21"/>
                    </w:rPr>
                  </w:pPr>
                </w:p>
              </w:tc>
              <w:tc>
                <w:tcPr>
                  <w:tcW w:w="809" w:type="pct"/>
                  <w:vAlign w:val="center"/>
                </w:tcPr>
                <w:p>
                  <w:pPr>
                    <w:pStyle w:val="54"/>
                    <w:adjustRightInd w:val="0"/>
                    <w:snapToGrid w:val="0"/>
                    <w:spacing w:line="240" w:lineRule="auto"/>
                    <w:ind w:firstLine="0" w:firstLineChars="0"/>
                    <w:jc w:val="center"/>
                    <w:rPr>
                      <w:sz w:val="21"/>
                      <w:szCs w:val="21"/>
                    </w:rPr>
                  </w:pPr>
                  <w:r>
                    <w:rPr>
                      <w:rFonts w:hint="eastAsia"/>
                      <w:sz w:val="21"/>
                      <w:szCs w:val="21"/>
                    </w:rPr>
                    <w:t>X</w:t>
                  </w:r>
                </w:p>
              </w:tc>
              <w:tc>
                <w:tcPr>
                  <w:tcW w:w="717" w:type="pct"/>
                  <w:vAlign w:val="center"/>
                </w:tcPr>
                <w:p>
                  <w:pPr>
                    <w:pStyle w:val="54"/>
                    <w:adjustRightInd w:val="0"/>
                    <w:snapToGrid w:val="0"/>
                    <w:spacing w:line="240" w:lineRule="auto"/>
                    <w:ind w:firstLine="0" w:firstLineChars="0"/>
                    <w:jc w:val="center"/>
                    <w:rPr>
                      <w:sz w:val="21"/>
                      <w:szCs w:val="21"/>
                    </w:rPr>
                  </w:pPr>
                  <w:r>
                    <w:rPr>
                      <w:rFonts w:hint="eastAsia"/>
                      <w:sz w:val="21"/>
                      <w:szCs w:val="21"/>
                    </w:rPr>
                    <w:t>Y</w:t>
                  </w:r>
                </w:p>
              </w:tc>
              <w:tc>
                <w:tcPr>
                  <w:tcW w:w="400" w:type="pct"/>
                  <w:vMerge w:val="continue"/>
                  <w:vAlign w:val="center"/>
                </w:tcPr>
                <w:p>
                  <w:pPr>
                    <w:pStyle w:val="54"/>
                    <w:adjustRightInd w:val="0"/>
                    <w:snapToGrid w:val="0"/>
                    <w:spacing w:line="240" w:lineRule="auto"/>
                    <w:ind w:firstLine="0" w:firstLineChars="0"/>
                    <w:jc w:val="center"/>
                    <w:rPr>
                      <w:sz w:val="21"/>
                      <w:szCs w:val="21"/>
                    </w:rPr>
                  </w:pPr>
                </w:p>
              </w:tc>
              <w:tc>
                <w:tcPr>
                  <w:tcW w:w="557" w:type="pct"/>
                  <w:vMerge w:val="continue"/>
                  <w:vAlign w:val="center"/>
                </w:tcPr>
                <w:p>
                  <w:pPr>
                    <w:pStyle w:val="54"/>
                    <w:adjustRightInd w:val="0"/>
                    <w:snapToGrid w:val="0"/>
                    <w:spacing w:line="240" w:lineRule="auto"/>
                    <w:ind w:firstLine="0" w:firstLineChars="0"/>
                    <w:jc w:val="center"/>
                    <w:rPr>
                      <w:sz w:val="21"/>
                      <w:szCs w:val="21"/>
                    </w:rPr>
                  </w:pPr>
                </w:p>
              </w:tc>
              <w:tc>
                <w:tcPr>
                  <w:tcW w:w="460" w:type="pct"/>
                  <w:vMerge w:val="continue"/>
                  <w:vAlign w:val="center"/>
                </w:tcPr>
                <w:p>
                  <w:pPr>
                    <w:pStyle w:val="54"/>
                    <w:adjustRightInd w:val="0"/>
                    <w:snapToGrid w:val="0"/>
                    <w:spacing w:line="240" w:lineRule="auto"/>
                    <w:ind w:firstLine="0" w:firstLineChars="0"/>
                    <w:jc w:val="center"/>
                    <w:rPr>
                      <w:sz w:val="21"/>
                      <w:szCs w:val="21"/>
                    </w:rPr>
                  </w:pPr>
                </w:p>
              </w:tc>
              <w:tc>
                <w:tcPr>
                  <w:tcW w:w="518" w:type="pct"/>
                  <w:vMerge w:val="continue"/>
                  <w:vAlign w:val="center"/>
                </w:tcPr>
                <w:p>
                  <w:pPr>
                    <w:pStyle w:val="54"/>
                    <w:adjustRightInd w:val="0"/>
                    <w:snapToGrid w:val="0"/>
                    <w:spacing w:line="240" w:lineRule="auto"/>
                    <w:ind w:firstLine="0" w:firstLineChars="0"/>
                    <w:jc w:val="center"/>
                    <w:rPr>
                      <w:sz w:val="21"/>
                      <w:szCs w:val="21"/>
                    </w:rPr>
                  </w:pPr>
                </w:p>
              </w:tc>
              <w:tc>
                <w:tcPr>
                  <w:tcW w:w="646" w:type="pct"/>
                  <w:vMerge w:val="continue"/>
                  <w:vAlign w:val="center"/>
                </w:tcPr>
                <w:p>
                  <w:pPr>
                    <w:pStyle w:val="54"/>
                    <w:adjustRightInd w:val="0"/>
                    <w:snapToGrid w:val="0"/>
                    <w:spacing w:line="240" w:lineRule="auto"/>
                    <w:ind w:firstLine="0" w:firstLineChars="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5" w:hRule="atLeast"/>
                <w:jc w:val="center"/>
              </w:trPr>
              <w:tc>
                <w:tcPr>
                  <w:tcW w:w="354" w:type="pct"/>
                  <w:vMerge w:val="restart"/>
                  <w:vAlign w:val="center"/>
                </w:tcPr>
                <w:p>
                  <w:pPr>
                    <w:pStyle w:val="57"/>
                    <w:spacing w:line="240" w:lineRule="auto"/>
                  </w:pPr>
                  <w:r>
                    <w:t>环境空气</w:t>
                  </w:r>
                </w:p>
              </w:tc>
              <w:tc>
                <w:tcPr>
                  <w:tcW w:w="539" w:type="pct"/>
                  <w:vAlign w:val="center"/>
                </w:tcPr>
                <w:p>
                  <w:pPr>
                    <w:pStyle w:val="57"/>
                    <w:spacing w:line="240" w:lineRule="auto"/>
                  </w:pPr>
                  <w:r>
                    <w:rPr>
                      <w:rFonts w:hint="eastAsia"/>
                    </w:rPr>
                    <w:t>土谷冲</w:t>
                  </w:r>
                  <w:r>
                    <w:t>居民点</w:t>
                  </w:r>
                </w:p>
              </w:tc>
              <w:tc>
                <w:tcPr>
                  <w:tcW w:w="809" w:type="pct"/>
                  <w:vAlign w:val="center"/>
                </w:tcPr>
                <w:p>
                  <w:pPr>
                    <w:pStyle w:val="54"/>
                    <w:adjustRightInd w:val="0"/>
                    <w:snapToGrid w:val="0"/>
                    <w:spacing w:line="240" w:lineRule="auto"/>
                    <w:ind w:firstLine="0" w:firstLineChars="0"/>
                    <w:jc w:val="center"/>
                    <w:rPr>
                      <w:sz w:val="21"/>
                      <w:szCs w:val="21"/>
                    </w:rPr>
                  </w:pPr>
                  <w:r>
                    <w:rPr>
                      <w:sz w:val="21"/>
                      <w:szCs w:val="21"/>
                    </w:rPr>
                    <w:t>-158</w:t>
                  </w:r>
                </w:p>
              </w:tc>
              <w:tc>
                <w:tcPr>
                  <w:tcW w:w="717" w:type="pct"/>
                  <w:vAlign w:val="center"/>
                </w:tcPr>
                <w:p>
                  <w:pPr>
                    <w:pStyle w:val="54"/>
                    <w:adjustRightInd w:val="0"/>
                    <w:snapToGrid w:val="0"/>
                    <w:spacing w:line="240" w:lineRule="auto"/>
                    <w:ind w:firstLine="0" w:firstLineChars="0"/>
                    <w:jc w:val="center"/>
                    <w:rPr>
                      <w:sz w:val="21"/>
                      <w:szCs w:val="21"/>
                    </w:rPr>
                  </w:pPr>
                  <w:r>
                    <w:rPr>
                      <w:sz w:val="21"/>
                      <w:szCs w:val="21"/>
                    </w:rPr>
                    <w:t>-104</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居民</w:t>
                  </w:r>
                </w:p>
              </w:tc>
              <w:tc>
                <w:tcPr>
                  <w:tcW w:w="557" w:type="pct"/>
                  <w:vAlign w:val="center"/>
                </w:tcPr>
                <w:p>
                  <w:pPr>
                    <w:pStyle w:val="57"/>
                    <w:spacing w:line="240" w:lineRule="auto"/>
                  </w:pPr>
                  <w:r>
                    <w:rPr>
                      <w:rFonts w:hint="eastAsia"/>
                    </w:rPr>
                    <w:t>8</w:t>
                  </w:r>
                  <w:r>
                    <w:t>户</w:t>
                  </w:r>
                </w:p>
                <w:p>
                  <w:pPr>
                    <w:pStyle w:val="57"/>
                    <w:spacing w:line="240" w:lineRule="auto"/>
                  </w:pPr>
                  <w:r>
                    <w:rPr>
                      <w:rFonts w:hint="eastAsia"/>
                    </w:rPr>
                    <w:t>3</w:t>
                  </w:r>
                  <w:r>
                    <w:t>2人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南</w:t>
                  </w:r>
                </w:p>
              </w:tc>
              <w:tc>
                <w:tcPr>
                  <w:tcW w:w="646" w:type="pct"/>
                  <w:vAlign w:val="center"/>
                </w:tcPr>
                <w:p>
                  <w:pPr>
                    <w:pStyle w:val="54"/>
                    <w:adjustRightInd w:val="0"/>
                    <w:snapToGrid w:val="0"/>
                    <w:spacing w:line="240" w:lineRule="auto"/>
                    <w:ind w:firstLine="0" w:firstLineChars="0"/>
                    <w:jc w:val="center"/>
                    <w:rPr>
                      <w:sz w:val="21"/>
                      <w:szCs w:val="21"/>
                    </w:rPr>
                  </w:pPr>
                  <w:r>
                    <w:rPr>
                      <w:sz w:val="21"/>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pStyle w:val="57"/>
                    <w:spacing w:line="240" w:lineRule="auto"/>
                    <w:rPr>
                      <w:color w:val="FF0000"/>
                    </w:rPr>
                  </w:pPr>
                </w:p>
              </w:tc>
              <w:tc>
                <w:tcPr>
                  <w:tcW w:w="539" w:type="pct"/>
                  <w:vAlign w:val="center"/>
                </w:tcPr>
                <w:p>
                  <w:pPr>
                    <w:pStyle w:val="57"/>
                    <w:spacing w:line="240" w:lineRule="auto"/>
                  </w:pPr>
                  <w:r>
                    <w:rPr>
                      <w:rFonts w:hint="eastAsia"/>
                    </w:rPr>
                    <w:t>茶园</w:t>
                  </w:r>
                  <w:r>
                    <w:t>居民点</w:t>
                  </w:r>
                </w:p>
              </w:tc>
              <w:tc>
                <w:tcPr>
                  <w:tcW w:w="809" w:type="pct"/>
                  <w:vAlign w:val="center"/>
                </w:tcPr>
                <w:p>
                  <w:pPr>
                    <w:pStyle w:val="54"/>
                    <w:adjustRightInd w:val="0"/>
                    <w:snapToGrid w:val="0"/>
                    <w:spacing w:line="240" w:lineRule="auto"/>
                    <w:ind w:firstLine="0" w:firstLineChars="0"/>
                    <w:jc w:val="center"/>
                    <w:rPr>
                      <w:sz w:val="21"/>
                      <w:szCs w:val="21"/>
                    </w:rPr>
                  </w:pPr>
                  <w:r>
                    <w:rPr>
                      <w:sz w:val="21"/>
                      <w:szCs w:val="21"/>
                    </w:rPr>
                    <w:t>-283</w:t>
                  </w:r>
                </w:p>
              </w:tc>
              <w:tc>
                <w:tcPr>
                  <w:tcW w:w="717" w:type="pct"/>
                  <w:vAlign w:val="center"/>
                </w:tcPr>
                <w:p>
                  <w:pPr>
                    <w:pStyle w:val="54"/>
                    <w:adjustRightInd w:val="0"/>
                    <w:snapToGrid w:val="0"/>
                    <w:spacing w:line="240" w:lineRule="auto"/>
                    <w:ind w:firstLine="0" w:firstLineChars="0"/>
                    <w:jc w:val="center"/>
                    <w:rPr>
                      <w:sz w:val="21"/>
                      <w:szCs w:val="21"/>
                    </w:rPr>
                  </w:pPr>
                  <w:r>
                    <w:rPr>
                      <w:sz w:val="21"/>
                      <w:szCs w:val="21"/>
                    </w:rPr>
                    <w:t>-185</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居民</w:t>
                  </w:r>
                </w:p>
              </w:tc>
              <w:tc>
                <w:tcPr>
                  <w:tcW w:w="557" w:type="pct"/>
                  <w:vAlign w:val="center"/>
                </w:tcPr>
                <w:p>
                  <w:pPr>
                    <w:pStyle w:val="57"/>
                    <w:spacing w:line="240" w:lineRule="auto"/>
                  </w:pPr>
                  <w:r>
                    <w:rPr>
                      <w:rFonts w:hint="eastAsia"/>
                    </w:rPr>
                    <w:t>6</w:t>
                  </w:r>
                  <w:r>
                    <w:t>户</w:t>
                  </w:r>
                </w:p>
                <w:p>
                  <w:pPr>
                    <w:pStyle w:val="57"/>
                    <w:spacing w:line="240" w:lineRule="auto"/>
                  </w:pPr>
                  <w:r>
                    <w:rPr>
                      <w:rFonts w:hint="eastAsia"/>
                    </w:rPr>
                    <w:t>2</w:t>
                  </w:r>
                  <w:r>
                    <w:t>5人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西南</w:t>
                  </w:r>
                </w:p>
              </w:tc>
              <w:tc>
                <w:tcPr>
                  <w:tcW w:w="646" w:type="pct"/>
                  <w:vAlign w:val="center"/>
                </w:tcPr>
                <w:p>
                  <w:pPr>
                    <w:pStyle w:val="54"/>
                    <w:adjustRightInd w:val="0"/>
                    <w:snapToGrid w:val="0"/>
                    <w:spacing w:line="240" w:lineRule="auto"/>
                    <w:ind w:firstLine="0" w:firstLineChars="0"/>
                    <w:jc w:val="center"/>
                    <w:rPr>
                      <w:sz w:val="21"/>
                      <w:szCs w:val="21"/>
                    </w:rPr>
                  </w:pPr>
                  <w:r>
                    <w:rPr>
                      <w:sz w:val="21"/>
                      <w:szCs w:val="21"/>
                    </w:rPr>
                    <w:t>25</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pStyle w:val="57"/>
                    <w:spacing w:line="240" w:lineRule="auto"/>
                    <w:rPr>
                      <w:color w:val="FF0000"/>
                    </w:rPr>
                  </w:pPr>
                </w:p>
              </w:tc>
              <w:tc>
                <w:tcPr>
                  <w:tcW w:w="539" w:type="pct"/>
                  <w:vAlign w:val="center"/>
                </w:tcPr>
                <w:p>
                  <w:pPr>
                    <w:pStyle w:val="57"/>
                    <w:spacing w:line="240" w:lineRule="auto"/>
                  </w:pPr>
                  <w:r>
                    <w:rPr>
                      <w:rFonts w:hint="eastAsia"/>
                    </w:rPr>
                    <w:t>桑树湾居民点</w:t>
                  </w:r>
                </w:p>
              </w:tc>
              <w:tc>
                <w:tcPr>
                  <w:tcW w:w="809" w:type="pct"/>
                  <w:vAlign w:val="center"/>
                </w:tcPr>
                <w:p>
                  <w:pPr>
                    <w:pStyle w:val="54"/>
                    <w:adjustRightInd w:val="0"/>
                    <w:snapToGrid w:val="0"/>
                    <w:spacing w:line="240" w:lineRule="auto"/>
                    <w:ind w:firstLine="0" w:firstLineChars="0"/>
                    <w:jc w:val="center"/>
                    <w:rPr>
                      <w:sz w:val="21"/>
                      <w:szCs w:val="21"/>
                    </w:rPr>
                  </w:pPr>
                  <w:r>
                    <w:rPr>
                      <w:sz w:val="21"/>
                      <w:szCs w:val="21"/>
                    </w:rPr>
                    <w:t>318</w:t>
                  </w:r>
                </w:p>
              </w:tc>
              <w:tc>
                <w:tcPr>
                  <w:tcW w:w="717" w:type="pct"/>
                  <w:vAlign w:val="center"/>
                </w:tcPr>
                <w:p>
                  <w:pPr>
                    <w:pStyle w:val="54"/>
                    <w:adjustRightInd w:val="0"/>
                    <w:snapToGrid w:val="0"/>
                    <w:spacing w:line="240" w:lineRule="auto"/>
                    <w:ind w:firstLine="0" w:firstLineChars="0"/>
                    <w:jc w:val="center"/>
                    <w:rPr>
                      <w:sz w:val="21"/>
                      <w:szCs w:val="21"/>
                    </w:rPr>
                  </w:pPr>
                  <w:r>
                    <w:rPr>
                      <w:sz w:val="21"/>
                      <w:szCs w:val="21"/>
                    </w:rPr>
                    <w:t>-279</w:t>
                  </w:r>
                </w:p>
              </w:tc>
              <w:tc>
                <w:tcPr>
                  <w:tcW w:w="400" w:type="pct"/>
                  <w:vAlign w:val="center"/>
                </w:tcPr>
                <w:p>
                  <w:pPr>
                    <w:pStyle w:val="54"/>
                    <w:adjustRightInd w:val="0"/>
                    <w:snapToGrid w:val="0"/>
                    <w:spacing w:line="240" w:lineRule="auto"/>
                    <w:ind w:firstLine="0" w:firstLineChars="0"/>
                    <w:jc w:val="center"/>
                    <w:rPr>
                      <w:sz w:val="21"/>
                      <w:szCs w:val="21"/>
                    </w:rPr>
                  </w:pPr>
                  <w:r>
                    <w:rPr>
                      <w:rFonts w:hint="eastAsia"/>
                      <w:sz w:val="21"/>
                      <w:szCs w:val="21"/>
                    </w:rPr>
                    <w:t>居民</w:t>
                  </w:r>
                </w:p>
              </w:tc>
              <w:tc>
                <w:tcPr>
                  <w:tcW w:w="557" w:type="pct"/>
                  <w:vAlign w:val="center"/>
                </w:tcPr>
                <w:p>
                  <w:pPr>
                    <w:pStyle w:val="57"/>
                    <w:spacing w:line="240" w:lineRule="auto"/>
                  </w:pPr>
                  <w:r>
                    <w:rPr>
                      <w:rFonts w:hint="eastAsia"/>
                    </w:rPr>
                    <w:t>4户1</w:t>
                  </w:r>
                  <w:r>
                    <w:t>6</w:t>
                  </w:r>
                  <w:r>
                    <w:rPr>
                      <w:rFonts w:hint="eastAsia"/>
                    </w:rPr>
                    <w:t>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东南</w:t>
                  </w:r>
                </w:p>
              </w:tc>
              <w:tc>
                <w:tcPr>
                  <w:tcW w:w="646" w:type="pct"/>
                  <w:vAlign w:val="center"/>
                </w:tcPr>
                <w:p>
                  <w:pPr>
                    <w:pStyle w:val="54"/>
                    <w:adjustRightInd w:val="0"/>
                    <w:snapToGrid w:val="0"/>
                    <w:spacing w:line="240" w:lineRule="auto"/>
                    <w:ind w:firstLine="0" w:firstLineChars="0"/>
                    <w:jc w:val="center"/>
                    <w:rPr>
                      <w:sz w:val="21"/>
                      <w:szCs w:val="21"/>
                    </w:rPr>
                  </w:pPr>
                  <w:r>
                    <w:rPr>
                      <w:rFonts w:hint="eastAsia"/>
                      <w:sz w:val="21"/>
                      <w:szCs w:val="21"/>
                    </w:rPr>
                    <w:t>2</w:t>
                  </w:r>
                  <w:r>
                    <w:rPr>
                      <w:sz w:val="21"/>
                      <w:szCs w:val="21"/>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pStyle w:val="57"/>
                    <w:spacing w:line="240" w:lineRule="auto"/>
                    <w:rPr>
                      <w:color w:val="FF0000"/>
                    </w:rPr>
                  </w:pPr>
                </w:p>
              </w:tc>
              <w:tc>
                <w:tcPr>
                  <w:tcW w:w="539" w:type="pct"/>
                  <w:vAlign w:val="center"/>
                </w:tcPr>
                <w:p>
                  <w:pPr>
                    <w:pStyle w:val="57"/>
                    <w:spacing w:line="240" w:lineRule="auto"/>
                  </w:pPr>
                  <w:r>
                    <w:rPr>
                      <w:rFonts w:hint="eastAsia"/>
                    </w:rPr>
                    <w:t>东北侧居民点</w:t>
                  </w:r>
                </w:p>
              </w:tc>
              <w:tc>
                <w:tcPr>
                  <w:tcW w:w="809" w:type="pct"/>
                  <w:vAlign w:val="center"/>
                </w:tcPr>
                <w:p>
                  <w:pPr>
                    <w:pStyle w:val="54"/>
                    <w:adjustRightInd w:val="0"/>
                    <w:snapToGrid w:val="0"/>
                    <w:spacing w:line="240" w:lineRule="auto"/>
                    <w:ind w:firstLine="0" w:firstLineChars="0"/>
                    <w:jc w:val="center"/>
                    <w:rPr>
                      <w:sz w:val="21"/>
                      <w:szCs w:val="21"/>
                    </w:rPr>
                  </w:pPr>
                  <w:r>
                    <w:rPr>
                      <w:rFonts w:hint="eastAsia"/>
                      <w:sz w:val="21"/>
                      <w:szCs w:val="21"/>
                    </w:rPr>
                    <w:t>1</w:t>
                  </w:r>
                  <w:r>
                    <w:rPr>
                      <w:sz w:val="21"/>
                      <w:szCs w:val="21"/>
                    </w:rPr>
                    <w:t>28</w:t>
                  </w:r>
                </w:p>
              </w:tc>
              <w:tc>
                <w:tcPr>
                  <w:tcW w:w="717" w:type="pct"/>
                  <w:vAlign w:val="center"/>
                </w:tcPr>
                <w:p>
                  <w:pPr>
                    <w:pStyle w:val="54"/>
                    <w:adjustRightInd w:val="0"/>
                    <w:snapToGrid w:val="0"/>
                    <w:spacing w:line="240" w:lineRule="auto"/>
                    <w:ind w:firstLine="0" w:firstLineChars="0"/>
                    <w:jc w:val="center"/>
                    <w:rPr>
                      <w:sz w:val="21"/>
                      <w:szCs w:val="21"/>
                    </w:rPr>
                  </w:pPr>
                  <w:r>
                    <w:rPr>
                      <w:rFonts w:hint="eastAsia"/>
                      <w:sz w:val="21"/>
                      <w:szCs w:val="21"/>
                    </w:rPr>
                    <w:t>1</w:t>
                  </w:r>
                  <w:r>
                    <w:rPr>
                      <w:sz w:val="21"/>
                      <w:szCs w:val="21"/>
                    </w:rPr>
                    <w:t>59</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居民</w:t>
                  </w:r>
                </w:p>
              </w:tc>
              <w:tc>
                <w:tcPr>
                  <w:tcW w:w="557" w:type="pct"/>
                  <w:vAlign w:val="center"/>
                </w:tcPr>
                <w:p>
                  <w:pPr>
                    <w:pStyle w:val="57"/>
                    <w:spacing w:line="240" w:lineRule="auto"/>
                  </w:pPr>
                  <w:r>
                    <w:rPr>
                      <w:rFonts w:hint="eastAsia"/>
                    </w:rPr>
                    <w:t>2户8人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东北</w:t>
                  </w:r>
                </w:p>
              </w:tc>
              <w:tc>
                <w:tcPr>
                  <w:tcW w:w="646" w:type="pct"/>
                  <w:vAlign w:val="center"/>
                </w:tcPr>
                <w:p>
                  <w:pPr>
                    <w:pStyle w:val="54"/>
                    <w:adjustRightInd w:val="0"/>
                    <w:snapToGrid w:val="0"/>
                    <w:spacing w:line="240" w:lineRule="auto"/>
                    <w:ind w:firstLine="0" w:firstLineChars="0"/>
                    <w:jc w:val="center"/>
                    <w:rPr>
                      <w:sz w:val="21"/>
                      <w:szCs w:val="21"/>
                    </w:rPr>
                  </w:pPr>
                  <w:r>
                    <w:rPr>
                      <w:rFonts w:hint="eastAsia"/>
                      <w:sz w:val="21"/>
                      <w:szCs w:val="21"/>
                    </w:rPr>
                    <w:t>1</w:t>
                  </w:r>
                  <w:r>
                    <w:rPr>
                      <w:sz w:val="21"/>
                      <w:szCs w:val="21"/>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pStyle w:val="57"/>
                    <w:spacing w:line="240" w:lineRule="auto"/>
                    <w:rPr>
                      <w:color w:val="FF0000"/>
                    </w:rPr>
                  </w:pPr>
                </w:p>
              </w:tc>
              <w:tc>
                <w:tcPr>
                  <w:tcW w:w="539" w:type="pct"/>
                  <w:vAlign w:val="center"/>
                </w:tcPr>
                <w:p>
                  <w:pPr>
                    <w:pStyle w:val="57"/>
                    <w:spacing w:line="240" w:lineRule="auto"/>
                  </w:pPr>
                  <w:r>
                    <w:rPr>
                      <w:rFonts w:hint="eastAsia"/>
                    </w:rPr>
                    <w:t>北侧居民点</w:t>
                  </w:r>
                </w:p>
              </w:tc>
              <w:tc>
                <w:tcPr>
                  <w:tcW w:w="809" w:type="pct"/>
                  <w:vAlign w:val="center"/>
                </w:tcPr>
                <w:p>
                  <w:pPr>
                    <w:pStyle w:val="54"/>
                    <w:adjustRightInd w:val="0"/>
                    <w:snapToGrid w:val="0"/>
                    <w:spacing w:line="240" w:lineRule="auto"/>
                    <w:ind w:firstLine="0" w:firstLineChars="0"/>
                    <w:jc w:val="center"/>
                    <w:rPr>
                      <w:sz w:val="21"/>
                      <w:szCs w:val="21"/>
                    </w:rPr>
                  </w:pPr>
                  <w:r>
                    <w:rPr>
                      <w:rFonts w:hint="eastAsia"/>
                      <w:sz w:val="21"/>
                      <w:szCs w:val="21"/>
                    </w:rPr>
                    <w:t>-</w:t>
                  </w:r>
                  <w:r>
                    <w:rPr>
                      <w:sz w:val="21"/>
                      <w:szCs w:val="21"/>
                    </w:rPr>
                    <w:t>67</w:t>
                  </w:r>
                </w:p>
              </w:tc>
              <w:tc>
                <w:tcPr>
                  <w:tcW w:w="717" w:type="pct"/>
                  <w:vAlign w:val="center"/>
                </w:tcPr>
                <w:p>
                  <w:pPr>
                    <w:pStyle w:val="54"/>
                    <w:adjustRightInd w:val="0"/>
                    <w:snapToGrid w:val="0"/>
                    <w:spacing w:line="240" w:lineRule="auto"/>
                    <w:ind w:firstLine="0" w:firstLineChars="0"/>
                    <w:jc w:val="center"/>
                    <w:rPr>
                      <w:sz w:val="21"/>
                      <w:szCs w:val="21"/>
                    </w:rPr>
                  </w:pPr>
                  <w:r>
                    <w:rPr>
                      <w:rFonts w:hint="eastAsia"/>
                      <w:sz w:val="21"/>
                      <w:szCs w:val="21"/>
                    </w:rPr>
                    <w:t>1</w:t>
                  </w:r>
                  <w:r>
                    <w:rPr>
                      <w:sz w:val="21"/>
                      <w:szCs w:val="21"/>
                    </w:rPr>
                    <w:t>87</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居民</w:t>
                  </w:r>
                </w:p>
              </w:tc>
              <w:tc>
                <w:tcPr>
                  <w:tcW w:w="557" w:type="pct"/>
                  <w:vAlign w:val="center"/>
                </w:tcPr>
                <w:p>
                  <w:pPr>
                    <w:pStyle w:val="57"/>
                    <w:spacing w:line="240" w:lineRule="auto"/>
                  </w:pPr>
                  <w:r>
                    <w:rPr>
                      <w:rFonts w:hint="eastAsia"/>
                    </w:rPr>
                    <w:t>2户8人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北</w:t>
                  </w:r>
                </w:p>
              </w:tc>
              <w:tc>
                <w:tcPr>
                  <w:tcW w:w="646" w:type="pct"/>
                  <w:vAlign w:val="center"/>
                </w:tcPr>
                <w:p>
                  <w:pPr>
                    <w:pStyle w:val="54"/>
                    <w:adjustRightInd w:val="0"/>
                    <w:snapToGrid w:val="0"/>
                    <w:spacing w:line="240" w:lineRule="auto"/>
                    <w:ind w:firstLine="0" w:firstLineChars="0"/>
                    <w:jc w:val="center"/>
                    <w:rPr>
                      <w:sz w:val="21"/>
                      <w:szCs w:val="21"/>
                    </w:rPr>
                  </w:pPr>
                  <w:r>
                    <w:rPr>
                      <w:rFonts w:hint="eastAsia"/>
                      <w:sz w:val="21"/>
                      <w:szCs w:val="21"/>
                    </w:rPr>
                    <w:t>1</w:t>
                  </w:r>
                  <w:r>
                    <w:rPr>
                      <w:sz w:val="21"/>
                      <w:szCs w:val="21"/>
                    </w:rPr>
                    <w:t>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pStyle w:val="57"/>
                    <w:spacing w:line="240" w:lineRule="auto"/>
                    <w:rPr>
                      <w:color w:val="FF0000"/>
                    </w:rPr>
                  </w:pPr>
                </w:p>
              </w:tc>
              <w:tc>
                <w:tcPr>
                  <w:tcW w:w="539" w:type="pct"/>
                  <w:vAlign w:val="center"/>
                </w:tcPr>
                <w:p>
                  <w:pPr>
                    <w:pStyle w:val="57"/>
                    <w:spacing w:line="240" w:lineRule="auto"/>
                  </w:pPr>
                  <w:r>
                    <w:rPr>
                      <w:rFonts w:hint="eastAsia"/>
                    </w:rPr>
                    <w:t>柳树塘居民点</w:t>
                  </w:r>
                </w:p>
              </w:tc>
              <w:tc>
                <w:tcPr>
                  <w:tcW w:w="809" w:type="pct"/>
                  <w:vAlign w:val="center"/>
                </w:tcPr>
                <w:p>
                  <w:pPr>
                    <w:pStyle w:val="54"/>
                    <w:adjustRightInd w:val="0"/>
                    <w:snapToGrid w:val="0"/>
                    <w:spacing w:line="240" w:lineRule="auto"/>
                    <w:ind w:firstLine="0" w:firstLineChars="0"/>
                    <w:jc w:val="center"/>
                    <w:rPr>
                      <w:sz w:val="21"/>
                      <w:szCs w:val="21"/>
                    </w:rPr>
                  </w:pPr>
                  <w:r>
                    <w:rPr>
                      <w:rFonts w:hint="eastAsia"/>
                      <w:sz w:val="21"/>
                      <w:szCs w:val="21"/>
                    </w:rPr>
                    <w:t>8</w:t>
                  </w:r>
                  <w:r>
                    <w:rPr>
                      <w:sz w:val="21"/>
                      <w:szCs w:val="21"/>
                    </w:rPr>
                    <w:t>9</w:t>
                  </w:r>
                </w:p>
              </w:tc>
              <w:tc>
                <w:tcPr>
                  <w:tcW w:w="717" w:type="pct"/>
                  <w:vAlign w:val="center"/>
                </w:tcPr>
                <w:p>
                  <w:pPr>
                    <w:pStyle w:val="54"/>
                    <w:adjustRightInd w:val="0"/>
                    <w:snapToGrid w:val="0"/>
                    <w:spacing w:line="240" w:lineRule="auto"/>
                    <w:ind w:firstLine="0" w:firstLineChars="0"/>
                    <w:jc w:val="center"/>
                    <w:rPr>
                      <w:sz w:val="21"/>
                      <w:szCs w:val="21"/>
                    </w:rPr>
                  </w:pPr>
                  <w:r>
                    <w:rPr>
                      <w:rFonts w:hint="eastAsia"/>
                      <w:sz w:val="21"/>
                      <w:szCs w:val="21"/>
                    </w:rPr>
                    <w:t>4</w:t>
                  </w:r>
                  <w:r>
                    <w:rPr>
                      <w:sz w:val="21"/>
                      <w:szCs w:val="21"/>
                    </w:rPr>
                    <w:t>32</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居民</w:t>
                  </w:r>
                </w:p>
              </w:tc>
              <w:tc>
                <w:tcPr>
                  <w:tcW w:w="557" w:type="pct"/>
                  <w:vAlign w:val="center"/>
                </w:tcPr>
                <w:p>
                  <w:pPr>
                    <w:pStyle w:val="57"/>
                    <w:spacing w:line="240" w:lineRule="auto"/>
                  </w:pPr>
                  <w:r>
                    <w:rPr>
                      <w:rFonts w:hint="eastAsia"/>
                    </w:rPr>
                    <w:t>6</w:t>
                  </w:r>
                  <w:r>
                    <w:t>户</w:t>
                  </w:r>
                </w:p>
                <w:p>
                  <w:pPr>
                    <w:pStyle w:val="57"/>
                    <w:spacing w:line="240" w:lineRule="auto"/>
                  </w:pPr>
                  <w:r>
                    <w:t>2</w:t>
                  </w:r>
                  <w:r>
                    <w:rPr>
                      <w:rFonts w:hint="eastAsia"/>
                    </w:rPr>
                    <w:t>5</w:t>
                  </w:r>
                  <w:r>
                    <w:t>人</w:t>
                  </w:r>
                </w:p>
              </w:tc>
              <w:tc>
                <w:tcPr>
                  <w:tcW w:w="460" w:type="pct"/>
                  <w:vAlign w:val="center"/>
                </w:tcPr>
                <w:p>
                  <w:pPr>
                    <w:pStyle w:val="54"/>
                    <w:adjustRightInd w:val="0"/>
                    <w:snapToGrid w:val="0"/>
                    <w:spacing w:line="240" w:lineRule="auto"/>
                    <w:ind w:firstLine="0" w:firstLineChars="0"/>
                    <w:jc w:val="center"/>
                    <w:rPr>
                      <w:sz w:val="21"/>
                      <w:szCs w:val="21"/>
                    </w:rPr>
                  </w:pPr>
                  <w:r>
                    <w:rPr>
                      <w:sz w:val="21"/>
                      <w:szCs w:val="21"/>
                    </w:rPr>
                    <w:t>二类区</w:t>
                  </w:r>
                </w:p>
              </w:tc>
              <w:tc>
                <w:tcPr>
                  <w:tcW w:w="518" w:type="pct"/>
                  <w:vAlign w:val="center"/>
                </w:tcPr>
                <w:p>
                  <w:pPr>
                    <w:pStyle w:val="57"/>
                    <w:spacing w:line="240" w:lineRule="auto"/>
                  </w:pPr>
                  <w:r>
                    <w:rPr>
                      <w:rFonts w:hint="eastAsia"/>
                    </w:rPr>
                    <w:t>东北</w:t>
                  </w:r>
                </w:p>
              </w:tc>
              <w:tc>
                <w:tcPr>
                  <w:tcW w:w="646" w:type="pct"/>
                  <w:vAlign w:val="center"/>
                </w:tcPr>
                <w:p>
                  <w:pPr>
                    <w:pStyle w:val="54"/>
                    <w:adjustRightInd w:val="0"/>
                    <w:snapToGrid w:val="0"/>
                    <w:spacing w:line="240" w:lineRule="auto"/>
                    <w:ind w:firstLine="0" w:firstLineChars="0"/>
                    <w:jc w:val="center"/>
                    <w:rPr>
                      <w:sz w:val="21"/>
                      <w:szCs w:val="21"/>
                    </w:rPr>
                  </w:pPr>
                  <w:r>
                    <w:rPr>
                      <w:sz w:val="21"/>
                      <w:szCs w:val="21"/>
                    </w:rPr>
                    <w:t>428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4" w:type="pct"/>
                  <w:vAlign w:val="center"/>
                </w:tcPr>
                <w:p>
                  <w:pPr>
                    <w:pStyle w:val="57"/>
                    <w:spacing w:line="240" w:lineRule="auto"/>
                  </w:pPr>
                  <w:r>
                    <w:t>地表水环境</w:t>
                  </w:r>
                </w:p>
              </w:tc>
              <w:tc>
                <w:tcPr>
                  <w:tcW w:w="539" w:type="pct"/>
                  <w:vAlign w:val="center"/>
                </w:tcPr>
                <w:p>
                  <w:pPr>
                    <w:pStyle w:val="57"/>
                    <w:spacing w:line="240" w:lineRule="auto"/>
                  </w:pPr>
                  <w:r>
                    <w:rPr>
                      <w:rFonts w:hint="eastAsia"/>
                    </w:rPr>
                    <w:t>水塘</w:t>
                  </w:r>
                </w:p>
              </w:tc>
              <w:tc>
                <w:tcPr>
                  <w:tcW w:w="809" w:type="pct"/>
                  <w:vAlign w:val="center"/>
                </w:tcPr>
                <w:p>
                  <w:pPr>
                    <w:pStyle w:val="54"/>
                    <w:adjustRightInd w:val="0"/>
                    <w:snapToGrid w:val="0"/>
                    <w:spacing w:line="240" w:lineRule="auto"/>
                    <w:ind w:firstLine="0" w:firstLineChars="0"/>
                    <w:jc w:val="center"/>
                    <w:rPr>
                      <w:sz w:val="21"/>
                      <w:szCs w:val="21"/>
                    </w:rPr>
                  </w:pPr>
                  <w:r>
                    <w:rPr>
                      <w:sz w:val="21"/>
                      <w:szCs w:val="21"/>
                    </w:rPr>
                    <w:t>/</w:t>
                  </w:r>
                </w:p>
              </w:tc>
              <w:tc>
                <w:tcPr>
                  <w:tcW w:w="717" w:type="pct"/>
                  <w:vAlign w:val="center"/>
                </w:tcPr>
                <w:p>
                  <w:pPr>
                    <w:pStyle w:val="54"/>
                    <w:adjustRightInd w:val="0"/>
                    <w:snapToGrid w:val="0"/>
                    <w:spacing w:line="240" w:lineRule="auto"/>
                    <w:ind w:firstLine="0" w:firstLineChars="0"/>
                    <w:jc w:val="center"/>
                    <w:rPr>
                      <w:sz w:val="21"/>
                      <w:szCs w:val="21"/>
                    </w:rPr>
                  </w:pPr>
                  <w:r>
                    <w:rPr>
                      <w:sz w:val="21"/>
                      <w:szCs w:val="21"/>
                    </w:rPr>
                    <w:t>/</w:t>
                  </w:r>
                </w:p>
              </w:tc>
              <w:tc>
                <w:tcPr>
                  <w:tcW w:w="400" w:type="pct"/>
                  <w:vAlign w:val="center"/>
                </w:tcPr>
                <w:p>
                  <w:pPr>
                    <w:pStyle w:val="54"/>
                    <w:adjustRightInd w:val="0"/>
                    <w:snapToGrid w:val="0"/>
                    <w:spacing w:line="240" w:lineRule="auto"/>
                    <w:ind w:firstLine="0" w:firstLineChars="0"/>
                    <w:jc w:val="center"/>
                    <w:rPr>
                      <w:sz w:val="21"/>
                      <w:szCs w:val="21"/>
                    </w:rPr>
                  </w:pPr>
                  <w:r>
                    <w:rPr>
                      <w:sz w:val="21"/>
                      <w:szCs w:val="21"/>
                    </w:rPr>
                    <w:t>河流</w:t>
                  </w:r>
                </w:p>
              </w:tc>
              <w:tc>
                <w:tcPr>
                  <w:tcW w:w="557" w:type="pct"/>
                  <w:vAlign w:val="center"/>
                </w:tcPr>
                <w:p>
                  <w:pPr>
                    <w:pStyle w:val="57"/>
                    <w:spacing w:line="240" w:lineRule="auto"/>
                    <w:rPr>
                      <w:u w:val="wave"/>
                    </w:rPr>
                  </w:pPr>
                  <w:r>
                    <w:rPr>
                      <w:u w:val="wave"/>
                    </w:rPr>
                    <w:t>/</w:t>
                  </w:r>
                </w:p>
              </w:tc>
              <w:tc>
                <w:tcPr>
                  <w:tcW w:w="460" w:type="pct"/>
                  <w:vAlign w:val="center"/>
                </w:tcPr>
                <w:p>
                  <w:pPr>
                    <w:adjustRightInd w:val="0"/>
                    <w:snapToGrid w:val="0"/>
                    <w:jc w:val="center"/>
                    <w:rPr>
                      <w:szCs w:val="21"/>
                    </w:rPr>
                  </w:pPr>
                  <w:r>
                    <w:rPr>
                      <w:szCs w:val="21"/>
                    </w:rPr>
                    <w:t>II</w:t>
                  </w:r>
                  <w:r>
                    <w:rPr>
                      <w:rFonts w:hint="eastAsia"/>
                      <w:szCs w:val="21"/>
                    </w:rPr>
                    <w:t>I</w:t>
                  </w:r>
                  <w:r>
                    <w:rPr>
                      <w:szCs w:val="21"/>
                    </w:rPr>
                    <w:t>类</w:t>
                  </w:r>
                </w:p>
              </w:tc>
              <w:tc>
                <w:tcPr>
                  <w:tcW w:w="518" w:type="pct"/>
                  <w:vAlign w:val="center"/>
                </w:tcPr>
                <w:p>
                  <w:pPr>
                    <w:pStyle w:val="57"/>
                    <w:spacing w:line="240" w:lineRule="auto"/>
                  </w:pPr>
                  <w:r>
                    <w:t>东</w:t>
                  </w:r>
                  <w:r>
                    <w:rPr>
                      <w:rFonts w:hint="eastAsia"/>
                    </w:rPr>
                    <w:t>南</w:t>
                  </w:r>
                </w:p>
              </w:tc>
              <w:tc>
                <w:tcPr>
                  <w:tcW w:w="646" w:type="pct"/>
                  <w:vAlign w:val="center"/>
                </w:tcPr>
                <w:p>
                  <w:pPr>
                    <w:pStyle w:val="54"/>
                    <w:adjustRightInd w:val="0"/>
                    <w:snapToGrid w:val="0"/>
                    <w:spacing w:line="240" w:lineRule="auto"/>
                    <w:ind w:firstLine="0" w:firstLineChars="0"/>
                    <w:jc w:val="center"/>
                    <w:rPr>
                      <w:sz w:val="21"/>
                      <w:szCs w:val="21"/>
                    </w:rPr>
                  </w:pPr>
                  <w:r>
                    <w:rPr>
                      <w:rFonts w:hint="eastAsia"/>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4" w:type="pct"/>
                  <w:vAlign w:val="center"/>
                </w:tcPr>
                <w:p>
                  <w:pPr>
                    <w:pStyle w:val="57"/>
                    <w:spacing w:line="240" w:lineRule="auto"/>
                  </w:pPr>
                  <w:r>
                    <w:rPr>
                      <w:rFonts w:hint="eastAsia"/>
                    </w:rPr>
                    <w:t>地下水环境</w:t>
                  </w:r>
                </w:p>
              </w:tc>
              <w:tc>
                <w:tcPr>
                  <w:tcW w:w="4646" w:type="pct"/>
                  <w:gridSpan w:val="8"/>
                  <w:vAlign w:val="center"/>
                </w:tcPr>
                <w:p>
                  <w:pPr>
                    <w:pStyle w:val="54"/>
                    <w:adjustRightInd w:val="0"/>
                    <w:snapToGrid w:val="0"/>
                    <w:spacing w:line="240" w:lineRule="auto"/>
                    <w:ind w:firstLine="0" w:firstLineChars="0"/>
                    <w:jc w:val="center"/>
                    <w:rPr>
                      <w:sz w:val="21"/>
                      <w:szCs w:val="21"/>
                    </w:rPr>
                  </w:pPr>
                  <w:r>
                    <w:rPr>
                      <w:rFonts w:hint="eastAsia"/>
                      <w:sz w:val="21"/>
                      <w:szCs w:val="21"/>
                    </w:rPr>
                    <w:t>周边500m范围内居民点用水均为自来水，不存在地下水集中式饮用水水源和热水、矿泉水、温泉等特殊地下水资源</w:t>
                  </w:r>
                </w:p>
              </w:tc>
            </w:tr>
          </w:tbl>
          <w:p>
            <w:pPr>
              <w:adjustRightInd w:val="0"/>
              <w:snapToGrid w:val="0"/>
              <w:spacing w:line="360" w:lineRule="auto"/>
              <w:ind w:firstLine="480" w:firstLineChars="200"/>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800"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190" w:type="dxa"/>
          </w:tcPr>
          <w:p>
            <w:pPr>
              <w:adjustRightInd w:val="0"/>
              <w:snapToGrid w:val="0"/>
              <w:spacing w:line="360" w:lineRule="auto"/>
              <w:rPr>
                <w:b/>
                <w:bCs/>
                <w:kern w:val="0"/>
                <w:sz w:val="24"/>
              </w:rPr>
            </w:pPr>
            <w:r>
              <w:rPr>
                <w:b/>
                <w:bCs/>
                <w:kern w:val="0"/>
                <w:sz w:val="24"/>
              </w:rPr>
              <w:t>1、废气</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kern w:val="0"/>
                <w:sz w:val="24"/>
              </w:rPr>
              <w:t>（1）烘干及炭化废气</w:t>
            </w:r>
            <w:r>
              <w:rPr>
                <w:kern w:val="0"/>
                <w:sz w:val="24"/>
              </w:rPr>
              <w:t>：</w:t>
            </w:r>
            <w:r>
              <w:rPr>
                <w:rFonts w:hint="eastAsia"/>
                <w:kern w:val="0"/>
                <w:sz w:val="24"/>
              </w:rPr>
              <w:t>烟尘、SO</w:t>
            </w:r>
            <w:r>
              <w:rPr>
                <w:rFonts w:hint="eastAsia"/>
                <w:kern w:val="0"/>
                <w:sz w:val="24"/>
                <w:vertAlign w:val="subscript"/>
              </w:rPr>
              <w:t>2</w:t>
            </w:r>
            <w:r>
              <w:rPr>
                <w:kern w:val="0"/>
                <w:sz w:val="24"/>
              </w:rPr>
              <w:t>执行《</w:t>
            </w:r>
            <w:r>
              <w:rPr>
                <w:rFonts w:hint="eastAsia"/>
                <w:kern w:val="0"/>
                <w:sz w:val="24"/>
              </w:rPr>
              <w:t>工业炉窑</w:t>
            </w:r>
            <w:r>
              <w:rPr>
                <w:kern w:val="0"/>
                <w:sz w:val="24"/>
              </w:rPr>
              <w:t>大气污染物排放标准》（</w:t>
            </w:r>
            <w:r>
              <w:rPr>
                <w:color w:val="000000" w:themeColor="text1"/>
                <w:kern w:val="0"/>
                <w:sz w:val="24"/>
                <w14:textFill>
                  <w14:solidFill>
                    <w14:schemeClr w14:val="tx1"/>
                  </w14:solidFill>
                </w14:textFill>
              </w:rPr>
              <w:t>GB</w:t>
            </w:r>
            <w:r>
              <w:rPr>
                <w:rFonts w:hint="eastAsia"/>
                <w:color w:val="000000" w:themeColor="text1"/>
                <w:kern w:val="0"/>
                <w:sz w:val="24"/>
                <w14:textFill>
                  <w14:solidFill>
                    <w14:schemeClr w14:val="tx1"/>
                  </w14:solidFill>
                </w14:textFill>
              </w:rPr>
              <w:t>9078</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1996</w:t>
            </w:r>
            <w:r>
              <w:rPr>
                <w:color w:val="000000" w:themeColor="text1"/>
                <w:kern w:val="0"/>
                <w:sz w:val="24"/>
                <w14:textFill>
                  <w14:solidFill>
                    <w14:schemeClr w14:val="tx1"/>
                  </w14:solidFill>
                </w14:textFill>
              </w:rPr>
              <w:t>）中</w:t>
            </w:r>
            <w:r>
              <w:rPr>
                <w:rFonts w:hint="eastAsia"/>
                <w:color w:val="000000" w:themeColor="text1"/>
                <w:kern w:val="0"/>
                <w:sz w:val="24"/>
                <w14:textFill>
                  <w14:solidFill>
                    <w14:schemeClr w14:val="tx1"/>
                  </w14:solidFill>
                </w14:textFill>
              </w:rPr>
              <w:t>表2非金属加热炉二级排放限值，见表3-7；</w:t>
            </w:r>
            <w:r>
              <w:rPr>
                <w:rFonts w:hint="eastAsia"/>
                <w:color w:val="000000" w:themeColor="text1"/>
                <w:kern w:val="0"/>
                <w:sz w:val="24"/>
                <w:u w:val="single"/>
                <w14:textFill>
                  <w14:solidFill>
                    <w14:schemeClr w14:val="tx1"/>
                  </w14:solidFill>
                </w14:textFill>
              </w:rPr>
              <w:t>NOx和破碎、制棒产生的颗粒物、钾钠长石粉烘干及包装产生的颗粒物执行</w:t>
            </w:r>
            <w:r>
              <w:rPr>
                <w:color w:val="000000" w:themeColor="text1"/>
                <w:sz w:val="24"/>
                <w:u w:val="single"/>
                <w14:textFill>
                  <w14:solidFill>
                    <w14:schemeClr w14:val="tx1"/>
                  </w14:solidFill>
                </w14:textFill>
              </w:rPr>
              <w:t>《大气污染物综合排放标准》（GB16297-1996）表2中限值要求</w:t>
            </w:r>
            <w:r>
              <w:rPr>
                <w:rFonts w:hint="eastAsia"/>
                <w:color w:val="000000" w:themeColor="text1"/>
                <w:sz w:val="24"/>
                <w14:textFill>
                  <w14:solidFill>
                    <w14:schemeClr w14:val="tx1"/>
                  </w14:solidFill>
                </w14:textFill>
              </w:rPr>
              <w:t>，见表3-9</w:t>
            </w:r>
            <w:r>
              <w:rPr>
                <w:color w:val="000000" w:themeColor="text1"/>
                <w:kern w:val="0"/>
                <w:sz w:val="24"/>
                <w14:textFill>
                  <w14:solidFill>
                    <w14:schemeClr w14:val="tx1"/>
                  </w14:solidFill>
                </w14:textFill>
              </w:rPr>
              <w:t>。</w:t>
            </w:r>
          </w:p>
          <w:p>
            <w:pPr>
              <w:adjustRightInd w:val="0"/>
              <w:snapToGrid w:val="0"/>
              <w:ind w:firstLine="422" w:firstLineChars="200"/>
              <w:jc w:val="center"/>
              <w:rPr>
                <w:color w:val="000000" w:themeColor="text1"/>
                <w:kern w:val="0"/>
                <w:sz w:val="24"/>
                <w14:textFill>
                  <w14:solidFill>
                    <w14:schemeClr w14:val="tx1"/>
                  </w14:solidFill>
                </w14:textFill>
              </w:rPr>
            </w:pPr>
            <w:r>
              <w:rPr>
                <w:rFonts w:hint="eastAsia"/>
                <w:b/>
                <w:bCs/>
                <w:color w:val="000000" w:themeColor="text1"/>
                <w:kern w:val="0"/>
                <w:szCs w:val="21"/>
                <w14:textFill>
                  <w14:solidFill>
                    <w14:schemeClr w14:val="tx1"/>
                  </w14:solidFill>
                </w14:textFill>
              </w:rPr>
              <w:t>表3-7  《工业炉窑大气污染物排放标准》（GB9078-1996）</w:t>
            </w:r>
          </w:p>
          <w:tbl>
            <w:tblPr>
              <w:tblStyle w:val="24"/>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9" w:type="dxa"/>
                <w:bottom w:w="0" w:type="dxa"/>
                <w:right w:w="79" w:type="dxa"/>
              </w:tblCellMar>
            </w:tblPr>
            <w:tblGrid>
              <w:gridCol w:w="1000"/>
              <w:gridCol w:w="1161"/>
              <w:gridCol w:w="1245"/>
              <w:gridCol w:w="1389"/>
              <w:gridCol w:w="215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1008" w:type="dxa"/>
                  <w:vAlign w:val="center"/>
                </w:tcPr>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名称标准</w:t>
                  </w:r>
                </w:p>
              </w:tc>
              <w:tc>
                <w:tcPr>
                  <w:tcW w:w="1124" w:type="dxa"/>
                  <w:vAlign w:val="center"/>
                </w:tcPr>
                <w:p>
                  <w:pPr>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烟尘排放度（mg/m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1246" w:type="dxa"/>
                  <w:vAlign w:val="center"/>
                </w:tcPr>
                <w:p>
                  <w:pPr>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SO</w:t>
                  </w:r>
                  <w:r>
                    <w:rPr>
                      <w:b/>
                      <w:bCs/>
                      <w:color w:val="000000" w:themeColor="text1"/>
                      <w:szCs w:val="21"/>
                      <w:vertAlign w:val="subscript"/>
                      <w14:textFill>
                        <w14:solidFill>
                          <w14:schemeClr w14:val="tx1"/>
                        </w14:solidFill>
                      </w14:textFill>
                    </w:rPr>
                    <w:t>2</w:t>
                  </w:r>
                  <w:r>
                    <w:rPr>
                      <w:b/>
                      <w:bCs/>
                      <w:color w:val="000000" w:themeColor="text1"/>
                      <w:szCs w:val="21"/>
                      <w14:textFill>
                        <w14:solidFill>
                          <w14:schemeClr w14:val="tx1"/>
                        </w14:solidFill>
                      </w14:textFill>
                    </w:rPr>
                    <w:t>排放浓度（mg/m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1399" w:type="dxa"/>
                  <w:vAlign w:val="center"/>
                </w:tcPr>
                <w:p>
                  <w:pPr>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烟气黑度（林格曼黑度，级）</w:t>
                  </w:r>
                </w:p>
              </w:tc>
              <w:tc>
                <w:tcPr>
                  <w:tcW w:w="2171" w:type="dxa"/>
                  <w:vAlign w:val="center"/>
                </w:tcPr>
                <w:p>
                  <w:pPr>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无组织排放烟（粉）尘最高允许浓度（mg/m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1235" w:type="dxa"/>
                  <w:vAlign w:val="center"/>
                </w:tcPr>
                <w:p>
                  <w:pPr>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烟囱最低允许高度（m）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1008" w:type="dxa"/>
                  <w:vAlign w:val="center"/>
                </w:tcPr>
                <w:p>
                  <w:pPr>
                    <w:spacing w:line="340" w:lineRule="exact"/>
                    <w:jc w:val="center"/>
                    <w:rPr>
                      <w:rFonts w:eastAsiaTheme="minorEastAsia"/>
                      <w:color w:val="000000" w:themeColor="text1"/>
                      <w:szCs w:val="21"/>
                      <w14:textFill>
                        <w14:solidFill>
                          <w14:schemeClr w14:val="tx1"/>
                        </w14:solidFill>
                      </w14:textFill>
                    </w:rPr>
                  </w:pPr>
                  <w:r>
                    <w:rPr>
                      <w:color w:val="000000" w:themeColor="text1"/>
                      <w:szCs w:val="21"/>
                      <w14:textFill>
                        <w14:solidFill>
                          <w14:schemeClr w14:val="tx1"/>
                        </w14:solidFill>
                      </w14:textFill>
                    </w:rPr>
                    <w:t>干燥炉窑</w:t>
                  </w:r>
                </w:p>
              </w:tc>
              <w:tc>
                <w:tcPr>
                  <w:tcW w:w="1124" w:type="dxa"/>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246" w:type="dxa"/>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850</w:t>
                  </w:r>
                </w:p>
              </w:tc>
              <w:tc>
                <w:tcPr>
                  <w:tcW w:w="1399" w:type="dxa"/>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171" w:type="dxa"/>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235" w:type="dxa"/>
                  <w:vAlign w:val="center"/>
                </w:tcPr>
                <w:p>
                  <w:pPr>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r>
          </w:tbl>
          <w:p>
            <w:pPr>
              <w:adjustRightInd w:val="0"/>
              <w:snapToGrid w:val="0"/>
              <w:spacing w:line="360" w:lineRule="auto"/>
              <w:ind w:firstLine="480" w:firstLineChars="200"/>
              <w:rPr>
                <w:kern w:val="0"/>
                <w:sz w:val="24"/>
              </w:rPr>
            </w:pPr>
          </w:p>
          <w:p>
            <w:pPr>
              <w:adjustRightInd w:val="0"/>
              <w:snapToGrid w:val="0"/>
              <w:spacing w:line="360" w:lineRule="auto"/>
              <w:ind w:firstLine="480" w:firstLineChars="200"/>
              <w:rPr>
                <w:kern w:val="0"/>
                <w:sz w:val="24"/>
              </w:rPr>
            </w:pPr>
            <w:r>
              <w:rPr>
                <w:rFonts w:hint="eastAsia"/>
                <w:kern w:val="0"/>
                <w:sz w:val="24"/>
              </w:rPr>
              <w:t>破碎产生的颗粒物和炭化产生NOx：执行</w:t>
            </w:r>
            <w:r>
              <w:rPr>
                <w:color w:val="000000" w:themeColor="text1"/>
                <w:sz w:val="24"/>
                <w14:textFill>
                  <w14:solidFill>
                    <w14:schemeClr w14:val="tx1"/>
                  </w14:solidFill>
                </w14:textFill>
              </w:rPr>
              <w:t>《大气污染物综合排放标准》（GB</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16297-1996）表2中限值要求</w:t>
            </w:r>
            <w:r>
              <w:rPr>
                <w:rFonts w:hint="eastAsia"/>
                <w:kern w:val="0"/>
                <w:sz w:val="24"/>
              </w:rPr>
              <w:t>。</w:t>
            </w:r>
          </w:p>
          <w:p>
            <w:pPr>
              <w:adjustRightInd w:val="0"/>
              <w:snapToGrid w:val="0"/>
              <w:ind w:firstLine="422" w:firstLineChars="200"/>
              <w:jc w:val="center"/>
              <w:rPr>
                <w:kern w:val="0"/>
                <w:sz w:val="24"/>
              </w:rPr>
            </w:pPr>
            <w:r>
              <w:rPr>
                <w:rFonts w:hint="eastAsia"/>
                <w:b/>
                <w:bCs/>
                <w:kern w:val="0"/>
                <w:szCs w:val="21"/>
              </w:rPr>
              <w:t>表3-</w:t>
            </w:r>
            <w:r>
              <w:rPr>
                <w:b/>
                <w:bCs/>
                <w:kern w:val="0"/>
                <w:szCs w:val="21"/>
              </w:rPr>
              <w:t>8</w:t>
            </w:r>
            <w:r>
              <w:rPr>
                <w:rFonts w:hint="eastAsia"/>
                <w:b/>
                <w:bCs/>
                <w:kern w:val="0"/>
                <w:szCs w:val="21"/>
              </w:rPr>
              <w:t xml:space="preserve">  《大气污染物综合排放标准》（GB 16297-1996）</w:t>
            </w:r>
          </w:p>
          <w:tbl>
            <w:tblPr>
              <w:tblStyle w:val="2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9"/>
              <w:gridCol w:w="1550"/>
              <w:gridCol w:w="1673"/>
              <w:gridCol w:w="1175"/>
              <w:gridCol w:w="1035"/>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9" w:type="pct"/>
                  <w:vMerge w:val="restart"/>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w:t>
                  </w:r>
                </w:p>
              </w:tc>
              <w:tc>
                <w:tcPr>
                  <w:tcW w:w="947" w:type="pct"/>
                  <w:vMerge w:val="restart"/>
                  <w:tcBorders>
                    <w:tl2br w:val="nil"/>
                    <w:tr2bl w:val="nil"/>
                  </w:tcBorders>
                  <w:shd w:val="clear" w:color="auto" w:fill="auto"/>
                  <w:vAlign w:val="center"/>
                </w:tcPr>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最高允许排放</w:t>
                  </w:r>
                </w:p>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1740" w:type="pct"/>
                  <w:gridSpan w:val="2"/>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最高允许排放速率（kg/h）</w:t>
                  </w:r>
                </w:p>
              </w:tc>
              <w:tc>
                <w:tcPr>
                  <w:tcW w:w="1541" w:type="pct"/>
                  <w:gridSpan w:val="2"/>
                  <w:tcBorders>
                    <w:tl2br w:val="nil"/>
                    <w:tr2bl w:val="nil"/>
                  </w:tcBorders>
                  <w:shd w:val="clear" w:color="auto" w:fill="auto"/>
                  <w:vAlign w:val="center"/>
                </w:tcPr>
                <w:p>
                  <w:pPr>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无组织排放监控浓度限值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9" w:type="pct"/>
                  <w:vMerge w:val="continue"/>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p>
              </w:tc>
              <w:tc>
                <w:tcPr>
                  <w:tcW w:w="947" w:type="pct"/>
                  <w:vMerge w:val="continue"/>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p>
              </w:tc>
              <w:tc>
                <w:tcPr>
                  <w:tcW w:w="1022" w:type="pct"/>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排气筒高度（m）</w:t>
                  </w:r>
                </w:p>
              </w:tc>
              <w:tc>
                <w:tcPr>
                  <w:tcW w:w="718" w:type="pct"/>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二级</w:t>
                  </w:r>
                </w:p>
              </w:tc>
              <w:tc>
                <w:tcPr>
                  <w:tcW w:w="632" w:type="pct"/>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监控点</w:t>
                  </w:r>
                </w:p>
              </w:tc>
              <w:tc>
                <w:tcPr>
                  <w:tcW w:w="909" w:type="pct"/>
                  <w:tcBorders>
                    <w:tl2br w:val="nil"/>
                    <w:tr2bl w:val="nil"/>
                  </w:tcBorders>
                  <w:shd w:val="clear" w:color="auto" w:fill="auto"/>
                  <w:vAlign w:val="center"/>
                </w:tcPr>
                <w:p>
                  <w:pPr>
                    <w:snapToGrid w:val="0"/>
                    <w:spacing w:line="3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769"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947"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c>
                <w:tcPr>
                  <w:tcW w:w="1022"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718"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p>
              </w:tc>
              <w:tc>
                <w:tcPr>
                  <w:tcW w:w="632" w:type="pct"/>
                  <w:vMerge w:val="restar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周界外浓度最高点</w:t>
                  </w:r>
                </w:p>
              </w:tc>
              <w:tc>
                <w:tcPr>
                  <w:tcW w:w="909"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69" w:type="pct"/>
                  <w:tcBorders>
                    <w:tl2br w:val="nil"/>
                    <w:tr2bl w:val="nil"/>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X</w:t>
                  </w:r>
                </w:p>
              </w:tc>
              <w:tc>
                <w:tcPr>
                  <w:tcW w:w="947" w:type="pct"/>
                  <w:tcBorders>
                    <w:tl2br w:val="nil"/>
                    <w:tr2bl w:val="nil"/>
                  </w:tcBorders>
                  <w:shd w:val="clear" w:color="auto" w:fill="auto"/>
                  <w:vAlign w:val="center"/>
                </w:tcPr>
                <w:p>
                  <w:pPr>
                    <w:pStyle w:val="22"/>
                    <w:adjustRightInd w:val="0"/>
                    <w:snapToGrid w:val="0"/>
                    <w:spacing w:before="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lang w:bidi="ar"/>
                      <w14:textFill>
                        <w14:solidFill>
                          <w14:schemeClr w14:val="tx1"/>
                        </w14:solidFill>
                      </w14:textFill>
                    </w:rPr>
                    <w:t>240</w:t>
                  </w:r>
                </w:p>
              </w:tc>
              <w:tc>
                <w:tcPr>
                  <w:tcW w:w="1022" w:type="pct"/>
                  <w:tcBorders>
                    <w:tl2br w:val="nil"/>
                    <w:tr2bl w:val="nil"/>
                  </w:tcBorders>
                  <w:shd w:val="clear" w:color="auto" w:fill="auto"/>
                  <w:vAlign w:val="center"/>
                </w:tcPr>
                <w:p>
                  <w:pPr>
                    <w:pStyle w:val="22"/>
                    <w:adjustRightInd w:val="0"/>
                    <w:snapToGrid w:val="0"/>
                    <w:spacing w:before="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lang w:bidi="ar"/>
                      <w14:textFill>
                        <w14:solidFill>
                          <w14:schemeClr w14:val="tx1"/>
                        </w14:solidFill>
                      </w14:textFill>
                    </w:rPr>
                    <w:t>15</w:t>
                  </w:r>
                </w:p>
              </w:tc>
              <w:tc>
                <w:tcPr>
                  <w:tcW w:w="718" w:type="pct"/>
                  <w:tcBorders>
                    <w:tl2br w:val="nil"/>
                    <w:tr2bl w:val="nil"/>
                  </w:tcBorders>
                  <w:shd w:val="clear" w:color="auto" w:fill="auto"/>
                  <w:vAlign w:val="center"/>
                </w:tcPr>
                <w:p>
                  <w:pPr>
                    <w:pStyle w:val="22"/>
                    <w:adjustRightInd w:val="0"/>
                    <w:snapToGrid w:val="0"/>
                    <w:spacing w:before="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lang w:bidi="ar"/>
                      <w14:textFill>
                        <w14:solidFill>
                          <w14:schemeClr w14:val="tx1"/>
                        </w14:solidFill>
                      </w14:textFill>
                    </w:rPr>
                    <w:t>0.77</w:t>
                  </w:r>
                </w:p>
              </w:tc>
              <w:tc>
                <w:tcPr>
                  <w:tcW w:w="632" w:type="pct"/>
                  <w:vMerge w:val="continue"/>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p>
              </w:tc>
              <w:tc>
                <w:tcPr>
                  <w:tcW w:w="909" w:type="pct"/>
                  <w:tcBorders>
                    <w:tl2br w:val="nil"/>
                    <w:tr2bl w:val="nil"/>
                  </w:tcBorders>
                  <w:shd w:val="clear" w:color="auto" w:fill="auto"/>
                  <w:vAlign w:val="center"/>
                </w:tcPr>
                <w:p>
                  <w:pPr>
                    <w:snapToGrid w:val="0"/>
                    <w:spacing w:line="3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0.12</w:t>
                  </w:r>
                </w:p>
              </w:tc>
            </w:tr>
          </w:tbl>
          <w:p>
            <w:pPr>
              <w:adjustRightInd w:val="0"/>
              <w:snapToGrid w:val="0"/>
              <w:spacing w:line="360" w:lineRule="auto"/>
              <w:rPr>
                <w:b/>
                <w:bCs/>
                <w:kern w:val="0"/>
                <w:sz w:val="24"/>
              </w:rPr>
            </w:pPr>
            <w:r>
              <w:rPr>
                <w:rFonts w:hint="eastAsia"/>
                <w:b/>
                <w:bCs/>
                <w:kern w:val="0"/>
                <w:szCs w:val="21"/>
              </w:rPr>
              <w:t>注：本项目位于环境空气质量二类区内，执行二级标准。</w:t>
            </w:r>
          </w:p>
          <w:p>
            <w:pPr>
              <w:adjustRightInd w:val="0"/>
              <w:snapToGrid w:val="0"/>
              <w:spacing w:line="360" w:lineRule="auto"/>
              <w:rPr>
                <w:kern w:val="0"/>
                <w:sz w:val="24"/>
              </w:rPr>
            </w:pPr>
            <w:r>
              <w:rPr>
                <w:rFonts w:hint="eastAsia"/>
                <w:b/>
                <w:bCs/>
                <w:kern w:val="0"/>
                <w:sz w:val="24"/>
              </w:rPr>
              <w:t>2、废水</w:t>
            </w:r>
          </w:p>
          <w:p>
            <w:pPr>
              <w:adjustRightInd w:val="0"/>
              <w:snapToGrid w:val="0"/>
              <w:spacing w:line="360" w:lineRule="auto"/>
              <w:ind w:firstLine="480" w:firstLineChars="200"/>
              <w:rPr>
                <w:kern w:val="0"/>
                <w:sz w:val="24"/>
              </w:rPr>
            </w:pPr>
            <w:r>
              <w:rPr>
                <w:rFonts w:hint="eastAsia"/>
                <w:kern w:val="0"/>
                <w:sz w:val="24"/>
              </w:rPr>
              <w:t>本项目生活污水经化粪池预处理后定期清掏用作农肥，不外排。无相关执行标准。</w:t>
            </w:r>
          </w:p>
          <w:p>
            <w:pPr>
              <w:adjustRightInd w:val="0"/>
              <w:snapToGrid w:val="0"/>
              <w:spacing w:line="360" w:lineRule="auto"/>
              <w:rPr>
                <w:kern w:val="0"/>
                <w:sz w:val="24"/>
              </w:rPr>
            </w:pPr>
            <w:r>
              <w:rPr>
                <w:rFonts w:hint="eastAsia"/>
                <w:b/>
                <w:bCs/>
                <w:kern w:val="0"/>
                <w:sz w:val="24"/>
              </w:rPr>
              <w:t>3、噪声</w:t>
            </w:r>
          </w:p>
          <w:p>
            <w:pPr>
              <w:adjustRightInd w:val="0"/>
              <w:snapToGrid w:val="0"/>
              <w:spacing w:line="360" w:lineRule="auto"/>
              <w:ind w:firstLine="480" w:firstLineChars="200"/>
              <w:rPr>
                <w:kern w:val="0"/>
                <w:sz w:val="24"/>
              </w:rPr>
            </w:pPr>
            <w:r>
              <w:rPr>
                <w:rFonts w:hint="eastAsia" w:hAnsi="宋体"/>
                <w:sz w:val="24"/>
              </w:rPr>
              <w:t>运营期厂界噪声执行《工业企业厂界环境噪声排放标准》（</w:t>
            </w:r>
            <w:r>
              <w:rPr>
                <w:sz w:val="24"/>
              </w:rPr>
              <w:t>GB12348-2008</w:t>
            </w:r>
            <w:r>
              <w:rPr>
                <w:rFonts w:hint="eastAsia" w:hAnsi="宋体"/>
                <w:sz w:val="24"/>
              </w:rPr>
              <w:t>）中的2类标准。</w:t>
            </w:r>
          </w:p>
          <w:p>
            <w:pPr>
              <w:pStyle w:val="58"/>
              <w:ind w:firstLine="396" w:firstLineChars="188"/>
              <w:jc w:val="center"/>
              <w:rPr>
                <w:rFonts w:eastAsia="宋体"/>
                <w:b/>
                <w:bCs/>
                <w:szCs w:val="21"/>
              </w:rPr>
            </w:pPr>
            <w:r>
              <w:rPr>
                <w:rFonts w:eastAsia="宋体"/>
                <w:b/>
                <w:szCs w:val="21"/>
              </w:rPr>
              <w:t xml:space="preserve">表 </w:t>
            </w:r>
            <w:r>
              <w:rPr>
                <w:rFonts w:hint="eastAsia" w:eastAsia="宋体"/>
                <w:b/>
                <w:szCs w:val="21"/>
              </w:rPr>
              <w:t>3-</w:t>
            </w:r>
            <w:r>
              <w:rPr>
                <w:rFonts w:eastAsia="宋体"/>
                <w:b/>
                <w:szCs w:val="21"/>
              </w:rPr>
              <w:t>9  工业企业厂界环境噪声</w:t>
            </w:r>
            <w:r>
              <w:rPr>
                <w:rFonts w:eastAsia="宋体"/>
                <w:b/>
                <w:bCs/>
                <w:szCs w:val="21"/>
              </w:rPr>
              <w:t>排放标准  单位：dB（A）</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5"/>
              <w:gridCol w:w="230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7" w:type="pct"/>
                  <w:vAlign w:val="center"/>
                </w:tcPr>
                <w:p>
                  <w:pPr>
                    <w:jc w:val="center"/>
                    <w:rPr>
                      <w:bCs/>
                      <w:szCs w:val="21"/>
                    </w:rPr>
                  </w:pPr>
                  <w:r>
                    <w:rPr>
                      <w:rFonts w:hint="eastAsia"/>
                      <w:bCs/>
                      <w:szCs w:val="21"/>
                    </w:rPr>
                    <w:t>标准等级</w:t>
                  </w:r>
                </w:p>
              </w:tc>
              <w:tc>
                <w:tcPr>
                  <w:tcW w:w="1409" w:type="pct"/>
                  <w:vAlign w:val="center"/>
                </w:tcPr>
                <w:p>
                  <w:pPr>
                    <w:jc w:val="center"/>
                    <w:rPr>
                      <w:bCs/>
                      <w:szCs w:val="21"/>
                    </w:rPr>
                  </w:pPr>
                  <w:r>
                    <w:rPr>
                      <w:bCs/>
                      <w:szCs w:val="21"/>
                    </w:rPr>
                    <w:t>昼间[d</w:t>
                  </w:r>
                  <w:r>
                    <w:rPr>
                      <w:rFonts w:hint="eastAsia"/>
                      <w:bCs/>
                      <w:szCs w:val="21"/>
                    </w:rPr>
                    <w:t>B</w:t>
                  </w:r>
                  <w:r>
                    <w:rPr>
                      <w:bCs/>
                      <w:szCs w:val="21"/>
                    </w:rPr>
                    <w:t>(A)]</w:t>
                  </w:r>
                </w:p>
              </w:tc>
              <w:tc>
                <w:tcPr>
                  <w:tcW w:w="1173" w:type="pct"/>
                  <w:vAlign w:val="center"/>
                </w:tcPr>
                <w:p>
                  <w:pPr>
                    <w:jc w:val="center"/>
                    <w:rPr>
                      <w:bCs/>
                      <w:szCs w:val="21"/>
                    </w:rPr>
                  </w:pPr>
                  <w:r>
                    <w:rPr>
                      <w:bCs/>
                      <w:szCs w:val="21"/>
                    </w:rPr>
                    <w:t>夜间[d</w:t>
                  </w:r>
                  <w:r>
                    <w:rPr>
                      <w:rFonts w:hint="eastAsia"/>
                      <w:bCs/>
                      <w:szCs w:val="21"/>
                    </w:rPr>
                    <w:t>B</w:t>
                  </w:r>
                  <w:r>
                    <w:rPr>
                      <w:bCs/>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7" w:type="pct"/>
                  <w:vAlign w:val="center"/>
                </w:tcPr>
                <w:p>
                  <w:pPr>
                    <w:jc w:val="center"/>
                    <w:rPr>
                      <w:bCs/>
                      <w:szCs w:val="21"/>
                    </w:rPr>
                  </w:pPr>
                  <w:r>
                    <w:rPr>
                      <w:rFonts w:hint="eastAsia"/>
                      <w:szCs w:val="21"/>
                    </w:rPr>
                    <w:t>（</w:t>
                  </w:r>
                  <w:r>
                    <w:rPr>
                      <w:szCs w:val="21"/>
                    </w:rPr>
                    <w:t>GB 12348-2008</w:t>
                  </w:r>
                  <w:r>
                    <w:rPr>
                      <w:rFonts w:hint="eastAsia"/>
                      <w:szCs w:val="21"/>
                    </w:rPr>
                    <w:t>）2</w:t>
                  </w:r>
                  <w:r>
                    <w:rPr>
                      <w:szCs w:val="21"/>
                    </w:rPr>
                    <w:t>类标准</w:t>
                  </w:r>
                </w:p>
              </w:tc>
              <w:tc>
                <w:tcPr>
                  <w:tcW w:w="1409" w:type="pct"/>
                  <w:vAlign w:val="center"/>
                </w:tcPr>
                <w:p>
                  <w:pPr>
                    <w:jc w:val="center"/>
                    <w:rPr>
                      <w:szCs w:val="21"/>
                    </w:rPr>
                  </w:pPr>
                  <w:r>
                    <w:rPr>
                      <w:szCs w:val="21"/>
                    </w:rPr>
                    <w:t>6</w:t>
                  </w:r>
                  <w:r>
                    <w:rPr>
                      <w:rFonts w:hint="eastAsia"/>
                      <w:szCs w:val="21"/>
                    </w:rPr>
                    <w:t>0</w:t>
                  </w:r>
                </w:p>
              </w:tc>
              <w:tc>
                <w:tcPr>
                  <w:tcW w:w="1173" w:type="pct"/>
                  <w:vAlign w:val="center"/>
                </w:tcPr>
                <w:p>
                  <w:pPr>
                    <w:jc w:val="center"/>
                    <w:rPr>
                      <w:szCs w:val="21"/>
                    </w:rPr>
                  </w:pPr>
                  <w:r>
                    <w:rPr>
                      <w:szCs w:val="21"/>
                    </w:rPr>
                    <w:t>5</w:t>
                  </w:r>
                  <w:r>
                    <w:rPr>
                      <w:rFonts w:hint="eastAsia"/>
                      <w:szCs w:val="21"/>
                    </w:rPr>
                    <w:t>0</w:t>
                  </w:r>
                </w:p>
              </w:tc>
            </w:tr>
          </w:tbl>
          <w:p>
            <w:pPr>
              <w:adjustRightInd w:val="0"/>
              <w:snapToGrid w:val="0"/>
              <w:spacing w:line="360" w:lineRule="auto"/>
              <w:rPr>
                <w:kern w:val="0"/>
                <w:sz w:val="24"/>
              </w:rPr>
            </w:pPr>
            <w:r>
              <w:rPr>
                <w:rFonts w:hint="eastAsia"/>
                <w:b/>
                <w:bCs/>
                <w:kern w:val="0"/>
                <w:sz w:val="24"/>
              </w:rPr>
              <w:t>4、固废</w:t>
            </w:r>
          </w:p>
          <w:p>
            <w:pPr>
              <w:adjustRightInd w:val="0"/>
              <w:snapToGrid w:val="0"/>
              <w:spacing w:line="360" w:lineRule="auto"/>
              <w:ind w:firstLine="480" w:firstLineChars="200"/>
              <w:rPr>
                <w:kern w:val="0"/>
                <w:sz w:val="24"/>
              </w:rPr>
            </w:pPr>
            <w:r>
              <w:rPr>
                <w:rFonts w:hint="eastAsia"/>
                <w:kern w:val="0"/>
                <w:sz w:val="24"/>
              </w:rPr>
              <w:t>一般工业固废执行《一般工业固体废物贮存和填埋污染控制标准》（GB18599-2020）；生活垃圾运至衡山县垃圾中转站进行妥善处置。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kern w:val="0"/>
                <w:sz w:val="24"/>
              </w:rPr>
            </w:pPr>
            <w:r>
              <w:rPr>
                <w:kern w:val="0"/>
                <w:sz w:val="24"/>
              </w:rPr>
              <w:t>指标</w:t>
            </w:r>
          </w:p>
        </w:tc>
        <w:tc>
          <w:tcPr>
            <w:tcW w:w="8190" w:type="dxa"/>
            <w:vAlign w:val="center"/>
          </w:tcPr>
          <w:p>
            <w:pPr>
              <w:tabs>
                <w:tab w:val="left" w:pos="5640"/>
              </w:tabs>
              <w:spacing w:line="360" w:lineRule="auto"/>
              <w:ind w:firstLine="420" w:firstLineChars="200"/>
              <w:rPr>
                <w:szCs w:val="21"/>
              </w:rPr>
            </w:pPr>
          </w:p>
          <w:p>
            <w:pPr>
              <w:tabs>
                <w:tab w:val="left" w:pos="5640"/>
              </w:tabs>
              <w:spacing w:line="360" w:lineRule="auto"/>
              <w:ind w:firstLine="480" w:firstLineChars="200"/>
              <w:rPr>
                <w:szCs w:val="21"/>
              </w:rPr>
            </w:pPr>
            <w:r>
              <w:rPr>
                <w:kern w:val="0"/>
                <w:sz w:val="24"/>
              </w:rPr>
              <w:t>国务院关于印发“十三五”生态环境保护规划的通知（国发〔2016〕65号）中对化学需氧量、氨氮、二氧化硫和氮氧化物四项指标实行排放总量控制计划。</w:t>
            </w:r>
          </w:p>
          <w:p>
            <w:pPr>
              <w:adjustRightInd w:val="0"/>
              <w:snapToGrid w:val="0"/>
              <w:spacing w:line="360" w:lineRule="auto"/>
              <w:ind w:firstLine="480" w:firstLineChars="200"/>
              <w:rPr>
                <w:kern w:val="0"/>
                <w:sz w:val="24"/>
              </w:rPr>
            </w:pPr>
            <w:r>
              <w:rPr>
                <w:kern w:val="0"/>
                <w:sz w:val="24"/>
              </w:rPr>
              <w:t>根据本项目污染物分析，建议本项目污染物总量控制指标如下：</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水污染物：</w:t>
            </w:r>
            <w:r>
              <w:rPr>
                <w:rFonts w:hint="eastAsia"/>
                <w:color w:val="000000" w:themeColor="text1"/>
                <w:kern w:val="0"/>
                <w:sz w:val="24"/>
                <w14:textFill>
                  <w14:solidFill>
                    <w14:schemeClr w14:val="tx1"/>
                  </w14:solidFill>
                </w14:textFill>
              </w:rPr>
              <w:t>生活污水不外排，无生产废水产生及排放，无需申请总量指标</w:t>
            </w:r>
            <w:r>
              <w:rPr>
                <w:color w:val="000000" w:themeColor="text1"/>
                <w:kern w:val="0"/>
                <w:sz w:val="24"/>
                <w14:textFill>
                  <w14:solidFill>
                    <w14:schemeClr w14:val="tx1"/>
                  </w14:solidFill>
                </w14:textFill>
              </w:rPr>
              <w:t>。</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kern w:val="0"/>
                <w:sz w:val="24"/>
              </w:rPr>
              <w:t>确定本项</w:t>
            </w:r>
            <w:r>
              <w:rPr>
                <w:color w:val="000000" w:themeColor="text1"/>
                <w:kern w:val="0"/>
                <w:sz w:val="24"/>
                <w14:textFill>
                  <w14:solidFill>
                    <w14:schemeClr w14:val="tx1"/>
                  </w14:solidFill>
                </w14:textFill>
              </w:rPr>
              <w:t>目的大气总量控制因子为</w:t>
            </w:r>
            <w:r>
              <w:rPr>
                <w:rFonts w:hint="eastAsia"/>
                <w:color w:val="000000" w:themeColor="text1"/>
                <w:kern w:val="0"/>
                <w:sz w:val="24"/>
                <w14:textFill>
                  <w14:solidFill>
                    <w14:schemeClr w14:val="tx1"/>
                  </w14:solidFill>
                </w14:textFill>
              </w:rPr>
              <w:t>二氧化硫、氮氧化物。</w:t>
            </w:r>
          </w:p>
          <w:p>
            <w:pPr>
              <w:adjustRightInd w:val="0"/>
              <w:snapToGrid w:val="0"/>
              <w:spacing w:line="360" w:lineRule="auto"/>
              <w:ind w:firstLine="480" w:firstLineChars="200"/>
              <w:rPr>
                <w:color w:val="000000" w:themeColor="text1"/>
                <w14:textFill>
                  <w14:solidFill>
                    <w14:schemeClr w14:val="tx1"/>
                  </w14:solidFill>
                </w14:textFill>
              </w:rPr>
            </w:pPr>
            <w:r>
              <w:rPr>
                <w:color w:val="000000" w:themeColor="text1"/>
                <w:kern w:val="0"/>
                <w:sz w:val="24"/>
                <w14:textFill>
                  <w14:solidFill>
                    <w14:schemeClr w14:val="tx1"/>
                  </w14:solidFill>
                </w14:textFill>
              </w:rPr>
              <w:t>大气污染物：</w:t>
            </w:r>
            <w:r>
              <w:rPr>
                <w:rFonts w:hint="eastAsia"/>
                <w:color w:val="000000" w:themeColor="text1"/>
                <w:kern w:val="0"/>
                <w:sz w:val="24"/>
                <w:u w:val="single"/>
                <w14:textFill>
                  <w14:solidFill>
                    <w14:schemeClr w14:val="tx1"/>
                  </w14:solidFill>
                </w14:textFill>
              </w:rPr>
              <w:t>SO</w:t>
            </w:r>
            <w:r>
              <w:rPr>
                <w:rFonts w:hint="eastAsia"/>
                <w:color w:val="000000" w:themeColor="text1"/>
                <w:kern w:val="0"/>
                <w:sz w:val="24"/>
                <w:u w:val="single"/>
                <w:vertAlign w:val="subscript"/>
                <w14:textFill>
                  <w14:solidFill>
                    <w14:schemeClr w14:val="tx1"/>
                  </w14:solidFill>
                </w14:textFill>
              </w:rPr>
              <w:t>2</w:t>
            </w:r>
            <w:r>
              <w:rPr>
                <w:rFonts w:hint="eastAsia"/>
                <w:color w:val="000000" w:themeColor="text1"/>
                <w:kern w:val="0"/>
                <w:sz w:val="24"/>
                <w:u w:val="single"/>
                <w14:textFill>
                  <w14:solidFill>
                    <w14:schemeClr w14:val="tx1"/>
                  </w14:solidFill>
                </w14:textFill>
              </w:rPr>
              <w:t>：0.</w:t>
            </w:r>
            <w:r>
              <w:rPr>
                <w:color w:val="000000" w:themeColor="text1"/>
                <w:kern w:val="0"/>
                <w:sz w:val="24"/>
                <w:u w:val="single"/>
                <w14:textFill>
                  <w14:solidFill>
                    <w14:schemeClr w14:val="tx1"/>
                  </w14:solidFill>
                </w14:textFill>
              </w:rPr>
              <w:t>311</w:t>
            </w:r>
            <w:r>
              <w:rPr>
                <w:rFonts w:hint="eastAsia"/>
                <w:color w:val="000000" w:themeColor="text1"/>
                <w:kern w:val="0"/>
                <w:sz w:val="24"/>
                <w:u w:val="single"/>
                <w14:textFill>
                  <w14:solidFill>
                    <w14:schemeClr w14:val="tx1"/>
                  </w14:solidFill>
                </w14:textFill>
              </w:rPr>
              <w:t>t/a、NOx：</w:t>
            </w:r>
            <w:r>
              <w:rPr>
                <w:color w:val="000000" w:themeColor="text1"/>
                <w:kern w:val="0"/>
                <w:sz w:val="24"/>
                <w:u w:val="single"/>
                <w14:textFill>
                  <w14:solidFill>
                    <w14:schemeClr w14:val="tx1"/>
                  </w14:solidFill>
                </w14:textFill>
              </w:rPr>
              <w:t>1.004</w:t>
            </w:r>
            <w:r>
              <w:rPr>
                <w:rFonts w:hint="eastAsia"/>
                <w:color w:val="000000" w:themeColor="text1"/>
                <w:kern w:val="0"/>
                <w:sz w:val="24"/>
                <w:u w:val="single"/>
                <w14:textFill>
                  <w14:solidFill>
                    <w14:schemeClr w14:val="tx1"/>
                  </w14:solidFill>
                </w14:textFill>
              </w:rPr>
              <w:t>t/a</w:t>
            </w:r>
            <w:r>
              <w:rPr>
                <w:color w:val="000000" w:themeColor="text1"/>
                <w:kern w:val="0"/>
                <w:sz w:val="24"/>
                <w14:textFill>
                  <w14:solidFill>
                    <w14:schemeClr w14:val="tx1"/>
                  </w14:solidFill>
                </w14:textFill>
              </w:rPr>
              <w:t>。</w:t>
            </w:r>
          </w:p>
          <w:p>
            <w:pPr>
              <w:adjustRightInd w:val="0"/>
              <w:snapToGrid w:val="0"/>
              <w:spacing w:line="360" w:lineRule="auto"/>
              <w:ind w:firstLine="480" w:firstLineChars="200"/>
              <w:rPr>
                <w:kern w:val="0"/>
                <w:sz w:val="24"/>
              </w:rPr>
            </w:pPr>
            <w:r>
              <w:rPr>
                <w:rFonts w:hint="eastAsia"/>
                <w:sz w:val="24"/>
              </w:rPr>
              <w:t>总量指标从衡阳市排污权交易中心购买</w:t>
            </w:r>
            <w:r>
              <w:rPr>
                <w:rStyle w:val="29"/>
                <w:rFonts w:hint="eastAsia"/>
                <w:kern w:val="0"/>
                <w:sz w:val="24"/>
              </w:rPr>
              <w:t>。</w:t>
            </w:r>
          </w:p>
          <w:p>
            <w:pPr>
              <w:adjustRightInd w:val="0"/>
              <w:snapToGrid w:val="0"/>
              <w:spacing w:line="360" w:lineRule="auto"/>
              <w:ind w:firstLine="480" w:firstLineChars="200"/>
              <w:rPr>
                <w:kern w:val="0"/>
                <w:sz w:val="24"/>
              </w:rPr>
            </w:pPr>
          </w:p>
        </w:tc>
      </w:tr>
    </w:tbl>
    <w:p>
      <w:pPr>
        <w:pStyle w:val="22"/>
        <w:jc w:val="center"/>
        <w:outlineLvl w:val="0"/>
        <w:rPr>
          <w:rFonts w:ascii="黑体" w:hAnsi="黑体" w:eastAsia="黑体"/>
          <w:snapToGrid w:val="0"/>
          <w:sz w:val="30"/>
          <w:szCs w:val="30"/>
        </w:rPr>
      </w:pPr>
      <w:r>
        <w:rPr>
          <w:rFonts w:ascii="黑体" w:hAnsi="黑体" w:eastAsia="黑体"/>
          <w:snapToGrid w:val="0"/>
          <w:sz w:val="36"/>
          <w:szCs w:val="36"/>
        </w:rPr>
        <w:br w:type="page"/>
      </w:r>
      <w:bookmarkStart w:id="7" w:name="_Toc31524"/>
      <w:r>
        <w:rPr>
          <w:rFonts w:hint="eastAsia" w:ascii="黑体" w:hAnsi="黑体" w:eastAsia="黑体"/>
          <w:snapToGrid w:val="0"/>
          <w:sz w:val="30"/>
          <w:szCs w:val="30"/>
        </w:rPr>
        <w:t>四、主要环境影响和保护措施</w:t>
      </w:r>
      <w:bookmarkEnd w:id="7"/>
    </w:p>
    <w:tbl>
      <w:tblPr>
        <w:tblStyle w:val="24"/>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841" w:type="dxa"/>
            <w:tcMar>
              <w:left w:w="28" w:type="dxa"/>
              <w:right w:w="28" w:type="dxa"/>
            </w:tcMar>
            <w:vAlign w:val="center"/>
          </w:tcPr>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施工</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期环</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境保</w:t>
            </w:r>
          </w:p>
          <w:p>
            <w:pPr>
              <w:pStyle w:val="22"/>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护措</w:t>
            </w:r>
          </w:p>
          <w:p>
            <w:pPr>
              <w:pStyle w:val="22"/>
              <w:adjustRightInd w:val="0"/>
              <w:snapToGrid w:val="0"/>
              <w:spacing w:before="0" w:beforeAutospacing="0" w:after="0" w:afterAutospacing="0"/>
              <w:jc w:val="center"/>
              <w:rPr>
                <w:rFonts w:ascii="Times New Roman" w:hAnsi="Times New Roman"/>
                <w:bCs/>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w:t>
            </w:r>
          </w:p>
        </w:tc>
        <w:tc>
          <w:tcPr>
            <w:tcW w:w="8220" w:type="dxa"/>
            <w:vAlign w:val="center"/>
          </w:tcPr>
          <w:p>
            <w:pPr>
              <w:adjustRightInd w:val="0"/>
              <w:snapToGrid w:val="0"/>
              <w:spacing w:line="360" w:lineRule="auto"/>
              <w:ind w:firstLine="440" w:firstLineChars="200"/>
              <w:rPr>
                <w:bCs/>
                <w:color w:val="000000" w:themeColor="text1"/>
                <w:spacing w:val="-10"/>
                <w:sz w:val="24"/>
                <w14:textFill>
                  <w14:solidFill>
                    <w14:schemeClr w14:val="tx1"/>
                  </w14:solidFill>
                </w14:textFill>
              </w:rPr>
            </w:pPr>
            <w:r>
              <w:rPr>
                <w:bCs/>
                <w:color w:val="000000" w:themeColor="text1"/>
                <w:spacing w:val="-10"/>
                <w:sz w:val="24"/>
                <w14:textFill>
                  <w14:solidFill>
                    <w14:schemeClr w14:val="tx1"/>
                  </w14:solidFill>
                </w14:textFill>
              </w:rPr>
              <w:t>本项目施工期主要环境影响为</w:t>
            </w:r>
            <w:r>
              <w:rPr>
                <w:rFonts w:hint="eastAsia"/>
                <w:bCs/>
                <w:color w:val="000000" w:themeColor="text1"/>
                <w:spacing w:val="-10"/>
                <w:sz w:val="24"/>
                <w14:textFill>
                  <w14:solidFill>
                    <w14:schemeClr w14:val="tx1"/>
                  </w14:solidFill>
                </w14:textFill>
              </w:rPr>
              <w:t>废气、</w:t>
            </w:r>
            <w:r>
              <w:rPr>
                <w:bCs/>
                <w:color w:val="000000" w:themeColor="text1"/>
                <w:spacing w:val="-10"/>
                <w:sz w:val="24"/>
                <w14:textFill>
                  <w14:solidFill>
                    <w14:schemeClr w14:val="tx1"/>
                  </w14:solidFill>
                </w14:textFill>
              </w:rPr>
              <w:t>噪声和固废。</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1、大气环境影响分析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新厂房建设、</w:t>
            </w:r>
            <w:r>
              <w:rPr>
                <w:color w:val="000000" w:themeColor="text1"/>
                <w:sz w:val="24"/>
                <w14:textFill>
                  <w14:solidFill>
                    <w14:schemeClr w14:val="tx1"/>
                  </w14:solidFill>
                </w14:textFill>
              </w:rPr>
              <w:t>道路施工土方开挖、路堤填筑和人工构造物挖基、材料运输、搅拌、摊铺等工程工序中都会产生污染，导致大气质量下降。因此，在施工期主要大气污染物是扬尘和粉尘，扬尘和粉尘的主要来源是挖方填方作业临时起尘和未铺装路面起尘、筑路机械不断运行起尘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（1）施工扬尘</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厂区施工作业会产生扬尘，施工</w:t>
            </w:r>
            <w:r>
              <w:rPr>
                <w:color w:val="000000" w:themeColor="text1"/>
                <w:sz w:val="24"/>
                <w14:textFill>
                  <w14:solidFill>
                    <w14:schemeClr w14:val="tx1"/>
                  </w14:solidFill>
                </w14:textFill>
              </w:rPr>
              <w:t>阶段扬尘主要来源</w:t>
            </w:r>
            <w:r>
              <w:rPr>
                <w:rFonts w:hint="eastAsia"/>
                <w:color w:val="000000" w:themeColor="text1"/>
                <w:sz w:val="24"/>
                <w14:textFill>
                  <w14:solidFill>
                    <w14:schemeClr w14:val="tx1"/>
                  </w14:solidFill>
                </w14:textFill>
              </w:rPr>
              <w:t>于基础</w:t>
            </w:r>
            <w:r>
              <w:rPr>
                <w:color w:val="000000" w:themeColor="text1"/>
                <w:sz w:val="24"/>
                <w14:textFill>
                  <w14:solidFill>
                    <w14:schemeClr w14:val="tx1"/>
                  </w14:solidFill>
                </w14:textFill>
              </w:rPr>
              <w:t>施工、机械清渣、</w:t>
            </w:r>
            <w:r>
              <w:rPr>
                <w:rFonts w:hint="eastAsia"/>
                <w:color w:val="000000" w:themeColor="text1"/>
                <w:sz w:val="24"/>
                <w14:textFill>
                  <w14:solidFill>
                    <w14:schemeClr w14:val="tx1"/>
                  </w14:solidFill>
                </w14:textFill>
              </w:rPr>
              <w:t>以及</w:t>
            </w:r>
            <w:r>
              <w:rPr>
                <w:color w:val="000000" w:themeColor="text1"/>
                <w:sz w:val="24"/>
                <w14:textFill>
                  <w14:solidFill>
                    <w14:schemeClr w14:val="tx1"/>
                  </w14:solidFill>
                </w14:textFill>
              </w:rPr>
              <w:t>粉末材料堆码及运输车辆道路扬尘</w:t>
            </w:r>
            <w:r>
              <w:rPr>
                <w:rFonts w:hint="eastAsia" w:ascii="Arial" w:hAnsi="Arial" w:cs="Arial"/>
                <w:color w:val="000000" w:themeColor="text1"/>
                <w:sz w:val="24"/>
                <w:shd w:val="clear" w:color="auto" w:fill="FFFFFF"/>
                <w14:textFill>
                  <w14:solidFill>
                    <w14:schemeClr w14:val="tx1"/>
                  </w14:solidFill>
                </w14:textFill>
              </w:rPr>
              <w:t>，</w:t>
            </w:r>
            <w:r>
              <w:rPr>
                <w:color w:val="000000" w:themeColor="text1"/>
                <w:sz w:val="24"/>
                <w14:textFill>
                  <w14:solidFill>
                    <w14:schemeClr w14:val="tx1"/>
                  </w14:solidFill>
                </w14:textFill>
              </w:rPr>
              <w:t>露天堆场和裸露场地的风力扬尘。由于施工需要，一些建筑材料需露天堆放，一些施工作业点表层土壤需人工</w:t>
            </w:r>
            <w:r>
              <w:rPr>
                <w:rFonts w:hint="eastAsia"/>
                <w:color w:val="000000" w:themeColor="text1"/>
                <w:sz w:val="24"/>
                <w14:textFill>
                  <w14:solidFill>
                    <w14:schemeClr w14:val="tx1"/>
                  </w14:solidFill>
                </w14:textFill>
              </w:rPr>
              <w:t>拆除</w:t>
            </w:r>
            <w:r>
              <w:rPr>
                <w:color w:val="000000" w:themeColor="text1"/>
                <w:sz w:val="24"/>
                <w14:textFill>
                  <w14:solidFill>
                    <w14:schemeClr w14:val="tx1"/>
                  </w14:solidFill>
                </w14:textFill>
              </w:rPr>
              <w:t>且临时堆放，在气候干燥又有风的情况下，会产生扬尘。</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工程施工</w:t>
            </w:r>
            <w:r>
              <w:rPr>
                <w:color w:val="000000" w:themeColor="text1"/>
                <w:sz w:val="24"/>
                <w14:textFill>
                  <w14:solidFill>
                    <w14:schemeClr w14:val="tx1"/>
                  </w14:solidFill>
                </w14:textFill>
              </w:rPr>
              <w:t>时必须使用喷淋设备喷淋、洒水，控制尘土飞扬，降低现场扬尘污染。</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（2）车辆行驶扬尘</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据有关文献资料介绍，在施工过程中，车辆行驶产生的扬尘占总扬尘的60%以上。表17为一辆10吨卡车，通过一段长度为1km的路面时，不同路面清洁程度，不同行驶速度情况下的扬尘量。由此可见，在同样路面清洁程度条件下，车速越快，扬尘量越大；而在同样车速情况下，路面越脏，则扬尘量越大。因此限制车辆行驶速度及保持路面的清洁是减少汽车扬尘的最有效手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综上所述，施工期的主要污染是TSP，建议在易扬尘的作业时段、作业环节采用洒水的方法减轻TSP污染，只要适当增加洒水次数，可大大减轻TSP的污染。</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为减少扬尘对周围环境的影响，施工期采取的防治措施如下：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道路硬化与管理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①施工场所内</w:t>
            </w:r>
            <w:r>
              <w:rPr>
                <w:color w:val="000000" w:themeColor="text1"/>
                <w:sz w:val="24"/>
                <w14:textFill>
                  <w14:solidFill>
                    <w14:schemeClr w14:val="tx1"/>
                  </w14:solidFill>
                </w14:textFill>
              </w:rPr>
              <w:t>80％以上面积的车行道路必须硬化</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②任何时候车行道路上都不能有明显的尘土；</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③道路清扫时都必须采取洒水措施。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持续</w:t>
            </w:r>
            <w:r>
              <w:rPr>
                <w:rFonts w:hint="eastAsia"/>
                <w:color w:val="000000" w:themeColor="text1"/>
                <w:sz w:val="24"/>
                <w14:textFill>
                  <w14:solidFill>
                    <w14:schemeClr w14:val="tx1"/>
                  </w14:solidFill>
                </w14:textFill>
              </w:rPr>
              <w:t>洒</w:t>
            </w:r>
            <w:r>
              <w:rPr>
                <w:color w:val="000000" w:themeColor="text1"/>
                <w:sz w:val="24"/>
                <w14:textFill>
                  <w14:solidFill>
                    <w14:schemeClr w14:val="tx1"/>
                  </w14:solidFill>
                </w14:textFill>
              </w:rPr>
              <w:t>水降尘措施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施工现场定期洒水，保证地面湿润，不起尘。</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运输车辆冲洗装置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运输车辆驶出工地前，应对车轮、车身、车槽帮等部分进行清理或清洗，以保证车辆清洁上路。</w:t>
            </w:r>
            <w:r>
              <w:rPr>
                <w:color w:val="000000" w:themeColor="text1"/>
                <w:sz w:val="24"/>
                <w14:textFill>
                  <w14:solidFill>
                    <w14:schemeClr w14:val="tx1"/>
                  </w14:solidFill>
                </w14:textFill>
              </w:rPr>
              <w:t>渣土车辆</w:t>
            </w:r>
            <w:r>
              <w:rPr>
                <w:rFonts w:hint="eastAsia"/>
                <w:color w:val="000000" w:themeColor="text1"/>
                <w:sz w:val="24"/>
                <w14:textFill>
                  <w14:solidFill>
                    <w14:schemeClr w14:val="tx1"/>
                  </w14:solidFill>
                </w14:textFill>
              </w:rPr>
              <w:t>采用</w:t>
            </w:r>
            <w:r>
              <w:rPr>
                <w:color w:val="000000" w:themeColor="text1"/>
                <w:sz w:val="24"/>
                <w14:textFill>
                  <w14:solidFill>
                    <w14:schemeClr w14:val="tx1"/>
                  </w14:solidFill>
                </w14:textFill>
              </w:rPr>
              <w:t>密闭</w:t>
            </w:r>
            <w:r>
              <w:rPr>
                <w:rFonts w:hint="eastAsia"/>
                <w:color w:val="000000" w:themeColor="text1"/>
                <w:sz w:val="24"/>
                <w14:textFill>
                  <w14:solidFill>
                    <w14:schemeClr w14:val="tx1"/>
                  </w14:solidFill>
                </w14:textFill>
              </w:rPr>
              <w:t>车辆</w:t>
            </w:r>
            <w:r>
              <w:rPr>
                <w:color w:val="000000" w:themeColor="text1"/>
                <w:sz w:val="24"/>
                <w14:textFill>
                  <w14:solidFill>
                    <w14:schemeClr w14:val="tx1"/>
                  </w14:solidFill>
                </w14:textFill>
              </w:rPr>
              <w:t>运输</w:t>
            </w:r>
            <w:r>
              <w:rPr>
                <w:rFonts w:hint="eastAsia"/>
                <w:color w:val="000000" w:themeColor="text1"/>
                <w:sz w:val="24"/>
                <w14:textFill>
                  <w14:solidFill>
                    <w14:schemeClr w14:val="tx1"/>
                  </w14:solidFill>
                </w14:textFill>
              </w:rPr>
              <w:t>，防止运输过程的撒漏。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本项目施工期采用以上降尘措施后，对环境影响不大。</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2、水环境影响分析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施工期产生的污水主要为施工废水。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（1）施工废水排放应建立排水沟、集水井、沉砂池，施工作业产生的废水经沉砂池沉淀处理后，上清液作为施工生产用水加以循环使用；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（2）施工燃油机械维护和冲洗的含油废水经隔油、静置沉淀后回用于施工工序；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（3）施工期间，项目</w:t>
            </w:r>
            <w:r>
              <w:rPr>
                <w:rFonts w:hint="eastAsia"/>
                <w:color w:val="000000" w:themeColor="text1"/>
                <w:sz w:val="24"/>
                <w14:textFill>
                  <w14:solidFill>
                    <w14:schemeClr w14:val="tx1"/>
                  </w14:solidFill>
                </w14:textFill>
              </w:rPr>
              <w:t>施工人员均在当地招聘</w:t>
            </w:r>
            <w:r>
              <w:rPr>
                <w:color w:val="000000" w:themeColor="text1"/>
                <w:sz w:val="24"/>
                <w14:textFill>
                  <w14:solidFill>
                    <w14:schemeClr w14:val="tx1"/>
                  </w14:solidFill>
                </w14:textFill>
              </w:rPr>
              <w:t>，施工人员</w:t>
            </w:r>
            <w:r>
              <w:rPr>
                <w:rFonts w:hint="eastAsia"/>
                <w:color w:val="000000" w:themeColor="text1"/>
                <w:sz w:val="24"/>
                <w14:textFill>
                  <w14:solidFill>
                    <w14:schemeClr w14:val="tx1"/>
                  </w14:solidFill>
                </w14:textFill>
              </w:rPr>
              <w:t>不在厂内住宿</w:t>
            </w:r>
            <w:r>
              <w:rPr>
                <w:color w:val="000000" w:themeColor="text1"/>
                <w:sz w:val="24"/>
                <w14:textFill>
                  <w14:solidFill>
                    <w14:schemeClr w14:val="tx1"/>
                  </w14:solidFill>
                </w14:textFill>
              </w:rPr>
              <w:t>，无施工生活污水产生。</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通过采取以上措施，可有效控制施工废水污染，措施是切实可行的。总之，在项目建设期间，建设单位应该尽可能通过加强管理，文明施工的手段来减少建设期间施工对环境的影响，做到发展与保护环境的协调。</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3、声环境影响分析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施工期间，运输车辆和各种施工机械如挖掘机、打桩机、推土机、搅拌机都是主要的噪声源</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为了尽量减少因本项目施工而给周围声环境带来的不利影响，本</w:t>
            </w:r>
            <w:r>
              <w:rPr>
                <w:rFonts w:hint="eastAsia"/>
                <w:color w:val="000000" w:themeColor="text1"/>
                <w:sz w:val="24"/>
                <w14:textFill>
                  <w14:solidFill>
                    <w14:schemeClr w14:val="tx1"/>
                  </w14:solidFill>
                </w14:textFill>
              </w:rPr>
              <w:t>环评</w:t>
            </w:r>
            <w:r>
              <w:rPr>
                <w:color w:val="000000" w:themeColor="text1"/>
                <w:sz w:val="24"/>
                <w14:textFill>
                  <w14:solidFill>
                    <w14:schemeClr w14:val="tx1"/>
                  </w14:solidFill>
                </w14:textFill>
              </w:rPr>
              <w:t>建议采取以下控制措施：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（1）在施工过程中，施工单位应严格执行有关规定，避免施工扰民事件。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施工单位要合理安排施工作业时间，午间（12:00-14:00）及晚间（22:00-6:00）严禁高噪设备施工，以免影响附近人员的休息。另外，为进一步确保周围人员生活不受影响，施工单位应合理安排施工机械的作业位置，尽量远离周边居民。</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（3）施工机械产生的噪声往往具有突发、无规则、不连续和高强度等特点，施工单位应采取合理安排施工机械操作时间的方法加以缓解，并减少同时作业的高噪施工机械数量，尽可能减轻声源叠加影响。</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（4）进出运输建材车辆禁止鸣笛，对于施工期间的材料运输、敲击、人的喊叫等噪声源，要求施工单位文明施工、加强有效管理以缓解其影响。</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（5）要求业主单位在施工现场标明投诉电话，一旦接到投诉，业主单位应及时与当地环保部门取得联系，以便及时处理环境纠纷。</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4、固体废物影响分析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建设期间产生的固废主要为建筑废料、建筑垃圾以及施工人员产生的生活垃圾等。若处理不当，会因扬尘、雨水冲淋等原因，对环境空气和水环境造成二次污染，从而对周围环境产生较为严重的不利影响。鼓励施工产生的生活垃圾和建筑垃圾分类收集，设置垃圾分类收集容器，对金属、塑料等垃圾进行回收利用，渣土、清扫灰等无机垃圾，可作为道路垫土、填方等材料使用，不可回收的垃圾由城市环卫部门统一清运后填埋处置。</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在采取以上措施后，项目施工期对周围环境的影响较小。</w:t>
            </w:r>
          </w:p>
          <w:p>
            <w:pPr>
              <w:adjustRightInd w:val="0"/>
              <w:snapToGrid w:val="0"/>
              <w:spacing w:line="360" w:lineRule="auto"/>
              <w:ind w:firstLine="440" w:firstLineChars="200"/>
              <w:rPr>
                <w:bCs/>
                <w:color w:val="000000" w:themeColor="text1"/>
                <w:spacing w:val="-10"/>
                <w:sz w:val="24"/>
                <w14:textFill>
                  <w14:solidFill>
                    <w14:schemeClr w14:val="tx1"/>
                  </w14:solidFill>
                </w14:textFill>
              </w:rPr>
            </w:pPr>
          </w:p>
          <w:p>
            <w:pPr>
              <w:adjustRightInd w:val="0"/>
              <w:snapToGrid w:val="0"/>
              <w:spacing w:line="360" w:lineRule="auto"/>
              <w:ind w:firstLine="440" w:firstLineChars="200"/>
              <w:rPr>
                <w:bCs/>
                <w:color w:val="000000" w:themeColor="text1"/>
                <w:spacing w:val="-1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841" w:type="dxa"/>
            <w:tcMar>
              <w:left w:w="28" w:type="dxa"/>
              <w:right w:w="28" w:type="dxa"/>
            </w:tcMar>
            <w:vAlign w:val="center"/>
          </w:tcPr>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tc>
        <w:tc>
          <w:tcPr>
            <w:tcW w:w="8220" w:type="dxa"/>
            <w:vAlign w:val="center"/>
          </w:tcPr>
          <w:p>
            <w:pPr>
              <w:adjustRightInd w:val="0"/>
              <w:snapToGrid w:val="0"/>
              <w:spacing w:line="360" w:lineRule="auto"/>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1</w:t>
            </w:r>
            <w:r>
              <w:rPr>
                <w:rFonts w:hint="eastAsia"/>
                <w:b/>
                <w:color w:val="000000" w:themeColor="text1"/>
                <w:spacing w:val="-10"/>
                <w:sz w:val="24"/>
                <w14:textFill>
                  <w14:solidFill>
                    <w14:schemeClr w14:val="tx1"/>
                  </w14:solidFill>
                </w14:textFill>
              </w:rPr>
              <w:t>、</w:t>
            </w:r>
            <w:r>
              <w:rPr>
                <w:b/>
                <w:color w:val="000000" w:themeColor="text1"/>
                <w:spacing w:val="-10"/>
                <w:sz w:val="24"/>
                <w14:textFill>
                  <w14:solidFill>
                    <w14:schemeClr w14:val="tx1"/>
                  </w14:solidFill>
                </w14:textFill>
              </w:rPr>
              <w:t>废气</w:t>
            </w:r>
          </w:p>
          <w:p>
            <w:pPr>
              <w:adjustRightInd w:val="0"/>
              <w:snapToGrid w:val="0"/>
              <w:spacing w:line="360" w:lineRule="auto"/>
              <w:ind w:firstLine="440" w:firstLineChars="200"/>
              <w:rPr>
                <w:rFonts w:ascii="宋体" w:hAnsi="宋体"/>
                <w:bCs/>
                <w:color w:val="000000" w:themeColor="text1"/>
                <w:spacing w:val="-10"/>
                <w:sz w:val="24"/>
                <w14:textFill>
                  <w14:solidFill>
                    <w14:schemeClr w14:val="tx1"/>
                  </w14:solidFill>
                </w14:textFill>
              </w:rPr>
            </w:pPr>
            <w:r>
              <w:rPr>
                <w:rFonts w:ascii="宋体" w:hAnsi="宋体"/>
                <w:bCs/>
                <w:color w:val="000000" w:themeColor="text1"/>
                <w:spacing w:val="-10"/>
                <w:sz w:val="24"/>
                <w14:textFill>
                  <w14:solidFill>
                    <w14:schemeClr w14:val="tx1"/>
                  </w14:solidFill>
                </w14:textFill>
              </w:rPr>
              <w:t>本项目使用的</w:t>
            </w:r>
            <w:r>
              <w:rPr>
                <w:rFonts w:hint="eastAsia" w:ascii="宋体" w:hAnsi="宋体"/>
                <w:bCs/>
                <w:color w:val="000000" w:themeColor="text1"/>
                <w:spacing w:val="-10"/>
                <w:sz w:val="24"/>
                <w14:textFill>
                  <w14:solidFill>
                    <w14:schemeClr w14:val="tx1"/>
                  </w14:solidFill>
                </w14:textFill>
              </w:rPr>
              <w:t>炉窑</w:t>
            </w:r>
            <w:r>
              <w:rPr>
                <w:rFonts w:ascii="宋体" w:hAnsi="宋体"/>
                <w:bCs/>
                <w:color w:val="000000" w:themeColor="text1"/>
                <w:spacing w:val="-10"/>
                <w:sz w:val="24"/>
                <w14:textFill>
                  <w14:solidFill>
                    <w14:schemeClr w14:val="tx1"/>
                  </w14:solidFill>
                </w14:textFill>
              </w:rPr>
              <w:t>有相关的《排污许可证申请与核发技术规范</w:t>
            </w:r>
            <w:r>
              <w:rPr>
                <w:rFonts w:hint="eastAsia" w:ascii="宋体" w:hAnsi="宋体"/>
                <w:bCs/>
                <w:color w:val="000000" w:themeColor="text1"/>
                <w:spacing w:val="-10"/>
                <w:sz w:val="24"/>
                <w14:textFill>
                  <w14:solidFill>
                    <w14:schemeClr w14:val="tx1"/>
                  </w14:solidFill>
                </w14:textFill>
              </w:rPr>
              <w:t xml:space="preserve"> 工业炉窑</w:t>
            </w:r>
            <w:r>
              <w:rPr>
                <w:rFonts w:ascii="宋体" w:hAnsi="宋体"/>
                <w:bCs/>
                <w:color w:val="000000" w:themeColor="text1"/>
                <w:spacing w:val="-10"/>
                <w:sz w:val="24"/>
                <w14:textFill>
                  <w14:solidFill>
                    <w14:schemeClr w14:val="tx1"/>
                  </w14:solidFill>
                </w14:textFill>
              </w:rPr>
              <w:t>》（HJ</w:t>
            </w:r>
            <w:r>
              <w:rPr>
                <w:rFonts w:hint="eastAsia" w:ascii="宋体" w:hAnsi="宋体"/>
                <w:bCs/>
                <w:color w:val="000000" w:themeColor="text1"/>
                <w:spacing w:val="-10"/>
                <w:sz w:val="24"/>
                <w14:textFill>
                  <w14:solidFill>
                    <w14:schemeClr w14:val="tx1"/>
                  </w14:solidFill>
                </w14:textFill>
              </w:rPr>
              <w:t>1121</w:t>
            </w:r>
            <w:r>
              <w:rPr>
                <w:rFonts w:ascii="宋体" w:hAnsi="宋体"/>
                <w:bCs/>
                <w:color w:val="000000" w:themeColor="text1"/>
                <w:spacing w:val="-10"/>
                <w:sz w:val="24"/>
                <w14:textFill>
                  <w14:solidFill>
                    <w14:schemeClr w14:val="tx1"/>
                  </w14:solidFill>
                </w14:textFill>
              </w:rPr>
              <w:t>-20</w:t>
            </w:r>
            <w:r>
              <w:rPr>
                <w:rFonts w:hint="eastAsia" w:ascii="宋体" w:hAnsi="宋体"/>
                <w:bCs/>
                <w:color w:val="000000" w:themeColor="text1"/>
                <w:spacing w:val="-10"/>
                <w:sz w:val="24"/>
                <w14:textFill>
                  <w14:solidFill>
                    <w14:schemeClr w14:val="tx1"/>
                  </w14:solidFill>
                </w14:textFill>
              </w:rPr>
              <w:t>20</w:t>
            </w:r>
            <w:r>
              <w:rPr>
                <w:rFonts w:ascii="宋体" w:hAnsi="宋体"/>
                <w:bCs/>
                <w:color w:val="000000" w:themeColor="text1"/>
                <w:spacing w:val="-10"/>
                <w:sz w:val="24"/>
                <w14:textFill>
                  <w14:solidFill>
                    <w14:schemeClr w14:val="tx1"/>
                  </w14:solidFill>
                </w14:textFill>
              </w:rPr>
              <w:t>）</w:t>
            </w:r>
            <w:r>
              <w:rPr>
                <w:rFonts w:hint="eastAsia" w:ascii="宋体" w:hAnsi="宋体"/>
                <w:bCs/>
                <w:color w:val="000000" w:themeColor="text1"/>
                <w:spacing w:val="-10"/>
                <w:sz w:val="24"/>
                <w14:textFill>
                  <w14:solidFill>
                    <w14:schemeClr w14:val="tx1"/>
                  </w14:solidFill>
                </w14:textFill>
              </w:rPr>
              <w:t>，无</w:t>
            </w:r>
            <w:r>
              <w:rPr>
                <w:rFonts w:ascii="宋体" w:hAnsi="宋体"/>
                <w:bCs/>
                <w:color w:val="000000" w:themeColor="text1"/>
                <w:spacing w:val="-10"/>
                <w:sz w:val="24"/>
                <w14:textFill>
                  <w14:solidFill>
                    <w14:schemeClr w14:val="tx1"/>
                  </w14:solidFill>
                </w14:textFill>
              </w:rPr>
              <w:t>污染源强核算技术指南。本项目</w:t>
            </w:r>
            <w:r>
              <w:rPr>
                <w:rFonts w:hint="eastAsia" w:ascii="宋体" w:hAnsi="宋体"/>
                <w:bCs/>
                <w:color w:val="000000" w:themeColor="text1"/>
                <w:spacing w:val="-10"/>
                <w:sz w:val="24"/>
                <w14:textFill>
                  <w14:solidFill>
                    <w14:schemeClr w14:val="tx1"/>
                  </w14:solidFill>
                </w14:textFill>
              </w:rPr>
              <w:t>竹炭制品</w:t>
            </w:r>
            <w:r>
              <w:rPr>
                <w:rFonts w:ascii="宋体" w:hAnsi="宋体"/>
                <w:bCs/>
                <w:color w:val="000000" w:themeColor="text1"/>
                <w:spacing w:val="-10"/>
                <w:sz w:val="24"/>
                <w14:textFill>
                  <w14:solidFill>
                    <w14:schemeClr w14:val="tx1"/>
                  </w14:solidFill>
                </w14:textFill>
              </w:rPr>
              <w:t>加工行业无相关排污许可证申请与核发技术规范和污染源强核算技术指南。</w:t>
            </w:r>
            <w:r>
              <w:rPr>
                <w:rFonts w:hint="eastAsia" w:ascii="宋体" w:hAnsi="宋体"/>
                <w:bCs/>
                <w:color w:val="000000" w:themeColor="text1"/>
                <w:spacing w:val="-10"/>
                <w:sz w:val="24"/>
                <w14:textFill>
                  <w14:solidFill>
                    <w14:schemeClr w14:val="tx1"/>
                  </w14:solidFill>
                </w14:textFill>
              </w:rPr>
              <w:t>本节部分内容参照</w:t>
            </w:r>
            <w:r>
              <w:rPr>
                <w:rFonts w:ascii="宋体" w:hAnsi="宋体"/>
                <w:bCs/>
                <w:color w:val="000000" w:themeColor="text1"/>
                <w:spacing w:val="-10"/>
                <w:sz w:val="24"/>
                <w14:textFill>
                  <w14:solidFill>
                    <w14:schemeClr w14:val="tx1"/>
                  </w14:solidFill>
                </w14:textFill>
              </w:rPr>
              <w:t>《排污许可证申请与核发技术规范</w:t>
            </w:r>
            <w:r>
              <w:rPr>
                <w:rFonts w:hint="eastAsia" w:ascii="宋体" w:hAnsi="宋体"/>
                <w:bCs/>
                <w:color w:val="000000" w:themeColor="text1"/>
                <w:spacing w:val="-10"/>
                <w:sz w:val="24"/>
                <w14:textFill>
                  <w14:solidFill>
                    <w14:schemeClr w14:val="tx1"/>
                  </w14:solidFill>
                </w14:textFill>
              </w:rPr>
              <w:t xml:space="preserve"> 工业炉窑</w:t>
            </w:r>
            <w:r>
              <w:rPr>
                <w:rFonts w:ascii="宋体" w:hAnsi="宋体"/>
                <w:bCs/>
                <w:color w:val="000000" w:themeColor="text1"/>
                <w:spacing w:val="-10"/>
                <w:sz w:val="24"/>
                <w14:textFill>
                  <w14:solidFill>
                    <w14:schemeClr w14:val="tx1"/>
                  </w14:solidFill>
                </w14:textFill>
              </w:rPr>
              <w:t>》（HJ</w:t>
            </w:r>
            <w:r>
              <w:rPr>
                <w:rFonts w:hint="eastAsia" w:ascii="宋体" w:hAnsi="宋体"/>
                <w:bCs/>
                <w:color w:val="000000" w:themeColor="text1"/>
                <w:spacing w:val="-10"/>
                <w:sz w:val="24"/>
                <w14:textFill>
                  <w14:solidFill>
                    <w14:schemeClr w14:val="tx1"/>
                  </w14:solidFill>
                </w14:textFill>
              </w:rPr>
              <w:t>1121</w:t>
            </w:r>
            <w:r>
              <w:rPr>
                <w:rFonts w:ascii="宋体" w:hAnsi="宋体"/>
                <w:bCs/>
                <w:color w:val="000000" w:themeColor="text1"/>
                <w:spacing w:val="-10"/>
                <w:sz w:val="24"/>
                <w14:textFill>
                  <w14:solidFill>
                    <w14:schemeClr w14:val="tx1"/>
                  </w14:solidFill>
                </w14:textFill>
              </w:rPr>
              <w:t>-20</w:t>
            </w:r>
            <w:r>
              <w:rPr>
                <w:rFonts w:hint="eastAsia" w:ascii="宋体" w:hAnsi="宋体"/>
                <w:bCs/>
                <w:color w:val="000000" w:themeColor="text1"/>
                <w:spacing w:val="-10"/>
                <w:sz w:val="24"/>
                <w14:textFill>
                  <w14:solidFill>
                    <w14:schemeClr w14:val="tx1"/>
                  </w14:solidFill>
                </w14:textFill>
              </w:rPr>
              <w:t>20</w:t>
            </w:r>
            <w:r>
              <w:rPr>
                <w:rFonts w:ascii="宋体" w:hAnsi="宋体"/>
                <w:bCs/>
                <w:color w:val="000000" w:themeColor="text1"/>
                <w:spacing w:val="-10"/>
                <w:sz w:val="24"/>
                <w14:textFill>
                  <w14:solidFill>
                    <w14:schemeClr w14:val="tx1"/>
                  </w14:solidFill>
                </w14:textFill>
              </w:rPr>
              <w:t>）和</w:t>
            </w:r>
            <w:r>
              <w:rPr>
                <w:rFonts w:hint="eastAsia" w:ascii="宋体" w:hAnsi="宋体"/>
                <w:bCs/>
                <w:color w:val="000000" w:themeColor="text1"/>
                <w:spacing w:val="-10"/>
                <w:sz w:val="24"/>
                <w14:textFill>
                  <w14:solidFill>
                    <w14:schemeClr w14:val="tx1"/>
                  </w14:solidFill>
                </w14:textFill>
              </w:rPr>
              <w:t>《</w:t>
            </w:r>
            <w:r>
              <w:rPr>
                <w:rFonts w:ascii="宋体" w:hAnsi="宋体"/>
                <w:bCs/>
                <w:color w:val="000000" w:themeColor="text1"/>
                <w:spacing w:val="-10"/>
                <w:sz w:val="24"/>
                <w14:textFill>
                  <w14:solidFill>
                    <w14:schemeClr w14:val="tx1"/>
                  </w14:solidFill>
                </w14:textFill>
              </w:rPr>
              <w:t>污染源强核算技术指南</w:t>
            </w:r>
            <w:r>
              <w:rPr>
                <w:rFonts w:hint="eastAsia" w:ascii="宋体" w:hAnsi="宋体"/>
                <w:bCs/>
                <w:color w:val="000000" w:themeColor="text1"/>
                <w:spacing w:val="-10"/>
                <w:sz w:val="24"/>
                <w14:textFill>
                  <w14:solidFill>
                    <w14:schemeClr w14:val="tx1"/>
                  </w14:solidFill>
                </w14:textFill>
              </w:rPr>
              <w:t xml:space="preserve"> 准则》</w:t>
            </w:r>
            <w:r>
              <w:rPr>
                <w:rFonts w:ascii="宋体" w:hAnsi="宋体"/>
                <w:bCs/>
                <w:color w:val="000000" w:themeColor="text1"/>
                <w:spacing w:val="-10"/>
                <w:sz w:val="24"/>
                <w14:textFill>
                  <w14:solidFill>
                    <w14:schemeClr w14:val="tx1"/>
                  </w14:solidFill>
                </w14:textFill>
              </w:rPr>
              <w:t>（HJ</w:t>
            </w:r>
            <w:r>
              <w:rPr>
                <w:rFonts w:hint="eastAsia" w:ascii="宋体" w:hAnsi="宋体"/>
                <w:bCs/>
                <w:color w:val="000000" w:themeColor="text1"/>
                <w:spacing w:val="-10"/>
                <w:sz w:val="24"/>
                <w14:textFill>
                  <w14:solidFill>
                    <w14:schemeClr w14:val="tx1"/>
                  </w14:solidFill>
                </w14:textFill>
              </w:rPr>
              <w:t>884</w:t>
            </w:r>
            <w:r>
              <w:rPr>
                <w:rFonts w:ascii="宋体" w:hAnsi="宋体"/>
                <w:bCs/>
                <w:color w:val="000000" w:themeColor="text1"/>
                <w:spacing w:val="-10"/>
                <w:sz w:val="24"/>
                <w14:textFill>
                  <w14:solidFill>
                    <w14:schemeClr w14:val="tx1"/>
                  </w14:solidFill>
                </w14:textFill>
              </w:rPr>
              <w:t>-2018）</w:t>
            </w:r>
            <w:r>
              <w:rPr>
                <w:rFonts w:hint="eastAsia" w:ascii="宋体" w:hAnsi="宋体"/>
                <w:bCs/>
                <w:color w:val="000000" w:themeColor="text1"/>
                <w:spacing w:val="-10"/>
                <w:sz w:val="24"/>
                <w14:textFill>
                  <w14:solidFill>
                    <w14:schemeClr w14:val="tx1"/>
                  </w14:solidFill>
                </w14:textFill>
              </w:rPr>
              <w:t>的相关要求编制。</w:t>
            </w:r>
          </w:p>
          <w:p>
            <w:pPr>
              <w:adjustRightInd w:val="0"/>
              <w:snapToGrid w:val="0"/>
              <w:spacing w:line="360" w:lineRule="auto"/>
              <w:ind w:firstLine="442" w:firstLineChars="200"/>
              <w:rPr>
                <w:rFonts w:ascii="宋体" w:hAnsi="宋体"/>
                <w:bCs/>
                <w:color w:val="000000" w:themeColor="text1"/>
                <w:spacing w:val="-10"/>
                <w:sz w:val="24"/>
                <w14:textFill>
                  <w14:solidFill>
                    <w14:schemeClr w14:val="tx1"/>
                  </w14:solidFill>
                </w14:textFill>
              </w:rPr>
            </w:pPr>
            <w:r>
              <w:rPr>
                <w:rFonts w:hint="eastAsia" w:ascii="宋体" w:hAnsi="宋体"/>
                <w:b/>
                <w:color w:val="000000" w:themeColor="text1"/>
                <w:spacing w:val="-10"/>
                <w:sz w:val="24"/>
                <w14:textFill>
                  <w14:solidFill>
                    <w14:schemeClr w14:val="tx1"/>
                  </w14:solidFill>
                </w14:textFill>
              </w:rPr>
              <w:t>1.1废气污染源产生及排放情况</w:t>
            </w:r>
          </w:p>
          <w:p>
            <w:pPr>
              <w:adjustRightInd w:val="0"/>
              <w:snapToGrid w:val="0"/>
              <w:spacing w:line="360" w:lineRule="auto"/>
              <w:ind w:firstLine="440" w:firstLineChars="200"/>
              <w:rPr>
                <w:rFonts w:ascii="宋体" w:hAnsi="宋体"/>
                <w:bCs/>
                <w:color w:val="000000" w:themeColor="text1"/>
                <w:spacing w:val="-10"/>
                <w:sz w:val="24"/>
                <w14:textFill>
                  <w14:solidFill>
                    <w14:schemeClr w14:val="tx1"/>
                  </w14:solidFill>
                </w14:textFill>
              </w:rPr>
            </w:pPr>
            <w:r>
              <w:rPr>
                <w:rFonts w:ascii="宋体" w:hAnsi="宋体"/>
                <w:bCs/>
                <w:color w:val="000000" w:themeColor="text1"/>
                <w:spacing w:val="-10"/>
                <w:sz w:val="24"/>
                <w14:textFill>
                  <w14:solidFill>
                    <w14:schemeClr w14:val="tx1"/>
                  </w14:solidFill>
                </w14:textFill>
              </w:rPr>
              <w:t>根据《建设项目环境影响报告表编制技术指南（污染影响类）》（试行）中的相关要求填写下表中的内容。</w:t>
            </w:r>
          </w:p>
          <w:p>
            <w:pPr>
              <w:adjustRightInd w:val="0"/>
              <w:snapToGrid w:val="0"/>
              <w:ind w:firstLine="382" w:firstLineChars="20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表</w:t>
            </w:r>
            <w:r>
              <w:rPr>
                <w:rFonts w:hint="eastAsia"/>
                <w:b/>
                <w:color w:val="000000" w:themeColor="text1"/>
                <w:spacing w:val="-10"/>
                <w:szCs w:val="21"/>
                <w14:textFill>
                  <w14:solidFill>
                    <w14:schemeClr w14:val="tx1"/>
                  </w14:solidFill>
                </w14:textFill>
              </w:rPr>
              <w:t>4-</w:t>
            </w:r>
            <w:r>
              <w:rPr>
                <w:b/>
                <w:color w:val="000000" w:themeColor="text1"/>
                <w:spacing w:val="-10"/>
                <w:szCs w:val="21"/>
                <w14:textFill>
                  <w14:solidFill>
                    <w14:schemeClr w14:val="tx1"/>
                  </w14:solidFill>
                </w14:textFill>
              </w:rPr>
              <w:t>7</w:t>
            </w:r>
            <w:r>
              <w:rPr>
                <w:rFonts w:hint="eastAsia"/>
                <w:b/>
                <w:color w:val="000000" w:themeColor="text1"/>
                <w:spacing w:val="-10"/>
                <w:szCs w:val="21"/>
                <w14:textFill>
                  <w14:solidFill>
                    <w14:schemeClr w14:val="tx1"/>
                  </w14:solidFill>
                </w14:textFill>
              </w:rPr>
              <w:t xml:space="preserve">  项目废气污染源产生及排放情况一览表</w:t>
            </w:r>
          </w:p>
          <w:tbl>
            <w:tblPr>
              <w:tblStyle w:val="24"/>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40"/>
              <w:gridCol w:w="749"/>
              <w:gridCol w:w="749"/>
              <w:gridCol w:w="402"/>
              <w:gridCol w:w="402"/>
              <w:gridCol w:w="864"/>
              <w:gridCol w:w="749"/>
              <w:gridCol w:w="749"/>
              <w:gridCol w:w="749"/>
              <w:gridCol w:w="599"/>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污染物</w:t>
                  </w:r>
                </w:p>
              </w:tc>
              <w:tc>
                <w:tcPr>
                  <w:tcW w:w="463"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产污工序</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产生量t/a</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产生速率kg/h</w:t>
                  </w:r>
                </w:p>
              </w:tc>
              <w:tc>
                <w:tcPr>
                  <w:tcW w:w="252"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处理措施</w:t>
                  </w:r>
                </w:p>
              </w:tc>
              <w:tc>
                <w:tcPr>
                  <w:tcW w:w="252"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是否技术可行</w:t>
                  </w:r>
                </w:p>
              </w:tc>
              <w:tc>
                <w:tcPr>
                  <w:tcW w:w="541"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效率</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排放量t/a</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排放速率kg/h</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排放浓度mg/m</w:t>
                  </w:r>
                  <w:r>
                    <w:rPr>
                      <w:rFonts w:ascii="Times New Roman" w:cs="Times New Roman"/>
                      <w:color w:val="000000" w:themeColor="text1"/>
                      <w:sz w:val="21"/>
                      <w:szCs w:val="21"/>
                      <w:vertAlign w:val="superscript"/>
                      <w14:textFill>
                        <w14:solidFill>
                          <w14:schemeClr w14:val="tx1"/>
                        </w14:solidFill>
                      </w14:textFill>
                    </w:rPr>
                    <w:t>3</w:t>
                  </w:r>
                </w:p>
              </w:tc>
              <w:tc>
                <w:tcPr>
                  <w:tcW w:w="375" w:type="pct"/>
                  <w:vAlign w:val="center"/>
                </w:tcPr>
                <w:p>
                  <w:pPr>
                    <w:pStyle w:val="30"/>
                    <w:spacing w:line="240" w:lineRule="auto"/>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排放时间</w:t>
                  </w:r>
                </w:p>
              </w:tc>
              <w:tc>
                <w:tcPr>
                  <w:tcW w:w="487"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排放方式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二破、烘干、炭化、点火</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8.195</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1</w:t>
                  </w:r>
                  <w:r>
                    <w:rPr>
                      <w:rFonts w:ascii="Times New Roman" w:cs="Times New Roman"/>
                      <w:color w:val="000000" w:themeColor="text1"/>
                      <w:sz w:val="21"/>
                      <w:szCs w:val="21"/>
                      <w:u w:val="single"/>
                      <w14:textFill>
                        <w14:solidFill>
                          <w14:schemeClr w14:val="tx1"/>
                        </w14:solidFill>
                      </w14:textFill>
                    </w:rPr>
                    <w:t>.707</w:t>
                  </w:r>
                </w:p>
              </w:tc>
              <w:tc>
                <w:tcPr>
                  <w:tcW w:w="252" w:type="pct"/>
                  <w:vMerge w:val="restar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脉冲布袋除尘器</w:t>
                  </w:r>
                </w:p>
              </w:tc>
              <w:tc>
                <w:tcPr>
                  <w:tcW w:w="252" w:type="pct"/>
                  <w:vMerge w:val="restar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是</w:t>
                  </w:r>
                </w:p>
              </w:tc>
              <w:tc>
                <w:tcPr>
                  <w:tcW w:w="541" w:type="pct"/>
                  <w:vMerge w:val="restar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废气收集率</w:t>
                  </w:r>
                  <w:r>
                    <w:rPr>
                      <w:rFonts w:ascii="Times New Roman" w:cs="Times New Roman"/>
                      <w:color w:val="000000" w:themeColor="text1"/>
                      <w:sz w:val="21"/>
                      <w:szCs w:val="21"/>
                      <w:u w:val="single"/>
                      <w14:textFill>
                        <w14:solidFill>
                          <w14:schemeClr w14:val="tx1"/>
                        </w14:solidFill>
                      </w14:textFill>
                    </w:rPr>
                    <w:t>100</w:t>
                  </w:r>
                  <w:r>
                    <w:rPr>
                      <w:rFonts w:hint="eastAsia" w:ascii="Times New Roman" w:cs="Times New Roman"/>
                      <w:color w:val="000000" w:themeColor="text1"/>
                      <w:sz w:val="21"/>
                      <w:szCs w:val="21"/>
                      <w:u w:val="single"/>
                      <w14:textFill>
                        <w14:solidFill>
                          <w14:schemeClr w14:val="tx1"/>
                        </w14:solidFill>
                      </w14:textFill>
                    </w:rPr>
                    <w:t>%处理效率9</w:t>
                  </w:r>
                  <w:r>
                    <w:rPr>
                      <w:rFonts w:ascii="Times New Roman" w:cs="Times New Roman"/>
                      <w:color w:val="000000" w:themeColor="text1"/>
                      <w:sz w:val="21"/>
                      <w:szCs w:val="21"/>
                      <w:u w:val="single"/>
                      <w14:textFill>
                        <w14:solidFill>
                          <w14:schemeClr w14:val="tx1"/>
                        </w14:solidFill>
                      </w14:textFill>
                    </w:rPr>
                    <w:t>9%</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0.08195</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.01707</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1.14</w:t>
                  </w:r>
                </w:p>
              </w:tc>
              <w:tc>
                <w:tcPr>
                  <w:tcW w:w="375"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4</w:t>
                  </w:r>
                  <w:r>
                    <w:rPr>
                      <w:rFonts w:ascii="Times New Roman" w:cs="Times New Roman"/>
                      <w:color w:val="000000" w:themeColor="text1"/>
                      <w:sz w:val="21"/>
                      <w:szCs w:val="21"/>
                      <w14:textFill>
                        <w14:solidFill>
                          <w14:schemeClr w14:val="tx1"/>
                        </w14:solidFill>
                      </w14:textFill>
                    </w:rPr>
                    <w:t>800</w:t>
                  </w:r>
                </w:p>
              </w:tc>
              <w:tc>
                <w:tcPr>
                  <w:tcW w:w="487"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D</w:t>
                  </w:r>
                  <w:r>
                    <w:rPr>
                      <w:rFonts w:ascii="Times New Roman" w:cs="Times New Roman"/>
                      <w:color w:val="000000" w:themeColor="text1"/>
                      <w:sz w:val="21"/>
                      <w:szCs w:val="21"/>
                      <w14:textFill>
                        <w14:solidFill>
                          <w14:schemeClr w14:val="tx1"/>
                        </w14:solidFill>
                      </w14:textFill>
                    </w:rPr>
                    <w:t>A002</w:t>
                  </w:r>
                  <w:r>
                    <w:rPr>
                      <w:rFonts w:hint="eastAsia" w:ascii="Times New Roman" w:cs="Times New Roman"/>
                      <w:color w:val="000000" w:themeColor="text1"/>
                      <w:sz w:val="21"/>
                      <w:szCs w:val="21"/>
                      <w14:textFill>
                        <w14:solidFill>
                          <w14:schemeClr w14:val="tx1"/>
                        </w14:solidFill>
                      </w14:textFill>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highlight w:val="yellow"/>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SO</w:t>
                  </w:r>
                  <w:r>
                    <w:rPr>
                      <w:rFonts w:hint="eastAsia" w:ascii="Times New Roman" w:cs="Times New Roman"/>
                      <w:color w:val="000000" w:themeColor="text1"/>
                      <w:sz w:val="21"/>
                      <w:szCs w:val="21"/>
                      <w:vertAlign w:val="subscript"/>
                      <w14:textFill>
                        <w14:solidFill>
                          <w14:schemeClr w14:val="tx1"/>
                        </w14:solidFill>
                      </w14:textFill>
                    </w:rPr>
                    <w:t>2</w:t>
                  </w:r>
                </w:p>
              </w:tc>
              <w:tc>
                <w:tcPr>
                  <w:tcW w:w="463" w:type="pct"/>
                  <w:vMerge w:val="continue"/>
                  <w:vAlign w:val="center"/>
                </w:tcPr>
                <w:p>
                  <w:pPr>
                    <w:pStyle w:val="30"/>
                    <w:spacing w:line="240" w:lineRule="auto"/>
                    <w:jc w:val="center"/>
                    <w:rPr>
                      <w:rFonts w:ascii="Times New Roman" w:cs="Times New Roman"/>
                      <w:color w:val="000000" w:themeColor="text1"/>
                      <w:sz w:val="21"/>
                      <w:szCs w:val="21"/>
                      <w:highlight w:val="yellow"/>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0.0008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.00002</w:t>
                  </w:r>
                </w:p>
              </w:tc>
              <w:tc>
                <w:tcPr>
                  <w:tcW w:w="252"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252"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541"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0.0008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.00002</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0.01</w:t>
                  </w:r>
                </w:p>
              </w:tc>
              <w:tc>
                <w:tcPr>
                  <w:tcW w:w="375"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87"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highlight w:val="yellow"/>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NOx</w:t>
                  </w:r>
                </w:p>
              </w:tc>
              <w:tc>
                <w:tcPr>
                  <w:tcW w:w="463" w:type="pct"/>
                  <w:vMerge w:val="continue"/>
                  <w:vAlign w:val="center"/>
                </w:tcPr>
                <w:p>
                  <w:pPr>
                    <w:pStyle w:val="30"/>
                    <w:spacing w:line="240" w:lineRule="auto"/>
                    <w:jc w:val="center"/>
                    <w:rPr>
                      <w:rFonts w:ascii="Times New Roman" w:cs="Times New Roman"/>
                      <w:color w:val="000000" w:themeColor="text1"/>
                      <w:sz w:val="21"/>
                      <w:szCs w:val="21"/>
                      <w:highlight w:val="yellow"/>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0.197</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.132</w:t>
                  </w:r>
                </w:p>
              </w:tc>
              <w:tc>
                <w:tcPr>
                  <w:tcW w:w="252"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252"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541" w:type="pct"/>
                  <w:vMerge w:val="continue"/>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0.197</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.132</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2.8</w:t>
                  </w:r>
                </w:p>
              </w:tc>
              <w:tc>
                <w:tcPr>
                  <w:tcW w:w="375"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87"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一次破碎、筛分</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1.962</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.81</w:t>
                  </w: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局部密闭降尘</w:t>
                  </w: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w:t>
                  </w:r>
                </w:p>
              </w:tc>
              <w:tc>
                <w:tcPr>
                  <w:tcW w:w="541"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70%</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.588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.24</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w:t>
                  </w:r>
                </w:p>
              </w:tc>
              <w:tc>
                <w:tcPr>
                  <w:tcW w:w="37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2400</w:t>
                  </w:r>
                </w:p>
              </w:tc>
              <w:tc>
                <w:tcPr>
                  <w:tcW w:w="487"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制棒</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1.33</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.554</w:t>
                  </w: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水喷淋</w:t>
                  </w: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是</w:t>
                  </w:r>
                </w:p>
              </w:tc>
              <w:tc>
                <w:tcPr>
                  <w:tcW w:w="541"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废气收集率</w:t>
                  </w:r>
                  <w:r>
                    <w:rPr>
                      <w:rFonts w:ascii="Times New Roman" w:cs="Times New Roman"/>
                      <w:color w:val="000000" w:themeColor="text1"/>
                      <w:sz w:val="21"/>
                      <w:szCs w:val="21"/>
                      <w:u w:val="single"/>
                      <w14:textFill>
                        <w14:solidFill>
                          <w14:schemeClr w14:val="tx1"/>
                        </w14:solidFill>
                      </w14:textFill>
                    </w:rPr>
                    <w:t>100</w:t>
                  </w:r>
                  <w:r>
                    <w:rPr>
                      <w:rFonts w:hint="eastAsia" w:ascii="Times New Roman" w:cs="Times New Roman"/>
                      <w:color w:val="000000" w:themeColor="text1"/>
                      <w:sz w:val="21"/>
                      <w:szCs w:val="21"/>
                      <w:u w:val="single"/>
                      <w14:textFill>
                        <w14:solidFill>
                          <w14:schemeClr w14:val="tx1"/>
                        </w14:solidFill>
                      </w14:textFill>
                    </w:rPr>
                    <w:t>%处理效率</w:t>
                  </w:r>
                  <w:r>
                    <w:rPr>
                      <w:rFonts w:ascii="Times New Roman" w:cs="Times New Roman"/>
                      <w:color w:val="000000" w:themeColor="text1"/>
                      <w:sz w:val="21"/>
                      <w:szCs w:val="21"/>
                      <w:u w:val="single"/>
                      <w14:textFill>
                        <w14:solidFill>
                          <w14:schemeClr w14:val="tx1"/>
                        </w14:solidFill>
                      </w14:textFill>
                    </w:rPr>
                    <w:t>7</w:t>
                  </w:r>
                  <w:r>
                    <w:rPr>
                      <w:rFonts w:hint="eastAsia" w:ascii="Times New Roman" w:cs="Times New Roman"/>
                      <w:color w:val="000000" w:themeColor="text1"/>
                      <w:sz w:val="21"/>
                      <w:szCs w:val="21"/>
                      <w:u w:val="single"/>
                      <w14:textFill>
                        <w14:solidFill>
                          <w14:schemeClr w14:val="tx1"/>
                        </w14:solidFill>
                      </w14:textFill>
                    </w:rPr>
                    <w:t>0%</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.399</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.166</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16.7</w:t>
                  </w:r>
                </w:p>
              </w:tc>
              <w:tc>
                <w:tcPr>
                  <w:tcW w:w="37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2400</w:t>
                  </w:r>
                </w:p>
              </w:tc>
              <w:tc>
                <w:tcPr>
                  <w:tcW w:w="487"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D</w:t>
                  </w:r>
                  <w:r>
                    <w:rPr>
                      <w:rFonts w:ascii="Times New Roman" w:cs="Times New Roman"/>
                      <w:color w:val="000000" w:themeColor="text1"/>
                      <w:sz w:val="21"/>
                      <w:szCs w:val="21"/>
                      <w14:textFill>
                        <w14:solidFill>
                          <w14:schemeClr w14:val="tx1"/>
                        </w14:solidFill>
                      </w14:textFill>
                    </w:rPr>
                    <w:t>A001</w:t>
                  </w:r>
                  <w:r>
                    <w:rPr>
                      <w:rFonts w:hint="eastAsia" w:ascii="Times New Roman" w:cs="Times New Roman"/>
                      <w:color w:val="000000" w:themeColor="text1"/>
                      <w:sz w:val="21"/>
                      <w:szCs w:val="21"/>
                      <w14:textFill>
                        <w14:solidFill>
                          <w14:schemeClr w14:val="tx1"/>
                        </w14:solidFill>
                      </w14:textFill>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装卸储存输送</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lang w:val="zh-CN"/>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405</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06</w:t>
                  </w: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p>
              </w:tc>
              <w:tc>
                <w:tcPr>
                  <w:tcW w:w="252"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w:t>
                  </w:r>
                </w:p>
              </w:tc>
              <w:tc>
                <w:tcPr>
                  <w:tcW w:w="541"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405</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0.006</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w:t>
                  </w:r>
                </w:p>
              </w:tc>
              <w:tc>
                <w:tcPr>
                  <w:tcW w:w="37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7200</w:t>
                  </w:r>
                </w:p>
              </w:tc>
              <w:tc>
                <w:tcPr>
                  <w:tcW w:w="487"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炭化（烘干机未工作）、点火燃烧废气</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0.630</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.128</w:t>
                  </w:r>
                </w:p>
              </w:tc>
              <w:tc>
                <w:tcPr>
                  <w:tcW w:w="252"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直排</w:t>
                  </w:r>
                </w:p>
              </w:tc>
              <w:tc>
                <w:tcPr>
                  <w:tcW w:w="252"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是</w:t>
                  </w:r>
                </w:p>
              </w:tc>
              <w:tc>
                <w:tcPr>
                  <w:tcW w:w="541"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废气</w:t>
                  </w:r>
                  <w:r>
                    <w:rPr>
                      <w:rFonts w:ascii="Times New Roman" w:cs="Times New Roman"/>
                      <w:color w:val="000000" w:themeColor="text1"/>
                      <w:sz w:val="21"/>
                      <w:szCs w:val="21"/>
                      <w14:textFill>
                        <w14:solidFill>
                          <w14:schemeClr w14:val="tx1"/>
                        </w14:solidFill>
                      </w14:textFill>
                    </w:rPr>
                    <w:t>收集率</w:t>
                  </w:r>
                  <w:r>
                    <w:rPr>
                      <w:rFonts w:hint="eastAsia" w:ascii="Times New Roman" w:cs="Times New Roman"/>
                      <w:color w:val="000000" w:themeColor="text1"/>
                      <w:sz w:val="21"/>
                      <w:szCs w:val="21"/>
                      <w14:textFill>
                        <w14:solidFill>
                          <w14:schemeClr w14:val="tx1"/>
                        </w14:solidFill>
                      </w14:textFill>
                    </w:rPr>
                    <w:t>10</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14:textFill>
                        <w14:solidFill>
                          <w14:schemeClr w14:val="tx1"/>
                        </w14:solidFill>
                      </w14:textFill>
                    </w:rPr>
                    <w:t>；去除率0%</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0.630</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.128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13.2</w:t>
                  </w:r>
                </w:p>
              </w:tc>
              <w:tc>
                <w:tcPr>
                  <w:tcW w:w="375"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4800</w:t>
                  </w:r>
                </w:p>
              </w:tc>
              <w:tc>
                <w:tcPr>
                  <w:tcW w:w="487" w:type="pct"/>
                  <w:vMerge w:val="restar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DA003排气筒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SO</w:t>
                  </w:r>
                  <w:r>
                    <w:rPr>
                      <w:rFonts w:hint="eastAsia" w:ascii="Times New Roman" w:cs="Times New Roman"/>
                      <w:color w:val="000000" w:themeColor="text1"/>
                      <w:sz w:val="21"/>
                      <w:szCs w:val="21"/>
                      <w:vertAlign w:val="subscript"/>
                      <w14:textFill>
                        <w14:solidFill>
                          <w14:schemeClr w14:val="tx1"/>
                        </w14:solidFill>
                      </w14:textFill>
                    </w:rPr>
                    <w:t>2</w:t>
                  </w:r>
                </w:p>
              </w:tc>
              <w:tc>
                <w:tcPr>
                  <w:tcW w:w="463"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0.309</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0.065</w:t>
                  </w:r>
                </w:p>
              </w:tc>
              <w:tc>
                <w:tcPr>
                  <w:tcW w:w="252"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252"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541"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0.309</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0.065</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6.5</w:t>
                  </w:r>
                </w:p>
              </w:tc>
              <w:tc>
                <w:tcPr>
                  <w:tcW w:w="375"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87"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NOx</w:t>
                  </w:r>
                </w:p>
              </w:tc>
              <w:tc>
                <w:tcPr>
                  <w:tcW w:w="463"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0.807</w:t>
                  </w:r>
                </w:p>
              </w:tc>
              <w:tc>
                <w:tcPr>
                  <w:tcW w:w="469"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.168</w:t>
                  </w:r>
                </w:p>
              </w:tc>
              <w:tc>
                <w:tcPr>
                  <w:tcW w:w="252"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252"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541"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0.807</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.168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1</w:t>
                  </w:r>
                  <w:r>
                    <w:rPr>
                      <w:rFonts w:ascii="Times New Roman" w:cs="Times New Roman"/>
                      <w:color w:val="000000" w:themeColor="text1"/>
                      <w:sz w:val="21"/>
                      <w:szCs w:val="21"/>
                      <w:u w:val="single"/>
                      <w14:textFill>
                        <w14:solidFill>
                          <w14:schemeClr w14:val="tx1"/>
                        </w14:solidFill>
                      </w14:textFill>
                    </w:rPr>
                    <w:t>6.8</w:t>
                  </w:r>
                </w:p>
              </w:tc>
              <w:tc>
                <w:tcPr>
                  <w:tcW w:w="375"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87" w:type="pct"/>
                  <w:vMerge w:val="continue"/>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颗粒物</w:t>
                  </w:r>
                </w:p>
              </w:tc>
              <w:tc>
                <w:tcPr>
                  <w:tcW w:w="463"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钾钠长石烘干包装</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5.68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2.37</w:t>
                  </w:r>
                </w:p>
              </w:tc>
              <w:tc>
                <w:tcPr>
                  <w:tcW w:w="252"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布袋除尘</w:t>
                  </w:r>
                </w:p>
              </w:tc>
              <w:tc>
                <w:tcPr>
                  <w:tcW w:w="252"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是</w:t>
                  </w:r>
                </w:p>
              </w:tc>
              <w:tc>
                <w:tcPr>
                  <w:tcW w:w="541"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去除</w:t>
                  </w:r>
                  <w:r>
                    <w:rPr>
                      <w:rFonts w:ascii="Times New Roman" w:cs="Times New Roman"/>
                      <w:color w:val="000000" w:themeColor="text1"/>
                      <w:sz w:val="21"/>
                      <w:szCs w:val="21"/>
                      <w14:textFill>
                        <w14:solidFill>
                          <w14:schemeClr w14:val="tx1"/>
                        </w14:solidFill>
                      </w14:textFill>
                    </w:rPr>
                    <w:t>率</w:t>
                  </w:r>
                  <w:r>
                    <w:rPr>
                      <w:rFonts w:hint="eastAsia" w:ascii="Times New Roman" w:cs="Times New Roman"/>
                      <w:color w:val="000000" w:themeColor="text1"/>
                      <w:sz w:val="21"/>
                      <w:szCs w:val="21"/>
                      <w14:textFill>
                        <w14:solidFill>
                          <w14:schemeClr w14:val="tx1"/>
                        </w14:solidFill>
                      </w14:textFill>
                    </w:rPr>
                    <w:t>9</w:t>
                  </w:r>
                  <w:r>
                    <w:rPr>
                      <w:rFonts w:ascii="Times New Roman" w:cs="Times New Roman"/>
                      <w:color w:val="000000" w:themeColor="text1"/>
                      <w:sz w:val="21"/>
                      <w:szCs w:val="21"/>
                      <w14:textFill>
                        <w14:solidFill>
                          <w14:schemeClr w14:val="tx1"/>
                        </w14:solidFill>
                      </w14:textFill>
                    </w:rPr>
                    <w:t>9</w:t>
                  </w:r>
                  <w:r>
                    <w:rPr>
                      <w:rFonts w:hint="eastAsia" w:ascii="Times New Roman" w:cs="Times New Roman"/>
                      <w:color w:val="000000" w:themeColor="text1"/>
                      <w:sz w:val="21"/>
                      <w:szCs w:val="21"/>
                      <w14:textFill>
                        <w14:solidFill>
                          <w14:schemeClr w14:val="tx1"/>
                        </w14:solidFill>
                      </w14:textFill>
                    </w:rPr>
                    <w:t>%</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0.0568</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hint="eastAsia" w:ascii="Times New Roman" w:cs="Times New Roman"/>
                      <w:color w:val="000000" w:themeColor="text1"/>
                      <w:sz w:val="21"/>
                      <w:szCs w:val="21"/>
                      <w:u w:val="single"/>
                      <w14:textFill>
                        <w14:solidFill>
                          <w14:schemeClr w14:val="tx1"/>
                        </w14:solidFill>
                      </w14:textFill>
                    </w:rPr>
                    <w:t>0</w:t>
                  </w:r>
                  <w:r>
                    <w:rPr>
                      <w:rFonts w:ascii="Times New Roman" w:cs="Times New Roman"/>
                      <w:color w:val="000000" w:themeColor="text1"/>
                      <w:sz w:val="21"/>
                      <w:szCs w:val="21"/>
                      <w:u w:val="single"/>
                      <w14:textFill>
                        <w14:solidFill>
                          <w14:schemeClr w14:val="tx1"/>
                        </w14:solidFill>
                      </w14:textFill>
                    </w:rPr>
                    <w:t>.0237</w:t>
                  </w:r>
                </w:p>
              </w:tc>
              <w:tc>
                <w:tcPr>
                  <w:tcW w:w="469" w:type="pct"/>
                  <w:vAlign w:val="center"/>
                </w:tcPr>
                <w:p>
                  <w:pPr>
                    <w:pStyle w:val="30"/>
                    <w:spacing w:line="240" w:lineRule="auto"/>
                    <w:jc w:val="center"/>
                    <w:rPr>
                      <w:rFonts w:ascii="Times New Roman" w:cs="Times New Roman"/>
                      <w:color w:val="000000" w:themeColor="text1"/>
                      <w:sz w:val="21"/>
                      <w:szCs w:val="21"/>
                      <w:u w:val="single"/>
                      <w14:textFill>
                        <w14:solidFill>
                          <w14:schemeClr w14:val="tx1"/>
                        </w14:solidFill>
                      </w14:textFill>
                    </w:rPr>
                  </w:pPr>
                  <w:r>
                    <w:rPr>
                      <w:rFonts w:ascii="Times New Roman" w:cs="Times New Roman"/>
                      <w:color w:val="000000" w:themeColor="text1"/>
                      <w:sz w:val="21"/>
                      <w:szCs w:val="21"/>
                      <w:u w:val="single"/>
                      <w14:textFill>
                        <w14:solidFill>
                          <w14:schemeClr w14:val="tx1"/>
                        </w14:solidFill>
                      </w14:textFill>
                    </w:rPr>
                    <w:t>2.37</w:t>
                  </w:r>
                </w:p>
              </w:tc>
              <w:tc>
                <w:tcPr>
                  <w:tcW w:w="375"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p>
              </w:tc>
              <w:tc>
                <w:tcPr>
                  <w:tcW w:w="487" w:type="pct"/>
                  <w:vAlign w:val="center"/>
                </w:tcPr>
                <w:p>
                  <w:pPr>
                    <w:pStyle w:val="30"/>
                    <w:spacing w:line="240" w:lineRule="auto"/>
                    <w:jc w:val="center"/>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无组织</w:t>
                  </w:r>
                </w:p>
              </w:tc>
            </w:tr>
          </w:tbl>
          <w:p>
            <w:pPr>
              <w:adjustRightInd w:val="0"/>
              <w:snapToGrid w:val="0"/>
              <w:spacing w:line="360" w:lineRule="auto"/>
              <w:ind w:firstLine="382" w:firstLineChars="200"/>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注1：本项目为竹炭加工行业，涉及到工业炉窑，对照《排污许可证申请与核发技术规范 工业炉窑》（HJ1121-2020）的表14，供热炉窑产生的废气采用的布袋除尘技术是可行技术，对照《排污许可证申请与核发技术规范 废弃资源加工工业》（HJ1034-2019），其破碎加工产生的粉尘采用布袋除尘技术也为可行技术。</w:t>
            </w:r>
          </w:p>
          <w:p>
            <w:pPr>
              <w:adjustRightInd w:val="0"/>
              <w:snapToGrid w:val="0"/>
              <w:spacing w:line="360" w:lineRule="auto"/>
              <w:ind w:firstLine="382" w:firstLineChars="200"/>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注2：烘干废气、炭化废气考虑到一体化烘干炭化设备基本一天24小时运行，考虑运行时长为</w:t>
            </w:r>
            <w:r>
              <w:rPr>
                <w:b/>
                <w:color w:val="000000" w:themeColor="text1"/>
                <w:spacing w:val="-10"/>
                <w:szCs w:val="21"/>
                <w14:textFill>
                  <w14:solidFill>
                    <w14:schemeClr w14:val="tx1"/>
                  </w14:solidFill>
                </w14:textFill>
              </w:rPr>
              <w:t>48</w:t>
            </w:r>
            <w:r>
              <w:rPr>
                <w:rFonts w:hint="eastAsia"/>
                <w:b/>
                <w:color w:val="000000" w:themeColor="text1"/>
                <w:spacing w:val="-10"/>
                <w:szCs w:val="21"/>
                <w14:textFill>
                  <w14:solidFill>
                    <w14:schemeClr w14:val="tx1"/>
                  </w14:solidFill>
                </w14:textFill>
              </w:rPr>
              <w:t>00h/a进行计算，其余生产设备及工作按2400h/a计算。</w:t>
            </w:r>
          </w:p>
          <w:p>
            <w:pPr>
              <w:adjustRightInd w:val="0"/>
              <w:snapToGrid w:val="0"/>
              <w:spacing w:line="360" w:lineRule="auto"/>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1.2废气污染源强核算</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本项目的产品、原料、工艺、废气治理工艺与</w:t>
            </w:r>
            <w:r>
              <w:rPr>
                <w:rFonts w:hint="eastAsia"/>
                <w:color w:val="000000" w:themeColor="text1"/>
                <w:sz w:val="24"/>
                <w14:textFill>
                  <w14:solidFill>
                    <w14:schemeClr w14:val="tx1"/>
                  </w14:solidFill>
                </w14:textFill>
              </w:rPr>
              <w:t>《</w:t>
            </w:r>
            <w:r>
              <w:rPr>
                <w:rFonts w:eastAsiaTheme="minorEastAsia"/>
                <w:color w:val="000000" w:themeColor="text1"/>
                <w:sz w:val="24"/>
                <w14:textFill>
                  <w14:solidFill>
                    <w14:schemeClr w14:val="tx1"/>
                  </w14:solidFill>
                </w14:textFill>
              </w:rPr>
              <w:t>衡阳爵硕炭业有限公司年产600吨机制竹炭生产项目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基本一致，因此，本项目</w:t>
            </w:r>
            <w:r>
              <w:rPr>
                <w:rFonts w:hint="eastAsia"/>
                <w:color w:val="000000" w:themeColor="text1"/>
                <w:sz w:val="24"/>
                <w14:textFill>
                  <w14:solidFill>
                    <w14:schemeClr w14:val="tx1"/>
                  </w14:solidFill>
                </w14:textFill>
              </w:rPr>
              <w:t>装卸、储存、制棒等</w:t>
            </w:r>
            <w:r>
              <w:rPr>
                <w:color w:val="000000" w:themeColor="text1"/>
                <w:sz w:val="24"/>
                <w14:textFill>
                  <w14:solidFill>
                    <w14:schemeClr w14:val="tx1"/>
                  </w14:solidFill>
                </w14:textFill>
              </w:rPr>
              <w:t>过程中产生的粉尘参照</w:t>
            </w:r>
            <w:r>
              <w:rPr>
                <w:rFonts w:hint="eastAsia"/>
                <w:color w:val="000000" w:themeColor="text1"/>
                <w:sz w:val="24"/>
                <w14:textFill>
                  <w14:solidFill>
                    <w14:schemeClr w14:val="tx1"/>
                  </w14:solidFill>
                </w14:textFill>
              </w:rPr>
              <w:t>《</w:t>
            </w:r>
            <w:r>
              <w:rPr>
                <w:rFonts w:eastAsiaTheme="minorEastAsia"/>
                <w:color w:val="000000" w:themeColor="text1"/>
                <w:sz w:val="24"/>
                <w14:textFill>
                  <w14:solidFill>
                    <w14:schemeClr w14:val="tx1"/>
                  </w14:solidFill>
                </w14:textFill>
              </w:rPr>
              <w:t>衡阳爵硕炭业有限公司年产600吨机制竹炭生产项目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的数据</w:t>
            </w:r>
            <w:r>
              <w:rPr>
                <w:rFonts w:hint="eastAsia"/>
                <w:color w:val="000000" w:themeColor="text1"/>
                <w:sz w:val="24"/>
                <w14:textFill>
                  <w14:solidFill>
                    <w14:schemeClr w14:val="tx1"/>
                  </w14:solidFill>
                </w14:textFill>
              </w:rPr>
              <w:t>：</w:t>
            </w:r>
          </w:p>
          <w:p>
            <w:pPr>
              <w:pStyle w:val="2"/>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表4</w:t>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项目类比可行性分析一览表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552"/>
              <w:gridCol w:w="2268"/>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类别项目</w:t>
                  </w:r>
                </w:p>
              </w:tc>
              <w:tc>
                <w:tcPr>
                  <w:tcW w:w="2552"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w:t>
                  </w:r>
                </w:p>
              </w:tc>
              <w:tc>
                <w:tcPr>
                  <w:tcW w:w="2268" w:type="dxa"/>
                </w:tcPr>
                <w:p>
                  <w:pPr>
                    <w:jc w:val="center"/>
                    <w:rPr>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衡阳爵硕炭业</w:t>
                  </w:r>
                  <w:r>
                    <w:rPr>
                      <w:rFonts w:hint="eastAsia" w:eastAsiaTheme="minorEastAsia"/>
                      <w:color w:val="000000" w:themeColor="text1"/>
                      <w:szCs w:val="21"/>
                      <w14:textFill>
                        <w14:solidFill>
                          <w14:schemeClr w14:val="tx1"/>
                        </w14:solidFill>
                      </w14:textFill>
                    </w:rPr>
                    <w:t>项目</w:t>
                  </w:r>
                </w:p>
              </w:tc>
              <w:tc>
                <w:tcPr>
                  <w:tcW w:w="1304"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产品</w:t>
                  </w:r>
                </w:p>
              </w:tc>
              <w:tc>
                <w:tcPr>
                  <w:tcW w:w="255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机制炭</w:t>
                  </w:r>
                  <w:r>
                    <w:rPr>
                      <w:color w:val="000000" w:themeColor="text1"/>
                      <w14:textFill>
                        <w14:solidFill>
                          <w14:schemeClr w14:val="tx1"/>
                        </w14:solidFill>
                      </w14:textFill>
                    </w:rPr>
                    <w:t>800</w:t>
                  </w:r>
                  <w:r>
                    <w:rPr>
                      <w:rFonts w:hint="eastAsia"/>
                      <w:color w:val="000000" w:themeColor="text1"/>
                      <w14:textFill>
                        <w14:solidFill>
                          <w14:schemeClr w14:val="tx1"/>
                        </w14:solidFill>
                      </w14:textFill>
                    </w:rPr>
                    <w:t>t/a</w:t>
                  </w:r>
                </w:p>
              </w:tc>
              <w:tc>
                <w:tcPr>
                  <w:tcW w:w="2268"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机制炭6</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t/a</w:t>
                  </w:r>
                </w:p>
              </w:tc>
              <w:tc>
                <w:tcPr>
                  <w:tcW w:w="1304"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原料</w:t>
                  </w:r>
                </w:p>
              </w:tc>
              <w:tc>
                <w:tcPr>
                  <w:tcW w:w="2552" w:type="dxa"/>
                </w:tcPr>
                <w:p>
                  <w:pPr>
                    <w:rPr>
                      <w:color w:val="000000" w:themeColor="text1"/>
                      <w14:textFill>
                        <w14:solidFill>
                          <w14:schemeClr w14:val="tx1"/>
                        </w14:solidFill>
                      </w14:textFill>
                    </w:rPr>
                  </w:pPr>
                  <w:r>
                    <w:rPr>
                      <w:rFonts w:eastAsiaTheme="minorEastAsia"/>
                      <w:color w:val="000000" w:themeColor="text1"/>
                      <w:szCs w:val="21"/>
                      <w14:textFill>
                        <w14:solidFill>
                          <w14:schemeClr w14:val="tx1"/>
                        </w14:solidFill>
                      </w14:textFill>
                    </w:rPr>
                    <w:t>废竹</w:t>
                  </w:r>
                  <w:r>
                    <w:rPr>
                      <w:rFonts w:hint="eastAsia" w:eastAsiaTheme="minorEastAsia"/>
                      <w:color w:val="000000" w:themeColor="text1"/>
                      <w:szCs w:val="21"/>
                      <w14:textFill>
                        <w14:solidFill>
                          <w14:schemeClr w14:val="tx1"/>
                        </w14:solidFill>
                      </w14:textFill>
                    </w:rPr>
                    <w:t>料、木屑、</w:t>
                  </w:r>
                  <w:r>
                    <w:rPr>
                      <w:color w:val="000000" w:themeColor="text1"/>
                      <w14:textFill>
                        <w14:solidFill>
                          <w14:schemeClr w14:val="tx1"/>
                        </w14:solidFill>
                      </w14:textFill>
                    </w:rPr>
                    <w:t>秸秆</w:t>
                  </w:r>
                  <w:r>
                    <w:rPr>
                      <w:rFonts w:eastAsiaTheme="minorEastAsia"/>
                      <w:color w:val="000000" w:themeColor="text1"/>
                      <w:szCs w:val="21"/>
                      <w14:textFill>
                        <w14:solidFill>
                          <w14:schemeClr w14:val="tx1"/>
                        </w14:solidFill>
                      </w14:textFill>
                    </w:rPr>
                    <w:t>4020t</w:t>
                  </w:r>
                </w:p>
              </w:tc>
              <w:tc>
                <w:tcPr>
                  <w:tcW w:w="2268" w:type="dxa"/>
                </w:tcPr>
                <w:p>
                  <w:pPr>
                    <w:rPr>
                      <w:color w:val="000000" w:themeColor="text1"/>
                      <w14:textFill>
                        <w14:solidFill>
                          <w14:schemeClr w14:val="tx1"/>
                        </w14:solidFill>
                      </w14:textFill>
                    </w:rPr>
                  </w:pPr>
                  <w:r>
                    <w:rPr>
                      <w:rFonts w:eastAsiaTheme="minorEastAsia"/>
                      <w:color w:val="000000" w:themeColor="text1"/>
                      <w:szCs w:val="21"/>
                      <w14:textFill>
                        <w14:solidFill>
                          <w14:schemeClr w14:val="tx1"/>
                        </w14:solidFill>
                      </w14:textFill>
                    </w:rPr>
                    <w:t>废竹</w:t>
                  </w:r>
                  <w:r>
                    <w:rPr>
                      <w:rFonts w:hint="eastAsia" w:eastAsiaTheme="minorEastAsia"/>
                      <w:color w:val="000000" w:themeColor="text1"/>
                      <w:szCs w:val="21"/>
                      <w14:textFill>
                        <w14:solidFill>
                          <w14:schemeClr w14:val="tx1"/>
                        </w14:solidFill>
                      </w14:textFill>
                    </w:rPr>
                    <w:t>料</w:t>
                  </w:r>
                  <w:r>
                    <w:rPr>
                      <w:rFonts w:eastAsiaTheme="minorEastAsia"/>
                      <w:color w:val="000000" w:themeColor="text1"/>
                      <w:szCs w:val="21"/>
                      <w14:textFill>
                        <w14:solidFill>
                          <w14:schemeClr w14:val="tx1"/>
                        </w14:solidFill>
                      </w14:textFill>
                    </w:rPr>
                    <w:t>3000t</w:t>
                  </w:r>
                </w:p>
              </w:tc>
              <w:tc>
                <w:tcPr>
                  <w:tcW w:w="1304"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设备</w:t>
                  </w:r>
                </w:p>
              </w:tc>
              <w:tc>
                <w:tcPr>
                  <w:tcW w:w="2552"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粉碎机、烘干机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制棒机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炭化窑</w:t>
                  </w:r>
                  <w:r>
                    <w:rPr>
                      <w:color w:val="000000" w:themeColor="text1"/>
                      <w14:textFill>
                        <w14:solidFill>
                          <w14:schemeClr w14:val="tx1"/>
                        </w14:solidFill>
                      </w14:textFill>
                    </w:rPr>
                    <w:t xml:space="preserve"> （</w:t>
                  </w:r>
                  <w:r>
                    <w:rPr>
                      <w:rFonts w:hint="eastAsia"/>
                      <w:bCs/>
                      <w:color w:val="000000" w:themeColor="text1"/>
                      <w:kern w:val="44"/>
                      <w:szCs w:val="21"/>
                      <w14:textFill>
                        <w14:solidFill>
                          <w14:schemeClr w14:val="tx1"/>
                        </w14:solidFill>
                      </w14:textFill>
                    </w:rPr>
                    <w:t>3.3m×2m×2.2m，</w:t>
                  </w:r>
                  <w:r>
                    <w:rPr>
                      <w:rFonts w:hint="eastAsia"/>
                      <w:color w:val="000000" w:themeColor="text1"/>
                      <w:szCs w:val="21"/>
                      <w14:textFill>
                        <w14:solidFill>
                          <w14:schemeClr w14:val="tx1"/>
                        </w14:solidFill>
                      </w14:textFill>
                    </w:rPr>
                    <w:t>共3</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门</w:t>
                  </w:r>
                  <w:r>
                    <w:rPr>
                      <w:color w:val="000000" w:themeColor="text1"/>
                      <w14:textFill>
                        <w14:solidFill>
                          <w14:schemeClr w14:val="tx1"/>
                        </w14:solidFill>
                      </w14:textFill>
                    </w:rPr>
                    <w:t>）</w:t>
                  </w:r>
                </w:p>
              </w:tc>
              <w:tc>
                <w:tcPr>
                  <w:tcW w:w="2268"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粉碎机、烘干机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制棒机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炭化窑</w:t>
                  </w:r>
                  <w:r>
                    <w:rPr>
                      <w:rFonts w:hint="eastAsia"/>
                      <w:color w:val="000000" w:themeColor="text1"/>
                      <w14:textFill>
                        <w14:solidFill>
                          <w14:schemeClr w14:val="tx1"/>
                        </w14:solidFill>
                      </w14:textFill>
                    </w:rPr>
                    <w:t>（</w:t>
                  </w:r>
                  <w:r>
                    <w:rPr>
                      <w:rFonts w:hint="eastAsia"/>
                      <w:bCs/>
                      <w:color w:val="000000" w:themeColor="text1"/>
                      <w:kern w:val="44"/>
                      <w:szCs w:val="21"/>
                      <w14:textFill>
                        <w14:solidFill>
                          <w14:schemeClr w14:val="tx1"/>
                        </w14:solidFill>
                      </w14:textFill>
                    </w:rPr>
                    <w:t>3.3m×2m×2.2m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门）</w:t>
                  </w:r>
                </w:p>
              </w:tc>
              <w:tc>
                <w:tcPr>
                  <w:tcW w:w="130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生产工艺</w:t>
                  </w:r>
                </w:p>
              </w:tc>
              <w:tc>
                <w:tcPr>
                  <w:tcW w:w="2552"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破碎-烘干-制棒-炭化</w:t>
                  </w:r>
                </w:p>
              </w:tc>
              <w:tc>
                <w:tcPr>
                  <w:tcW w:w="2268"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破碎-烘干-制棒-炭化</w:t>
                  </w:r>
                </w:p>
              </w:tc>
              <w:tc>
                <w:tcPr>
                  <w:tcW w:w="1304"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一致</w:t>
                  </w:r>
                </w:p>
              </w:tc>
            </w:tr>
          </w:tbl>
          <w:p>
            <w:pPr>
              <w:spacing w:line="360" w:lineRule="auto"/>
              <w:rPr>
                <w:rFonts w:eastAsiaTheme="minorEastAsia"/>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r>
              <w:rPr>
                <w:rFonts w:eastAsiaTheme="minorEastAsia"/>
                <w:color w:val="000000" w:themeColor="text1"/>
                <w:sz w:val="24"/>
                <w14:textFill>
                  <w14:solidFill>
                    <w14:schemeClr w14:val="tx1"/>
                  </w14:solidFill>
                </w14:textFill>
              </w:rPr>
              <w:t xml:space="preserve">  </w:t>
            </w:r>
            <w:r>
              <w:rPr>
                <w:rFonts w:hint="eastAsia" w:eastAsiaTheme="minorEastAsia"/>
                <w:color w:val="000000" w:themeColor="text1"/>
                <w:sz w:val="24"/>
                <w14:textFill>
                  <w14:solidFill>
                    <w14:schemeClr w14:val="tx1"/>
                  </w14:solidFill>
                </w14:textFill>
              </w:rPr>
              <w:t>因此本项目与《</w:t>
            </w:r>
            <w:r>
              <w:rPr>
                <w:rFonts w:eastAsiaTheme="minorEastAsia"/>
                <w:color w:val="000000" w:themeColor="text1"/>
                <w:sz w:val="24"/>
                <w14:textFill>
                  <w14:solidFill>
                    <w14:schemeClr w14:val="tx1"/>
                  </w14:solidFill>
                </w14:textFill>
              </w:rPr>
              <w:t>衡阳爵硕炭业有限公司年产600吨机制竹炭生产项目</w:t>
            </w:r>
            <w:r>
              <w:rPr>
                <w:rFonts w:hint="eastAsia" w:eastAsiaTheme="minorEastAsia"/>
                <w:color w:val="000000" w:themeColor="text1"/>
                <w:sz w:val="24"/>
                <w14:textFill>
                  <w14:solidFill>
                    <w14:schemeClr w14:val="tx1"/>
                  </w14:solidFill>
                </w14:textFill>
              </w:rPr>
              <w:t>》具有可类比性。</w:t>
            </w:r>
          </w:p>
          <w:p>
            <w:pPr>
              <w:adjustRightInd w:val="0"/>
              <w:snapToGrid w:val="0"/>
              <w:spacing w:line="360" w:lineRule="auto"/>
              <w:ind w:firstLine="440" w:firstLineChars="200"/>
              <w:rPr>
                <w:bCs/>
                <w:color w:val="000000" w:themeColor="text1"/>
                <w:spacing w:val="-10"/>
                <w:sz w:val="24"/>
                <w14:textFill>
                  <w14:solidFill>
                    <w14:schemeClr w14:val="tx1"/>
                  </w14:solidFill>
                </w14:textFill>
              </w:rPr>
            </w:pPr>
            <w:r>
              <w:rPr>
                <w:rFonts w:hint="eastAsia"/>
                <w:bCs/>
                <w:color w:val="000000" w:themeColor="text1"/>
                <w:spacing w:val="-10"/>
                <w:sz w:val="24"/>
                <w14:textFill>
                  <w14:solidFill>
                    <w14:schemeClr w14:val="tx1"/>
                  </w14:solidFill>
                </w14:textFill>
              </w:rPr>
              <w:t>（1）装卸、储存、输送</w:t>
            </w:r>
            <w:r>
              <w:rPr>
                <w:bCs/>
                <w:color w:val="000000" w:themeColor="text1"/>
                <w:spacing w:val="-10"/>
                <w:sz w:val="24"/>
                <w14:textFill>
                  <w14:solidFill>
                    <w14:schemeClr w14:val="tx1"/>
                  </w14:solidFill>
                </w14:textFill>
              </w:rPr>
              <w:t>废气</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color w:val="000000" w:themeColor="text1"/>
                <w:sz w:val="24"/>
                <w14:textFill>
                  <w14:solidFill>
                    <w14:schemeClr w14:val="tx1"/>
                  </w14:solidFill>
                </w14:textFill>
              </w:rPr>
              <w:t>根据《污染源源强核算技术指南 准则》（HJ884-2018），采用</w:t>
            </w:r>
            <w:r>
              <w:rPr>
                <w:rFonts w:hint="eastAsia"/>
                <w:color w:val="000000" w:themeColor="text1"/>
                <w:sz w:val="24"/>
                <w14:textFill>
                  <w14:solidFill>
                    <w14:schemeClr w14:val="tx1"/>
                  </w14:solidFill>
                </w14:textFill>
              </w:rPr>
              <w:t>类比法</w:t>
            </w:r>
            <w:r>
              <w:rPr>
                <w:color w:val="000000" w:themeColor="text1"/>
                <w:sz w:val="24"/>
                <w14:textFill>
                  <w14:solidFill>
                    <w14:schemeClr w14:val="tx1"/>
                  </w14:solidFill>
                </w14:textFill>
              </w:rPr>
              <w:t>计算</w:t>
            </w:r>
            <w:r>
              <w:rPr>
                <w:bCs/>
                <w:color w:val="000000" w:themeColor="text1"/>
                <w:spacing w:val="-10"/>
                <w:sz w:val="24"/>
                <w14:textFill>
                  <w14:solidFill>
                    <w14:schemeClr w14:val="tx1"/>
                  </w14:solidFill>
                </w14:textFill>
              </w:rPr>
              <w:t>：</w:t>
            </w:r>
            <w:r>
              <w:rPr>
                <w:rFonts w:hint="eastAsia"/>
                <w:color w:val="000000" w:themeColor="text1"/>
                <w:sz w:val="24"/>
                <w:lang w:val="zh-CN"/>
                <w14:textFill>
                  <w14:solidFill>
                    <w14:schemeClr w14:val="tx1"/>
                  </w14:solidFill>
                </w14:textFill>
              </w:rPr>
              <w:t>项目原料装卸、厂内输送、厂内堆存都会产生一定量的粉尘。原料堆场中的物料需要达到一定风速才会起尘，这种临界风速成为起动风速，它主要同颗粒直径及物料含水率有关。项目原料堆场为钢结构大棚，车间相对密闭，场内</w:t>
            </w:r>
            <w:r>
              <w:rPr>
                <w:rFonts w:hint="eastAsia"/>
                <w:color w:val="000000" w:themeColor="text1"/>
                <w:sz w:val="24"/>
                <w:lang w:val="zh-CN"/>
                <w14:textFill>
                  <w14:solidFill>
                    <w14:schemeClr w14:val="tx1"/>
                  </w14:solidFill>
                </w14:textFill>
              </w:rPr>
              <w:t>输送采用U型皮带运输机，且项目原料有一定的含水率，不易起尘，类比同类项目</w:t>
            </w:r>
            <w:r>
              <w:rPr>
                <w:rFonts w:hint="eastAsia"/>
                <w:color w:val="000000" w:themeColor="text1"/>
                <w:sz w:val="24"/>
                <w:u w:val="single"/>
                <w14:textFill>
                  <w14:solidFill>
                    <w14:schemeClr w14:val="tx1"/>
                  </w14:solidFill>
                </w14:textFill>
              </w:rPr>
              <w:t>《</w:t>
            </w:r>
            <w:r>
              <w:rPr>
                <w:rFonts w:eastAsiaTheme="minorEastAsia"/>
                <w:color w:val="000000" w:themeColor="text1"/>
                <w:sz w:val="24"/>
                <w:u w:val="single"/>
                <w14:textFill>
                  <w14:solidFill>
                    <w14:schemeClr w14:val="tx1"/>
                  </w14:solidFill>
                </w14:textFill>
              </w:rPr>
              <w:t>衡阳爵硕炭业有限公司年产600吨机制竹炭生产项目</w:t>
            </w:r>
            <w:r>
              <w:rPr>
                <w:rFonts w:hint="eastAsia"/>
                <w:color w:val="000000" w:themeColor="text1"/>
                <w:sz w:val="24"/>
                <w:u w:val="single"/>
                <w14:textFill>
                  <w14:solidFill>
                    <w14:schemeClr w14:val="tx1"/>
                  </w14:solidFill>
                </w14:textFill>
              </w:rPr>
              <w:t>》</w:t>
            </w:r>
            <w:r>
              <w:rPr>
                <w:rFonts w:hint="eastAsia"/>
                <w:color w:val="000000" w:themeColor="text1"/>
                <w:sz w:val="24"/>
                <w:u w:val="single"/>
                <w:lang w:val="zh-CN"/>
                <w14:textFill>
                  <w14:solidFill>
                    <w14:schemeClr w14:val="tx1"/>
                  </w14:solidFill>
                </w14:textFill>
              </w:rPr>
              <w:t>，装卸储存产生的粉尘为原料用量的0.01%，原料用量约</w:t>
            </w:r>
            <w:r>
              <w:rPr>
                <w:color w:val="000000" w:themeColor="text1"/>
                <w:sz w:val="24"/>
                <w:u w:val="single"/>
                <w14:textFill>
                  <w14:solidFill>
                    <w14:schemeClr w14:val="tx1"/>
                  </w14:solidFill>
                </w14:textFill>
              </w:rPr>
              <w:t>4020</w:t>
            </w:r>
            <w:r>
              <w:rPr>
                <w:rFonts w:hint="eastAsia"/>
                <w:color w:val="000000" w:themeColor="text1"/>
                <w:sz w:val="24"/>
                <w:u w:val="single"/>
                <w:lang w:val="zh-CN"/>
                <w14:textFill>
                  <w14:solidFill>
                    <w14:schemeClr w14:val="tx1"/>
                  </w14:solidFill>
                </w14:textFill>
              </w:rPr>
              <w:t>t/a，即</w:t>
            </w:r>
            <w:r>
              <w:rPr>
                <w:rFonts w:hint="eastAsia"/>
                <w:color w:val="000000" w:themeColor="text1"/>
                <w:sz w:val="24"/>
                <w:u w:val="single"/>
                <w14:textFill>
                  <w14:solidFill>
                    <w14:schemeClr w14:val="tx1"/>
                  </w14:solidFill>
                </w14:textFill>
              </w:rPr>
              <w:t>粉尘产生量</w:t>
            </w:r>
            <w:r>
              <w:rPr>
                <w:rFonts w:hint="eastAsia"/>
                <w:color w:val="000000" w:themeColor="text1"/>
                <w:sz w:val="24"/>
                <w:u w:val="single"/>
                <w:lang w:val="zh-CN"/>
                <w14:textFill>
                  <w14:solidFill>
                    <w14:schemeClr w14:val="tx1"/>
                  </w14:solidFill>
                </w14:textFill>
              </w:rPr>
              <w:t>0.</w:t>
            </w:r>
            <w:r>
              <w:rPr>
                <w:color w:val="000000" w:themeColor="text1"/>
                <w:sz w:val="24"/>
                <w:u w:val="single"/>
                <w14:textFill>
                  <w14:solidFill>
                    <w14:schemeClr w14:val="tx1"/>
                  </w14:solidFill>
                </w14:textFill>
              </w:rPr>
              <w:t>402</w:t>
            </w:r>
            <w:r>
              <w:rPr>
                <w:rFonts w:hint="eastAsia"/>
                <w:color w:val="000000" w:themeColor="text1"/>
                <w:sz w:val="24"/>
                <w:u w:val="single"/>
                <w:lang w:val="zh-CN"/>
                <w14:textFill>
                  <w14:solidFill>
                    <w14:schemeClr w14:val="tx1"/>
                  </w14:solidFill>
                </w14:textFill>
              </w:rPr>
              <w:t>t/a</w:t>
            </w:r>
            <w:r>
              <w:rPr>
                <w:color w:val="000000" w:themeColor="text1"/>
                <w:sz w:val="24"/>
                <w:u w:val="single"/>
                <w:lang w:val="zh-CN"/>
                <w14:textFill>
                  <w14:solidFill>
                    <w14:schemeClr w14:val="tx1"/>
                  </w14:solidFill>
                </w14:textFill>
              </w:rPr>
              <w:t>根据《逸散性工业粉尘控制技术》，输送带送料上堆产尘系数取 0.0007kg/t，输送带运输物料量为4020t/a，则项目皮带输送转运粉尘产生量为 0.003t/a</w:t>
            </w:r>
            <w:r>
              <w:rPr>
                <w:rFonts w:hint="eastAsia"/>
                <w:color w:val="000000" w:themeColor="text1"/>
                <w:sz w:val="24"/>
                <w:u w:val="single"/>
                <w:lang w:val="zh-CN"/>
                <w14:textFill>
                  <w14:solidFill>
                    <w14:schemeClr w14:val="tx1"/>
                  </w14:solidFill>
                </w14:textFill>
              </w:rPr>
              <w:t>。则</w:t>
            </w:r>
            <w:r>
              <w:rPr>
                <w:rFonts w:hint="eastAsia"/>
                <w:bCs/>
                <w:color w:val="000000" w:themeColor="text1"/>
                <w:spacing w:val="-10"/>
                <w:sz w:val="24"/>
                <w:u w:val="single"/>
                <w14:textFill>
                  <w14:solidFill>
                    <w14:schemeClr w14:val="tx1"/>
                  </w14:solidFill>
                </w14:textFill>
              </w:rPr>
              <w:t>装卸、储存、运输颗粒物产生量为0</w:t>
            </w:r>
            <w:r>
              <w:rPr>
                <w:bCs/>
                <w:color w:val="000000" w:themeColor="text1"/>
                <w:spacing w:val="-10"/>
                <w:sz w:val="24"/>
                <w:u w:val="single"/>
                <w14:textFill>
                  <w14:solidFill>
                    <w14:schemeClr w14:val="tx1"/>
                  </w14:solidFill>
                </w14:textFill>
              </w:rPr>
              <w:t>.405</w:t>
            </w:r>
            <w:r>
              <w:rPr>
                <w:rFonts w:hint="eastAsia"/>
                <w:bCs/>
                <w:color w:val="000000" w:themeColor="text1"/>
                <w:spacing w:val="-10"/>
                <w:sz w:val="24"/>
                <w:u w:val="single"/>
                <w14:textFill>
                  <w14:solidFill>
                    <w14:schemeClr w14:val="tx1"/>
                  </w14:solidFill>
                </w14:textFill>
              </w:rPr>
              <w:t>t/a，</w:t>
            </w:r>
            <w:r>
              <w:rPr>
                <w:rFonts w:hint="eastAsia"/>
                <w:color w:val="000000" w:themeColor="text1"/>
                <w:sz w:val="24"/>
                <w:u w:val="single"/>
                <w:lang w:val="zh-CN"/>
                <w14:textFill>
                  <w14:solidFill>
                    <w14:schemeClr w14:val="tx1"/>
                  </w14:solidFill>
                </w14:textFill>
              </w:rPr>
              <w:t>在车间无组织排放</w:t>
            </w:r>
            <w:r>
              <w:rPr>
                <w:color w:val="000000" w:themeColor="text1"/>
                <w:sz w:val="24"/>
                <w:lang w:val="zh-CN"/>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（2）一道破碎、筛分废气</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根据《污染源源强核算技术指南 准则》（HJ884-2018），采用</w:t>
            </w:r>
            <w:r>
              <w:rPr>
                <w:rFonts w:hint="eastAsia"/>
                <w:color w:val="000000" w:themeColor="text1"/>
                <w:sz w:val="24"/>
                <w:u w:val="single"/>
                <w14:textFill>
                  <w14:solidFill>
                    <w14:schemeClr w14:val="tx1"/>
                  </w14:solidFill>
                </w14:textFill>
              </w:rPr>
              <w:t>系数法</w:t>
            </w:r>
            <w:r>
              <w:rPr>
                <w:color w:val="000000" w:themeColor="text1"/>
                <w:sz w:val="24"/>
                <w:u w:val="single"/>
                <w14:textFill>
                  <w14:solidFill>
                    <w14:schemeClr w14:val="tx1"/>
                  </w14:solidFill>
                </w14:textFill>
              </w:rPr>
              <w:t>计算</w:t>
            </w:r>
            <w:r>
              <w:rPr>
                <w:rFonts w:hint="eastAsia"/>
                <w:color w:val="000000" w:themeColor="text1"/>
                <w:sz w:val="24"/>
                <w:u w:val="single"/>
                <w14:textFill>
                  <w14:solidFill>
                    <w14:schemeClr w14:val="tx1"/>
                  </w14:solidFill>
                </w14:textFill>
              </w:rPr>
              <w:t>：</w:t>
            </w:r>
            <w:r>
              <w:rPr>
                <w:rFonts w:hint="eastAsia"/>
                <w:color w:val="000000" w:themeColor="text1"/>
                <w:sz w:val="24"/>
                <w:u w:val="single"/>
                <w:lang w:val="zh-CN"/>
                <w14:textFill>
                  <w14:solidFill>
                    <w14:schemeClr w14:val="tx1"/>
                  </w14:solidFill>
                </w14:textFill>
              </w:rPr>
              <w:t>一道破碎工序</w:t>
            </w:r>
            <w:r>
              <w:rPr>
                <w:rFonts w:hint="eastAsia"/>
                <w:color w:val="000000" w:themeColor="text1"/>
                <w:sz w:val="24"/>
                <w:u w:val="single"/>
                <w14:textFill>
                  <w14:solidFill>
                    <w14:schemeClr w14:val="tx1"/>
                  </w14:solidFill>
                </w14:textFill>
              </w:rPr>
              <w:t>木材含水量较高，参照</w:t>
            </w:r>
            <w:r>
              <w:rPr>
                <w:rFonts w:hint="eastAsia"/>
                <w:color w:val="000000" w:themeColor="text1"/>
                <w:sz w:val="24"/>
                <w:u w:val="single"/>
                <w:lang w:val="zh-CN"/>
                <w14:textFill>
                  <w14:solidFill>
                    <w14:schemeClr w14:val="tx1"/>
                  </w14:solidFill>
                </w14:textFill>
              </w:rPr>
              <w:t>《</w:t>
            </w:r>
            <w:r>
              <w:rPr>
                <w:rFonts w:hint="eastAsia"/>
                <w:color w:val="000000" w:themeColor="text1"/>
                <w:sz w:val="24"/>
                <w:u w:val="single"/>
                <w14:textFill>
                  <w14:solidFill>
                    <w14:schemeClr w14:val="tx1"/>
                  </w14:solidFill>
                </w14:textFill>
              </w:rPr>
              <w:t>排放源统计调查产排污核算方法和系数手册》</w:t>
            </w:r>
            <w:r>
              <w:rPr>
                <w:color w:val="000000" w:themeColor="text1"/>
                <w:sz w:val="24"/>
                <w:u w:val="single"/>
                <w14:textFill>
                  <w14:solidFill>
                    <w14:schemeClr w14:val="tx1"/>
                  </w14:solidFill>
                </w14:textFill>
              </w:rPr>
              <w:t>中</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42 废弃资源综合利用行业系数手册 4</w:t>
            </w:r>
            <w:r>
              <w:rPr>
                <w:rFonts w:hint="eastAsia"/>
                <w:color w:val="000000" w:themeColor="text1"/>
                <w:sz w:val="24"/>
                <w:u w:val="single"/>
                <w14:textFill>
                  <w14:solidFill>
                    <w14:schemeClr w14:val="tx1"/>
                  </w14:solidFill>
                </w14:textFill>
              </w:rPr>
              <w:t>22</w:t>
            </w:r>
            <w:r>
              <w:rPr>
                <w:color w:val="000000" w:themeColor="text1"/>
                <w:sz w:val="24"/>
                <w:u w:val="single"/>
                <w14:textFill>
                  <w14:solidFill>
                    <w14:schemeClr w14:val="tx1"/>
                  </w14:solidFill>
                </w14:textFill>
              </w:rPr>
              <w:t>0</w:t>
            </w:r>
            <w:r>
              <w:rPr>
                <w:rFonts w:hint="eastAsia"/>
                <w:color w:val="000000" w:themeColor="text1"/>
                <w:sz w:val="24"/>
                <w:u w:val="single"/>
                <w14:textFill>
                  <w14:solidFill>
                    <w14:schemeClr w14:val="tx1"/>
                  </w14:solidFill>
                </w14:textFill>
              </w:rPr>
              <w:t>非金属废料和碎屑加工处理行业系数表”</w:t>
            </w:r>
            <w:r>
              <w:rPr>
                <w:color w:val="000000" w:themeColor="text1"/>
                <w:sz w:val="24"/>
                <w:u w:val="single"/>
                <w:lang w:val="zh-CN"/>
                <w14:textFill>
                  <w14:solidFill>
                    <w14:schemeClr w14:val="tx1"/>
                  </w14:solidFill>
                </w14:textFill>
              </w:rPr>
              <w:t>，</w:t>
            </w:r>
            <w:r>
              <w:rPr>
                <w:rFonts w:hint="eastAsia"/>
                <w:color w:val="000000" w:themeColor="text1"/>
                <w:sz w:val="24"/>
                <w:u w:val="single"/>
                <w:lang w:val="zh-CN"/>
                <w14:textFill>
                  <w14:solidFill>
                    <w14:schemeClr w14:val="tx1"/>
                  </w14:solidFill>
                </w14:textFill>
              </w:rPr>
              <w:t>木材</w:t>
            </w:r>
            <w:r>
              <w:rPr>
                <w:rFonts w:hint="eastAsia"/>
                <w:color w:val="000000" w:themeColor="text1"/>
                <w:sz w:val="24"/>
                <w:u w:val="single"/>
                <w14:textFill>
                  <w14:solidFill>
                    <w14:schemeClr w14:val="tx1"/>
                  </w14:solidFill>
                </w14:textFill>
              </w:rPr>
              <w:t>边角料加工成木屑在破碎工艺中产生的粉尘系数为243g/t-原料，本项目破碎料量</w:t>
            </w:r>
            <w:r>
              <w:rPr>
                <w:color w:val="000000" w:themeColor="text1"/>
                <w:sz w:val="24"/>
                <w:u w:val="single"/>
                <w14:textFill>
                  <w14:solidFill>
                    <w14:schemeClr w14:val="tx1"/>
                  </w14:solidFill>
                </w14:textFill>
              </w:rPr>
              <w:t>4020</w:t>
            </w:r>
            <w:r>
              <w:rPr>
                <w:rFonts w:hint="eastAsia"/>
                <w:color w:val="000000" w:themeColor="text1"/>
                <w:sz w:val="24"/>
                <w:u w:val="single"/>
                <w14:textFill>
                  <w14:solidFill>
                    <w14:schemeClr w14:val="tx1"/>
                  </w14:solidFill>
                </w14:textFill>
              </w:rPr>
              <w:t>t/a，即粉尘产生量约为</w:t>
            </w:r>
            <w:r>
              <w:rPr>
                <w:color w:val="000000" w:themeColor="text1"/>
                <w:sz w:val="24"/>
                <w:u w:val="single"/>
                <w14:textFill>
                  <w14:solidFill>
                    <w14:schemeClr w14:val="tx1"/>
                  </w14:solidFill>
                </w14:textFill>
              </w:rPr>
              <w:t>0.977</w:t>
            </w:r>
            <w:r>
              <w:rPr>
                <w:rFonts w:hint="eastAsia"/>
                <w:color w:val="000000" w:themeColor="text1"/>
                <w:sz w:val="24"/>
                <w:u w:val="single"/>
                <w14:textFill>
                  <w14:solidFill>
                    <w14:schemeClr w14:val="tx1"/>
                  </w14:solidFill>
                </w14:textFill>
              </w:rPr>
              <w:t>t/a。</w:t>
            </w:r>
          </w:p>
          <w:p>
            <w:pPr>
              <w:pStyle w:val="2"/>
              <w:ind w:left="0" w:leftChars="0" w:firstLine="48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筛分废气：物料一次破碎后进行筛分，筛分过程会产生颗粒物，参照</w:t>
            </w:r>
            <w:r>
              <w:rPr>
                <w:rFonts w:hint="eastAsia"/>
                <w:color w:val="000000" w:themeColor="text1"/>
                <w:u w:val="single"/>
                <w:lang w:val="zh-CN"/>
                <w14:textFill>
                  <w14:solidFill>
                    <w14:schemeClr w14:val="tx1"/>
                  </w14:solidFill>
                </w14:textFill>
              </w:rPr>
              <w:t>《</w:t>
            </w:r>
            <w:r>
              <w:rPr>
                <w:rFonts w:hint="eastAsia"/>
                <w:color w:val="000000" w:themeColor="text1"/>
                <w:u w:val="single"/>
                <w14:textFill>
                  <w14:solidFill>
                    <w14:schemeClr w14:val="tx1"/>
                  </w14:solidFill>
                </w14:textFill>
              </w:rPr>
              <w:t>排放源统计调查产排污核算方法和系数手册》</w:t>
            </w:r>
            <w:r>
              <w:rPr>
                <w:color w:val="000000" w:themeColor="text1"/>
                <w:u w:val="single"/>
                <w14:textFill>
                  <w14:solidFill>
                    <w14:schemeClr w14:val="tx1"/>
                  </w14:solidFill>
                </w14:textFill>
              </w:rPr>
              <w:t>中</w:t>
            </w:r>
            <w:r>
              <w:rPr>
                <w:rFonts w:hint="eastAsia"/>
                <w:color w:val="000000" w:themeColor="text1"/>
                <w:u w:val="single"/>
                <w14:textFill>
                  <w14:solidFill>
                    <w14:schemeClr w14:val="tx1"/>
                  </w14:solidFill>
                </w14:textFill>
              </w:rPr>
              <w:t>“其他非金属矿物制品制造行业系数手册”</w:t>
            </w:r>
            <w:r>
              <w:rPr>
                <w:color w:val="000000" w:themeColor="text1"/>
                <w:u w:val="single"/>
                <w:lang w:val="zh-CN"/>
                <w14:textFill>
                  <w14:solidFill>
                    <w14:schemeClr w14:val="tx1"/>
                  </w14:solidFill>
                </w14:textFill>
              </w:rPr>
              <w:t>，</w:t>
            </w:r>
            <w:r>
              <w:rPr>
                <w:rFonts w:hint="eastAsia"/>
                <w:color w:val="000000" w:themeColor="text1"/>
                <w:u w:val="single"/>
                <w14:textFill>
                  <w14:solidFill>
                    <w14:schemeClr w14:val="tx1"/>
                  </w14:solidFill>
                </w14:textFill>
              </w:rPr>
              <w:t>筛分工艺中产生的粉尘系数为2</w:t>
            </w:r>
            <w:r>
              <w:rPr>
                <w:color w:val="000000" w:themeColor="text1"/>
                <w:u w:val="single"/>
                <w14:textFill>
                  <w14:solidFill>
                    <w14:schemeClr w14:val="tx1"/>
                  </w14:solidFill>
                </w14:textFill>
              </w:rPr>
              <w:t>45</w:t>
            </w:r>
            <w:r>
              <w:rPr>
                <w:rFonts w:hint="eastAsia"/>
                <w:color w:val="000000" w:themeColor="text1"/>
                <w:u w:val="single"/>
                <w14:textFill>
                  <w14:solidFill>
                    <w14:schemeClr w14:val="tx1"/>
                  </w14:solidFill>
                </w14:textFill>
              </w:rPr>
              <w:t>g/t-原料, 本项目筛分料量</w:t>
            </w:r>
            <w:r>
              <w:rPr>
                <w:color w:val="000000" w:themeColor="text1"/>
                <w:u w:val="single"/>
                <w14:textFill>
                  <w14:solidFill>
                    <w14:schemeClr w14:val="tx1"/>
                  </w14:solidFill>
                </w14:textFill>
              </w:rPr>
              <w:t>4020</w:t>
            </w:r>
            <w:r>
              <w:rPr>
                <w:rFonts w:hint="eastAsia"/>
                <w:color w:val="000000" w:themeColor="text1"/>
                <w:u w:val="single"/>
                <w14:textFill>
                  <w14:solidFill>
                    <w14:schemeClr w14:val="tx1"/>
                  </w14:solidFill>
                </w14:textFill>
              </w:rPr>
              <w:t>t/a，即粉尘产生量约为</w:t>
            </w:r>
            <w:r>
              <w:rPr>
                <w:color w:val="000000" w:themeColor="text1"/>
                <w:u w:val="single"/>
                <w14:textFill>
                  <w14:solidFill>
                    <w14:schemeClr w14:val="tx1"/>
                  </w14:solidFill>
                </w14:textFill>
              </w:rPr>
              <w:t>0.985</w:t>
            </w:r>
            <w:r>
              <w:rPr>
                <w:rFonts w:hint="eastAsia"/>
                <w:color w:val="000000" w:themeColor="text1"/>
                <w:u w:val="single"/>
                <w14:textFill>
                  <w14:solidFill>
                    <w14:schemeClr w14:val="tx1"/>
                  </w14:solidFill>
                </w14:textFill>
              </w:rPr>
              <w:t>t/a。</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项目对一道破碎和筛分工序进行局部围蔽，一面开口，开口一侧设软帘，工作状下软帘关闭，粉尘在密闭区域自然沉降，沉降率约7</w:t>
            </w:r>
            <w:r>
              <w:rPr>
                <w:color w:val="000000" w:themeColor="text1"/>
                <w:sz w:val="24"/>
                <w:u w:val="single"/>
                <w14:textFill>
                  <w14:solidFill>
                    <w14:schemeClr w14:val="tx1"/>
                  </w14:solidFill>
                </w14:textFill>
              </w:rPr>
              <w:t>0%</w:t>
            </w:r>
            <w:r>
              <w:rPr>
                <w:rFonts w:hint="eastAsia"/>
                <w:color w:val="000000" w:themeColor="text1"/>
                <w:sz w:val="24"/>
                <w:u w:val="single"/>
                <w14:textFill>
                  <w14:solidFill>
                    <w14:schemeClr w14:val="tx1"/>
                  </w14:solidFill>
                </w14:textFill>
              </w:rPr>
              <w:t>，剩余部分在车间无组织排放，无组织排放量为0</w:t>
            </w:r>
            <w:r>
              <w:rPr>
                <w:color w:val="000000" w:themeColor="text1"/>
                <w:sz w:val="24"/>
                <w:u w:val="single"/>
                <w14:textFill>
                  <w14:solidFill>
                    <w14:schemeClr w14:val="tx1"/>
                  </w14:solidFill>
                </w14:textFill>
              </w:rPr>
              <w:t>.588</w:t>
            </w:r>
            <w:r>
              <w:rPr>
                <w:rFonts w:hint="eastAsia"/>
                <w:color w:val="000000" w:themeColor="text1"/>
                <w:sz w:val="24"/>
                <w:u w:val="single"/>
                <w14:textFill>
                  <w14:solidFill>
                    <w14:schemeClr w14:val="tx1"/>
                  </w14:solidFill>
                </w14:textFill>
              </w:rPr>
              <w:t xml:space="preserve">t/a。 </w:t>
            </w:r>
          </w:p>
          <w:p>
            <w:pPr>
              <w:adjustRightInd w:val="0"/>
              <w:snapToGrid w:val="0"/>
              <w:spacing w:line="360" w:lineRule="auto"/>
              <w:ind w:firstLine="480" w:firstLineChars="200"/>
              <w:rPr>
                <w:color w:val="000000" w:themeColor="text1"/>
                <w:sz w:val="24"/>
                <w14:textFill>
                  <w14:solidFill>
                    <w14:schemeClr w14:val="tx1"/>
                  </w14:solidFill>
                </w14:textFill>
              </w:rPr>
            </w:pP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）二道破碎废气</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根据《污染源源强核算技术指南 准则》（HJ884-2018），采用</w:t>
            </w:r>
            <w:r>
              <w:rPr>
                <w:rFonts w:hint="eastAsia"/>
                <w:color w:val="000000" w:themeColor="text1"/>
                <w:sz w:val="24"/>
                <w:u w:val="single"/>
                <w14:textFill>
                  <w14:solidFill>
                    <w14:schemeClr w14:val="tx1"/>
                  </w14:solidFill>
                </w14:textFill>
              </w:rPr>
              <w:t>系数法</w:t>
            </w:r>
            <w:r>
              <w:rPr>
                <w:color w:val="000000" w:themeColor="text1"/>
                <w:sz w:val="24"/>
                <w:u w:val="single"/>
                <w14:textFill>
                  <w14:solidFill>
                    <w14:schemeClr w14:val="tx1"/>
                  </w14:solidFill>
                </w14:textFill>
              </w:rPr>
              <w:t>计算</w:t>
            </w:r>
            <w:r>
              <w:rPr>
                <w:rFonts w:hint="eastAsia"/>
                <w:color w:val="000000" w:themeColor="text1"/>
                <w:sz w:val="24"/>
                <w:u w:val="single"/>
                <w14:textFill>
                  <w14:solidFill>
                    <w14:schemeClr w14:val="tx1"/>
                  </w14:solidFill>
                </w14:textFill>
              </w:rPr>
              <w:t>：物料经烘干后进行二次破碎，破碎</w:t>
            </w:r>
            <w:r>
              <w:rPr>
                <w:color w:val="000000" w:themeColor="text1"/>
                <w:sz w:val="24"/>
                <w:u w:val="single"/>
                <w14:textFill>
                  <w14:solidFill>
                    <w14:schemeClr w14:val="tx1"/>
                  </w14:solidFill>
                </w14:textFill>
              </w:rPr>
              <w:t>粉尘产生量参照 《逸散性工业粉尘控制技术》中“木材加工厂”逸散尘排放因子系数，本项目破碎工序粉尘产生量取 1.0kg/t 材料来核算</w:t>
            </w:r>
            <w:r>
              <w:rPr>
                <w:rFonts w:hint="eastAsia"/>
                <w:color w:val="000000" w:themeColor="text1"/>
                <w:sz w:val="24"/>
                <w:u w:val="single"/>
                <w14:textFill>
                  <w14:solidFill>
                    <w14:schemeClr w14:val="tx1"/>
                  </w14:solidFill>
                </w14:textFill>
              </w:rPr>
              <w:t>，本项目破碎料量</w:t>
            </w:r>
            <w:r>
              <w:rPr>
                <w:color w:val="000000" w:themeColor="text1"/>
                <w:sz w:val="24"/>
                <w:u w:val="single"/>
                <w14:textFill>
                  <w14:solidFill>
                    <w14:schemeClr w14:val="tx1"/>
                  </w14:solidFill>
                </w14:textFill>
              </w:rPr>
              <w:t>4020</w:t>
            </w:r>
            <w:r>
              <w:rPr>
                <w:rFonts w:hint="eastAsia"/>
                <w:color w:val="000000" w:themeColor="text1"/>
                <w:sz w:val="24"/>
                <w:u w:val="single"/>
                <w14:textFill>
                  <w14:solidFill>
                    <w14:schemeClr w14:val="tx1"/>
                  </w14:solidFill>
                </w14:textFill>
              </w:rPr>
              <w:t>t/a，即粉尘产生量约为</w:t>
            </w:r>
            <w:r>
              <w:rPr>
                <w:color w:val="000000" w:themeColor="text1"/>
                <w:sz w:val="24"/>
                <w:u w:val="single"/>
                <w14:textFill>
                  <w14:solidFill>
                    <w14:schemeClr w14:val="tx1"/>
                  </w14:solidFill>
                </w14:textFill>
              </w:rPr>
              <w:t>4.02</w:t>
            </w:r>
            <w:r>
              <w:rPr>
                <w:rFonts w:hint="eastAsia"/>
                <w:color w:val="000000" w:themeColor="text1"/>
                <w:sz w:val="24"/>
                <w:u w:val="single"/>
                <w14:textFill>
                  <w14:solidFill>
                    <w14:schemeClr w14:val="tx1"/>
                  </w14:solidFill>
                </w14:textFill>
              </w:rPr>
              <w:t>t/a，二次破碎位于密闭式设备内，破碎</w:t>
            </w:r>
            <w:r>
              <w:rPr>
                <w:color w:val="000000" w:themeColor="text1"/>
                <w:sz w:val="24"/>
                <w:u w:val="single"/>
                <w14:textFill>
                  <w14:solidFill>
                    <w14:schemeClr w14:val="tx1"/>
                  </w14:solidFill>
                </w14:textFill>
              </w:rPr>
              <w:t>机器自带有集气口</w:t>
            </w:r>
            <w:r>
              <w:rPr>
                <w:rFonts w:hint="eastAsia"/>
                <w:color w:val="000000" w:themeColor="text1"/>
                <w:sz w:val="24"/>
                <w:u w:val="single"/>
                <w14:textFill>
                  <w14:solidFill>
                    <w14:schemeClr w14:val="tx1"/>
                  </w14:solidFill>
                </w14:textFill>
              </w:rPr>
              <w:t>，废气收集管道与</w:t>
            </w:r>
            <w:r>
              <w:rPr>
                <w:color w:val="000000" w:themeColor="text1"/>
                <w:sz w:val="24"/>
                <w:u w:val="single"/>
                <w14:textFill>
                  <w14:solidFill>
                    <w14:schemeClr w14:val="tx1"/>
                  </w14:solidFill>
                </w14:textFill>
              </w:rPr>
              <w:t>集气口</w:t>
            </w:r>
            <w:r>
              <w:rPr>
                <w:rFonts w:hint="eastAsia"/>
                <w:color w:val="000000" w:themeColor="text1"/>
                <w:sz w:val="24"/>
                <w:u w:val="single"/>
                <w14:textFill>
                  <w14:solidFill>
                    <w14:schemeClr w14:val="tx1"/>
                  </w14:solidFill>
                </w14:textFill>
              </w:rPr>
              <w:t>连接对废气进行收集，集气管道废气将收集废气引至布袋除尘装置进行处理，废气收集效率为</w:t>
            </w:r>
            <w:r>
              <w:rPr>
                <w:color w:val="000000" w:themeColor="text1"/>
                <w:sz w:val="24"/>
                <w:u w:val="single"/>
                <w14:textFill>
                  <w14:solidFill>
                    <w14:schemeClr w14:val="tx1"/>
                  </w14:solidFill>
                </w14:textFill>
              </w:rPr>
              <w:t>100%</w:t>
            </w:r>
            <w:r>
              <w:rPr>
                <w:rFonts w:hint="eastAsia"/>
                <w:color w:val="000000" w:themeColor="text1"/>
                <w:sz w:val="24"/>
                <w:u w:val="single"/>
                <w14:textFill>
                  <w14:solidFill>
                    <w14:schemeClr w14:val="tx1"/>
                  </w14:solidFill>
                </w14:textFill>
              </w:rPr>
              <w:t>，废气经脉冲布袋除尘器处理后由1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排气筒高空排放（D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），根据《排放源统计调查产排污核算方法和系数手册》中推荐的处理技术为布袋除尘，</w:t>
            </w:r>
            <w:r>
              <w:rPr>
                <w:color w:val="000000" w:themeColor="text1"/>
                <w:sz w:val="24"/>
                <w:u w:val="single"/>
                <w14:textFill>
                  <w14:solidFill>
                    <w14:schemeClr w14:val="tx1"/>
                  </w14:solidFill>
                </w14:textFill>
              </w:rPr>
              <w:t>末端治理技术平均去除效率</w:t>
            </w:r>
            <w:r>
              <w:rPr>
                <w:rFonts w:hint="eastAsia"/>
                <w:color w:val="000000" w:themeColor="text1"/>
                <w:sz w:val="24"/>
                <w:u w:val="single"/>
                <w14:textFill>
                  <w14:solidFill>
                    <w14:schemeClr w14:val="tx1"/>
                  </w14:solidFill>
                </w14:textFill>
              </w:rPr>
              <w:t>为</w:t>
            </w:r>
            <w:r>
              <w:rPr>
                <w:color w:val="000000" w:themeColor="text1"/>
                <w:sz w:val="24"/>
                <w:u w:val="single"/>
                <w14:textFill>
                  <w14:solidFill>
                    <w14:schemeClr w14:val="tx1"/>
                  </w14:solidFill>
                </w14:textFill>
              </w:rPr>
              <w:t>99%</w:t>
            </w:r>
            <w:r>
              <w:rPr>
                <w:rFonts w:hint="eastAsia"/>
                <w:color w:val="000000" w:themeColor="text1"/>
                <w:sz w:val="24"/>
                <w:u w:val="single"/>
                <w14:textFill>
                  <w14:solidFill>
                    <w14:schemeClr w14:val="tx1"/>
                  </w14:solidFill>
                </w14:textFill>
              </w:rPr>
              <w:t>，设计风机风量为</w:t>
            </w:r>
            <w:r>
              <w:rPr>
                <w:color w:val="000000" w:themeColor="text1"/>
                <w:sz w:val="24"/>
                <w:u w:val="single"/>
                <w14:textFill>
                  <w14:solidFill>
                    <w14:schemeClr w14:val="tx1"/>
                  </w14:solidFill>
                </w14:textFill>
              </w:rPr>
              <w:t>15000m</w:t>
            </w:r>
            <w:r>
              <w:rPr>
                <w:color w:val="000000" w:themeColor="text1"/>
                <w:sz w:val="24"/>
                <w:u w:val="single"/>
                <w:vertAlign w:val="superscript"/>
                <w14:textFill>
                  <w14:solidFill>
                    <w14:schemeClr w14:val="tx1"/>
                  </w14:solidFill>
                </w14:textFill>
              </w:rPr>
              <w:t>3</w:t>
            </w:r>
            <w:r>
              <w:rPr>
                <w:color w:val="000000" w:themeColor="text1"/>
                <w:sz w:val="24"/>
                <w:u w:val="single"/>
                <w14:textFill>
                  <w14:solidFill>
                    <w14:schemeClr w14:val="tx1"/>
                  </w14:solidFill>
                </w14:textFill>
              </w:rPr>
              <w:t>/h</w:t>
            </w:r>
            <w:r>
              <w:rPr>
                <w:rFonts w:hint="eastAsia"/>
                <w:color w:val="000000" w:themeColor="text1"/>
                <w:sz w:val="24"/>
                <w:u w:val="single"/>
                <w14:textFill>
                  <w14:solidFill>
                    <w14:schemeClr w14:val="tx1"/>
                  </w14:solidFill>
                </w14:textFill>
              </w:rPr>
              <w:t>。二破废气和烘干、炭化废气一起进入脉冲布袋除尘装置进行处理后经1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排气筒排放D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（4）烘干废气、炭化废气</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根据《污染源源强核算技术指南 准则》（HJ884-2018），采用</w:t>
            </w:r>
            <w:r>
              <w:rPr>
                <w:rFonts w:hint="eastAsia"/>
                <w:color w:val="000000" w:themeColor="text1"/>
                <w:sz w:val="24"/>
                <w14:textFill>
                  <w14:solidFill>
                    <w14:schemeClr w14:val="tx1"/>
                  </w14:solidFill>
                </w14:textFill>
              </w:rPr>
              <w:t>类比法</w:t>
            </w:r>
            <w:r>
              <w:rPr>
                <w:color w:val="000000" w:themeColor="text1"/>
                <w:sz w:val="24"/>
                <w14:textFill>
                  <w14:solidFill>
                    <w14:schemeClr w14:val="tx1"/>
                  </w14:solidFill>
                </w14:textFill>
              </w:rPr>
              <w:t>计算</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本项目烘干过程产生的粉尘、竹头（条）燃料燃烧的废气、炭化窑中的竹煤气燃烧产生的废气等3种组成。炭化工序尾气主要成份为甲烷、乙烯、CO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、水蒸汽、CO 和其他干馏气体，碳化热解过程温度一般为400~500℃。</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因炭化温度没有达到SO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和NOx 所需的焚烧温度，竹煤气中不含SO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和NOx ；热风炉燃料燃烧产生的废气主要为SO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、NOx 和烟尘；因此烘干炉烘干废气主要成分为 CO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、水蒸汽、SO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、NOx 及烟尘，经</w:t>
            </w:r>
            <w:r>
              <w:rPr>
                <w:color w:val="000000" w:themeColor="text1"/>
                <w:sz w:val="24"/>
                <w14:textFill>
                  <w14:solidFill>
                    <w14:schemeClr w14:val="tx1"/>
                  </w14:solidFill>
                </w14:textFill>
              </w:rPr>
              <w:t>旋风除尘</w:t>
            </w:r>
            <w:r>
              <w:rPr>
                <w:rFonts w:hint="eastAsia"/>
                <w:color w:val="000000" w:themeColor="text1"/>
                <w:sz w:val="24"/>
                <w14:textFill>
                  <w14:solidFill>
                    <w14:schemeClr w14:val="tx1"/>
                  </w14:solidFill>
                </w14:textFill>
              </w:rPr>
              <w:t>+</w:t>
            </w:r>
            <w:r>
              <w:rPr>
                <w:rFonts w:hint="eastAsia"/>
                <w:color w:val="000000" w:themeColor="text1"/>
                <w:sz w:val="24"/>
                <w:lang w:val="zh-CN"/>
                <w14:textFill>
                  <w14:solidFill>
                    <w14:schemeClr w14:val="tx1"/>
                  </w14:solidFill>
                </w14:textFill>
              </w:rPr>
              <w:t>水喷淋</w:t>
            </w:r>
            <w:r>
              <w:rPr>
                <w:rFonts w:hint="eastAsia"/>
                <w:color w:val="000000" w:themeColor="text1"/>
                <w:sz w:val="24"/>
                <w14:textFill>
                  <w14:solidFill>
                    <w14:schemeClr w14:val="tx1"/>
                  </w14:solidFill>
                </w14:textFill>
              </w:rPr>
              <w:t>处理后由15米高排气筒外排，其中CO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、水蒸汽外排对环境无影响；外排废气的污染物主要为SO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、NOx 及烟尘。</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color w:val="000000" w:themeColor="text1"/>
                <w:sz w:val="24"/>
                <w:lang w:val="zh-CN"/>
                <w14:textFill>
                  <w14:solidFill>
                    <w14:schemeClr w14:val="tx1"/>
                  </w14:solidFill>
                </w14:textFill>
              </w:rPr>
              <w:t>烘干过程产生的粉尘</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color w:val="000000" w:themeColor="text1"/>
                <w:sz w:val="24"/>
                <w14:textFill>
                  <w14:solidFill>
                    <w14:schemeClr w14:val="tx1"/>
                  </w14:solidFill>
                </w14:textFill>
              </w:rPr>
              <w:t>烘干工序所需热量由火道内炭化气燃烧产生，燃烧后产生的</w:t>
            </w:r>
            <w:r>
              <w:rPr>
                <w:rFonts w:hint="eastAsia"/>
                <w:color w:val="000000" w:themeColor="text1"/>
                <w:sz w:val="24"/>
                <w14:textFill>
                  <w14:solidFill>
                    <w14:schemeClr w14:val="tx1"/>
                  </w14:solidFill>
                </w14:textFill>
              </w:rPr>
              <w:t>炭化</w:t>
            </w:r>
            <w:r>
              <w:rPr>
                <w:color w:val="000000" w:themeColor="text1"/>
                <w:sz w:val="24"/>
                <w14:textFill>
                  <w14:solidFill>
                    <w14:schemeClr w14:val="tx1"/>
                  </w14:solidFill>
                </w14:textFill>
              </w:rPr>
              <w:t>废气直接通入烘干机内对物料进行烘干，由于热风直接与物料接触，因此烘干过程会产生粉尘。</w:t>
            </w:r>
            <w:r>
              <w:rPr>
                <w:color w:val="000000" w:themeColor="text1"/>
                <w:sz w:val="24"/>
                <w:u w:val="single"/>
                <w14:textFill>
                  <w14:solidFill>
                    <w14:schemeClr w14:val="tx1"/>
                  </w14:solidFill>
                </w14:textFill>
              </w:rPr>
              <w:t>参考《逸散性工业粉尘控制技术》对</w:t>
            </w:r>
            <w:r>
              <w:rPr>
                <w:rFonts w:hint="eastAsia"/>
                <w:color w:val="000000" w:themeColor="text1"/>
                <w:sz w:val="24"/>
                <w:u w:val="single"/>
                <w14:textFill>
                  <w14:solidFill>
                    <w14:schemeClr w14:val="tx1"/>
                  </w14:solidFill>
                </w14:textFill>
              </w:rPr>
              <w:t>物料</w:t>
            </w:r>
            <w:r>
              <w:rPr>
                <w:color w:val="000000" w:themeColor="text1"/>
                <w:sz w:val="24"/>
                <w:u w:val="single"/>
                <w14:textFill>
                  <w14:solidFill>
                    <w14:schemeClr w14:val="tx1"/>
                  </w14:solidFill>
                </w14:textFill>
              </w:rPr>
              <w:t>干燥时的粉尘产生系数调查，按 2.0kg/t 原料计算产尘量，本项目进行烘干的物料约为4020t/a，则烘干过程产尘量约8.04t/a。</w:t>
            </w:r>
            <w:r>
              <w:rPr>
                <w:rFonts w:hint="eastAsia"/>
                <w:color w:val="000000" w:themeColor="text1"/>
                <w:sz w:val="24"/>
                <w:u w:val="single"/>
                <w14:textFill>
                  <w14:solidFill>
                    <w14:schemeClr w14:val="tx1"/>
                  </w14:solidFill>
                </w14:textFill>
              </w:rPr>
              <w:t>其粉尘设通风口收集后与二道破碎废气、炭化废气一并进入脉冲布袋除尘装置处理，收集效率为1</w:t>
            </w:r>
            <w:r>
              <w:rPr>
                <w:color w:val="000000" w:themeColor="text1"/>
                <w:sz w:val="24"/>
                <w:u w:val="single"/>
                <w14:textFill>
                  <w14:solidFill>
                    <w14:schemeClr w14:val="tx1"/>
                  </w14:solidFill>
                </w14:textFill>
              </w:rPr>
              <w:t>00%</w:t>
            </w:r>
            <w:r>
              <w:rPr>
                <w:rFonts w:hint="eastAsia"/>
                <w:color w:val="000000" w:themeColor="text1"/>
                <w:sz w:val="24"/>
                <w:u w:val="single"/>
                <w14:textFill>
                  <w14:solidFill>
                    <w14:schemeClr w14:val="tx1"/>
                  </w14:solidFill>
                </w14:textFill>
              </w:rPr>
              <w:t>，除尘效率约9</w:t>
            </w:r>
            <w:r>
              <w:rPr>
                <w:color w:val="000000" w:themeColor="text1"/>
                <w:sz w:val="24"/>
                <w:u w:val="single"/>
                <w14:textFill>
                  <w14:solidFill>
                    <w14:schemeClr w14:val="tx1"/>
                  </w14:solidFill>
                </w14:textFill>
              </w:rPr>
              <w:t>9</w:t>
            </w:r>
            <w:r>
              <w:rPr>
                <w:rFonts w:hint="eastAsia"/>
                <w:color w:val="000000" w:themeColor="text1"/>
                <w:sz w:val="24"/>
                <w:u w:val="single"/>
                <w14:textFill>
                  <w14:solidFill>
                    <w14:schemeClr w14:val="tx1"/>
                  </w14:solidFill>
                </w14:textFill>
              </w:rPr>
              <w:t>%，处理后通过15m高排气筒排放（D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由于烘干在密闭式自动化设备内进行，因此烘干粉尘按完全收集计</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产生的粉尘经</w:t>
            </w:r>
            <w:r>
              <w:rPr>
                <w:rFonts w:hint="eastAsia"/>
                <w:color w:val="000000" w:themeColor="text1"/>
                <w:sz w:val="24"/>
                <w:u w:val="single"/>
                <w14:textFill>
                  <w14:solidFill>
                    <w14:schemeClr w14:val="tx1"/>
                  </w14:solidFill>
                </w14:textFill>
              </w:rPr>
              <w:t>脉冲布袋</w:t>
            </w:r>
            <w:r>
              <w:rPr>
                <w:color w:val="000000" w:themeColor="text1"/>
                <w:sz w:val="24"/>
                <w:u w:val="single"/>
                <w14:textFill>
                  <w14:solidFill>
                    <w14:schemeClr w14:val="tx1"/>
                  </w14:solidFill>
                </w14:textFill>
              </w:rPr>
              <w:t>除尘器处理后</w:t>
            </w:r>
            <w:r>
              <w:rPr>
                <w:rFonts w:hint="eastAsia"/>
                <w:color w:val="000000" w:themeColor="text1"/>
                <w:sz w:val="24"/>
                <w:u w:val="single"/>
                <w14:textFill>
                  <w14:solidFill>
                    <w14:schemeClr w14:val="tx1"/>
                  </w14:solidFill>
                </w14:textFill>
              </w:rPr>
              <w:t>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排气筒排放（D</w:t>
            </w:r>
            <w:r>
              <w:rPr>
                <w:color w:val="000000" w:themeColor="text1"/>
                <w:sz w:val="24"/>
                <w:u w:val="single"/>
                <w14:textFill>
                  <w14:solidFill>
                    <w14:schemeClr w14:val="tx1"/>
                  </w14:solidFill>
                </w14:textFill>
              </w:rPr>
              <w:t>A002</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，废气处理设施风机风量约为 15000m</w:t>
            </w:r>
            <w:r>
              <w:rPr>
                <w:color w:val="000000" w:themeColor="text1"/>
                <w:sz w:val="24"/>
                <w:u w:val="single"/>
                <w:vertAlign w:val="superscript"/>
                <w14:textFill>
                  <w14:solidFill>
                    <w14:schemeClr w14:val="tx1"/>
                  </w14:solidFill>
                </w14:textFill>
              </w:rPr>
              <w:t>3</w:t>
            </w:r>
            <w:r>
              <w:rPr>
                <w:color w:val="000000" w:themeColor="text1"/>
                <w:sz w:val="24"/>
                <w:u w:val="single"/>
                <w14:textFill>
                  <w14:solidFill>
                    <w14:schemeClr w14:val="tx1"/>
                  </w14:solidFill>
                </w14:textFill>
              </w:rPr>
              <w:t xml:space="preserve">/h。 </w:t>
            </w:r>
          </w:p>
          <w:p>
            <w:pPr>
              <w:pStyle w:val="2"/>
              <w:ind w:left="0" w:leftChars="0" w:firstLine="480"/>
              <w:rPr>
                <w:color w:val="000000" w:themeColor="text1"/>
                <w14:textFill>
                  <w14:solidFill>
                    <w14:schemeClr w14:val="tx1"/>
                  </w14:solidFill>
                </w14:textFill>
              </w:rPr>
            </w:pPr>
            <w:r>
              <w:rPr>
                <w:color w:val="000000" w:themeColor="text1"/>
                <w:u w:val="single"/>
                <w14:textFill>
                  <w14:solidFill>
                    <w14:schemeClr w14:val="tx1"/>
                  </w14:solidFill>
                </w14:textFill>
              </w:rPr>
              <w:t>参考《排放源统计调查产排污核算方法和系数手册（公告 2021 年第 24 号）》中</w:t>
            </w:r>
            <w:r>
              <w:rPr>
                <w:rFonts w:hint="eastAsia"/>
                <w:color w:val="000000" w:themeColor="text1"/>
                <w:u w:val="single"/>
                <w14:textFill>
                  <w14:solidFill>
                    <w14:schemeClr w14:val="tx1"/>
                  </w14:solidFill>
                </w14:textFill>
              </w:rPr>
              <w:t>废</w:t>
            </w:r>
            <w:r>
              <w:rPr>
                <w:color w:val="000000" w:themeColor="text1"/>
                <w:u w:val="single"/>
                <w14:textFill>
                  <w14:solidFill>
                    <w14:schemeClr w14:val="tx1"/>
                  </w14:solidFill>
                </w14:textFill>
              </w:rPr>
              <w:t>废弃资源综合利用行业系数手册，产生的颗粒物采用</w:t>
            </w:r>
            <w:r>
              <w:rPr>
                <w:rFonts w:hint="eastAsia"/>
                <w:color w:val="000000" w:themeColor="text1"/>
                <w:u w:val="single"/>
                <w14:textFill>
                  <w14:solidFill>
                    <w14:schemeClr w14:val="tx1"/>
                  </w14:solidFill>
                </w14:textFill>
              </w:rPr>
              <w:t>脉冲布袋</w:t>
            </w:r>
            <w:r>
              <w:rPr>
                <w:color w:val="000000" w:themeColor="text1"/>
                <w:u w:val="single"/>
                <w14:textFill>
                  <w14:solidFill>
                    <w14:schemeClr w14:val="tx1"/>
                  </w14:solidFill>
                </w14:textFill>
              </w:rPr>
              <w:t>除尘去除率可达 99%以上</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）炭化废气</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根据业主提供的资料，本项目炭化过程种产生的煤气等物质在炭化窑内燃烧供热，利用燃烧产生的废气余热对原料进行烘干，废气余热能够对原料进行烘干，废气余热能够提供大量热量。</w:t>
            </w:r>
          </w:p>
          <w:p>
            <w:pPr>
              <w:adjustRightInd w:val="0"/>
              <w:snapToGrid w:val="0"/>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烘干设备正常运转的情况下：</w:t>
            </w:r>
          </w:p>
          <w:p>
            <w:pPr>
              <w:pStyle w:val="2"/>
              <w:ind w:left="0" w:leftChars="0" w:firstLine="48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本项目机制竹炭使用的原料用量</w:t>
            </w:r>
            <w:r>
              <w:rPr>
                <w:color w:val="000000" w:themeColor="text1"/>
                <w:u w:val="single"/>
                <w14:textFill>
                  <w14:solidFill>
                    <w14:schemeClr w14:val="tx1"/>
                  </w14:solidFill>
                </w14:textFill>
              </w:rPr>
              <w:t>4020</w:t>
            </w:r>
            <w:r>
              <w:rPr>
                <w:rFonts w:hint="eastAsia"/>
                <w:color w:val="000000" w:themeColor="text1"/>
                <w:u w:val="single"/>
                <w14:textFill>
                  <w14:solidFill>
                    <w14:schemeClr w14:val="tx1"/>
                  </w14:solidFill>
                </w14:textFill>
              </w:rPr>
              <w:t>t/a，含水量按40%计，则绝干原料量为</w:t>
            </w:r>
            <w:r>
              <w:rPr>
                <w:color w:val="000000" w:themeColor="text1"/>
                <w:u w:val="single"/>
                <w14:textFill>
                  <w14:solidFill>
                    <w14:schemeClr w14:val="tx1"/>
                  </w14:solidFill>
                </w14:textFill>
              </w:rPr>
              <w:t>2412</w:t>
            </w:r>
            <w:r>
              <w:rPr>
                <w:rFonts w:hint="eastAsia"/>
                <w:color w:val="000000" w:themeColor="text1"/>
                <w:u w:val="single"/>
                <w14:textFill>
                  <w14:solidFill>
                    <w14:schemeClr w14:val="tx1"/>
                  </w14:solidFill>
                </w14:textFill>
              </w:rPr>
              <w:t>t/a，机制炭产量为800t/a（产量系数3</w:t>
            </w:r>
            <w:r>
              <w:rPr>
                <w:color w:val="000000" w:themeColor="text1"/>
                <w:u w:val="single"/>
                <w14:textFill>
                  <w14:solidFill>
                    <w14:schemeClr w14:val="tx1"/>
                  </w14:solidFill>
                </w14:textFill>
              </w:rPr>
              <w:t>3.2</w:t>
            </w:r>
            <w:r>
              <w:rPr>
                <w:rFonts w:hint="eastAsia"/>
                <w:color w:val="000000" w:themeColor="text1"/>
                <w:u w:val="single"/>
                <w14:textFill>
                  <w14:solidFill>
                    <w14:schemeClr w14:val="tx1"/>
                  </w14:solidFill>
                </w14:textFill>
              </w:rPr>
              <w:t>%）、煤气产量为</w:t>
            </w:r>
            <w:r>
              <w:rPr>
                <w:color w:val="000000" w:themeColor="text1"/>
                <w:u w:val="single"/>
                <w14:textFill>
                  <w14:solidFill>
                    <w14:schemeClr w14:val="tx1"/>
                  </w14:solidFill>
                </w14:textFill>
              </w:rPr>
              <w:t>1604.76</w:t>
            </w:r>
            <w:r>
              <w:rPr>
                <w:rFonts w:hint="eastAsia"/>
                <w:color w:val="000000" w:themeColor="text1"/>
                <w:u w:val="single"/>
                <w14:textFill>
                  <w14:solidFill>
                    <w14:schemeClr w14:val="tx1"/>
                  </w14:solidFill>
                </w14:textFill>
              </w:rPr>
              <w:t>t/a约3</w:t>
            </w:r>
            <w:r>
              <w:rPr>
                <w:color w:val="000000" w:themeColor="text1"/>
                <w:u w:val="single"/>
                <w14:textFill>
                  <w14:solidFill>
                    <w14:schemeClr w14:val="tx1"/>
                  </w14:solidFill>
                </w14:textFill>
              </w:rPr>
              <w:t>.21</w:t>
            </w:r>
            <w:r>
              <w:rPr>
                <w:rFonts w:hint="eastAsia" w:hAnsi="宋体"/>
                <w:color w:val="000000" w:themeColor="text1"/>
                <w:u w:val="single"/>
                <w14:textFill>
                  <w14:solidFill>
                    <w14:schemeClr w14:val="tx1"/>
                  </w14:solidFill>
                </w14:textFill>
              </w:rPr>
              <w:t>×</w:t>
            </w:r>
            <w:r>
              <w:rPr>
                <w:rFonts w:hAnsi="宋体"/>
                <w:color w:val="000000" w:themeColor="text1"/>
                <w:u w:val="single"/>
                <w14:textFill>
                  <w14:solidFill>
                    <w14:schemeClr w14:val="tx1"/>
                  </w14:solidFill>
                </w14:textFill>
              </w:rPr>
              <w:t>10</w:t>
            </w:r>
            <w:r>
              <w:rPr>
                <w:rFonts w:hint="eastAsia" w:hAnsi="宋体"/>
                <w:color w:val="000000" w:themeColor="text1"/>
                <w:u w:val="single"/>
                <w:vertAlign w:val="superscript"/>
                <w14:textFill>
                  <w14:solidFill>
                    <w14:schemeClr w14:val="tx1"/>
                  </w14:solidFill>
                </w14:textFill>
              </w:rPr>
              <w:t>6</w:t>
            </w:r>
            <w:r>
              <w:rPr>
                <w:rFonts w:hint="eastAsia" w:hAnsi="宋体"/>
                <w:color w:val="000000" w:themeColor="text1"/>
                <w:u w:val="single"/>
                <w14:textFill>
                  <w14:solidFill>
                    <w14:schemeClr w14:val="tx1"/>
                  </w14:solidFill>
                </w14:textFill>
              </w:rPr>
              <w:t>N</w:t>
            </w:r>
            <w:r>
              <w:rPr>
                <w:rFonts w:hAnsi="宋体"/>
                <w:color w:val="000000" w:themeColor="text1"/>
                <w:u w:val="single"/>
                <w14:textFill>
                  <w14:solidFill>
                    <w14:schemeClr w14:val="tx1"/>
                  </w14:solidFill>
                </w14:textFill>
              </w:rPr>
              <w:t>m</w:t>
            </w:r>
            <w:r>
              <w:rPr>
                <w:rFonts w:hAnsi="宋体"/>
                <w:color w:val="000000" w:themeColor="text1"/>
                <w:u w:val="single"/>
                <w:vertAlign w:val="superscript"/>
                <w14:textFill>
                  <w14:solidFill>
                    <w14:schemeClr w14:val="tx1"/>
                  </w14:solidFill>
                </w14:textFill>
              </w:rPr>
              <w:t>3</w:t>
            </w:r>
            <w:r>
              <w:rPr>
                <w:rFonts w:hint="eastAsia"/>
                <w:color w:val="000000" w:themeColor="text1"/>
                <w:u w:val="single"/>
                <w14:textFill>
                  <w14:solidFill>
                    <w14:schemeClr w14:val="tx1"/>
                  </w14:solidFill>
                </w14:textFill>
              </w:rPr>
              <w:t>（产量系数</w:t>
            </w:r>
            <w:r>
              <w:rPr>
                <w:color w:val="000000" w:themeColor="text1"/>
                <w:u w:val="single"/>
                <w14:textFill>
                  <w14:solidFill>
                    <w14:schemeClr w14:val="tx1"/>
                  </w14:solidFill>
                </w14:textFill>
              </w:rPr>
              <w:t>66.5</w:t>
            </w:r>
            <w:r>
              <w:rPr>
                <w:rFonts w:hint="eastAsia"/>
                <w:color w:val="000000" w:themeColor="text1"/>
                <w:u w:val="single"/>
                <w14:textFill>
                  <w14:solidFill>
                    <w14:schemeClr w14:val="tx1"/>
                  </w14:solidFill>
                </w14:textFill>
              </w:rPr>
              <w:t>%），损耗</w:t>
            </w:r>
            <w:r>
              <w:rPr>
                <w:color w:val="000000" w:themeColor="text1"/>
                <w:u w:val="single"/>
                <w14:textFill>
                  <w14:solidFill>
                    <w14:schemeClr w14:val="tx1"/>
                  </w14:solidFill>
                </w14:textFill>
              </w:rPr>
              <w:t>7.24</w:t>
            </w:r>
            <w:r>
              <w:rPr>
                <w:rFonts w:hint="eastAsia"/>
                <w:color w:val="000000" w:themeColor="text1"/>
                <w:u w:val="single"/>
                <w14:textFill>
                  <w14:solidFill>
                    <w14:schemeClr w14:val="tx1"/>
                  </w14:solidFill>
                </w14:textFill>
              </w:rPr>
              <w:t>t/a（产量系数0.3%）</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lang w:val="zh-CN"/>
                <w14:textFill>
                  <w14:solidFill>
                    <w14:schemeClr w14:val="tx1"/>
                  </w14:solidFill>
                </w14:textFill>
              </w:rPr>
              <w:t>烘干设备不运转的情况下：</w:t>
            </w:r>
          </w:p>
          <w:p>
            <w:pPr>
              <w:spacing w:line="360" w:lineRule="auto"/>
              <w:ind w:firstLine="480" w:firstLineChars="200"/>
              <w:rPr>
                <w:color w:val="000000" w:themeColor="text1"/>
                <w14:textFill>
                  <w14:solidFill>
                    <w14:schemeClr w14:val="tx1"/>
                  </w14:solidFill>
                </w14:textFill>
              </w:rPr>
            </w:pPr>
            <w:r>
              <w:rPr>
                <w:rFonts w:hint="eastAsia"/>
                <w:color w:val="000000" w:themeColor="text1"/>
                <w:sz w:val="24"/>
                <w:u w:val="single"/>
                <w14:textFill>
                  <w14:solidFill>
                    <w14:schemeClr w14:val="tx1"/>
                  </w14:solidFill>
                </w14:textFill>
              </w:rPr>
              <w:t>根据前文分析炭化煤气燃烧后直接排放量约为</w:t>
            </w:r>
            <w:r>
              <w:rPr>
                <w:rFonts w:hAnsi="宋体"/>
                <w:color w:val="000000" w:themeColor="text1"/>
                <w:sz w:val="24"/>
                <w:u w:val="single"/>
                <w14:textFill>
                  <w14:solidFill>
                    <w14:schemeClr w14:val="tx1"/>
                  </w14:solidFill>
                </w14:textFill>
              </w:rPr>
              <w:t>2.56</w:t>
            </w:r>
            <w:r>
              <w:rPr>
                <w:rFonts w:hint="eastAsia" w:hAnsi="宋体"/>
                <w:color w:val="000000" w:themeColor="text1"/>
                <w:sz w:val="24"/>
                <w:u w:val="single"/>
                <w14:textFill>
                  <w14:solidFill>
                    <w14:schemeClr w14:val="tx1"/>
                  </w14:solidFill>
                </w14:textFill>
              </w:rPr>
              <w:t>×</w:t>
            </w:r>
            <w:r>
              <w:rPr>
                <w:rFonts w:hAnsi="宋体"/>
                <w:color w:val="000000" w:themeColor="text1"/>
                <w:sz w:val="24"/>
                <w:u w:val="single"/>
                <w14:textFill>
                  <w14:solidFill>
                    <w14:schemeClr w14:val="tx1"/>
                  </w14:solidFill>
                </w14:textFill>
              </w:rPr>
              <w:t>10</w:t>
            </w:r>
            <w:r>
              <w:rPr>
                <w:rFonts w:hint="eastAsia" w:hAnsi="宋体"/>
                <w:color w:val="000000" w:themeColor="text1"/>
                <w:sz w:val="24"/>
                <w:u w:val="single"/>
                <w:vertAlign w:val="superscript"/>
                <w14:textFill>
                  <w14:solidFill>
                    <w14:schemeClr w14:val="tx1"/>
                  </w14:solidFill>
                </w14:textFill>
              </w:rPr>
              <w:t>6</w:t>
            </w:r>
            <w:r>
              <w:rPr>
                <w:rFonts w:hint="eastAsia" w:hAnsi="宋体"/>
                <w:color w:val="000000" w:themeColor="text1"/>
                <w:sz w:val="24"/>
                <w:u w:val="single"/>
                <w14:textFill>
                  <w14:solidFill>
                    <w14:schemeClr w14:val="tx1"/>
                  </w14:solidFill>
                </w14:textFill>
              </w:rPr>
              <w:t>N</w:t>
            </w:r>
            <w:r>
              <w:rPr>
                <w:rFonts w:hAnsi="宋体"/>
                <w:color w:val="000000" w:themeColor="text1"/>
                <w:sz w:val="24"/>
                <w:u w:val="single"/>
                <w14:textFill>
                  <w14:solidFill>
                    <w14:schemeClr w14:val="tx1"/>
                  </w14:solidFill>
                </w14:textFill>
              </w:rPr>
              <w:t>m</w:t>
            </w:r>
            <w:r>
              <w:rPr>
                <w:rFonts w:hAnsi="宋体"/>
                <w:color w:val="000000" w:themeColor="text1"/>
                <w:sz w:val="24"/>
                <w:u w:val="single"/>
                <w:vertAlign w:val="superscript"/>
                <w14:textFill>
                  <w14:solidFill>
                    <w14:schemeClr w14:val="tx1"/>
                  </w14:solidFill>
                </w14:textFill>
              </w:rPr>
              <w:t>3</w:t>
            </w:r>
            <w:r>
              <w:rPr>
                <w:rFonts w:hint="eastAsia" w:hAnsi="宋体"/>
                <w:color w:val="000000" w:themeColor="text1"/>
                <w:sz w:val="24"/>
                <w:u w:val="single"/>
                <w14:textFill>
                  <w14:solidFill>
                    <w14:schemeClr w14:val="tx1"/>
                  </w14:solidFill>
                </w14:textFill>
              </w:rPr>
              <w:t>，烘干机不工作时，废气在炭化窑火道内充分燃烧后由炭化窑1</w:t>
            </w:r>
            <w:r>
              <w:rPr>
                <w:rFonts w:hAnsi="宋体"/>
                <w:color w:val="000000" w:themeColor="text1"/>
                <w:sz w:val="24"/>
                <w:u w:val="single"/>
                <w14:textFill>
                  <w14:solidFill>
                    <w14:schemeClr w14:val="tx1"/>
                  </w14:solidFill>
                </w14:textFill>
              </w:rPr>
              <w:t>5m</w:t>
            </w:r>
            <w:r>
              <w:rPr>
                <w:rFonts w:hint="eastAsia" w:hAnsi="宋体"/>
                <w:color w:val="000000" w:themeColor="text1"/>
                <w:sz w:val="24"/>
                <w:u w:val="single"/>
                <w14:textFill>
                  <w14:solidFill>
                    <w14:schemeClr w14:val="tx1"/>
                  </w14:solidFill>
                </w14:textFill>
              </w:rPr>
              <w:t>排气筒（D</w:t>
            </w:r>
            <w:r>
              <w:rPr>
                <w:rFonts w:hAnsi="宋体"/>
                <w:color w:val="000000" w:themeColor="text1"/>
                <w:sz w:val="24"/>
                <w:u w:val="single"/>
                <w14:textFill>
                  <w14:solidFill>
                    <w14:schemeClr w14:val="tx1"/>
                  </w14:solidFill>
                </w14:textFill>
              </w:rPr>
              <w:t>A003</w:t>
            </w:r>
            <w:r>
              <w:rPr>
                <w:rFonts w:hint="eastAsia" w:hAnsi="宋体"/>
                <w:color w:val="000000" w:themeColor="text1"/>
                <w:sz w:val="24"/>
                <w:u w:val="single"/>
                <w14:textFill>
                  <w14:solidFill>
                    <w14:schemeClr w14:val="tx1"/>
                  </w14:solidFill>
                </w14:textFill>
              </w:rPr>
              <w:t>）直接排放。</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项目炭化过程中产生的煤气等物质在炭化窑内充分燃烧产生物质为 CO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和水， 因此本环评仅对竹煤气进行分析。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炭化参照生态环境部发布的《排放源统计调查产排污核算方法和系数手册》</w:t>
            </w:r>
            <w:r>
              <w:rPr>
                <w:color w:val="000000" w:themeColor="text1"/>
                <w:sz w:val="24"/>
                <w14:textFill>
                  <w14:solidFill>
                    <w14:schemeClr w14:val="tx1"/>
                  </w14:solidFill>
                </w14:textFill>
              </w:rPr>
              <w:t>进行核算</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采用4430工业锅炉（热力供应）行业系数手册</w:t>
            </w:r>
            <w:r>
              <w:rPr>
                <w:rFonts w:hint="eastAsia"/>
                <w:color w:val="000000" w:themeColor="text1"/>
                <w:sz w:val="24"/>
                <w14:textFill>
                  <w14:solidFill>
                    <w14:schemeClr w14:val="tx1"/>
                  </w14:solidFill>
                </w14:textFill>
              </w:rPr>
              <w:t>中燃气工业锅炉—天然气（原料）、室燃炉（工艺名称）的产污系数，氮氧化物系数参照国际领先低氮燃烧的相关系数（低氮燃烧-国际领先技术的天然气锅炉设计 NOx 排放控制要求一般小于60mg/m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，根据本项目相关计算，本项目的NOx排放浓度满足其要求）</w:t>
            </w:r>
            <w:r>
              <w:rPr>
                <w:color w:val="000000" w:themeColor="text1"/>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）炭化点火燃烧废气</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本项目为</w:t>
            </w:r>
            <w:r>
              <w:rPr>
                <w:rFonts w:hint="eastAsia"/>
                <w:color w:val="000000" w:themeColor="text1"/>
                <w:sz w:val="24"/>
                <w:u w:val="single"/>
                <w14:textFill>
                  <w14:solidFill>
                    <w14:schemeClr w14:val="tx1"/>
                  </w14:solidFill>
                </w14:textFill>
              </w:rPr>
              <w:t>热风烘干炉</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炉窑燃料主要为炭化过程产生的焦煤气等废气。</w:t>
            </w:r>
            <w:r>
              <w:rPr>
                <w:color w:val="000000" w:themeColor="text1"/>
                <w:sz w:val="24"/>
                <w:u w:val="single"/>
                <w14:textFill>
                  <w14:solidFill>
                    <w14:schemeClr w14:val="tx1"/>
                  </w14:solidFill>
                </w14:textFill>
              </w:rPr>
              <w:t>在生产线启动时进行点火烘干系统使用</w:t>
            </w:r>
            <w:r>
              <w:rPr>
                <w:rFonts w:hint="eastAsia"/>
                <w:color w:val="000000" w:themeColor="text1"/>
                <w:sz w:val="24"/>
                <w:u w:val="single"/>
                <w14:textFill>
                  <w14:solidFill>
                    <w14:schemeClr w14:val="tx1"/>
                  </w14:solidFill>
                </w14:textFill>
              </w:rPr>
              <w:t>，点火开工阶段时，项目生产无煤气使用时，</w:t>
            </w:r>
            <w:r>
              <w:rPr>
                <w:color w:val="000000" w:themeColor="text1"/>
                <w:sz w:val="24"/>
                <w:u w:val="single"/>
                <w14:textFill>
                  <w14:solidFill>
                    <w14:schemeClr w14:val="tx1"/>
                  </w14:solidFill>
                </w14:textFill>
              </w:rPr>
              <w:t>需补充一定</w:t>
            </w:r>
            <w:r>
              <w:rPr>
                <w:rFonts w:hint="eastAsia"/>
                <w:color w:val="000000" w:themeColor="text1"/>
                <w:sz w:val="24"/>
                <w:u w:val="single"/>
                <w14:textFill>
                  <w14:solidFill>
                    <w14:schemeClr w14:val="tx1"/>
                  </w14:solidFill>
                </w14:textFill>
              </w:rPr>
              <w:t>竹片作为点火燃料， 执行</w:t>
            </w:r>
            <w:r>
              <w:rPr>
                <w:color w:val="000000" w:themeColor="text1"/>
                <w:sz w:val="24"/>
                <w:u w:val="single"/>
                <w14:textFill>
                  <w14:solidFill>
                    <w14:schemeClr w14:val="tx1"/>
                  </w14:solidFill>
                </w14:textFill>
              </w:rPr>
              <w:t>《工业炉窑大气污染物排放标准》（GB9078-1996）</w:t>
            </w:r>
            <w:r>
              <w:rPr>
                <w:rFonts w:hint="eastAsia"/>
                <w:color w:val="000000" w:themeColor="text1"/>
                <w:sz w:val="24"/>
                <w:u w:val="single"/>
                <w14:textFill>
                  <w14:solidFill>
                    <w14:schemeClr w14:val="tx1"/>
                  </w14:solidFill>
                </w14:textFill>
              </w:rPr>
              <w:t>表2中加热炉</w:t>
            </w:r>
            <w:r>
              <w:rPr>
                <w:color w:val="000000" w:themeColor="text1"/>
                <w:sz w:val="24"/>
                <w:u w:val="single"/>
                <w14:textFill>
                  <w14:solidFill>
                    <w14:schemeClr w14:val="tx1"/>
                  </w14:solidFill>
                </w14:textFill>
              </w:rPr>
              <w:t>二级标准</w:t>
            </w:r>
            <w:r>
              <w:rPr>
                <w:rFonts w:hint="eastAsia"/>
                <w:color w:val="000000" w:themeColor="text1"/>
                <w:sz w:val="24"/>
                <w:u w:val="single"/>
                <w14:textFill>
                  <w14:solidFill>
                    <w14:schemeClr w14:val="tx1"/>
                  </w14:solidFill>
                </w14:textFill>
              </w:rPr>
              <w:t>。</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根据业主提供的资料，</w:t>
            </w:r>
            <w:r>
              <w:rPr>
                <w:rFonts w:hint="eastAsia"/>
                <w:color w:val="000000" w:themeColor="text1"/>
                <w:sz w:val="24"/>
                <w:u w:val="single"/>
                <w14:textFill>
                  <w14:solidFill>
                    <w14:schemeClr w14:val="tx1"/>
                  </w14:solidFill>
                </w14:textFill>
              </w:rPr>
              <w:t>辅助燃料用量为</w:t>
            </w:r>
            <w:r>
              <w:rPr>
                <w:color w:val="000000" w:themeColor="text1"/>
                <w:sz w:val="24"/>
                <w:u w:val="single"/>
                <w14:textFill>
                  <w14:solidFill>
                    <w14:schemeClr w14:val="tx1"/>
                  </w14:solidFill>
                </w14:textFill>
              </w:rPr>
              <w:t>3</w:t>
            </w:r>
            <w:r>
              <w:rPr>
                <w:rFonts w:hint="eastAsia"/>
                <w:color w:val="000000" w:themeColor="text1"/>
                <w:sz w:val="24"/>
                <w:u w:val="single"/>
                <w14:textFill>
                  <w14:solidFill>
                    <w14:schemeClr w14:val="tx1"/>
                  </w14:solidFill>
                </w14:textFill>
              </w:rPr>
              <w:t>0t/a， 点火阶段废气参照《排放源统计调查产排污核算方法和系数手册》</w:t>
            </w:r>
            <w:r>
              <w:rPr>
                <w:color w:val="000000" w:themeColor="text1"/>
                <w:sz w:val="24"/>
                <w:u w:val="single"/>
                <w14:textFill>
                  <w14:solidFill>
                    <w14:schemeClr w14:val="tx1"/>
                  </w14:solidFill>
                </w14:textFill>
              </w:rPr>
              <w:t>进行核算</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采用4430工业锅炉（热力供应）行业系数手册</w:t>
            </w:r>
            <w:r>
              <w:rPr>
                <w:rFonts w:hint="eastAsia"/>
                <w:color w:val="000000" w:themeColor="text1"/>
                <w:sz w:val="24"/>
                <w:u w:val="single"/>
                <w14:textFill>
                  <w14:solidFill>
                    <w14:schemeClr w14:val="tx1"/>
                  </w14:solidFill>
                </w14:textFill>
              </w:rPr>
              <w:t>中生物质工业锅炉进行核算，中“生物质锅炉的产排污系数”，点火阶段</w:t>
            </w:r>
            <w:r>
              <w:rPr>
                <w:color w:val="000000" w:themeColor="text1"/>
                <w:sz w:val="24"/>
                <w:u w:val="single"/>
                <w14:textFill>
                  <w14:solidFill>
                    <w14:schemeClr w14:val="tx1"/>
                  </w14:solidFill>
                </w14:textFill>
              </w:rPr>
              <w:t>产生的废气主要为二氧化硫、颗粒物和氮氧化物</w:t>
            </w:r>
            <w:r>
              <w:rPr>
                <w:rFonts w:hint="eastAsia"/>
                <w:color w:val="000000" w:themeColor="text1"/>
                <w:sz w:val="24"/>
                <w:u w:val="single"/>
                <w14:textFill>
                  <w14:solidFill>
                    <w14:schemeClr w14:val="tx1"/>
                  </w14:solidFill>
                </w14:textFill>
              </w:rPr>
              <w:t>；燃烧废气经炭化窑1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排气筒（D</w:t>
            </w:r>
            <w:r>
              <w:rPr>
                <w:color w:val="000000" w:themeColor="text1"/>
                <w:sz w:val="24"/>
                <w:u w:val="single"/>
                <w14:textFill>
                  <w14:solidFill>
                    <w14:schemeClr w14:val="tx1"/>
                  </w14:solidFill>
                </w14:textFill>
              </w:rPr>
              <w:t>A003</w:t>
            </w:r>
            <w:r>
              <w:rPr>
                <w:rFonts w:hint="eastAsia"/>
                <w:color w:val="000000" w:themeColor="text1"/>
                <w:sz w:val="24"/>
                <w:u w:val="single"/>
                <w14:textFill>
                  <w14:solidFill>
                    <w14:schemeClr w14:val="tx1"/>
                  </w14:solidFill>
                </w14:textFill>
              </w:rPr>
              <w:t>）直接排放。</w:t>
            </w:r>
          </w:p>
          <w:p>
            <w:pPr>
              <w:adjustRightInd w:val="0"/>
              <w:snapToGrid w:val="0"/>
              <w:spacing w:line="360" w:lineRule="auto"/>
              <w:ind w:firstLine="480" w:firstLineChars="200"/>
              <w:rPr>
                <w:color w:val="000000" w:themeColor="text1"/>
                <w:u w:val="single"/>
                <w14:textFill>
                  <w14:solidFill>
                    <w14:schemeClr w14:val="tx1"/>
                  </w14:solidFill>
                </w14:textFill>
              </w:rPr>
            </w:pPr>
            <w:r>
              <w:rPr>
                <w:color w:val="000000" w:themeColor="text1"/>
                <w:sz w:val="24"/>
                <w:u w:val="single"/>
                <w14:textFill>
                  <w14:solidFill>
                    <w14:schemeClr w14:val="tx1"/>
                  </w14:solidFill>
                </w14:textFill>
              </w:rPr>
              <w:t>相关污染物的产</w:t>
            </w:r>
            <w:r>
              <w:rPr>
                <w:rFonts w:hint="eastAsia"/>
                <w:color w:val="000000" w:themeColor="text1"/>
                <w:sz w:val="24"/>
                <w:u w:val="single"/>
                <w14:textFill>
                  <w14:solidFill>
                    <w14:schemeClr w14:val="tx1"/>
                  </w14:solidFill>
                </w14:textFill>
              </w:rPr>
              <w:t>污</w:t>
            </w:r>
            <w:r>
              <w:rPr>
                <w:color w:val="000000" w:themeColor="text1"/>
                <w:sz w:val="24"/>
                <w:u w:val="single"/>
                <w14:textFill>
                  <w14:solidFill>
                    <w14:schemeClr w14:val="tx1"/>
                  </w14:solidFill>
                </w14:textFill>
              </w:rPr>
              <w:t>系数及污染物产生情况见下表</w:t>
            </w:r>
            <w:r>
              <w:rPr>
                <w:rFonts w:hint="eastAsia"/>
                <w:color w:val="000000" w:themeColor="text1"/>
                <w:sz w:val="24"/>
                <w:u w:val="single"/>
                <w14:textFill>
                  <w14:solidFill>
                    <w14:schemeClr w14:val="tx1"/>
                  </w14:solidFill>
                </w14:textFill>
              </w:rPr>
              <w:t>，二破、炭化、烘干废气风机风量为</w:t>
            </w:r>
            <w:r>
              <w:rPr>
                <w:color w:val="000000" w:themeColor="text1"/>
                <w:sz w:val="24"/>
                <w:u w:val="single"/>
                <w14:textFill>
                  <w14:solidFill>
                    <w14:schemeClr w14:val="tx1"/>
                  </w14:solidFill>
                </w14:textFill>
              </w:rPr>
              <w:t>15</w:t>
            </w:r>
            <w:r>
              <w:rPr>
                <w:rFonts w:hint="eastAsia"/>
                <w:color w:val="000000" w:themeColor="text1"/>
                <w:sz w:val="24"/>
                <w:u w:val="single"/>
                <w14:textFill>
                  <w14:solidFill>
                    <w14:schemeClr w14:val="tx1"/>
                  </w14:solidFill>
                </w14:textFill>
              </w:rPr>
              <w:t>000m</w:t>
            </w:r>
            <w:r>
              <w:rPr>
                <w:rFonts w:hint="eastAsia"/>
                <w:color w:val="000000" w:themeColor="text1"/>
                <w:sz w:val="24"/>
                <w:u w:val="single"/>
                <w:vertAlign w:val="superscript"/>
                <w14:textFill>
                  <w14:solidFill>
                    <w14:schemeClr w14:val="tx1"/>
                  </w14:solidFill>
                </w14:textFill>
              </w:rPr>
              <w:t>3</w:t>
            </w:r>
            <w:r>
              <w:rPr>
                <w:rFonts w:hint="eastAsia"/>
                <w:color w:val="000000" w:themeColor="text1"/>
                <w:sz w:val="24"/>
                <w:u w:val="single"/>
                <w14:textFill>
                  <w14:solidFill>
                    <w14:schemeClr w14:val="tx1"/>
                  </w14:solidFill>
                </w14:textFill>
              </w:rPr>
              <w:t>/h。</w:t>
            </w:r>
          </w:p>
          <w:p>
            <w:pPr>
              <w:pStyle w:val="18"/>
              <w:rPr>
                <w:b/>
                <w:bCs/>
                <w:color w:val="000000" w:themeColor="text1"/>
                <w:sz w:val="21"/>
                <w:szCs w:val="21"/>
                <w:highlight w:val="yellow"/>
                <w:u w:val="single"/>
                <w14:textFill>
                  <w14:solidFill>
                    <w14:schemeClr w14:val="tx1"/>
                  </w14:solidFill>
                </w14:textFill>
              </w:rPr>
            </w:pPr>
          </w:p>
          <w:p>
            <w:pPr>
              <w:pStyle w:val="18"/>
              <w:rPr>
                <w:color w:val="000000" w:themeColor="text1"/>
                <w14:textFill>
                  <w14:solidFill>
                    <w14:schemeClr w14:val="tx1"/>
                  </w14:solidFill>
                </w14:textFill>
              </w:rPr>
            </w:pPr>
            <w:r>
              <w:rPr>
                <w:b/>
                <w:bCs/>
                <w:color w:val="000000" w:themeColor="text1"/>
                <w:sz w:val="21"/>
                <w:szCs w:val="21"/>
                <w14:textFill>
                  <w14:solidFill>
                    <w14:schemeClr w14:val="tx1"/>
                  </w14:solidFill>
                </w14:textFill>
              </w:rPr>
              <w:t>表4-9</w:t>
            </w:r>
            <w:r>
              <w:rPr>
                <w:rFonts w:hint="eastAsia"/>
                <w:b/>
                <w:bCs/>
                <w:color w:val="000000" w:themeColor="text1"/>
                <w:sz w:val="21"/>
                <w:szCs w:val="21"/>
                <w14:textFill>
                  <w14:solidFill>
                    <w14:schemeClr w14:val="tx1"/>
                  </w14:solidFill>
                </w14:textFill>
              </w:rPr>
              <w:t xml:space="preserve">  炭化废气</w:t>
            </w:r>
            <w:r>
              <w:rPr>
                <w:b/>
                <w:bCs/>
                <w:color w:val="000000" w:themeColor="text1"/>
                <w:sz w:val="21"/>
                <w:szCs w:val="21"/>
                <w14:textFill>
                  <w14:solidFill>
                    <w14:schemeClr w14:val="tx1"/>
                  </w14:solidFill>
                </w14:textFill>
              </w:rPr>
              <w:t>产污系数及情况一览表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998"/>
              <w:gridCol w:w="1998"/>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000" w:type="pct"/>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煤气气体（产生量</w:t>
                  </w:r>
                  <w:r>
                    <w:rPr>
                      <w:color w:val="000000" w:themeColor="text1"/>
                      <w:u w:val="single"/>
                      <w14:textFill>
                        <w14:solidFill>
                          <w14:schemeClr w14:val="tx1"/>
                        </w14:solidFill>
                      </w14:textFill>
                    </w:rPr>
                    <w:t>1604.76</w:t>
                  </w:r>
                  <w:r>
                    <w:rPr>
                      <w:rFonts w:hint="eastAsia"/>
                      <w:color w:val="000000" w:themeColor="text1"/>
                      <w:szCs w:val="21"/>
                      <w14:textFill>
                        <w14:solidFill>
                          <w14:schemeClr w14:val="tx1"/>
                        </w14:solidFill>
                      </w14:textFill>
                    </w:rPr>
                    <w:t>t/a，换算</w:t>
                  </w:r>
                  <w:r>
                    <w:rPr>
                      <w:rFonts w:hint="eastAsia"/>
                      <w:color w:val="000000" w:themeColor="text1"/>
                      <w:szCs w:val="21"/>
                      <w14:textFill>
                        <w14:solidFill>
                          <w14:schemeClr w14:val="tx1"/>
                        </w14:solidFill>
                      </w14:textFill>
                    </w:rPr>
                    <w:t>为</w:t>
                  </w:r>
                  <w:r>
                    <w:rPr>
                      <w:color w:val="000000" w:themeColor="text1"/>
                      <w:szCs w:val="21"/>
                      <w14:textFill>
                        <w14:solidFill>
                          <w14:schemeClr w14:val="tx1"/>
                        </w14:solidFill>
                      </w14:textFill>
                    </w:rPr>
                    <w:t>3.21</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10</w:t>
                  </w:r>
                  <w:r>
                    <w:rPr>
                      <w:rFonts w:hint="eastAsia"/>
                      <w:color w:val="000000" w:themeColor="text1"/>
                      <w:szCs w:val="21"/>
                      <w:vertAlign w:val="superscript"/>
                      <w14:textFill>
                        <w14:solidFill>
                          <w14:schemeClr w14:val="tx1"/>
                        </w14:solidFill>
                      </w14:textFill>
                    </w:rPr>
                    <w:t>6</w:t>
                  </w:r>
                  <w:r>
                    <w:rPr>
                      <w:rFonts w:hint="eastAsia"/>
                      <w:color w:val="000000" w:themeColor="text1"/>
                      <w:szCs w:val="21"/>
                      <w14:textFill>
                        <w14:solidFill>
                          <w14:schemeClr w14:val="tx1"/>
                        </w14:solidFill>
                      </w14:textFill>
                    </w:rPr>
                    <w:t>N</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污染物指标</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二氧化硫</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w:t>
                  </w:r>
                  <w:r>
                    <w:rPr>
                      <w:rFonts w:hint="eastAsia"/>
                      <w:color w:val="000000" w:themeColor="text1"/>
                      <w:szCs w:val="21"/>
                      <w14:textFill>
                        <w14:solidFill>
                          <w14:schemeClr w14:val="tx1"/>
                        </w14:solidFill>
                      </w14:textFill>
                    </w:rPr>
                    <w:t>污</w:t>
                  </w:r>
                  <w:r>
                    <w:rPr>
                      <w:color w:val="000000" w:themeColor="text1"/>
                      <w:szCs w:val="21"/>
                      <w14:textFill>
                        <w14:solidFill>
                          <w14:schemeClr w14:val="tx1"/>
                        </w14:solidFill>
                      </w14:textFill>
                    </w:rPr>
                    <w:t>系数</w:t>
                  </w:r>
                </w:p>
              </w:tc>
              <w:tc>
                <w:tcPr>
                  <w:tcW w:w="125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0.02</w:t>
                  </w:r>
                  <w:r>
                    <w:rPr>
                      <w:color w:val="000000" w:themeColor="text1"/>
                      <w:szCs w:val="21"/>
                      <w14:textFill>
                        <w14:solidFill>
                          <w14:schemeClr w14:val="tx1"/>
                        </w14:solidFill>
                      </w14:textFill>
                    </w:rPr>
                    <w:t>S</w:t>
                  </w:r>
                  <w:r>
                    <w:rPr>
                      <w:rFonts w:hint="eastAsia"/>
                      <w:color w:val="000000" w:themeColor="text1"/>
                      <w:szCs w:val="21"/>
                      <w14:textFill>
                        <w14:solidFill>
                          <w14:schemeClr w14:val="tx1"/>
                        </w14:solidFill>
                      </w14:textFill>
                    </w:rPr>
                    <w:t>千克/万立方米-原料</w:t>
                  </w:r>
                </w:p>
              </w:tc>
              <w:tc>
                <w:tcPr>
                  <w:tcW w:w="125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2.4千克</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万立方米-原料</w:t>
                  </w:r>
                </w:p>
              </w:tc>
              <w:tc>
                <w:tcPr>
                  <w:tcW w:w="1254"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3.03千克/万立方米-原料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污染物产生量</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3</w:t>
                  </w:r>
                  <w:r>
                    <w:rPr>
                      <w:rFonts w:hint="eastAsia"/>
                      <w:color w:val="000000" w:themeColor="text1"/>
                      <w:szCs w:val="21"/>
                      <w:u w:val="single"/>
                      <w14:textFill>
                        <w14:solidFill>
                          <w14:schemeClr w14:val="tx1"/>
                        </w14:solidFill>
                      </w14:textFill>
                    </w:rPr>
                    <w:t>.</w:t>
                  </w:r>
                  <w:r>
                    <w:rPr>
                      <w:color w:val="000000" w:themeColor="text1"/>
                      <w:szCs w:val="21"/>
                      <w:u w:val="single"/>
                      <w14:textFill>
                        <w14:solidFill>
                          <w14:schemeClr w14:val="tx1"/>
                        </w14:solidFill>
                      </w14:textFill>
                    </w:rPr>
                    <w:t>9</w:t>
                  </w:r>
                  <w:r>
                    <w:rPr>
                      <w:rFonts w:hint="eastAsia"/>
                      <w:color w:val="000000" w:themeColor="text1"/>
                      <w:szCs w:val="21"/>
                      <w:u w:val="single"/>
                      <w14:textFill>
                        <w14:solidFill>
                          <w14:schemeClr w14:val="tx1"/>
                        </w14:solidFill>
                      </w14:textFill>
                    </w:rPr>
                    <w:t>kg/a</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770</w:t>
                  </w:r>
                  <w:r>
                    <w:rPr>
                      <w:rFonts w:hint="eastAsia"/>
                      <w:color w:val="000000" w:themeColor="text1"/>
                      <w:szCs w:val="21"/>
                      <w:u w:val="single"/>
                      <w14:textFill>
                        <w14:solidFill>
                          <w14:schemeClr w14:val="tx1"/>
                        </w14:solidFill>
                      </w14:textFill>
                    </w:rPr>
                    <w:t>kg/a</w:t>
                  </w:r>
                </w:p>
              </w:tc>
              <w:tc>
                <w:tcPr>
                  <w:tcW w:w="1254"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973</w:t>
                  </w:r>
                  <w:r>
                    <w:rPr>
                      <w:rFonts w:hint="eastAsia"/>
                      <w:color w:val="000000" w:themeColor="text1"/>
                      <w:szCs w:val="21"/>
                      <w:u w:val="single"/>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直排煤气量为</w:t>
                  </w:r>
                  <w:r>
                    <w:rPr>
                      <w:color w:val="000000" w:themeColor="text1"/>
                      <w:szCs w:val="21"/>
                      <w14:textFill>
                        <w14:solidFill>
                          <w14:schemeClr w14:val="tx1"/>
                        </w14:solidFill>
                      </w14:textFill>
                    </w:rPr>
                    <w:t>2.56</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10</w:t>
                  </w:r>
                  <w:r>
                    <w:rPr>
                      <w:rFonts w:hint="eastAsia"/>
                      <w:color w:val="000000" w:themeColor="text1"/>
                      <w:szCs w:val="21"/>
                      <w:vertAlign w:val="superscript"/>
                      <w14:textFill>
                        <w14:solidFill>
                          <w14:schemeClr w14:val="tx1"/>
                        </w14:solidFill>
                      </w14:textFill>
                    </w:rPr>
                    <w:t>6</w:t>
                  </w:r>
                  <w:r>
                    <w:rPr>
                      <w:rFonts w:hint="eastAsia"/>
                      <w:color w:val="000000" w:themeColor="text1"/>
                      <w:szCs w:val="21"/>
                      <w14:textFill>
                        <w14:solidFill>
                          <w14:schemeClr w14:val="tx1"/>
                        </w14:solidFill>
                      </w14:textFill>
                    </w:rPr>
                    <w:t>N</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产</w:t>
                  </w:r>
                  <w:r>
                    <w:rPr>
                      <w:rFonts w:hint="eastAsia"/>
                      <w:color w:val="000000" w:themeColor="text1"/>
                      <w:szCs w:val="21"/>
                      <w:u w:val="single"/>
                      <w14:textFill>
                        <w14:solidFill>
                          <w14:schemeClr w14:val="tx1"/>
                        </w14:solidFill>
                      </w14:textFill>
                    </w:rPr>
                    <w:t>污</w:t>
                  </w:r>
                  <w:r>
                    <w:rPr>
                      <w:color w:val="000000" w:themeColor="text1"/>
                      <w:szCs w:val="21"/>
                      <w:u w:val="single"/>
                      <w14:textFill>
                        <w14:solidFill>
                          <w14:schemeClr w14:val="tx1"/>
                        </w14:solidFill>
                      </w14:textFill>
                    </w:rPr>
                    <w:t>系数</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0.02</w:t>
                  </w:r>
                  <w:r>
                    <w:rPr>
                      <w:color w:val="000000" w:themeColor="text1"/>
                      <w:szCs w:val="21"/>
                      <w:u w:val="single"/>
                      <w14:textFill>
                        <w14:solidFill>
                          <w14:schemeClr w14:val="tx1"/>
                        </w14:solidFill>
                      </w14:textFill>
                    </w:rPr>
                    <w:t>S</w:t>
                  </w:r>
                  <w:r>
                    <w:rPr>
                      <w:rFonts w:hint="eastAsia"/>
                      <w:color w:val="000000" w:themeColor="text1"/>
                      <w:szCs w:val="21"/>
                      <w:u w:val="single"/>
                      <w14:textFill>
                        <w14:solidFill>
                          <w14:schemeClr w14:val="tx1"/>
                        </w14:solidFill>
                      </w14:textFill>
                    </w:rPr>
                    <w:t>千克/万立方米-原料</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2.4千克</w:t>
                  </w:r>
                  <w:r>
                    <w:rPr>
                      <w:color w:val="000000" w:themeColor="text1"/>
                      <w:szCs w:val="21"/>
                      <w:u w:val="single"/>
                      <w14:textFill>
                        <w14:solidFill>
                          <w14:schemeClr w14:val="tx1"/>
                        </w14:solidFill>
                      </w14:textFill>
                    </w:rPr>
                    <w:t>/</w:t>
                  </w:r>
                  <w:r>
                    <w:rPr>
                      <w:rFonts w:hint="eastAsia"/>
                      <w:color w:val="000000" w:themeColor="text1"/>
                      <w:szCs w:val="21"/>
                      <w:u w:val="single"/>
                      <w14:textFill>
                        <w14:solidFill>
                          <w14:schemeClr w14:val="tx1"/>
                        </w14:solidFill>
                      </w14:textFill>
                    </w:rPr>
                    <w:t>万立方米-原料</w:t>
                  </w:r>
                </w:p>
              </w:tc>
              <w:tc>
                <w:tcPr>
                  <w:tcW w:w="1254" w:type="pct"/>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3.03千克/万立方米-原料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污染物产生量</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3.1</w:t>
                  </w:r>
                  <w:r>
                    <w:rPr>
                      <w:rFonts w:hint="eastAsia"/>
                      <w:color w:val="000000" w:themeColor="text1"/>
                      <w:szCs w:val="21"/>
                      <w:u w:val="single"/>
                      <w14:textFill>
                        <w14:solidFill>
                          <w14:schemeClr w14:val="tx1"/>
                        </w14:solidFill>
                      </w14:textFill>
                    </w:rPr>
                    <w:t>kg/a</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615</w:t>
                  </w:r>
                  <w:r>
                    <w:rPr>
                      <w:rFonts w:hint="eastAsia"/>
                      <w:color w:val="000000" w:themeColor="text1"/>
                      <w:szCs w:val="21"/>
                      <w:u w:val="single"/>
                      <w14:textFill>
                        <w14:solidFill>
                          <w14:schemeClr w14:val="tx1"/>
                        </w14:solidFill>
                      </w14:textFill>
                    </w:rPr>
                    <w:t>kg/a</w:t>
                  </w:r>
                </w:p>
              </w:tc>
              <w:tc>
                <w:tcPr>
                  <w:tcW w:w="1254"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776</w:t>
                  </w:r>
                  <w:r>
                    <w:rPr>
                      <w:rFonts w:hint="eastAsia"/>
                      <w:color w:val="000000" w:themeColor="text1"/>
                      <w:szCs w:val="21"/>
                      <w:u w:val="single"/>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000" w:type="pct"/>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炭化点火燃烧废气：竹头、竹片污染源（用量</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污染物指标</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二氧化硫</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w:t>
                  </w:r>
                  <w:r>
                    <w:rPr>
                      <w:rFonts w:hint="eastAsia"/>
                      <w:color w:val="000000" w:themeColor="text1"/>
                      <w:szCs w:val="21"/>
                      <w14:textFill>
                        <w14:solidFill>
                          <w14:schemeClr w14:val="tx1"/>
                        </w14:solidFill>
                      </w14:textFill>
                    </w:rPr>
                    <w:t>污</w:t>
                  </w:r>
                  <w:r>
                    <w:rPr>
                      <w:color w:val="000000" w:themeColor="text1"/>
                      <w:szCs w:val="21"/>
                      <w14:textFill>
                        <w14:solidFill>
                          <w14:schemeClr w14:val="tx1"/>
                        </w14:solidFill>
                      </w14:textFill>
                    </w:rPr>
                    <w:t>系数</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17S kg/t原料</w:t>
                  </w:r>
                </w:p>
              </w:tc>
              <w:tc>
                <w:tcPr>
                  <w:tcW w:w="125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r>
                    <w:rPr>
                      <w:color w:val="000000" w:themeColor="text1"/>
                      <w:szCs w:val="21"/>
                      <w14:textFill>
                        <w14:solidFill>
                          <w14:schemeClr w14:val="tx1"/>
                        </w14:solidFill>
                      </w14:textFill>
                    </w:rPr>
                    <w:t>kg/t原料</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1.02kg/t原料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污染物产生量</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306kg/a</w:t>
                  </w:r>
                </w:p>
              </w:tc>
              <w:tc>
                <w:tcPr>
                  <w:tcW w:w="125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5kg/a</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30.6kg/a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adjustRightInd w:val="0"/>
                    <w:snapToGrid w:val="0"/>
                    <w:jc w:val="center"/>
                    <w:rPr>
                      <w:color w:val="000000" w:themeColor="text1"/>
                      <w:szCs w:val="21"/>
                      <w14:textFill>
                        <w14:solidFill>
                          <w14:schemeClr w14:val="tx1"/>
                        </w14:solidFill>
                      </w14:textFill>
                    </w:rPr>
                  </w:pPr>
                </w:p>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通过脉冲除尘D</w:t>
                  </w:r>
                  <w:r>
                    <w:rPr>
                      <w:color w:val="000000" w:themeColor="text1"/>
                      <w:szCs w:val="21"/>
                      <w14:textFill>
                        <w14:solidFill>
                          <w14:schemeClr w14:val="tx1"/>
                        </w14:solidFill>
                      </w14:textFill>
                    </w:rPr>
                    <w:t>A002</w:t>
                  </w:r>
                  <w:r>
                    <w:rPr>
                      <w:rFonts w:hint="eastAsia"/>
                      <w:color w:val="000000" w:themeColor="text1"/>
                      <w:szCs w:val="21"/>
                      <w14:textFill>
                        <w14:solidFill>
                          <w14:schemeClr w14:val="tx1"/>
                        </w14:solidFill>
                      </w14:textFill>
                    </w:rPr>
                    <w:t>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污染物指标</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二氧化硫</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污染物产生总量</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0.8</w:t>
                  </w:r>
                  <w:r>
                    <w:rPr>
                      <w:rFonts w:hint="eastAsia"/>
                      <w:color w:val="000000" w:themeColor="text1"/>
                      <w:szCs w:val="21"/>
                      <w:u w:val="single"/>
                      <w14:textFill>
                        <w14:solidFill>
                          <w14:schemeClr w14:val="tx1"/>
                        </w14:solidFill>
                      </w14:textFill>
                    </w:rPr>
                    <w:t>kg/a</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155</w:t>
                  </w:r>
                  <w:r>
                    <w:rPr>
                      <w:rFonts w:hint="eastAsia"/>
                      <w:color w:val="000000" w:themeColor="text1"/>
                      <w:szCs w:val="21"/>
                      <w:u w:val="single"/>
                      <w14:textFill>
                        <w14:solidFill>
                          <w14:schemeClr w14:val="tx1"/>
                        </w14:solidFill>
                      </w14:textFill>
                    </w:rPr>
                    <w:t>kg/a</w:t>
                  </w:r>
                </w:p>
              </w:tc>
              <w:tc>
                <w:tcPr>
                  <w:tcW w:w="1254"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197</w:t>
                  </w:r>
                  <w:r>
                    <w:rPr>
                      <w:rFonts w:hint="eastAsia"/>
                      <w:color w:val="000000" w:themeColor="text1"/>
                      <w:szCs w:val="21"/>
                      <w:u w:val="single"/>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设备总风量</w:t>
                  </w:r>
                </w:p>
              </w:tc>
              <w:tc>
                <w:tcPr>
                  <w:tcW w:w="3754" w:type="pct"/>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15000</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w:t>
                  </w:r>
                  <w:r>
                    <w:rPr>
                      <w:rFonts w:hint="eastAsia"/>
                      <w:color w:val="000000" w:themeColor="text1"/>
                      <w:szCs w:val="21"/>
                      <w14:textFill>
                        <w14:solidFill>
                          <w14:schemeClr w14:val="tx1"/>
                        </w14:solidFill>
                      </w14:textFill>
                    </w:rPr>
                    <w:t>总量产生</w:t>
                  </w:r>
                  <w:r>
                    <w:rPr>
                      <w:color w:val="000000" w:themeColor="text1"/>
                      <w:szCs w:val="21"/>
                      <w14:textFill>
                        <w14:solidFill>
                          <w14:schemeClr w14:val="tx1"/>
                        </w14:solidFill>
                      </w14:textFill>
                    </w:rPr>
                    <w:t>浓度</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0.01mg/m</w:t>
                  </w:r>
                  <w:r>
                    <w:rPr>
                      <w:color w:val="000000" w:themeColor="text1"/>
                      <w:szCs w:val="21"/>
                      <w:u w:val="single"/>
                      <w:vertAlign w:val="superscript"/>
                      <w14:textFill>
                        <w14:solidFill>
                          <w14:schemeClr w14:val="tx1"/>
                        </w14:solidFill>
                      </w14:textFill>
                    </w:rPr>
                    <w:t>3</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2.2mg/m</w:t>
                  </w:r>
                  <w:r>
                    <w:rPr>
                      <w:color w:val="000000" w:themeColor="text1"/>
                      <w:szCs w:val="21"/>
                      <w:u w:val="single"/>
                      <w:vertAlign w:val="superscript"/>
                      <w14:textFill>
                        <w14:solidFill>
                          <w14:schemeClr w14:val="tx1"/>
                        </w14:solidFill>
                      </w14:textFill>
                    </w:rPr>
                    <w:t>3</w:t>
                  </w:r>
                </w:p>
              </w:tc>
              <w:tc>
                <w:tcPr>
                  <w:tcW w:w="1254"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2.8mg/m</w:t>
                  </w:r>
                  <w:r>
                    <w:rPr>
                      <w:color w:val="000000" w:themeColor="text1"/>
                      <w:szCs w:val="21"/>
                      <w:u w:val="single"/>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通过D</w:t>
                  </w:r>
                  <w:r>
                    <w:rPr>
                      <w:color w:val="000000" w:themeColor="text1"/>
                      <w:szCs w:val="21"/>
                      <w:u w:val="single"/>
                      <w14:textFill>
                        <w14:solidFill>
                          <w14:schemeClr w14:val="tx1"/>
                        </w14:solidFill>
                      </w14:textFill>
                    </w:rPr>
                    <w:t>A003</w:t>
                  </w:r>
                  <w:r>
                    <w:rPr>
                      <w:rFonts w:hint="eastAsia"/>
                      <w:color w:val="000000" w:themeColor="text1"/>
                      <w:szCs w:val="21"/>
                      <w:u w:val="single"/>
                      <w14:textFill>
                        <w14:solidFill>
                          <w14:schemeClr w14:val="tx1"/>
                        </w14:solidFill>
                      </w14:textFill>
                    </w:rPr>
                    <w:t>直接排放量（未利用的炭化废气和点火燃烧废气）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污染物指标</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二氧化硫</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污染物产生总量</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309.1</w:t>
                  </w:r>
                  <w:r>
                    <w:rPr>
                      <w:rFonts w:hint="eastAsia"/>
                      <w:color w:val="000000" w:themeColor="text1"/>
                      <w:szCs w:val="21"/>
                      <w:u w:val="single"/>
                      <w14:textFill>
                        <w14:solidFill>
                          <w14:schemeClr w14:val="tx1"/>
                        </w14:solidFill>
                      </w14:textFill>
                    </w:rPr>
                    <w:t>kg/a</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630</w:t>
                  </w:r>
                  <w:r>
                    <w:rPr>
                      <w:rFonts w:hint="eastAsia"/>
                      <w:color w:val="000000" w:themeColor="text1"/>
                      <w:szCs w:val="21"/>
                      <w:u w:val="single"/>
                      <w14:textFill>
                        <w14:solidFill>
                          <w14:schemeClr w14:val="tx1"/>
                        </w14:solidFill>
                      </w14:textFill>
                    </w:rPr>
                    <w:t>kg/a</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806.6</w:t>
                  </w:r>
                  <w:r>
                    <w:rPr>
                      <w:rFonts w:hint="eastAsia"/>
                      <w:color w:val="000000" w:themeColor="text1"/>
                      <w:szCs w:val="21"/>
                      <w:u w:val="single"/>
                      <w14:textFill>
                        <w14:solidFill>
                          <w14:schemeClr w14:val="tx1"/>
                        </w14:solidFill>
                      </w14:textFill>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设备总风量</w:t>
                  </w:r>
                </w:p>
              </w:tc>
              <w:tc>
                <w:tcPr>
                  <w:tcW w:w="3754" w:type="pct"/>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10000</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w:t>
                  </w:r>
                  <w:r>
                    <w:rPr>
                      <w:rFonts w:hint="eastAsia"/>
                      <w:color w:val="000000" w:themeColor="text1"/>
                      <w:szCs w:val="21"/>
                      <w14:textFill>
                        <w14:solidFill>
                          <w14:schemeClr w14:val="tx1"/>
                        </w14:solidFill>
                      </w14:textFill>
                    </w:rPr>
                    <w:t>总量产生</w:t>
                  </w:r>
                  <w:r>
                    <w:rPr>
                      <w:color w:val="000000" w:themeColor="text1"/>
                      <w:szCs w:val="21"/>
                      <w14:textFill>
                        <w14:solidFill>
                          <w14:schemeClr w14:val="tx1"/>
                        </w14:solidFill>
                      </w14:textFill>
                    </w:rPr>
                    <w:t>浓度</w:t>
                  </w:r>
                </w:p>
              </w:tc>
              <w:tc>
                <w:tcPr>
                  <w:tcW w:w="1250" w:type="pct"/>
                  <w:vAlign w:val="center"/>
                </w:tcPr>
                <w:p>
                  <w:pPr>
                    <w:adjustRightInd w:val="0"/>
                    <w:snapToGri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6.5mg/m</w:t>
                  </w:r>
                  <w:r>
                    <w:rPr>
                      <w:color w:val="000000" w:themeColor="text1"/>
                      <w:szCs w:val="21"/>
                      <w:u w:val="single"/>
                      <w:vertAlign w:val="superscript"/>
                      <w14:textFill>
                        <w14:solidFill>
                          <w14:schemeClr w14:val="tx1"/>
                        </w14:solidFill>
                      </w14:textFill>
                    </w:rPr>
                    <w:t>3</w:t>
                  </w:r>
                </w:p>
              </w:tc>
              <w:tc>
                <w:tcPr>
                  <w:tcW w:w="125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13.2mg/m</w:t>
                  </w:r>
                  <w:r>
                    <w:rPr>
                      <w:color w:val="000000" w:themeColor="text1"/>
                      <w:szCs w:val="21"/>
                      <w:u w:val="single"/>
                      <w:vertAlign w:val="superscript"/>
                      <w14:textFill>
                        <w14:solidFill>
                          <w14:schemeClr w14:val="tx1"/>
                        </w14:solidFill>
                      </w14:textFill>
                    </w:rPr>
                    <w:t>3</w:t>
                  </w:r>
                </w:p>
              </w:tc>
              <w:tc>
                <w:tcPr>
                  <w:tcW w:w="125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16.8mg/m</w:t>
                  </w:r>
                  <w:r>
                    <w:rPr>
                      <w:color w:val="000000" w:themeColor="text1"/>
                      <w:szCs w:val="21"/>
                      <w:u w:val="single"/>
                      <w:vertAlign w:val="superscript"/>
                      <w14:textFill>
                        <w14:solidFill>
                          <w14:schemeClr w14:val="tx1"/>
                        </w14:solidFill>
                      </w14:textFill>
                    </w:rPr>
                    <w:t>3</w:t>
                  </w:r>
                </w:p>
              </w:tc>
            </w:tr>
          </w:tbl>
          <w:p>
            <w:pPr>
              <w:adjustRightInd w:val="0"/>
              <w:snapToGrid w:val="0"/>
              <w:spacing w:line="360" w:lineRule="auto"/>
              <w:ind w:firstLine="420" w:firstLineChars="200"/>
              <w:rPr>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注1：产污系数表中气体燃料的二氧化硫的产污系数是以含硫量（S）的形式表示的，其中含硫量（S）是指气体燃料中的硫含量，单位为毫克/立方米。例如燃料中含硫量（S）为200 毫克/立方米，则S=200。本项目竹煤气含硫量质量百分比参照生物质1%，S取1，折算为燃气收到基硫分含量为200毫克/立方米，竹条、竹片的计算过程中，S取0.6。</w:t>
            </w:r>
          </w:p>
          <w:p>
            <w:pPr>
              <w:pStyle w:val="30"/>
              <w:spacing w:line="360" w:lineRule="auto"/>
              <w:ind w:firstLine="420" w:firstLineChars="200"/>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注2：根据业主介绍，一体化烘干炭化设备运行时长24h/d，本项目年生产</w:t>
            </w:r>
            <w:r>
              <w:rPr>
                <w:rFonts w:ascii="Times New Roman" w:cs="Times New Roman"/>
                <w:color w:val="000000" w:themeColor="text1"/>
                <w:sz w:val="21"/>
                <w:szCs w:val="21"/>
                <w14:textFill>
                  <w14:solidFill>
                    <w14:schemeClr w14:val="tx1"/>
                  </w14:solidFill>
                </w14:textFill>
              </w:rPr>
              <w:t>2</w:t>
            </w:r>
            <w:r>
              <w:rPr>
                <w:rFonts w:hint="eastAsia" w:ascii="Times New Roman" w:cs="Times New Roman"/>
                <w:color w:val="000000" w:themeColor="text1"/>
                <w:sz w:val="21"/>
                <w:szCs w:val="21"/>
                <w14:textFill>
                  <w14:solidFill>
                    <w14:schemeClr w14:val="tx1"/>
                  </w14:solidFill>
                </w14:textFill>
              </w:rPr>
              <w:t>00天，故生产时长取</w:t>
            </w:r>
            <w:r>
              <w:rPr>
                <w:rFonts w:ascii="Times New Roman" w:cs="Times New Roman"/>
                <w:color w:val="000000" w:themeColor="text1"/>
                <w:sz w:val="21"/>
                <w:szCs w:val="21"/>
                <w14:textFill>
                  <w14:solidFill>
                    <w14:schemeClr w14:val="tx1"/>
                  </w14:solidFill>
                </w14:textFill>
              </w:rPr>
              <w:t>48</w:t>
            </w:r>
            <w:r>
              <w:rPr>
                <w:rFonts w:hint="eastAsia" w:ascii="Times New Roman" w:cs="Times New Roman"/>
                <w:color w:val="000000" w:themeColor="text1"/>
                <w:sz w:val="21"/>
                <w:szCs w:val="21"/>
                <w14:textFill>
                  <w14:solidFill>
                    <w14:schemeClr w14:val="tx1"/>
                  </w14:solidFill>
                </w14:textFill>
              </w:rPr>
              <w:t>00h/a。</w:t>
            </w:r>
          </w:p>
          <w:p>
            <w:pPr>
              <w:pStyle w:val="30"/>
              <w:spacing w:line="360" w:lineRule="auto"/>
              <w:ind w:firstLine="420" w:firstLineChars="200"/>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注3：煤气因与主要成分为N2的工业煤气中不同，煤气中主要成分为CO2，氮氧化物主要来源于燃烧过程中引入空气，产排污系数参照天然气。</w:t>
            </w:r>
          </w:p>
          <w:p>
            <w:pPr>
              <w:pStyle w:val="30"/>
              <w:spacing w:line="360" w:lineRule="auto"/>
              <w:ind w:firstLine="420" w:firstLineChars="200"/>
              <w:rPr>
                <w:rFonts w:ascii="Times New Roman"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14:textFill>
                  <w14:solidFill>
                    <w14:schemeClr w14:val="tx1"/>
                  </w14:solidFill>
                </w14:textFill>
              </w:rPr>
              <w:t xml:space="preserve"> 注4：煤气燃烧的烟尘产污系数参考《环境保护实用数据手册》，取2.4千克/万立方米-原料。</w:t>
            </w:r>
          </w:p>
          <w:p>
            <w:pPr>
              <w:pStyle w:val="30"/>
              <w:spacing w:line="360" w:lineRule="auto"/>
              <w:ind w:firstLine="480" w:firstLineChars="200"/>
              <w:rPr>
                <w:rFonts w:ascii="Times New Roman" w:cs="Times New Roman"/>
                <w:color w:val="000000" w:themeColor="text1"/>
                <w:lang w:val="zh-CN"/>
                <w14:textFill>
                  <w14:solidFill>
                    <w14:schemeClr w14:val="tx1"/>
                  </w14:solidFill>
                </w14:textFill>
              </w:rPr>
            </w:pPr>
            <w:r>
              <w:rPr>
                <w:rFonts w:hint="eastAsia" w:ascii="Times New Roman" w:cs="Times New Roman"/>
                <w:color w:val="000000" w:themeColor="text1"/>
                <w14:textFill>
                  <w14:solidFill>
                    <w14:schemeClr w14:val="tx1"/>
                  </w14:solidFill>
                </w14:textFill>
              </w:rPr>
              <w:t>根据《生物质热解气化原理与技术》（化学工业出版社 2013 年 4 月出版）中典型的热解产物试验数据，木材热解产物的大致产率，其产物质量分数对应于绝干木材：木炭33~38%，煤气</w:t>
            </w:r>
            <w:r>
              <w:rPr>
                <w:rFonts w:ascii="Times New Roman" w:cs="Times New Roman"/>
                <w:color w:val="000000" w:themeColor="text1"/>
                <w14:textFill>
                  <w14:solidFill>
                    <w14:schemeClr w14:val="tx1"/>
                  </w14:solidFill>
                </w14:textFill>
              </w:rPr>
              <w:t>61</w:t>
            </w:r>
            <w:r>
              <w:rPr>
                <w:rFonts w:hint="eastAsia" w:ascii="Times New Roman" w:cs="Times New Roman"/>
                <w:color w:val="000000" w:themeColor="text1"/>
                <w14:textFill>
                  <w14:solidFill>
                    <w14:schemeClr w14:val="tx1"/>
                  </w14:solidFill>
                </w14:textFill>
              </w:rPr>
              <w:t>~</w:t>
            </w:r>
            <w:r>
              <w:rPr>
                <w:rFonts w:ascii="Times New Roman" w:cs="Times New Roman"/>
                <w:color w:val="000000" w:themeColor="text1"/>
                <w14:textFill>
                  <w14:solidFill>
                    <w14:schemeClr w14:val="tx1"/>
                  </w14:solidFill>
                </w14:textFill>
              </w:rPr>
              <w:t>6</w:t>
            </w:r>
            <w:r>
              <w:rPr>
                <w:rFonts w:hint="eastAsia" w:ascii="Times New Roman" w:cs="Times New Roman"/>
                <w:color w:val="000000" w:themeColor="text1"/>
                <w14:textFill>
                  <w14:solidFill>
                    <w14:schemeClr w14:val="tx1"/>
                  </w14:solidFill>
                </w14:textFill>
              </w:rPr>
              <w:t>8%。另外损耗约为0.3~1.0%。</w:t>
            </w:r>
          </w:p>
          <w:p>
            <w:pPr>
              <w:pStyle w:val="30"/>
              <w:spacing w:line="360" w:lineRule="auto"/>
              <w:ind w:firstLine="480" w:firstLineChars="200"/>
              <w:rPr>
                <w:rFonts w:ascii="Times New Roman" w:cs="Times New Roman"/>
                <w:color w:val="000000" w:themeColor="text1"/>
                <w:lang w:val="zh-CN"/>
                <w14:textFill>
                  <w14:solidFill>
                    <w14:schemeClr w14:val="tx1"/>
                  </w14:solidFill>
                </w14:textFill>
              </w:rPr>
            </w:pPr>
            <w:r>
              <w:rPr>
                <w:rFonts w:hint="eastAsia" w:ascii="Times New Roman" w:cs="Times New Roman"/>
                <w:color w:val="000000" w:themeColor="text1"/>
                <w:lang w:val="zh-CN"/>
                <w14:textFill>
                  <w14:solidFill>
                    <w14:schemeClr w14:val="tx1"/>
                  </w14:solidFill>
                </w14:textFill>
              </w:rPr>
              <w:t>煤气：木材气化时的要产物，或木材干馏时在冷凝分离出木焦油和才醋液等液体产物后剩下的不凝性气体。含有一氧化碳、氢气、甲烷等可燃性气体，作燃料用。是合成气燃料，可以作为炉子燃料，和车辆替代汽油，柴油或其他燃料。在富氧环境中，这些气体可以作为燃料被焚烧，以产生二氧化碳、水和热量。在一些气化炉此过程之前是裂解（Pyrolysis），其中生物质或煤首先被转换为炭，释放出的甲烷和含有丰富的多环芳香烃的焦油。</w:t>
            </w:r>
          </w:p>
          <w:p>
            <w:pPr>
              <w:pStyle w:val="30"/>
              <w:spacing w:line="360" w:lineRule="auto"/>
              <w:ind w:firstLine="480" w:firstLineChars="200"/>
              <w:rPr>
                <w:rFonts w:ascii="Times New Roman" w:cs="Times New Roman"/>
                <w:color w:val="000000" w:themeColor="text1"/>
                <w:lang w:val="zh-CN"/>
                <w14:textFill>
                  <w14:solidFill>
                    <w14:schemeClr w14:val="tx1"/>
                  </w14:solidFill>
                </w14:textFill>
              </w:rPr>
            </w:pPr>
            <w:r>
              <w:rPr>
                <w:rFonts w:hint="eastAsia" w:ascii="Times New Roman" w:cs="Times New Roman"/>
                <w:color w:val="000000" w:themeColor="text1"/>
                <w:lang w:val="zh-CN"/>
                <w14:textFill>
                  <w14:solidFill>
                    <w14:schemeClr w14:val="tx1"/>
                  </w14:solidFill>
                </w14:textFill>
              </w:rPr>
              <w:t>根据实际情况和同类型项目，炭化三个过程中，整个炭化过程耗时24h，炭化初始阶段时间最长，全面炭化阶段时间较短。因此，建设单位应控制全面炭化阶段的发生时间与项目内烘干一致，项目内的炭化烟气可作为燃料燃烧</w:t>
            </w:r>
            <w:r>
              <w:rPr>
                <w:rFonts w:hint="eastAsia" w:ascii="Times New Roman" w:cs="Times New Roman"/>
                <w:color w:val="000000" w:themeColor="text1"/>
                <w:lang w:val="zh-CN"/>
                <w14:textFill>
                  <w14:solidFill>
                    <w14:schemeClr w14:val="tx1"/>
                  </w14:solidFill>
                </w14:textFill>
              </w:rPr>
              <w:t>，能有效的减少污染以及提高利用率。</w:t>
            </w:r>
          </w:p>
          <w:p>
            <w:pPr>
              <w:pStyle w:val="30"/>
              <w:spacing w:line="360" w:lineRule="auto"/>
              <w:ind w:firstLine="480" w:firstLineChars="200"/>
              <w:rPr>
                <w:rFonts w:ascii="Times New Roman" w:cs="Times New Roman"/>
                <w:color w:val="000000" w:themeColor="text1"/>
                <w:lang w:val="zh-CN"/>
                <w14:textFill>
                  <w14:solidFill>
                    <w14:schemeClr w14:val="tx1"/>
                  </w14:solidFill>
                </w14:textFill>
              </w:rPr>
            </w:pPr>
            <w:r>
              <w:rPr>
                <w:rFonts w:hint="eastAsia" w:ascii="Times New Roman" w:cs="Times New Roman"/>
                <w:color w:val="000000" w:themeColor="text1"/>
                <w:u w:val="single"/>
                <w14:textFill>
                  <w14:solidFill>
                    <w14:schemeClr w14:val="tx1"/>
                  </w14:solidFill>
                </w14:textFill>
              </w:rPr>
              <w:t>二次破碎废气、烘干及炭化废气（烘干机工作时）均经脉冲布袋除尘装置进行处理后经15m高排气筒排放（D</w:t>
            </w:r>
            <w:r>
              <w:rPr>
                <w:rFonts w:ascii="Times New Roman" w:cs="Times New Roman"/>
                <w:color w:val="000000" w:themeColor="text1"/>
                <w:u w:val="single"/>
                <w14:textFill>
                  <w14:solidFill>
                    <w14:schemeClr w14:val="tx1"/>
                  </w14:solidFill>
                </w14:textFill>
              </w:rPr>
              <w:t>A002</w:t>
            </w:r>
            <w:r>
              <w:rPr>
                <w:rFonts w:hint="eastAsia" w:ascii="Times New Roman" w:cs="Times New Roman"/>
                <w:color w:val="000000" w:themeColor="text1"/>
                <w:u w:val="single"/>
                <w14:textFill>
                  <w14:solidFill>
                    <w14:schemeClr w14:val="tx1"/>
                  </w14:solidFill>
                </w14:textFill>
              </w:rPr>
              <w:t>）排放，收集效率为1</w:t>
            </w:r>
            <w:r>
              <w:rPr>
                <w:rFonts w:ascii="Times New Roman" w:cs="Times New Roman"/>
                <w:color w:val="000000" w:themeColor="text1"/>
                <w:u w:val="single"/>
                <w14:textFill>
                  <w14:solidFill>
                    <w14:schemeClr w14:val="tx1"/>
                  </w14:solidFill>
                </w14:textFill>
              </w:rPr>
              <w:t>00%</w:t>
            </w:r>
            <w:r>
              <w:rPr>
                <w:rFonts w:hint="eastAsia" w:ascii="Times New Roman" w:cs="Times New Roman"/>
                <w:color w:val="000000" w:themeColor="text1"/>
                <w:u w:val="single"/>
                <w14:textFill>
                  <w14:solidFill>
                    <w14:schemeClr w14:val="tx1"/>
                  </w14:solidFill>
                </w14:textFill>
              </w:rPr>
              <w:t>，除尘效率约9</w:t>
            </w:r>
            <w:r>
              <w:rPr>
                <w:rFonts w:ascii="Times New Roman" w:cs="Times New Roman"/>
                <w:color w:val="000000" w:themeColor="text1"/>
                <w:u w:val="single"/>
                <w14:textFill>
                  <w14:solidFill>
                    <w14:schemeClr w14:val="tx1"/>
                  </w14:solidFill>
                </w14:textFill>
              </w:rPr>
              <w:t>9</w:t>
            </w:r>
            <w:r>
              <w:rPr>
                <w:rFonts w:hint="eastAsia" w:ascii="Times New Roman" w:cs="Times New Roman"/>
                <w:color w:val="000000" w:themeColor="text1"/>
                <w:u w:val="single"/>
                <w14:textFill>
                  <w14:solidFill>
                    <w14:schemeClr w14:val="tx1"/>
                  </w14:solidFill>
                </w14:textFill>
              </w:rPr>
              <w:t>%；炭化废气（烘干机未工作时）、炭化点火燃烧废气在炭化窑内火道燃烧后直接经15m高排气筒排放（D</w:t>
            </w:r>
            <w:r>
              <w:rPr>
                <w:rFonts w:ascii="Times New Roman" w:cs="Times New Roman"/>
                <w:color w:val="000000" w:themeColor="text1"/>
                <w:u w:val="single"/>
                <w14:textFill>
                  <w14:solidFill>
                    <w14:schemeClr w14:val="tx1"/>
                  </w14:solidFill>
                </w14:textFill>
              </w:rPr>
              <w:t>A003</w:t>
            </w:r>
            <w:r>
              <w:rPr>
                <w:rFonts w:hint="eastAsia" w:ascii="Times New Roman" w:cs="Times New Roman"/>
                <w:color w:val="000000" w:themeColor="text1"/>
                <w:u w:val="single"/>
                <w14:textFill>
                  <w14:solidFill>
                    <w14:schemeClr w14:val="tx1"/>
                  </w14:solidFill>
                </w14:textFill>
              </w:rPr>
              <w:t>）排放，情况如下</w:t>
            </w:r>
            <w:r>
              <w:rPr>
                <w:rFonts w:hint="eastAsia" w:ascii="Times New Roman" w:cs="Times New Roman"/>
                <w:color w:val="000000" w:themeColor="text1"/>
                <w14:textFill>
                  <w14:solidFill>
                    <w14:schemeClr w14:val="tx1"/>
                  </w14:solidFill>
                </w14:textFill>
              </w:rPr>
              <w:t>：</w:t>
            </w:r>
          </w:p>
          <w:p>
            <w:pPr>
              <w:widowControl/>
              <w:spacing w:before="120" w:beforeLines="50"/>
              <w:jc w:val="center"/>
              <w:rPr>
                <w:rFonts w:ascii="宋体" w:hAnsi="宋体" w:cs="黑体"/>
                <w:b/>
                <w:color w:val="000000" w:themeColor="text1"/>
                <w:szCs w:val="21"/>
                <w:lang w:val="zh-CN"/>
                <w14:textFill>
                  <w14:solidFill>
                    <w14:schemeClr w14:val="tx1"/>
                  </w14:solidFill>
                </w14:textFill>
              </w:rPr>
            </w:pPr>
            <w:r>
              <w:rPr>
                <w:rFonts w:ascii="宋体" w:hAnsi="宋体" w:cs="黑体"/>
                <w:b/>
                <w:color w:val="000000" w:themeColor="text1"/>
                <w:szCs w:val="21"/>
                <w:lang w:val="zh-CN"/>
                <w14:textFill>
                  <w14:solidFill>
                    <w14:schemeClr w14:val="tx1"/>
                  </w14:solidFill>
                </w14:textFill>
              </w:rPr>
              <w:t>表4-</w:t>
            </w:r>
            <w:r>
              <w:rPr>
                <w:rFonts w:ascii="宋体" w:hAnsi="宋体" w:cs="黑体"/>
                <w:b/>
                <w:color w:val="000000" w:themeColor="text1"/>
                <w:szCs w:val="21"/>
                <w14:textFill>
                  <w14:solidFill>
                    <w14:schemeClr w14:val="tx1"/>
                  </w14:solidFill>
                </w14:textFill>
              </w:rPr>
              <w:t xml:space="preserve">10 </w:t>
            </w:r>
            <w:r>
              <w:rPr>
                <w:rFonts w:hint="eastAsia" w:ascii="宋体" w:hAnsi="宋体" w:cs="黑体"/>
                <w:b/>
                <w:color w:val="000000" w:themeColor="text1"/>
                <w:szCs w:val="21"/>
                <w14:textFill>
                  <w14:solidFill>
                    <w14:schemeClr w14:val="tx1"/>
                  </w14:solidFill>
                </w14:textFill>
              </w:rPr>
              <w:t>二破、烘干、炭化、燃烧</w:t>
            </w:r>
            <w:r>
              <w:rPr>
                <w:rFonts w:ascii="宋体" w:hAnsi="宋体" w:cs="黑体"/>
                <w:b/>
                <w:color w:val="000000" w:themeColor="text1"/>
                <w:szCs w:val="21"/>
                <w:lang w:val="zh-CN"/>
                <w14:textFill>
                  <w14:solidFill>
                    <w14:schemeClr w14:val="tx1"/>
                  </w14:solidFill>
                </w14:textFill>
              </w:rPr>
              <w:t>废气产排污情况一览表</w:t>
            </w:r>
          </w:p>
          <w:tbl>
            <w:tblPr>
              <w:tblStyle w:val="24"/>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23"/>
              <w:gridCol w:w="722"/>
              <w:gridCol w:w="661"/>
              <w:gridCol w:w="680"/>
              <w:gridCol w:w="642"/>
              <w:gridCol w:w="696"/>
              <w:gridCol w:w="1215"/>
              <w:gridCol w:w="730"/>
              <w:gridCol w:w="742"/>
              <w:gridCol w:w="744"/>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9" w:hRule="atLeast"/>
                <w:tblHeader/>
                <w:jc w:val="center"/>
              </w:trPr>
              <w:tc>
                <w:tcPr>
                  <w:tcW w:w="523"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排放源</w:t>
                  </w:r>
                </w:p>
              </w:tc>
              <w:tc>
                <w:tcPr>
                  <w:tcW w:w="722"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661"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风量</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/h</w:t>
                  </w:r>
                </w:p>
              </w:tc>
              <w:tc>
                <w:tcPr>
                  <w:tcW w:w="2018"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产生情况</w:t>
                  </w:r>
                </w:p>
              </w:tc>
              <w:tc>
                <w:tcPr>
                  <w:tcW w:w="1215"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拟采取措施</w:t>
                  </w:r>
                </w:p>
              </w:tc>
              <w:tc>
                <w:tcPr>
                  <w:tcW w:w="2216"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排放情况</w:t>
                  </w:r>
                </w:p>
              </w:tc>
              <w:tc>
                <w:tcPr>
                  <w:tcW w:w="528" w:type="dxa"/>
                  <w:vMerge w:val="restart"/>
                  <w:vAlign w:val="center"/>
                </w:tcPr>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w:t>
                  </w:r>
                </w:p>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tblHeader/>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Merge w:val="continue"/>
                  <w:vAlign w:val="center"/>
                </w:tcPr>
                <w:p>
                  <w:pPr>
                    <w:spacing w:line="260" w:lineRule="exact"/>
                    <w:jc w:val="center"/>
                    <w:rPr>
                      <w:color w:val="000000" w:themeColor="text1"/>
                      <w:szCs w:val="21"/>
                      <w14:textFill>
                        <w14:solidFill>
                          <w14:schemeClr w14:val="tx1"/>
                        </w14:solidFill>
                      </w14:textFill>
                    </w:rPr>
                  </w:pP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产生量t/a</w:t>
                  </w:r>
                </w:p>
              </w:tc>
              <w:tc>
                <w:tcPr>
                  <w:tcW w:w="642"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696"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排放量</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742"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浓度mg/m</w:t>
                  </w:r>
                  <w:r>
                    <w:rPr>
                      <w:color w:val="000000" w:themeColor="text1"/>
                      <w:szCs w:val="21"/>
                      <w:vertAlign w:val="superscript"/>
                      <w14:textFill>
                        <w14:solidFill>
                          <w14:schemeClr w14:val="tx1"/>
                        </w14:solidFill>
                      </w14:textFill>
                    </w:rPr>
                    <w:t>3</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二破、烘干炭化（烘干机工作）</w:t>
                  </w: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661"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1500</w:t>
                  </w:r>
                  <w:r>
                    <w:rPr>
                      <w:rFonts w:hint="eastAsia"/>
                      <w:color w:val="000000" w:themeColor="text1"/>
                      <w:szCs w:val="21"/>
                      <w14:textFill>
                        <w14:solidFill>
                          <w14:schemeClr w14:val="tx1"/>
                        </w14:solidFill>
                      </w14:textFill>
                    </w:rPr>
                    <w:t>0</w:t>
                  </w: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8.195</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.707</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114</w:t>
                  </w:r>
                </w:p>
              </w:tc>
              <w:tc>
                <w:tcPr>
                  <w:tcW w:w="1215"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脉冲布袋</w:t>
                  </w:r>
                  <w:r>
                    <w:rPr>
                      <w:color w:val="000000" w:themeColor="text1"/>
                      <w14:textFill>
                        <w14:solidFill>
                          <w14:schemeClr w14:val="tx1"/>
                        </w14:solidFill>
                      </w14:textFill>
                    </w:rPr>
                    <w:t>除尘</w:t>
                  </w:r>
                </w:p>
              </w:tc>
              <w:tc>
                <w:tcPr>
                  <w:tcW w:w="73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0.08195</w:t>
                  </w:r>
                </w:p>
              </w:tc>
              <w:tc>
                <w:tcPr>
                  <w:tcW w:w="7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.01707</w:t>
                  </w:r>
                </w:p>
              </w:tc>
              <w:tc>
                <w:tcPr>
                  <w:tcW w:w="744"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1.14</w:t>
                  </w:r>
                </w:p>
              </w:tc>
              <w:tc>
                <w:tcPr>
                  <w:tcW w:w="528"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0.0008</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.00002</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0.01</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0.0008</w:t>
                  </w:r>
                </w:p>
              </w:tc>
              <w:tc>
                <w:tcPr>
                  <w:tcW w:w="74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.00002</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0.01</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X</w:t>
                  </w: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0.197</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.132</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2.8</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0.197</w:t>
                  </w:r>
                </w:p>
              </w:tc>
              <w:tc>
                <w:tcPr>
                  <w:tcW w:w="74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.132</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2.8</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炭化（烘干机未工）、炭化点火废气</w:t>
                  </w: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661"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0000</w:t>
                  </w: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0.630</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.128</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13.2</w:t>
                  </w:r>
                </w:p>
              </w:tc>
              <w:tc>
                <w:tcPr>
                  <w:tcW w:w="1215"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在炭化窑火道内燃烧后直排</w:t>
                  </w: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0.630</w:t>
                  </w:r>
                </w:p>
              </w:tc>
              <w:tc>
                <w:tcPr>
                  <w:tcW w:w="74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.128</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13.2</w:t>
                  </w:r>
                </w:p>
              </w:tc>
              <w:tc>
                <w:tcPr>
                  <w:tcW w:w="528"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0.309</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0.065</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6.5</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0.309</w:t>
                  </w:r>
                </w:p>
              </w:tc>
              <w:tc>
                <w:tcPr>
                  <w:tcW w:w="742"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0.065</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6.5</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X</w:t>
                  </w: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0.807</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.168</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6.8</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0.807</w:t>
                  </w:r>
                </w:p>
              </w:tc>
              <w:tc>
                <w:tcPr>
                  <w:tcW w:w="74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.168</w:t>
                  </w:r>
                </w:p>
              </w:tc>
              <w:tc>
                <w:tcPr>
                  <w:tcW w:w="744"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6.8</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）制棒废气</w:t>
            </w:r>
          </w:p>
          <w:p>
            <w:pPr>
              <w:adjustRightInd w:val="0"/>
              <w:snapToGrid w:val="0"/>
              <w:spacing w:line="360" w:lineRule="auto"/>
              <w:ind w:firstLine="720" w:firstLineChars="300"/>
              <w:rPr>
                <w:color w:val="000000" w:themeColor="text1"/>
                <w:sz w:val="24"/>
                <w14:textFill>
                  <w14:solidFill>
                    <w14:schemeClr w14:val="tx1"/>
                  </w14:solidFill>
                </w14:textFill>
              </w:rPr>
            </w:pPr>
            <w:r>
              <w:rPr>
                <w:color w:val="000000" w:themeColor="text1"/>
                <w:sz w:val="24"/>
                <w14:textFill>
                  <w14:solidFill>
                    <w14:schemeClr w14:val="tx1"/>
                  </w14:solidFill>
                </w14:textFill>
              </w:rPr>
              <w:t>根据《污染源源强核算技术指南 准则》（HJ884-2018），采用</w:t>
            </w:r>
            <w:r>
              <w:rPr>
                <w:rFonts w:hint="eastAsia"/>
                <w:color w:val="000000" w:themeColor="text1"/>
                <w:sz w:val="24"/>
                <w14:textFill>
                  <w14:solidFill>
                    <w14:schemeClr w14:val="tx1"/>
                  </w14:solidFill>
                </w14:textFill>
              </w:rPr>
              <w:t>类比法</w:t>
            </w:r>
            <w:r>
              <w:rPr>
                <w:color w:val="000000" w:themeColor="text1"/>
                <w:sz w:val="24"/>
                <w14:textFill>
                  <w14:solidFill>
                    <w14:schemeClr w14:val="tx1"/>
                  </w14:solidFill>
                </w14:textFill>
              </w:rPr>
              <w:t>计算</w:t>
            </w:r>
            <w:r>
              <w:rPr>
                <w:rFonts w:hint="eastAsia"/>
                <w:color w:val="000000" w:themeColor="text1"/>
                <w:sz w:val="24"/>
                <w14:textFill>
                  <w14:solidFill>
                    <w14:schemeClr w14:val="tx1"/>
                  </w14:solidFill>
                </w14:textFill>
              </w:rPr>
              <w:t>：</w:t>
            </w:r>
            <w:r>
              <w:rPr>
                <w:rFonts w:hint="eastAsia"/>
                <w:color w:val="000000" w:themeColor="text1"/>
                <w:sz w:val="24"/>
                <w:lang w:val="zh-CN"/>
                <w14:textFill>
                  <w14:solidFill>
                    <w14:schemeClr w14:val="tx1"/>
                  </w14:solidFill>
                </w14:textFill>
              </w:rPr>
              <w:t>在成型加工过程中，成型机加热维持成型温度一般在150～300℃，使木质素、纤维素等软化并挤压成型。在高温作用下原材料木屑中的多余水分会蒸发出来，产生一定量的蒸汽。</w:t>
            </w:r>
            <w:r>
              <w:rPr>
                <w:rFonts w:hint="eastAsia"/>
                <w:color w:val="000000" w:themeColor="text1"/>
                <w:sz w:val="24"/>
                <w:u w:val="single"/>
                <w14:textFill>
                  <w14:solidFill>
                    <w14:schemeClr w14:val="tx1"/>
                  </w14:solidFill>
                </w14:textFill>
              </w:rPr>
              <w:t>因此</w:t>
            </w:r>
            <w:r>
              <w:rPr>
                <w:color w:val="000000" w:themeColor="text1"/>
                <w:sz w:val="24"/>
                <w:u w:val="single"/>
                <w14:textFill>
                  <w14:solidFill>
                    <w14:schemeClr w14:val="tx1"/>
                  </w14:solidFill>
                </w14:textFill>
              </w:rPr>
              <w:t>制棒工序废气产生环节主要为物料倒入制棒机投料口时产生的扬尘，建设单位将在制棒机</w:t>
            </w:r>
            <w:r>
              <w:rPr>
                <w:rFonts w:hint="eastAsia"/>
                <w:color w:val="000000" w:themeColor="text1"/>
                <w:sz w:val="24"/>
                <w:u w:val="single"/>
                <w14:textFill>
                  <w14:solidFill>
                    <w14:schemeClr w14:val="tx1"/>
                  </w14:solidFill>
                </w14:textFill>
              </w:rPr>
              <w:t>下</w:t>
            </w:r>
            <w:r>
              <w:rPr>
                <w:color w:val="000000" w:themeColor="text1"/>
                <w:sz w:val="24"/>
                <w:u w:val="single"/>
                <w14:textFill>
                  <w14:solidFill>
                    <w14:schemeClr w14:val="tx1"/>
                  </w14:solidFill>
                </w14:textFill>
              </w:rPr>
              <w:t>料口上方加盖挡板，</w:t>
            </w:r>
            <w:r>
              <w:rPr>
                <w:rFonts w:hint="eastAsia"/>
                <w:color w:val="000000" w:themeColor="text1"/>
                <w:sz w:val="24"/>
                <w:u w:val="single"/>
                <w14:textFill>
                  <w14:solidFill>
                    <w14:schemeClr w14:val="tx1"/>
                  </w14:solidFill>
                </w14:textFill>
              </w:rPr>
              <w:t>对制棒下</w:t>
            </w:r>
            <w:r>
              <w:rPr>
                <w:color w:val="000000" w:themeColor="text1"/>
                <w:sz w:val="24"/>
                <w:u w:val="single"/>
                <w14:textFill>
                  <w14:solidFill>
                    <w14:schemeClr w14:val="tx1"/>
                  </w14:solidFill>
                </w14:textFill>
              </w:rPr>
              <w:t>料口</w:t>
            </w:r>
            <w:r>
              <w:rPr>
                <w:rFonts w:hint="eastAsia"/>
                <w:color w:val="000000" w:themeColor="text1"/>
                <w:sz w:val="24"/>
                <w:u w:val="single"/>
                <w14:textFill>
                  <w14:solidFill>
                    <w14:schemeClr w14:val="tx1"/>
                  </w14:solidFill>
                </w14:textFill>
              </w:rPr>
              <w:t>进行整体封闭，并对废气进行负压收集后引至水喷淋处理后经1</w:t>
            </w:r>
            <w:r>
              <w:rPr>
                <w:color w:val="000000" w:themeColor="text1"/>
                <w:sz w:val="24"/>
                <w:u w:val="single"/>
                <w14:textFill>
                  <w14:solidFill>
                    <w14:schemeClr w14:val="tx1"/>
                  </w14:solidFill>
                </w14:textFill>
              </w:rPr>
              <w:t>5m</w:t>
            </w:r>
            <w:r>
              <w:rPr>
                <w:rFonts w:hint="eastAsia"/>
                <w:color w:val="000000" w:themeColor="text1"/>
                <w:sz w:val="24"/>
                <w:u w:val="single"/>
                <w14:textFill>
                  <w14:solidFill>
                    <w14:schemeClr w14:val="tx1"/>
                  </w14:solidFill>
                </w14:textFill>
              </w:rPr>
              <w:t>排气筒D</w:t>
            </w:r>
            <w:r>
              <w:rPr>
                <w:color w:val="000000" w:themeColor="text1"/>
                <w:sz w:val="24"/>
                <w:u w:val="single"/>
                <w14:textFill>
                  <w14:solidFill>
                    <w14:schemeClr w14:val="tx1"/>
                  </w14:solidFill>
                </w14:textFill>
              </w:rPr>
              <w:t>A001</w:t>
            </w:r>
            <w:r>
              <w:rPr>
                <w:rFonts w:hint="eastAsia"/>
                <w:color w:val="000000" w:themeColor="text1"/>
                <w:sz w:val="24"/>
                <w:u w:val="single"/>
                <w14:textFill>
                  <w14:solidFill>
                    <w14:schemeClr w14:val="tx1"/>
                  </w14:solidFill>
                </w14:textFill>
              </w:rPr>
              <w:t>排放，风机设计风量为1</w:t>
            </w:r>
            <w:r>
              <w:rPr>
                <w:color w:val="000000" w:themeColor="text1"/>
                <w:sz w:val="24"/>
                <w:u w:val="single"/>
                <w14:textFill>
                  <w14:solidFill>
                    <w14:schemeClr w14:val="tx1"/>
                  </w14:solidFill>
                </w14:textFill>
              </w:rPr>
              <w:t>0000m</w:t>
            </w:r>
            <w:r>
              <w:rPr>
                <w:color w:val="000000" w:themeColor="text1"/>
                <w:sz w:val="24"/>
                <w:u w:val="single"/>
                <w:vertAlign w:val="superscript"/>
                <w14:textFill>
                  <w14:solidFill>
                    <w14:schemeClr w14:val="tx1"/>
                  </w14:solidFill>
                </w14:textFill>
              </w:rPr>
              <w:t>3</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h</w:t>
            </w:r>
            <w:r>
              <w:rPr>
                <w:rFonts w:hint="eastAsia"/>
                <w:color w:val="000000" w:themeColor="text1"/>
                <w:sz w:val="24"/>
                <w:lang w:val="zh-CN"/>
                <w14:textFill>
                  <w14:solidFill>
                    <w14:schemeClr w14:val="tx1"/>
                  </w14:solidFill>
                </w14:textFill>
              </w:rPr>
              <w:t>。</w:t>
            </w:r>
            <w:r>
              <w:rPr>
                <w:rFonts w:hint="eastAsia"/>
                <w:color w:val="000000" w:themeColor="text1"/>
                <w:sz w:val="24"/>
                <w:u w:val="single"/>
                <w:lang w:val="zh-CN"/>
                <w14:textFill>
                  <w14:solidFill>
                    <w14:schemeClr w14:val="tx1"/>
                  </w14:solidFill>
                </w14:textFill>
              </w:rPr>
              <w:t>类比同类型项目</w:t>
            </w:r>
            <w:r>
              <w:rPr>
                <w:rFonts w:hint="eastAsia"/>
                <w:color w:val="000000" w:themeColor="text1"/>
                <w:sz w:val="24"/>
                <w:u w:val="single"/>
                <w14:textFill>
                  <w14:solidFill>
                    <w14:schemeClr w14:val="tx1"/>
                  </w14:solidFill>
                </w14:textFill>
              </w:rPr>
              <w:t>《</w:t>
            </w:r>
            <w:r>
              <w:rPr>
                <w:rFonts w:eastAsiaTheme="minorEastAsia"/>
                <w:color w:val="000000" w:themeColor="text1"/>
                <w:sz w:val="24"/>
                <w:u w:val="single"/>
                <w14:textFill>
                  <w14:solidFill>
                    <w14:schemeClr w14:val="tx1"/>
                  </w14:solidFill>
                </w14:textFill>
              </w:rPr>
              <w:t>衡阳爵硕炭业有限公司年产600吨机制竹炭生产项目</w:t>
            </w:r>
            <w:r>
              <w:rPr>
                <w:rFonts w:hint="eastAsia"/>
                <w:color w:val="000000" w:themeColor="text1"/>
                <w:sz w:val="24"/>
                <w:u w:val="single"/>
                <w14:textFill>
                  <w14:solidFill>
                    <w14:schemeClr w14:val="tx1"/>
                  </w14:solidFill>
                </w14:textFill>
              </w:rPr>
              <w:t>》</w:t>
            </w:r>
            <w:r>
              <w:rPr>
                <w:rFonts w:hint="eastAsia"/>
                <w:color w:val="000000" w:themeColor="text1"/>
                <w:sz w:val="24"/>
                <w:u w:val="single"/>
                <w:lang w:val="zh-CN"/>
                <w14:textFill>
                  <w14:solidFill>
                    <w14:schemeClr w14:val="tx1"/>
                  </w14:solidFill>
                </w14:textFill>
              </w:rPr>
              <w:t>，制棒粉尘产生速率为0.</w:t>
            </w:r>
            <w:r>
              <w:rPr>
                <w:color w:val="000000" w:themeColor="text1"/>
                <w:sz w:val="24"/>
                <w:u w:val="single"/>
                <w:lang w:val="zh-CN"/>
                <w14:textFill>
                  <w14:solidFill>
                    <w14:schemeClr w14:val="tx1"/>
                  </w14:solidFill>
                </w14:textFill>
              </w:rPr>
              <w:t>554</w:t>
            </w:r>
            <w:r>
              <w:rPr>
                <w:rFonts w:hint="eastAsia"/>
                <w:color w:val="000000" w:themeColor="text1"/>
                <w:sz w:val="24"/>
                <w:u w:val="single"/>
                <w:lang w:val="zh-CN"/>
                <w14:textFill>
                  <w14:solidFill>
                    <w14:schemeClr w14:val="tx1"/>
                  </w14:solidFill>
                </w14:textFill>
              </w:rPr>
              <w:t>kg/h年工作时间为</w:t>
            </w:r>
            <w:r>
              <w:rPr>
                <w:color w:val="000000" w:themeColor="text1"/>
                <w:sz w:val="24"/>
                <w:u w:val="single"/>
                <w:lang w:val="zh-CN"/>
                <w14:textFill>
                  <w14:solidFill>
                    <w14:schemeClr w14:val="tx1"/>
                  </w14:solidFill>
                </w14:textFill>
              </w:rPr>
              <w:t>2400h</w:t>
            </w:r>
            <w:r>
              <w:rPr>
                <w:rFonts w:hint="eastAsia"/>
                <w:color w:val="000000" w:themeColor="text1"/>
                <w:sz w:val="24"/>
                <w:u w:val="single"/>
                <w:lang w:val="zh-CN"/>
                <w14:textFill>
                  <w14:solidFill>
                    <w14:schemeClr w14:val="tx1"/>
                  </w14:solidFill>
                </w14:textFill>
              </w:rPr>
              <w:t>，粉尘</w:t>
            </w:r>
            <w:r>
              <w:rPr>
                <w:rFonts w:hint="eastAsia"/>
                <w:color w:val="000000" w:themeColor="text1"/>
                <w:sz w:val="24"/>
                <w:u w:val="single"/>
                <w14:textFill>
                  <w14:solidFill>
                    <w14:schemeClr w14:val="tx1"/>
                  </w14:solidFill>
                </w14:textFill>
              </w:rPr>
              <w:t>产生量为</w:t>
            </w:r>
            <w:r>
              <w:rPr>
                <w:color w:val="000000" w:themeColor="text1"/>
                <w:sz w:val="24"/>
                <w:u w:val="single"/>
                <w:lang w:val="zh-CN"/>
                <w14:textFill>
                  <w14:solidFill>
                    <w14:schemeClr w14:val="tx1"/>
                  </w14:solidFill>
                </w14:textFill>
              </w:rPr>
              <w:t>1.33</w:t>
            </w:r>
            <w:r>
              <w:rPr>
                <w:rFonts w:hint="eastAsia"/>
                <w:color w:val="000000" w:themeColor="text1"/>
                <w:sz w:val="24"/>
                <w:u w:val="single"/>
                <w:lang w:val="zh-CN"/>
                <w14:textFill>
                  <w14:solidFill>
                    <w14:schemeClr w14:val="tx1"/>
                  </w14:solidFill>
                </w14:textFill>
              </w:rPr>
              <w:t>t/a，收集效率为1</w:t>
            </w:r>
            <w:r>
              <w:rPr>
                <w:color w:val="000000" w:themeColor="text1"/>
                <w:sz w:val="24"/>
                <w:u w:val="single"/>
                <w:lang w:val="zh-CN"/>
                <w14:textFill>
                  <w14:solidFill>
                    <w14:schemeClr w14:val="tx1"/>
                  </w14:solidFill>
                </w14:textFill>
              </w:rPr>
              <w:t>00%</w:t>
            </w:r>
            <w:r>
              <w:rPr>
                <w:rFonts w:hint="eastAsia"/>
                <w:color w:val="000000" w:themeColor="text1"/>
                <w:sz w:val="24"/>
                <w14:textFill>
                  <w14:solidFill>
                    <w14:schemeClr w14:val="tx1"/>
                  </w14:solidFill>
                </w14:textFill>
              </w:rPr>
              <w:t>。</w:t>
            </w:r>
          </w:p>
          <w:p>
            <w:pPr>
              <w:pStyle w:val="2"/>
              <w:ind w:left="0" w:leftChars="0" w:firstLine="480"/>
              <w:rPr>
                <w:color w:val="000000" w:themeColor="text1"/>
                <w:u w:val="single"/>
                <w14:textFill>
                  <w14:solidFill>
                    <w14:schemeClr w14:val="tx1"/>
                  </w14:solidFill>
                </w14:textFill>
              </w:rPr>
            </w:pPr>
            <w:r>
              <w:rPr>
                <w:color w:val="000000" w:themeColor="text1"/>
                <w:u w:val="single"/>
                <w14:textFill>
                  <w14:solidFill>
                    <w14:schemeClr w14:val="tx1"/>
                  </w14:solidFill>
                </w14:textFill>
              </w:rPr>
              <w:t>参考《排放源统计调查产排污核算方法和系数手册（公告 2021 年第 24 号）》中 2663 林产化学品制造行业系数手册，产生的颗粒物采用喷淋塔除尘去除率可达 70%以上</w:t>
            </w:r>
            <w:r>
              <w:rPr>
                <w:rFonts w:hint="eastAsia"/>
                <w:color w:val="000000" w:themeColor="text1"/>
                <w:u w:val="single"/>
                <w14:textFill>
                  <w14:solidFill>
                    <w14:schemeClr w14:val="tx1"/>
                  </w14:solidFill>
                </w14:textFill>
              </w:rPr>
              <w:t>，本项目取7</w:t>
            </w:r>
            <w:r>
              <w:rPr>
                <w:color w:val="000000" w:themeColor="text1"/>
                <w:u w:val="single"/>
                <w14:textFill>
                  <w14:solidFill>
                    <w14:schemeClr w14:val="tx1"/>
                  </w14:solidFill>
                </w14:textFill>
              </w:rPr>
              <w:t>0%</w:t>
            </w:r>
            <w:r>
              <w:rPr>
                <w:rFonts w:hint="eastAsia"/>
                <w:color w:val="000000" w:themeColor="text1"/>
                <w:u w:val="single"/>
                <w14:textFill>
                  <w14:solidFill>
                    <w14:schemeClr w14:val="tx1"/>
                  </w14:solidFill>
                </w14:textFill>
              </w:rPr>
              <w:t>。</w:t>
            </w:r>
          </w:p>
          <w:p>
            <w:pPr>
              <w:widowControl/>
              <w:spacing w:before="120" w:beforeLines="50"/>
              <w:jc w:val="center"/>
              <w:rPr>
                <w:rFonts w:ascii="宋体" w:hAnsi="宋体" w:cs="黑体"/>
                <w:b/>
                <w:color w:val="000000" w:themeColor="text1"/>
                <w:szCs w:val="21"/>
                <w:lang w:val="zh-CN"/>
                <w14:textFill>
                  <w14:solidFill>
                    <w14:schemeClr w14:val="tx1"/>
                  </w14:solidFill>
                </w14:textFill>
              </w:rPr>
            </w:pPr>
            <w:r>
              <w:rPr>
                <w:rFonts w:ascii="宋体" w:hAnsi="宋体" w:cs="黑体"/>
                <w:b/>
                <w:color w:val="000000" w:themeColor="text1"/>
                <w:szCs w:val="21"/>
                <w:lang w:val="zh-CN"/>
                <w14:textFill>
                  <w14:solidFill>
                    <w14:schemeClr w14:val="tx1"/>
                  </w14:solidFill>
                </w14:textFill>
              </w:rPr>
              <w:t>表4-</w:t>
            </w:r>
            <w:r>
              <w:rPr>
                <w:rFonts w:ascii="宋体" w:hAnsi="宋体" w:cs="黑体"/>
                <w:b/>
                <w:color w:val="000000" w:themeColor="text1"/>
                <w:szCs w:val="21"/>
                <w14:textFill>
                  <w14:solidFill>
                    <w14:schemeClr w14:val="tx1"/>
                  </w14:solidFill>
                </w14:textFill>
              </w:rPr>
              <w:t xml:space="preserve">11 </w:t>
            </w:r>
            <w:r>
              <w:rPr>
                <w:rFonts w:hint="eastAsia" w:ascii="宋体" w:hAnsi="宋体" w:cs="黑体"/>
                <w:b/>
                <w:color w:val="000000" w:themeColor="text1"/>
                <w:szCs w:val="21"/>
                <w14:textFill>
                  <w14:solidFill>
                    <w14:schemeClr w14:val="tx1"/>
                  </w14:solidFill>
                </w14:textFill>
              </w:rPr>
              <w:t>制棒</w:t>
            </w:r>
            <w:r>
              <w:rPr>
                <w:rFonts w:ascii="宋体" w:hAnsi="宋体" w:cs="黑体"/>
                <w:b/>
                <w:color w:val="000000" w:themeColor="text1"/>
                <w:szCs w:val="21"/>
                <w:lang w:val="zh-CN"/>
                <w14:textFill>
                  <w14:solidFill>
                    <w14:schemeClr w14:val="tx1"/>
                  </w14:solidFill>
                </w14:textFill>
              </w:rPr>
              <w:t>废气产排污情况一览表</w:t>
            </w:r>
          </w:p>
          <w:tbl>
            <w:tblPr>
              <w:tblStyle w:val="24"/>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97"/>
              <w:gridCol w:w="725"/>
              <w:gridCol w:w="662"/>
              <w:gridCol w:w="680"/>
              <w:gridCol w:w="643"/>
              <w:gridCol w:w="697"/>
              <w:gridCol w:w="1229"/>
              <w:gridCol w:w="731"/>
              <w:gridCol w:w="743"/>
              <w:gridCol w:w="745"/>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09" w:hRule="atLeast"/>
                <w:tblHeader/>
                <w:jc w:val="center"/>
              </w:trPr>
              <w:tc>
                <w:tcPr>
                  <w:tcW w:w="497"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排放源</w:t>
                  </w:r>
                </w:p>
              </w:tc>
              <w:tc>
                <w:tcPr>
                  <w:tcW w:w="725"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662"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风量</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/h</w:t>
                  </w:r>
                </w:p>
              </w:tc>
              <w:tc>
                <w:tcPr>
                  <w:tcW w:w="2020"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产生情况</w:t>
                  </w:r>
                </w:p>
              </w:tc>
              <w:tc>
                <w:tcPr>
                  <w:tcW w:w="1229"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拟采取措施</w:t>
                  </w:r>
                </w:p>
              </w:tc>
              <w:tc>
                <w:tcPr>
                  <w:tcW w:w="2219"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排放情况</w:t>
                  </w:r>
                </w:p>
              </w:tc>
              <w:tc>
                <w:tcPr>
                  <w:tcW w:w="531" w:type="dxa"/>
                  <w:vMerge w:val="restart"/>
                  <w:vAlign w:val="center"/>
                </w:tcPr>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w:t>
                  </w:r>
                </w:p>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tblHeader/>
                <w:jc w:val="center"/>
              </w:trPr>
              <w:tc>
                <w:tcPr>
                  <w:tcW w:w="497" w:type="dxa"/>
                  <w:vMerge w:val="continue"/>
                  <w:vAlign w:val="center"/>
                </w:tcPr>
                <w:p>
                  <w:pPr>
                    <w:spacing w:line="260" w:lineRule="exact"/>
                    <w:jc w:val="center"/>
                    <w:rPr>
                      <w:color w:val="000000" w:themeColor="text1"/>
                      <w:szCs w:val="21"/>
                      <w14:textFill>
                        <w14:solidFill>
                          <w14:schemeClr w14:val="tx1"/>
                        </w14:solidFill>
                      </w14:textFill>
                    </w:rPr>
                  </w:pPr>
                </w:p>
              </w:tc>
              <w:tc>
                <w:tcPr>
                  <w:tcW w:w="725" w:type="dxa"/>
                  <w:vMerge w:val="continue"/>
                  <w:vAlign w:val="center"/>
                </w:tcPr>
                <w:p>
                  <w:pPr>
                    <w:spacing w:line="260" w:lineRule="exact"/>
                    <w:jc w:val="center"/>
                    <w:rPr>
                      <w:color w:val="000000" w:themeColor="text1"/>
                      <w:szCs w:val="21"/>
                      <w14:textFill>
                        <w14:solidFill>
                          <w14:schemeClr w14:val="tx1"/>
                        </w14:solidFill>
                      </w14:textFill>
                    </w:rPr>
                  </w:pPr>
                </w:p>
              </w:tc>
              <w:tc>
                <w:tcPr>
                  <w:tcW w:w="662"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产生量t/a</w:t>
                  </w:r>
                </w:p>
              </w:tc>
              <w:tc>
                <w:tcPr>
                  <w:tcW w:w="643"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697"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p>
              </w:tc>
              <w:tc>
                <w:tcPr>
                  <w:tcW w:w="1229" w:type="dxa"/>
                  <w:vMerge w:val="continue"/>
                  <w:vAlign w:val="center"/>
                </w:tcPr>
                <w:p>
                  <w:pPr>
                    <w:spacing w:line="260" w:lineRule="exact"/>
                    <w:jc w:val="center"/>
                    <w:rPr>
                      <w:color w:val="000000" w:themeColor="text1"/>
                      <w:szCs w:val="21"/>
                      <w14:textFill>
                        <w14:solidFill>
                          <w14:schemeClr w14:val="tx1"/>
                        </w14:solidFill>
                      </w14:textFill>
                    </w:rPr>
                  </w:pPr>
                </w:p>
              </w:tc>
              <w:tc>
                <w:tcPr>
                  <w:tcW w:w="731"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排放量</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743"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745"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浓度mg/m</w:t>
                  </w:r>
                  <w:r>
                    <w:rPr>
                      <w:color w:val="000000" w:themeColor="text1"/>
                      <w:szCs w:val="21"/>
                      <w:vertAlign w:val="superscript"/>
                      <w14:textFill>
                        <w14:solidFill>
                          <w14:schemeClr w14:val="tx1"/>
                        </w14:solidFill>
                      </w14:textFill>
                    </w:rPr>
                    <w:t>3</w:t>
                  </w:r>
                </w:p>
              </w:tc>
              <w:tc>
                <w:tcPr>
                  <w:tcW w:w="531"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497"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制棒</w:t>
                  </w:r>
                </w:p>
              </w:tc>
              <w:tc>
                <w:tcPr>
                  <w:tcW w:w="725"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颗粒物</w:t>
                  </w:r>
                </w:p>
              </w:tc>
              <w:tc>
                <w:tcPr>
                  <w:tcW w:w="662"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1000</w:t>
                  </w:r>
                  <w:r>
                    <w:rPr>
                      <w:rFonts w:hint="eastAsia"/>
                      <w:color w:val="000000" w:themeColor="text1"/>
                      <w:szCs w:val="21"/>
                      <w:u w:val="single"/>
                      <w14:textFill>
                        <w14:solidFill>
                          <w14:schemeClr w14:val="tx1"/>
                        </w14:solidFill>
                      </w14:textFill>
                    </w:rPr>
                    <w:t>0</w:t>
                  </w:r>
                </w:p>
              </w:tc>
              <w:tc>
                <w:tcPr>
                  <w:tcW w:w="680"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.33</w:t>
                  </w:r>
                </w:p>
              </w:tc>
              <w:tc>
                <w:tcPr>
                  <w:tcW w:w="643"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554</w:t>
                  </w:r>
                </w:p>
              </w:tc>
              <w:tc>
                <w:tcPr>
                  <w:tcW w:w="697"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55.4</w:t>
                  </w:r>
                </w:p>
              </w:tc>
              <w:tc>
                <w:tcPr>
                  <w:tcW w:w="1229"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水喷淋除尘</w:t>
                  </w:r>
                </w:p>
              </w:tc>
              <w:tc>
                <w:tcPr>
                  <w:tcW w:w="731"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.399</w:t>
                  </w:r>
                </w:p>
              </w:tc>
              <w:tc>
                <w:tcPr>
                  <w:tcW w:w="743"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.166</w:t>
                  </w:r>
                </w:p>
              </w:tc>
              <w:tc>
                <w:tcPr>
                  <w:tcW w:w="745"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16.7</w:t>
                  </w:r>
                </w:p>
              </w:tc>
              <w:tc>
                <w:tcPr>
                  <w:tcW w:w="531"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连续</w:t>
                  </w:r>
                </w:p>
              </w:tc>
            </w:tr>
          </w:tbl>
          <w:p>
            <w:pPr>
              <w:adjustRightInd w:val="0"/>
              <w:snapToGrid w:val="0"/>
              <w:spacing w:line="360" w:lineRule="auto"/>
              <w:ind w:firstLine="480" w:firstLineChars="200"/>
              <w:rPr>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30"/>
              <w:spacing w:line="360" w:lineRule="auto"/>
              <w:ind w:firstLine="240" w:firstLineChars="100"/>
              <w:rPr>
                <w:rFonts w:ascii="Times New Roman" w:cs="Times New Roman"/>
                <w:color w:val="000000" w:themeColor="text1"/>
                <w:lang w:val="zh-CN"/>
                <w14:textFill>
                  <w14:solidFill>
                    <w14:schemeClr w14:val="tx1"/>
                  </w14:solidFill>
                </w14:textFill>
              </w:rPr>
            </w:pPr>
            <w:r>
              <w:rPr>
                <w:rFonts w:hint="eastAsia" w:ascii="Times New Roman" w:cs="Times New Roman"/>
                <w:color w:val="000000" w:themeColor="text1"/>
                <w:lang w:val="zh-CN"/>
                <w14:textFill>
                  <w14:solidFill>
                    <w14:schemeClr w14:val="tx1"/>
                  </w14:solidFill>
                </w14:textFill>
              </w:rPr>
              <w:t>（</w:t>
            </w:r>
            <w:r>
              <w:rPr>
                <w:rFonts w:ascii="Times New Roman" w:cs="Times New Roman"/>
                <w:color w:val="000000" w:themeColor="text1"/>
                <w:lang w:val="zh-CN"/>
                <w14:textFill>
                  <w14:solidFill>
                    <w14:schemeClr w14:val="tx1"/>
                  </w14:solidFill>
                </w14:textFill>
              </w:rPr>
              <w:t>7</w:t>
            </w:r>
            <w:r>
              <w:rPr>
                <w:rFonts w:hint="eastAsia" w:ascii="Times New Roman" w:cs="Times New Roman"/>
                <w:color w:val="000000" w:themeColor="text1"/>
                <w:lang w:val="zh-CN"/>
                <w14:textFill>
                  <w14:solidFill>
                    <w14:schemeClr w14:val="tx1"/>
                  </w14:solidFill>
                </w14:textFill>
              </w:rPr>
              <w:t>）钾钠长石粉烘干废气及包装废气</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1）</w:t>
            </w:r>
            <w:r>
              <w:rPr>
                <w:rFonts w:hint="eastAsia"/>
                <w:color w:val="000000" w:themeColor="text1"/>
                <w:sz w:val="24"/>
                <w:lang w:val="zh-CN"/>
                <w14:textFill>
                  <w14:solidFill>
                    <w14:schemeClr w14:val="tx1"/>
                  </w14:solidFill>
                </w14:textFill>
              </w:rPr>
              <w:t>钾钠长石粉烘干废气</w:t>
            </w:r>
          </w:p>
          <w:p>
            <w:pPr>
              <w:spacing w:line="360" w:lineRule="auto"/>
              <w:ind w:firstLine="480" w:firstLineChars="200"/>
              <w:rPr>
                <w:rFonts w:ascii="宋体" w:cs="宋体"/>
                <w:color w:val="000000" w:themeColor="text1"/>
                <w:sz w:val="24"/>
                <w14:textFill>
                  <w14:solidFill>
                    <w14:schemeClr w14:val="tx1"/>
                  </w14:solidFill>
                </w14:textFill>
              </w:rPr>
            </w:pPr>
            <w:r>
              <w:rPr>
                <w:color w:val="000000" w:themeColor="text1"/>
                <w:sz w:val="24"/>
                <w:u w:val="single"/>
                <w14:textFill>
                  <w14:solidFill>
                    <w14:schemeClr w14:val="tx1"/>
                  </w14:solidFill>
                </w14:textFill>
              </w:rPr>
              <w:t>钾钠长石粉在烘干过程会产生废气，主要为颗粒物，参照《逸散性工业粉尘控制技术》</w:t>
            </w:r>
            <w:r>
              <w:rPr>
                <w:rFonts w:hint="eastAsia"/>
                <w:color w:val="000000" w:themeColor="text1"/>
                <w:sz w:val="24"/>
                <w:u w:val="single"/>
                <w14:textFill>
                  <w14:solidFill>
                    <w14:schemeClr w14:val="tx1"/>
                  </w14:solidFill>
                </w14:textFill>
              </w:rPr>
              <w:t>物料</w:t>
            </w:r>
            <w:r>
              <w:rPr>
                <w:color w:val="000000" w:themeColor="text1"/>
                <w:sz w:val="24"/>
                <w:u w:val="single"/>
                <w14:textFill>
                  <w14:solidFill>
                    <w14:schemeClr w14:val="tx1"/>
                  </w14:solidFill>
                </w14:textFill>
              </w:rPr>
              <w:t>干燥时的粉尘产生系数调查，按 2.0kg/t 原料计算产尘量，本项目进行烘干的物料约为2715t/a，则烘干过程产尘量约5.43t/a</w:t>
            </w:r>
            <w:r>
              <w:rPr>
                <w:rFonts w:ascii="宋体" w:cs="宋体"/>
                <w:color w:val="000000" w:themeColor="text1"/>
                <w:sz w:val="24"/>
                <w14:textFill>
                  <w14:solidFill>
                    <w14:schemeClr w14:val="tx1"/>
                  </w14:solidFill>
                </w14:textFill>
              </w:rPr>
              <w:t>。</w:t>
            </w:r>
          </w:p>
          <w:p>
            <w:pPr>
              <w:spacing w:line="360" w:lineRule="auto"/>
              <w:ind w:firstLine="480" w:firstLineChars="200"/>
              <w:rPr>
                <w:color w:val="000000" w:themeColor="text1"/>
                <w:sz w:val="24"/>
                <w:lang w:val="zh-CN"/>
                <w14:textFill>
                  <w14:solidFill>
                    <w14:schemeClr w14:val="tx1"/>
                  </w14:solidFill>
                </w14:textFill>
              </w:rPr>
            </w:pPr>
            <w:r>
              <w:rPr>
                <w:rFonts w:ascii="宋体" w:cs="宋体"/>
                <w:color w:val="000000" w:themeColor="text1"/>
                <w:sz w:val="24"/>
                <w14:textFill>
                  <w14:solidFill>
                    <w14:schemeClr w14:val="tx1"/>
                  </w14:solidFill>
                </w14:textFill>
              </w:rPr>
              <w:t>2</w:t>
            </w:r>
            <w:r>
              <w:rPr>
                <w:rFonts w:hint="eastAsia" w:ascii="宋体" w:cs="宋体"/>
                <w:color w:val="000000" w:themeColor="text1"/>
                <w:sz w:val="24"/>
                <w14:textFill>
                  <w14:solidFill>
                    <w14:schemeClr w14:val="tx1"/>
                  </w14:solidFill>
                </w14:textFill>
              </w:rPr>
              <w:t>）</w:t>
            </w:r>
            <w:r>
              <w:rPr>
                <w:rFonts w:hint="eastAsia"/>
                <w:color w:val="000000" w:themeColor="text1"/>
                <w:sz w:val="24"/>
                <w:lang w:val="zh-CN"/>
                <w14:textFill>
                  <w14:solidFill>
                    <w14:schemeClr w14:val="tx1"/>
                  </w14:solidFill>
                </w14:textFill>
              </w:rPr>
              <w:t>钾钠长石粉包装废气</w:t>
            </w:r>
          </w:p>
          <w:p>
            <w:pPr>
              <w:spacing w:line="360" w:lineRule="auto"/>
              <w:ind w:firstLine="480" w:firstLineChars="200"/>
              <w:rPr>
                <w:rFonts w:ascii="宋体" w:cs="宋体"/>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钾钠长石粉经烘干后经包装机进行包装，包装过程会产生颗粒物，参</w:t>
            </w:r>
            <w:r>
              <w:rPr>
                <w:color w:val="000000" w:themeColor="text1"/>
                <w:sz w:val="24"/>
                <w:u w:val="single"/>
                <w14:textFill>
                  <w14:solidFill>
                    <w14:schemeClr w14:val="tx1"/>
                  </w14:solidFill>
                </w14:textFill>
              </w:rPr>
              <w:t>照《逸散性工业粉尘控制技术》中对应工序产尘系数包装 0.125kg/t 物料，本项目进行</w:t>
            </w:r>
            <w:r>
              <w:rPr>
                <w:rFonts w:hint="eastAsia"/>
                <w:color w:val="000000" w:themeColor="text1"/>
                <w:sz w:val="24"/>
                <w:u w:val="single"/>
                <w14:textFill>
                  <w14:solidFill>
                    <w14:schemeClr w14:val="tx1"/>
                  </w14:solidFill>
                </w14:textFill>
              </w:rPr>
              <w:t>包装</w:t>
            </w:r>
            <w:r>
              <w:rPr>
                <w:color w:val="000000" w:themeColor="text1"/>
                <w:sz w:val="24"/>
                <w:u w:val="single"/>
                <w14:textFill>
                  <w14:solidFill>
                    <w14:schemeClr w14:val="tx1"/>
                  </w14:solidFill>
                </w14:textFill>
              </w:rPr>
              <w:t>的物料约为2000t/a，则</w:t>
            </w:r>
            <w:r>
              <w:rPr>
                <w:rFonts w:hint="eastAsia"/>
                <w:color w:val="000000" w:themeColor="text1"/>
                <w:sz w:val="24"/>
                <w:u w:val="single"/>
                <w14:textFill>
                  <w14:solidFill>
                    <w14:schemeClr w14:val="tx1"/>
                  </w14:solidFill>
                </w14:textFill>
              </w:rPr>
              <w:t>包装</w:t>
            </w:r>
            <w:r>
              <w:rPr>
                <w:color w:val="000000" w:themeColor="text1"/>
                <w:sz w:val="24"/>
                <w:u w:val="single"/>
                <w14:textFill>
                  <w14:solidFill>
                    <w14:schemeClr w14:val="tx1"/>
                  </w14:solidFill>
                </w14:textFill>
              </w:rPr>
              <w:t>过程产尘量约0.25t/a</w:t>
            </w:r>
            <w:r>
              <w:rPr>
                <w:rFonts w:ascii="宋体" w:cs="宋体"/>
                <w:color w:val="000000" w:themeColor="text1"/>
                <w:sz w:val="24"/>
                <w:u w:val="single"/>
                <w14:textFill>
                  <w14:solidFill>
                    <w14:schemeClr w14:val="tx1"/>
                  </w14:solidFill>
                </w14:textFill>
              </w:rPr>
              <w:t>。</w:t>
            </w:r>
          </w:p>
          <w:p>
            <w:pPr>
              <w:adjustRightInd w:val="0"/>
              <w:snapToGrid w:val="0"/>
              <w:spacing w:line="360" w:lineRule="auto"/>
              <w:ind w:firstLine="480" w:firstLineChars="200"/>
              <w:rPr>
                <w:color w:val="000000" w:themeColor="text1"/>
                <w:kern w:val="0"/>
                <w:sz w:val="24"/>
                <w:szCs w:val="20"/>
                <w:u w:val="single"/>
                <w:lang w:val="zh-CN"/>
                <w14:textFill>
                  <w14:solidFill>
                    <w14:schemeClr w14:val="tx1"/>
                  </w14:solidFill>
                </w14:textFill>
              </w:rPr>
            </w:pPr>
            <w:r>
              <w:rPr>
                <w:color w:val="000000" w:themeColor="text1"/>
                <w:kern w:val="0"/>
                <w:sz w:val="24"/>
                <w:szCs w:val="20"/>
                <w:u w:val="single"/>
                <w:lang w:val="zh-CN"/>
                <w14:textFill>
                  <w14:solidFill>
                    <w14:schemeClr w14:val="tx1"/>
                  </w14:solidFill>
                </w14:textFill>
              </w:rPr>
              <w:t>由于烘干</w:t>
            </w:r>
            <w:r>
              <w:rPr>
                <w:rFonts w:hint="eastAsia"/>
                <w:color w:val="000000" w:themeColor="text1"/>
                <w:kern w:val="0"/>
                <w:sz w:val="24"/>
                <w:szCs w:val="20"/>
                <w:u w:val="single"/>
                <w:lang w:val="zh-CN"/>
                <w14:textFill>
                  <w14:solidFill>
                    <w14:schemeClr w14:val="tx1"/>
                  </w14:solidFill>
                </w14:textFill>
              </w:rPr>
              <w:t>和包装</w:t>
            </w:r>
            <w:r>
              <w:rPr>
                <w:color w:val="000000" w:themeColor="text1"/>
                <w:kern w:val="0"/>
                <w:sz w:val="24"/>
                <w:szCs w:val="20"/>
                <w:u w:val="single"/>
                <w:lang w:val="zh-CN"/>
                <w14:textFill>
                  <w14:solidFill>
                    <w14:schemeClr w14:val="tx1"/>
                  </w14:solidFill>
                </w14:textFill>
              </w:rPr>
              <w:t>工艺在密闭式自动化设备内进行，因此烘干粉</w:t>
            </w:r>
            <w:r>
              <w:rPr>
                <w:rFonts w:hint="eastAsia"/>
                <w:color w:val="000000" w:themeColor="text1"/>
                <w:kern w:val="0"/>
                <w:sz w:val="24"/>
                <w:szCs w:val="20"/>
                <w:u w:val="single"/>
                <w:lang w:val="zh-CN"/>
                <w14:textFill>
                  <w14:solidFill>
                    <w14:schemeClr w14:val="tx1"/>
                  </w14:solidFill>
                </w14:textFill>
              </w:rPr>
              <w:t>及包装粉</w:t>
            </w:r>
            <w:r>
              <w:rPr>
                <w:color w:val="000000" w:themeColor="text1"/>
                <w:kern w:val="0"/>
                <w:sz w:val="24"/>
                <w:szCs w:val="20"/>
                <w:u w:val="single"/>
                <w:lang w:val="zh-CN"/>
                <w14:textFill>
                  <w14:solidFill>
                    <w14:schemeClr w14:val="tx1"/>
                  </w14:solidFill>
                </w14:textFill>
              </w:rPr>
              <w:t>尘按完全收集计</w:t>
            </w:r>
            <w:r>
              <w:rPr>
                <w:rFonts w:hint="eastAsia"/>
                <w:color w:val="000000" w:themeColor="text1"/>
                <w:kern w:val="0"/>
                <w:sz w:val="24"/>
                <w:szCs w:val="20"/>
                <w:u w:val="single"/>
                <w:lang w:val="zh-CN"/>
                <w14:textFill>
                  <w14:solidFill>
                    <w14:schemeClr w14:val="tx1"/>
                  </w14:solidFill>
                </w14:textFill>
              </w:rPr>
              <w:t>收集效率1</w:t>
            </w:r>
            <w:r>
              <w:rPr>
                <w:color w:val="000000" w:themeColor="text1"/>
                <w:kern w:val="0"/>
                <w:sz w:val="24"/>
                <w:szCs w:val="20"/>
                <w:u w:val="single"/>
                <w:lang w:val="zh-CN"/>
                <w14:textFill>
                  <w14:solidFill>
                    <w14:schemeClr w14:val="tx1"/>
                  </w14:solidFill>
                </w14:textFill>
              </w:rPr>
              <w:t>00%</w:t>
            </w:r>
            <w:r>
              <w:rPr>
                <w:rFonts w:hint="eastAsia"/>
                <w:color w:val="000000" w:themeColor="text1"/>
                <w:kern w:val="0"/>
                <w:sz w:val="24"/>
                <w:szCs w:val="20"/>
                <w:u w:val="single"/>
                <w:lang w:val="zh-CN"/>
                <w14:textFill>
                  <w14:solidFill>
                    <w14:schemeClr w14:val="tx1"/>
                  </w14:solidFill>
                </w14:textFill>
              </w:rPr>
              <w:t>，</w:t>
            </w:r>
            <w:r>
              <w:rPr>
                <w:color w:val="000000" w:themeColor="text1"/>
                <w:kern w:val="0"/>
                <w:sz w:val="24"/>
                <w:szCs w:val="20"/>
                <w:u w:val="single"/>
                <w:lang w:val="zh-CN"/>
                <w14:textFill>
                  <w14:solidFill>
                    <w14:schemeClr w14:val="tx1"/>
                  </w14:solidFill>
                </w14:textFill>
              </w:rPr>
              <w:t>烘干机</w:t>
            </w:r>
            <w:r>
              <w:rPr>
                <w:rFonts w:hint="eastAsia"/>
                <w:color w:val="000000" w:themeColor="text1"/>
                <w:kern w:val="0"/>
                <w:sz w:val="24"/>
                <w:szCs w:val="20"/>
                <w:u w:val="single"/>
                <w:lang w:val="zh-CN"/>
                <w14:textFill>
                  <w14:solidFill>
                    <w14:schemeClr w14:val="tx1"/>
                  </w14:solidFill>
                </w14:textFill>
              </w:rPr>
              <w:t>和包装机自带布袋</w:t>
            </w:r>
            <w:r>
              <w:rPr>
                <w:color w:val="000000" w:themeColor="text1"/>
                <w:kern w:val="0"/>
                <w:sz w:val="24"/>
                <w:szCs w:val="20"/>
                <w:u w:val="single"/>
                <w:lang w:val="zh-CN"/>
                <w14:textFill>
                  <w14:solidFill>
                    <w14:schemeClr w14:val="tx1"/>
                  </w14:solidFill>
                </w14:textFill>
              </w:rPr>
              <w:t>除尘器，产生的粉尘经</w:t>
            </w:r>
            <w:r>
              <w:rPr>
                <w:rFonts w:hint="eastAsia"/>
                <w:color w:val="000000" w:themeColor="text1"/>
                <w:kern w:val="0"/>
                <w:sz w:val="24"/>
                <w:szCs w:val="20"/>
                <w:u w:val="single"/>
                <w:lang w:val="zh-CN"/>
                <w14:textFill>
                  <w14:solidFill>
                    <w14:schemeClr w14:val="tx1"/>
                  </w14:solidFill>
                </w14:textFill>
              </w:rPr>
              <w:t>布袋</w:t>
            </w:r>
            <w:r>
              <w:rPr>
                <w:color w:val="000000" w:themeColor="text1"/>
                <w:kern w:val="0"/>
                <w:sz w:val="24"/>
                <w:szCs w:val="20"/>
                <w:u w:val="single"/>
                <w:lang w:val="zh-CN"/>
                <w14:textFill>
                  <w14:solidFill>
                    <w14:schemeClr w14:val="tx1"/>
                  </w14:solidFill>
                </w14:textFill>
              </w:rPr>
              <w:t>除尘器处理后</w:t>
            </w:r>
            <w:r>
              <w:rPr>
                <w:rFonts w:hint="eastAsia"/>
                <w:color w:val="000000" w:themeColor="text1"/>
                <w:kern w:val="0"/>
                <w:sz w:val="24"/>
                <w:szCs w:val="20"/>
                <w:u w:val="single"/>
                <w:lang w:val="zh-CN"/>
                <w14:textFill>
                  <w14:solidFill>
                    <w14:schemeClr w14:val="tx1"/>
                  </w14:solidFill>
                </w14:textFill>
              </w:rPr>
              <w:t>在车间无组织排放</w:t>
            </w:r>
            <w:r>
              <w:rPr>
                <w:color w:val="000000" w:themeColor="text1"/>
                <w:kern w:val="0"/>
                <w:sz w:val="24"/>
                <w:szCs w:val="20"/>
                <w:u w:val="single"/>
                <w:lang w:val="zh-CN"/>
                <w14:textFill>
                  <w14:solidFill>
                    <w14:schemeClr w14:val="tx1"/>
                  </w14:solidFill>
                </w14:textFill>
              </w:rPr>
              <w:t>，</w:t>
            </w:r>
            <w:r>
              <w:rPr>
                <w:rFonts w:hint="eastAsia"/>
                <w:color w:val="000000" w:themeColor="text1"/>
                <w:kern w:val="0"/>
                <w:sz w:val="24"/>
                <w:szCs w:val="20"/>
                <w:u w:val="single"/>
                <w:lang w:val="zh-CN"/>
                <w14:textFill>
                  <w14:solidFill>
                    <w14:schemeClr w14:val="tx1"/>
                  </w14:solidFill>
                </w14:textFill>
              </w:rPr>
              <w:t>布袋除尘效率为9</w:t>
            </w:r>
            <w:r>
              <w:rPr>
                <w:color w:val="000000" w:themeColor="text1"/>
                <w:kern w:val="0"/>
                <w:sz w:val="24"/>
                <w:szCs w:val="20"/>
                <w:u w:val="single"/>
                <w:lang w:val="zh-CN"/>
                <w14:textFill>
                  <w14:solidFill>
                    <w14:schemeClr w14:val="tx1"/>
                  </w14:solidFill>
                </w14:textFill>
              </w:rPr>
              <w:t>9</w:t>
            </w:r>
            <w:r>
              <w:rPr>
                <w:rFonts w:hint="eastAsia"/>
                <w:color w:val="000000" w:themeColor="text1"/>
                <w:kern w:val="0"/>
                <w:sz w:val="24"/>
                <w:szCs w:val="20"/>
                <w:u w:val="single"/>
                <w:lang w:val="zh-CN"/>
                <w14:textFill>
                  <w14:solidFill>
                    <w14:schemeClr w14:val="tx1"/>
                  </w14:solidFill>
                </w14:textFill>
              </w:rPr>
              <w:t>%，</w:t>
            </w:r>
            <w:r>
              <w:rPr>
                <w:color w:val="000000" w:themeColor="text1"/>
                <w:kern w:val="0"/>
                <w:sz w:val="24"/>
                <w:szCs w:val="20"/>
                <w:u w:val="single"/>
                <w:lang w:val="zh-CN"/>
                <w14:textFill>
                  <w14:solidFill>
                    <w14:schemeClr w14:val="tx1"/>
                  </w14:solidFill>
                </w14:textFill>
              </w:rPr>
              <w:t>废气处理设施风机风量约为 10000m</w:t>
            </w:r>
            <w:r>
              <w:rPr>
                <w:color w:val="000000" w:themeColor="text1"/>
                <w:kern w:val="0"/>
                <w:sz w:val="24"/>
                <w:szCs w:val="20"/>
                <w:u w:val="single"/>
                <w:vertAlign w:val="superscript"/>
                <w:lang w:val="zh-CN"/>
                <w14:textFill>
                  <w14:solidFill>
                    <w14:schemeClr w14:val="tx1"/>
                  </w14:solidFill>
                </w14:textFill>
              </w:rPr>
              <w:t>3</w:t>
            </w:r>
            <w:r>
              <w:rPr>
                <w:color w:val="000000" w:themeColor="text1"/>
                <w:kern w:val="0"/>
                <w:sz w:val="24"/>
                <w:szCs w:val="20"/>
                <w:u w:val="single"/>
                <w:lang w:val="zh-CN"/>
                <w14:textFill>
                  <w14:solidFill>
                    <w14:schemeClr w14:val="tx1"/>
                  </w14:solidFill>
                </w14:textFill>
              </w:rPr>
              <w:t>/h。</w:t>
            </w:r>
          </w:p>
          <w:p>
            <w:pPr>
              <w:widowControl/>
              <w:spacing w:before="120" w:beforeLines="50"/>
              <w:jc w:val="center"/>
              <w:rPr>
                <w:rFonts w:ascii="宋体" w:hAnsi="宋体" w:cs="黑体"/>
                <w:b/>
                <w:color w:val="000000" w:themeColor="text1"/>
                <w:szCs w:val="21"/>
                <w:lang w:val="zh-CN"/>
                <w14:textFill>
                  <w14:solidFill>
                    <w14:schemeClr w14:val="tx1"/>
                  </w14:solidFill>
                </w14:textFill>
              </w:rPr>
            </w:pPr>
            <w:r>
              <w:rPr>
                <w:rFonts w:ascii="宋体" w:hAnsi="宋体" w:cs="黑体"/>
                <w:b/>
                <w:color w:val="000000" w:themeColor="text1"/>
                <w:szCs w:val="21"/>
                <w:lang w:val="zh-CN"/>
                <w14:textFill>
                  <w14:solidFill>
                    <w14:schemeClr w14:val="tx1"/>
                  </w14:solidFill>
                </w14:textFill>
              </w:rPr>
              <w:t>表4-</w:t>
            </w:r>
            <w:r>
              <w:rPr>
                <w:rFonts w:ascii="宋体" w:hAnsi="宋体" w:cs="黑体"/>
                <w:b/>
                <w:color w:val="000000" w:themeColor="text1"/>
                <w:szCs w:val="21"/>
                <w14:textFill>
                  <w14:solidFill>
                    <w14:schemeClr w14:val="tx1"/>
                  </w14:solidFill>
                </w14:textFill>
              </w:rPr>
              <w:t xml:space="preserve">11 </w:t>
            </w:r>
            <w:r>
              <w:rPr>
                <w:rFonts w:hint="eastAsia" w:ascii="宋体" w:hAnsi="宋体" w:cs="黑体"/>
                <w:b/>
                <w:color w:val="000000" w:themeColor="text1"/>
                <w:szCs w:val="21"/>
                <w14:textFill>
                  <w14:solidFill>
                    <w14:schemeClr w14:val="tx1"/>
                  </w14:solidFill>
                </w14:textFill>
              </w:rPr>
              <w:t>钾钠长石粉烘干包装</w:t>
            </w:r>
            <w:r>
              <w:rPr>
                <w:rFonts w:ascii="宋体" w:hAnsi="宋体" w:cs="黑体"/>
                <w:b/>
                <w:color w:val="000000" w:themeColor="text1"/>
                <w:szCs w:val="21"/>
                <w:lang w:val="zh-CN"/>
                <w14:textFill>
                  <w14:solidFill>
                    <w14:schemeClr w14:val="tx1"/>
                  </w14:solidFill>
                </w14:textFill>
              </w:rPr>
              <w:t>废气产排污情况一览表</w:t>
            </w:r>
          </w:p>
          <w:tbl>
            <w:tblPr>
              <w:tblStyle w:val="24"/>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23"/>
              <w:gridCol w:w="722"/>
              <w:gridCol w:w="661"/>
              <w:gridCol w:w="680"/>
              <w:gridCol w:w="642"/>
              <w:gridCol w:w="696"/>
              <w:gridCol w:w="1215"/>
              <w:gridCol w:w="730"/>
              <w:gridCol w:w="742"/>
              <w:gridCol w:w="744"/>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blHeader/>
                <w:jc w:val="center"/>
              </w:trPr>
              <w:tc>
                <w:tcPr>
                  <w:tcW w:w="523"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排放源</w:t>
                  </w:r>
                </w:p>
              </w:tc>
              <w:tc>
                <w:tcPr>
                  <w:tcW w:w="722"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661" w:type="dxa"/>
                  <w:vMerge w:val="restart"/>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风量</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/h</w:t>
                  </w:r>
                </w:p>
              </w:tc>
              <w:tc>
                <w:tcPr>
                  <w:tcW w:w="2018"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产生情况</w:t>
                  </w:r>
                </w:p>
              </w:tc>
              <w:tc>
                <w:tcPr>
                  <w:tcW w:w="1215" w:type="dxa"/>
                  <w:vMerge w:val="restart"/>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拟采取措施</w:t>
                  </w:r>
                </w:p>
              </w:tc>
              <w:tc>
                <w:tcPr>
                  <w:tcW w:w="2216" w:type="dxa"/>
                  <w:gridSpan w:val="3"/>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排放情况</w:t>
                  </w:r>
                </w:p>
              </w:tc>
              <w:tc>
                <w:tcPr>
                  <w:tcW w:w="528" w:type="dxa"/>
                  <w:vMerge w:val="restart"/>
                  <w:vAlign w:val="center"/>
                </w:tcPr>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w:t>
                  </w:r>
                </w:p>
                <w:p>
                  <w:pPr>
                    <w:adjustRightInd w:val="0"/>
                    <w:snapToGrid w:val="0"/>
                    <w:spacing w:line="2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tblHeader/>
                <w:jc w:val="center"/>
              </w:trPr>
              <w:tc>
                <w:tcPr>
                  <w:tcW w:w="523" w:type="dxa"/>
                  <w:vMerge w:val="continue"/>
                  <w:vAlign w:val="center"/>
                </w:tcPr>
                <w:p>
                  <w:pPr>
                    <w:spacing w:line="260" w:lineRule="exact"/>
                    <w:jc w:val="center"/>
                    <w:rPr>
                      <w:color w:val="000000" w:themeColor="text1"/>
                      <w:szCs w:val="21"/>
                      <w14:textFill>
                        <w14:solidFill>
                          <w14:schemeClr w14:val="tx1"/>
                        </w14:solidFill>
                      </w14:textFill>
                    </w:rPr>
                  </w:pPr>
                </w:p>
              </w:tc>
              <w:tc>
                <w:tcPr>
                  <w:tcW w:w="722" w:type="dxa"/>
                  <w:vMerge w:val="continue"/>
                  <w:vAlign w:val="center"/>
                </w:tcPr>
                <w:p>
                  <w:pPr>
                    <w:spacing w:line="260" w:lineRule="exact"/>
                    <w:jc w:val="center"/>
                    <w:rPr>
                      <w:color w:val="000000" w:themeColor="text1"/>
                      <w:szCs w:val="21"/>
                      <w14:textFill>
                        <w14:solidFill>
                          <w14:schemeClr w14:val="tx1"/>
                        </w14:solidFill>
                      </w14:textFill>
                    </w:rPr>
                  </w:pPr>
                </w:p>
              </w:tc>
              <w:tc>
                <w:tcPr>
                  <w:tcW w:w="661" w:type="dxa"/>
                  <w:vMerge w:val="continue"/>
                  <w:vAlign w:val="center"/>
                </w:tcPr>
                <w:p>
                  <w:pPr>
                    <w:spacing w:line="260" w:lineRule="exact"/>
                    <w:jc w:val="center"/>
                    <w:rPr>
                      <w:color w:val="000000" w:themeColor="text1"/>
                      <w:szCs w:val="21"/>
                      <w14:textFill>
                        <w14:solidFill>
                          <w14:schemeClr w14:val="tx1"/>
                        </w14:solidFill>
                      </w14:textFill>
                    </w:rPr>
                  </w:pPr>
                </w:p>
              </w:tc>
              <w:tc>
                <w:tcPr>
                  <w:tcW w:w="68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产生量t/a</w:t>
                  </w:r>
                </w:p>
              </w:tc>
              <w:tc>
                <w:tcPr>
                  <w:tcW w:w="642"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696"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mg/m</w:t>
                  </w:r>
                  <w:r>
                    <w:rPr>
                      <w:color w:val="000000" w:themeColor="text1"/>
                      <w:szCs w:val="21"/>
                      <w:vertAlign w:val="superscript"/>
                      <w14:textFill>
                        <w14:solidFill>
                          <w14:schemeClr w14:val="tx1"/>
                        </w14:solidFill>
                      </w14:textFill>
                    </w:rPr>
                    <w:t>3</w:t>
                  </w:r>
                </w:p>
              </w:tc>
              <w:tc>
                <w:tcPr>
                  <w:tcW w:w="1215" w:type="dxa"/>
                  <w:vMerge w:val="continue"/>
                  <w:vAlign w:val="center"/>
                </w:tcPr>
                <w:p>
                  <w:pPr>
                    <w:spacing w:line="260" w:lineRule="exact"/>
                    <w:jc w:val="center"/>
                    <w:rPr>
                      <w:color w:val="000000" w:themeColor="text1"/>
                      <w:szCs w:val="21"/>
                      <w14:textFill>
                        <w14:solidFill>
                          <w14:schemeClr w14:val="tx1"/>
                        </w14:solidFill>
                      </w14:textFill>
                    </w:rPr>
                  </w:pPr>
                </w:p>
              </w:tc>
              <w:tc>
                <w:tcPr>
                  <w:tcW w:w="730"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排放量</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742"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速率</w:t>
                  </w:r>
                </w:p>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kg/h</w:t>
                  </w:r>
                </w:p>
              </w:tc>
              <w:tc>
                <w:tcPr>
                  <w:tcW w:w="744" w:type="dxa"/>
                  <w:vAlign w:val="center"/>
                </w:tcPr>
                <w:p>
                  <w:pPr>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浓度mg/m</w:t>
                  </w:r>
                  <w:r>
                    <w:rPr>
                      <w:color w:val="000000" w:themeColor="text1"/>
                      <w:szCs w:val="21"/>
                      <w:vertAlign w:val="superscript"/>
                      <w14:textFill>
                        <w14:solidFill>
                          <w14:schemeClr w14:val="tx1"/>
                        </w14:solidFill>
                      </w14:textFill>
                    </w:rPr>
                    <w:t>3</w:t>
                  </w:r>
                </w:p>
              </w:tc>
              <w:tc>
                <w:tcPr>
                  <w:tcW w:w="528" w:type="dxa"/>
                  <w:vMerge w:val="continue"/>
                  <w:vAlign w:val="center"/>
                </w:tcPr>
                <w:p>
                  <w:pPr>
                    <w:spacing w:line="2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4" w:hRule="atLeast"/>
                <w:jc w:val="center"/>
              </w:trPr>
              <w:tc>
                <w:tcPr>
                  <w:tcW w:w="523"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烘干包装</w:t>
                  </w:r>
                </w:p>
              </w:tc>
              <w:tc>
                <w:tcPr>
                  <w:tcW w:w="722"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661"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1000</w:t>
                  </w:r>
                  <w:r>
                    <w:rPr>
                      <w:rFonts w:hint="eastAsia"/>
                      <w:color w:val="000000" w:themeColor="text1"/>
                      <w:szCs w:val="21"/>
                      <w:u w:val="single"/>
                      <w14:textFill>
                        <w14:solidFill>
                          <w14:schemeClr w14:val="tx1"/>
                        </w14:solidFill>
                      </w14:textFill>
                    </w:rPr>
                    <w:t>0</w:t>
                  </w:r>
                </w:p>
              </w:tc>
              <w:tc>
                <w:tcPr>
                  <w:tcW w:w="68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5.68</w:t>
                  </w:r>
                </w:p>
              </w:tc>
              <w:tc>
                <w:tcPr>
                  <w:tcW w:w="642"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2.37</w:t>
                  </w:r>
                </w:p>
              </w:tc>
              <w:tc>
                <w:tcPr>
                  <w:tcW w:w="696"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237</w:t>
                  </w:r>
                </w:p>
              </w:tc>
              <w:tc>
                <w:tcPr>
                  <w:tcW w:w="1215"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u w:val="single"/>
                      <w14:textFill>
                        <w14:solidFill>
                          <w14:schemeClr w14:val="tx1"/>
                        </w14:solidFill>
                      </w14:textFill>
                    </w:rPr>
                    <w:t>布袋</w:t>
                  </w:r>
                  <w:r>
                    <w:rPr>
                      <w:color w:val="000000" w:themeColor="text1"/>
                      <w:u w:val="single"/>
                      <w14:textFill>
                        <w14:solidFill>
                          <w14:schemeClr w14:val="tx1"/>
                        </w14:solidFill>
                      </w14:textFill>
                    </w:rPr>
                    <w:t>除尘</w:t>
                  </w:r>
                </w:p>
              </w:tc>
              <w:tc>
                <w:tcPr>
                  <w:tcW w:w="730"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0.0568</w:t>
                  </w:r>
                </w:p>
              </w:tc>
              <w:tc>
                <w:tcPr>
                  <w:tcW w:w="742" w:type="dxa"/>
                  <w:vAlign w:val="center"/>
                </w:tcPr>
                <w:p>
                  <w:pPr>
                    <w:spacing w:line="26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.0237</w:t>
                  </w:r>
                </w:p>
              </w:tc>
              <w:tc>
                <w:tcPr>
                  <w:tcW w:w="744" w:type="dxa"/>
                  <w:vAlign w:val="center"/>
                </w:tcPr>
                <w:p>
                  <w:pPr>
                    <w:spacing w:line="26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2.37</w:t>
                  </w:r>
                </w:p>
              </w:tc>
              <w:tc>
                <w:tcPr>
                  <w:tcW w:w="528" w:type="dxa"/>
                  <w:vAlign w:val="center"/>
                </w:tcPr>
                <w:p>
                  <w:pPr>
                    <w:spacing w:line="2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无组织</w:t>
                  </w:r>
                </w:p>
              </w:tc>
            </w:tr>
          </w:tbl>
          <w:p>
            <w:pPr>
              <w:adjustRightInd w:val="0"/>
              <w:snapToGrid w:val="0"/>
              <w:spacing w:line="360" w:lineRule="auto"/>
              <w:rPr>
                <w:b/>
                <w:color w:val="000000" w:themeColor="text1"/>
                <w:spacing w:val="-10"/>
                <w:sz w:val="24"/>
                <w14:textFill>
                  <w14:solidFill>
                    <w14:schemeClr w14:val="tx1"/>
                  </w14:solidFill>
                </w14:textFill>
              </w:rPr>
            </w:pPr>
          </w:p>
          <w:p>
            <w:pPr>
              <w:adjustRightInd w:val="0"/>
              <w:snapToGrid w:val="0"/>
              <w:spacing w:line="360" w:lineRule="auto"/>
              <w:rPr>
                <w:b/>
                <w:color w:val="000000" w:themeColor="text1"/>
                <w:sz w:val="24"/>
                <w14:textFill>
                  <w14:solidFill>
                    <w14:schemeClr w14:val="tx1"/>
                  </w14:solidFill>
                </w14:textFill>
              </w:rPr>
            </w:pPr>
            <w:r>
              <w:rPr>
                <w:b/>
                <w:color w:val="000000" w:themeColor="text1"/>
                <w:spacing w:val="-10"/>
                <w:sz w:val="24"/>
                <w14:textFill>
                  <w14:solidFill>
                    <w14:schemeClr w14:val="tx1"/>
                  </w14:solidFill>
                </w14:textFill>
              </w:rPr>
              <w:t>1.</w:t>
            </w:r>
            <w:r>
              <w:rPr>
                <w:b/>
                <w:color w:val="000000" w:themeColor="text1"/>
                <w:sz w:val="24"/>
                <w14:textFill>
                  <w14:solidFill>
                    <w14:schemeClr w14:val="tx1"/>
                  </w14:solidFill>
                </w14:textFill>
              </w:rPr>
              <w:t>3废气排放可行性及环境影响分析</w:t>
            </w:r>
          </w:p>
          <w:p>
            <w:pPr>
              <w:spacing w:line="360" w:lineRule="auto"/>
              <w:ind w:firstLine="480"/>
              <w:jc w:val="left"/>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废气污染防治措施如下</w:t>
            </w:r>
            <w:r>
              <w:rPr>
                <w:bCs/>
                <w:color w:val="000000" w:themeColor="text1"/>
                <w:sz w:val="24"/>
                <w14:textFill>
                  <w14:solidFill>
                    <w14:schemeClr w14:val="tx1"/>
                  </w14:solidFill>
                </w14:textFill>
              </w:rPr>
              <w:t>：</w:t>
            </w:r>
          </w:p>
          <w:p>
            <w:pPr>
              <w:spacing w:line="360" w:lineRule="auto"/>
              <w:ind w:firstLine="480"/>
              <w:jc w:val="left"/>
              <w:rPr>
                <w:color w:val="000000" w:themeColor="text1"/>
                <w:sz w:val="24"/>
                <w:u w:val="single"/>
                <w14:textFill>
                  <w14:solidFill>
                    <w14:schemeClr w14:val="tx1"/>
                  </w14:solidFill>
                </w14:textFill>
              </w:rPr>
            </w:pPr>
            <w:bookmarkStart w:id="8" w:name="_Hlk99619547"/>
            <w:r>
              <w:rPr>
                <w:color w:val="000000" w:themeColor="text1"/>
                <w:sz w:val="24"/>
                <w:u w:val="single"/>
                <w:lang w:bidi="ar"/>
                <w14:textFill>
                  <w14:solidFill>
                    <w14:schemeClr w14:val="tx1"/>
                  </w14:solidFill>
                </w14:textFill>
              </w:rPr>
              <w:t>烘干、炭化废气</w:t>
            </w:r>
            <w:r>
              <w:rPr>
                <w:rFonts w:hint="eastAsia"/>
                <w:color w:val="000000" w:themeColor="text1"/>
                <w:sz w:val="24"/>
                <w:u w:val="single"/>
                <w:lang w:bidi="ar"/>
                <w14:textFill>
                  <w14:solidFill>
                    <w14:schemeClr w14:val="tx1"/>
                  </w14:solidFill>
                </w14:textFill>
              </w:rPr>
              <w:t>（烘干机工作时）</w:t>
            </w:r>
            <w:r>
              <w:rPr>
                <w:bCs/>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项目</w:t>
            </w:r>
            <w:r>
              <w:rPr>
                <w:color w:val="000000" w:themeColor="text1"/>
                <w:sz w:val="24"/>
                <w:u w:val="single"/>
                <w:lang w:bidi="ar"/>
                <w14:textFill>
                  <w14:solidFill>
                    <w14:schemeClr w14:val="tx1"/>
                  </w14:solidFill>
                </w14:textFill>
              </w:rPr>
              <w:t>烘干、炭化废气</w:t>
            </w:r>
            <w:r>
              <w:rPr>
                <w:rFonts w:hint="eastAsia"/>
                <w:color w:val="000000" w:themeColor="text1"/>
                <w:sz w:val="24"/>
                <w:u w:val="single"/>
                <w:lang w:bidi="ar"/>
                <w14:textFill>
                  <w14:solidFill>
                    <w14:schemeClr w14:val="tx1"/>
                  </w14:solidFill>
                </w14:textFill>
              </w:rPr>
              <w:t>设备均带有废气口，</w:t>
            </w:r>
            <w:r>
              <w:rPr>
                <w:rFonts w:hint="eastAsia"/>
                <w:color w:val="000000" w:themeColor="text1"/>
                <w:sz w:val="24"/>
                <w:u w:val="single"/>
                <w14:textFill>
                  <w14:solidFill>
                    <w14:schemeClr w14:val="tx1"/>
                  </w14:solidFill>
                </w14:textFill>
              </w:rPr>
              <w:t>各</w:t>
            </w:r>
            <w:r>
              <w:rPr>
                <w:color w:val="000000" w:themeColor="text1"/>
                <w:sz w:val="24"/>
                <w:u w:val="single"/>
                <w14:textFill>
                  <w14:solidFill>
                    <w14:schemeClr w14:val="tx1"/>
                  </w14:solidFill>
                </w14:textFill>
              </w:rPr>
              <w:t>废气出口和全密闭集气管道相连接，废气经集气管道引至</w:t>
            </w:r>
            <w:r>
              <w:rPr>
                <w:rFonts w:hint="eastAsia"/>
                <w:color w:val="000000" w:themeColor="text1"/>
                <w:sz w:val="24"/>
                <w:u w:val="single"/>
                <w14:textFill>
                  <w14:solidFill>
                    <w14:schemeClr w14:val="tx1"/>
                  </w14:solidFill>
                </w14:textFill>
              </w:rPr>
              <w:t>脉冲布袋除尘</w:t>
            </w:r>
            <w:r>
              <w:rPr>
                <w:color w:val="000000" w:themeColor="text1"/>
                <w:sz w:val="24"/>
                <w:u w:val="single"/>
                <w14:textFill>
                  <w14:solidFill>
                    <w14:schemeClr w14:val="tx1"/>
                  </w14:solidFill>
                </w14:textFill>
              </w:rPr>
              <w:t>装置处理，废气收集效率100%</w:t>
            </w:r>
            <w:r>
              <w:rPr>
                <w:rFonts w:hint="eastAsia"/>
                <w:color w:val="000000" w:themeColor="text1"/>
                <w:sz w:val="24"/>
                <w:u w:val="single"/>
                <w14:textFill>
                  <w14:solidFill>
                    <w14:schemeClr w14:val="tx1"/>
                  </w14:solidFill>
                </w14:textFill>
              </w:rPr>
              <w:t>，</w:t>
            </w:r>
            <w:r>
              <w:rPr>
                <w:color w:val="000000" w:themeColor="text1"/>
                <w:sz w:val="24"/>
                <w:u w:val="single"/>
                <w14:textFill>
                  <w14:solidFill>
                    <w14:schemeClr w14:val="tx1"/>
                  </w14:solidFill>
                </w14:textFill>
              </w:rPr>
              <w:t>处理效率为99%，处理后通过15m排气筒排放（DA002）。</w:t>
            </w:r>
          </w:p>
          <w:p>
            <w:pPr>
              <w:spacing w:line="360" w:lineRule="auto"/>
              <w:ind w:firstLine="480"/>
              <w:jc w:val="left"/>
              <w:rPr>
                <w:color w:val="000000" w:themeColor="text1"/>
                <w:sz w:val="24"/>
                <w:u w:val="single"/>
                <w14:textFill>
                  <w14:solidFill>
                    <w14:schemeClr w14:val="tx1"/>
                  </w14:solidFill>
                </w14:textFill>
              </w:rPr>
            </w:pPr>
            <w:r>
              <w:rPr>
                <w:color w:val="000000" w:themeColor="text1"/>
                <w:sz w:val="24"/>
                <w:u w:val="single"/>
                <w:lang w:bidi="ar"/>
                <w14:textFill>
                  <w14:solidFill>
                    <w14:schemeClr w14:val="tx1"/>
                  </w14:solidFill>
                </w14:textFill>
              </w:rPr>
              <w:t>炭化废气</w:t>
            </w:r>
            <w:r>
              <w:rPr>
                <w:rFonts w:hint="eastAsia"/>
                <w:color w:val="000000" w:themeColor="text1"/>
                <w:sz w:val="24"/>
                <w:u w:val="single"/>
                <w:lang w:bidi="ar"/>
                <w14:textFill>
                  <w14:solidFill>
                    <w14:schemeClr w14:val="tx1"/>
                  </w14:solidFill>
                </w14:textFill>
              </w:rPr>
              <w:t>（烘干机未工作时）、炭化点火燃烧废气</w:t>
            </w:r>
            <w:r>
              <w:rPr>
                <w:bCs/>
                <w:color w:val="000000" w:themeColor="text1"/>
                <w:sz w:val="24"/>
                <w:u w:val="single"/>
                <w14:textFill>
                  <w14:solidFill>
                    <w14:schemeClr w14:val="tx1"/>
                  </w14:solidFill>
                </w14:textFill>
              </w:rPr>
              <w:t>：</w:t>
            </w:r>
            <w:r>
              <w:rPr>
                <w:rFonts w:hint="eastAsia"/>
                <w:color w:val="000000" w:themeColor="text1"/>
                <w:sz w:val="24"/>
                <w:u w:val="single"/>
                <w:lang w:bidi="ar"/>
                <w14:textFill>
                  <w14:solidFill>
                    <w14:schemeClr w14:val="tx1"/>
                  </w14:solidFill>
                </w14:textFill>
              </w:rPr>
              <w:t>炭化点火燃烧废气及</w:t>
            </w:r>
            <w:r>
              <w:rPr>
                <w:color w:val="000000" w:themeColor="text1"/>
                <w:sz w:val="24"/>
                <w:u w:val="single"/>
                <w14:textFill>
                  <w14:solidFill>
                    <w14:schemeClr w14:val="tx1"/>
                  </w14:solidFill>
                </w14:textFill>
              </w:rPr>
              <w:t>项目</w:t>
            </w:r>
            <w:r>
              <w:rPr>
                <w:color w:val="000000" w:themeColor="text1"/>
                <w:sz w:val="24"/>
                <w:u w:val="single"/>
                <w:lang w:bidi="ar"/>
                <w14:textFill>
                  <w14:solidFill>
                    <w14:schemeClr w14:val="tx1"/>
                  </w14:solidFill>
                </w14:textFill>
              </w:rPr>
              <w:t>炭化废气</w:t>
            </w:r>
            <w:r>
              <w:rPr>
                <w:rFonts w:hint="eastAsia"/>
                <w:color w:val="000000" w:themeColor="text1"/>
                <w:sz w:val="24"/>
                <w:u w:val="single"/>
                <w:lang w:bidi="ar"/>
                <w14:textFill>
                  <w14:solidFill>
                    <w14:schemeClr w14:val="tx1"/>
                  </w14:solidFill>
                </w14:textFill>
              </w:rPr>
              <w:t>在炭化窑火道内充分燃烧后</w:t>
            </w:r>
            <w:r>
              <w:rPr>
                <w:color w:val="000000" w:themeColor="text1"/>
                <w:sz w:val="24"/>
                <w:u w:val="single"/>
                <w14:textFill>
                  <w14:solidFill>
                    <w14:schemeClr w14:val="tx1"/>
                  </w14:solidFill>
                </w14:textFill>
              </w:rPr>
              <w:t>废气经集气管道引至15m排气筒排放（DA003）</w:t>
            </w:r>
            <w:r>
              <w:rPr>
                <w:rFonts w:hint="eastAsia"/>
                <w:color w:val="000000" w:themeColor="text1"/>
                <w:sz w:val="24"/>
                <w:u w:val="single"/>
                <w14:textFill>
                  <w14:solidFill>
                    <w14:schemeClr w14:val="tx1"/>
                  </w14:solidFill>
                </w14:textFill>
              </w:rPr>
              <w:t>直接排放</w:t>
            </w:r>
            <w:r>
              <w:rPr>
                <w:color w:val="000000" w:themeColor="text1"/>
                <w:sz w:val="24"/>
                <w:u w:val="single"/>
                <w14:textFill>
                  <w14:solidFill>
                    <w14:schemeClr w14:val="tx1"/>
                  </w14:solidFill>
                </w14:textFill>
              </w:rPr>
              <w:t>，废气收集效率100%。</w:t>
            </w:r>
          </w:p>
          <w:p>
            <w:pPr>
              <w:spacing w:line="360" w:lineRule="auto"/>
              <w:ind w:firstLine="480"/>
              <w:jc w:val="left"/>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sz w:val="24"/>
                <w14:textFill>
                  <w14:solidFill>
                    <w14:schemeClr w14:val="tx1"/>
                  </w14:solidFill>
                </w14:textFill>
              </w:rPr>
              <w:t>二次破碎粉尘：</w:t>
            </w:r>
            <w:r>
              <w:rPr>
                <w:color w:val="000000" w:themeColor="text1"/>
                <w:sz w:val="24"/>
                <w14:textFill>
                  <w14:solidFill>
                    <w14:schemeClr w14:val="tx1"/>
                  </w14:solidFill>
                </w14:textFill>
              </w:rPr>
              <w:t>项目</w:t>
            </w:r>
            <w:r>
              <w:rPr>
                <w:rFonts w:hint="eastAsia"/>
                <w:color w:val="000000" w:themeColor="text1"/>
                <w:sz w:val="24"/>
                <w:lang w:bidi="ar"/>
                <w14:textFill>
                  <w14:solidFill>
                    <w14:schemeClr w14:val="tx1"/>
                  </w14:solidFill>
                </w14:textFill>
              </w:rPr>
              <w:t>二次破碎</w:t>
            </w:r>
            <w:r>
              <w:rPr>
                <w:color w:val="000000" w:themeColor="text1"/>
                <w:sz w:val="24"/>
                <w:lang w:bidi="ar"/>
                <w14:textFill>
                  <w14:solidFill>
                    <w14:schemeClr w14:val="tx1"/>
                  </w14:solidFill>
                </w14:textFill>
              </w:rPr>
              <w:t>废气</w:t>
            </w:r>
            <w:r>
              <w:rPr>
                <w:rFonts w:hint="eastAsia"/>
                <w:color w:val="000000" w:themeColor="text1"/>
                <w:sz w:val="24"/>
                <w:lang w:bidi="ar"/>
                <w14:textFill>
                  <w14:solidFill>
                    <w14:schemeClr w14:val="tx1"/>
                  </w14:solidFill>
                </w14:textFill>
              </w:rPr>
              <w:t>设备带有废气口，</w:t>
            </w:r>
            <w:r>
              <w:rPr>
                <w:color w:val="000000" w:themeColor="text1"/>
                <w:sz w:val="24"/>
                <w14:textFill>
                  <w14:solidFill>
                    <w14:schemeClr w14:val="tx1"/>
                  </w14:solidFill>
                </w14:textFill>
              </w:rPr>
              <w:t>废气出口和全密闭集气管道相连接，废气经集气管道引至</w:t>
            </w:r>
            <w:r>
              <w:rPr>
                <w:rFonts w:hint="eastAsia"/>
                <w:color w:val="000000" w:themeColor="text1"/>
                <w:sz w:val="24"/>
                <w14:textFill>
                  <w14:solidFill>
                    <w14:schemeClr w14:val="tx1"/>
                  </w14:solidFill>
                </w14:textFill>
              </w:rPr>
              <w:t>脉冲布袋除尘</w:t>
            </w:r>
            <w:r>
              <w:rPr>
                <w:color w:val="000000" w:themeColor="text1"/>
                <w:sz w:val="24"/>
                <w14:textFill>
                  <w14:solidFill>
                    <w14:schemeClr w14:val="tx1"/>
                  </w14:solidFill>
                </w14:textFill>
              </w:rPr>
              <w:t>装置处理，处理效率为99%，处理后通过15m排气筒排放（DA002）。</w:t>
            </w:r>
          </w:p>
          <w:p>
            <w:pPr>
              <w:pStyle w:val="2"/>
              <w:ind w:left="0" w:leftChars="0" w:firstLine="480"/>
              <w:rPr>
                <w:color w:val="000000" w:themeColor="text1"/>
                <w:szCs w:val="24"/>
                <w14:textFill>
                  <w14:solidFill>
                    <w14:schemeClr w14:val="tx1"/>
                  </w14:solidFill>
                </w14:textFill>
              </w:rPr>
            </w:pPr>
            <w:r>
              <w:rPr>
                <w:rFonts w:hint="eastAsia"/>
                <w:color w:val="000000" w:themeColor="text1"/>
                <w:szCs w:val="24"/>
                <w:u w:val="single"/>
                <w14:textFill>
                  <w14:solidFill>
                    <w14:schemeClr w14:val="tx1"/>
                  </w14:solidFill>
                </w14:textFill>
              </w:rPr>
              <w:t>一次破碎、筛分粉尘：一次破碎物料含水量较高，粉尘产生较少，</w:t>
            </w:r>
            <w:r>
              <w:rPr>
                <w:rFonts w:hint="eastAsia"/>
                <w:color w:val="000000" w:themeColor="text1"/>
                <w:u w:val="single"/>
                <w14:textFill>
                  <w14:solidFill>
                    <w14:schemeClr w14:val="tx1"/>
                  </w14:solidFill>
                </w14:textFill>
              </w:rPr>
              <w:t>项目对一道破碎和筛分工序进行局部围蔽，一面开口</w:t>
            </w:r>
            <w:r>
              <w:rPr>
                <w:rFonts w:hint="eastAsia"/>
                <w:color w:val="000000" w:themeColor="text1"/>
                <w:szCs w:val="24"/>
                <w:u w:val="single"/>
                <w14:textFill>
                  <w14:solidFill>
                    <w14:schemeClr w14:val="tx1"/>
                  </w14:solidFill>
                </w14:textFill>
              </w:rPr>
              <w:t>，开口一侧设软帘，工作状下软帘关闭，粉尘在密闭区域自然沉降，</w:t>
            </w:r>
            <w:r>
              <w:rPr>
                <w:rFonts w:hint="eastAsia"/>
                <w:color w:val="000000" w:themeColor="text1"/>
                <w:u w:val="single"/>
                <w14:textFill>
                  <w14:solidFill>
                    <w14:schemeClr w14:val="tx1"/>
                  </w14:solidFill>
                </w14:textFill>
              </w:rPr>
              <w:t>沉降率约7</w:t>
            </w:r>
            <w:r>
              <w:rPr>
                <w:color w:val="000000" w:themeColor="text1"/>
                <w:u w:val="single"/>
                <w14:textFill>
                  <w14:solidFill>
                    <w14:schemeClr w14:val="tx1"/>
                  </w14:solidFill>
                </w14:textFill>
              </w:rPr>
              <w:t>0%</w:t>
            </w:r>
            <w:r>
              <w:rPr>
                <w:rFonts w:hint="eastAsia"/>
                <w:color w:val="000000" w:themeColor="text1"/>
                <w:u w:val="single"/>
                <w14:textFill>
                  <w14:solidFill>
                    <w14:schemeClr w14:val="tx1"/>
                  </w14:solidFill>
                </w14:textFill>
              </w:rPr>
              <w:t>，其余部分在车间无组织排放。</w:t>
            </w:r>
          </w:p>
          <w:p>
            <w:pPr>
              <w:pStyle w:val="2"/>
              <w:ind w:left="0" w:leftChars="0" w:firstLine="480"/>
              <w:rPr>
                <w:color w:val="000000" w:themeColor="text1"/>
                <w:u w:val="single"/>
                <w14:textFill>
                  <w14:solidFill>
                    <w14:schemeClr w14:val="tx1"/>
                  </w14:solidFill>
                </w14:textFill>
              </w:rPr>
            </w:pPr>
            <w:r>
              <w:rPr>
                <w:rFonts w:hint="eastAsia"/>
                <w:color w:val="000000" w:themeColor="text1"/>
                <w:szCs w:val="24"/>
                <w:u w:val="single"/>
                <w14:textFill>
                  <w14:solidFill>
                    <w14:schemeClr w14:val="tx1"/>
                  </w14:solidFill>
                </w14:textFill>
              </w:rPr>
              <w:t>制棒废气：对下料口进行整体封闭，废气整体负压收集后引至水喷淋装置进行处理，</w:t>
            </w:r>
            <w:r>
              <w:rPr>
                <w:color w:val="000000" w:themeColor="text1"/>
                <w:u w:val="single"/>
                <w14:textFill>
                  <w14:solidFill>
                    <w14:schemeClr w14:val="tx1"/>
                  </w14:solidFill>
                </w14:textFill>
              </w:rPr>
              <w:t>废气收集效率100%</w:t>
            </w: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处理效率为70%，处理后通过15m排气筒排放（DA001）</w:t>
            </w:r>
            <w:r>
              <w:rPr>
                <w:rFonts w:hint="eastAsia"/>
                <w:color w:val="000000" w:themeColor="text1"/>
                <w:u w:val="single"/>
                <w14:textFill>
                  <w14:solidFill>
                    <w14:schemeClr w14:val="tx1"/>
                  </w14:solidFill>
                </w14:textFill>
              </w:rPr>
              <w:t>。</w:t>
            </w:r>
          </w:p>
          <w:p>
            <w:pPr>
              <w:pStyle w:val="2"/>
              <w:ind w:left="0" w:leftChars="0" w:firstLine="480"/>
              <w:rPr>
                <w:color w:val="000000" w:themeColor="text1"/>
                <w:u w:val="single"/>
                <w14:textFill>
                  <w14:solidFill>
                    <w14:schemeClr w14:val="tx1"/>
                  </w14:solidFill>
                </w14:textFill>
              </w:rPr>
            </w:pPr>
            <w:r>
              <w:rPr>
                <w:rFonts w:hint="eastAsia"/>
                <w:color w:val="000000" w:themeColor="text1"/>
                <w:szCs w:val="24"/>
                <w:u w:val="single"/>
                <w14:textFill>
                  <w14:solidFill>
                    <w14:schemeClr w14:val="tx1"/>
                  </w14:solidFill>
                </w14:textFill>
              </w:rPr>
              <w:t>钾钠长石粉烘干、包装粉尘：经设备自带布袋除尘器处理后，粉尘产生较少，在车间无组织排放。</w:t>
            </w:r>
            <w:r>
              <w:rPr>
                <w:color w:val="000000" w:themeColor="text1"/>
                <w:u w:val="single"/>
                <w14:textFill>
                  <w14:solidFill>
                    <w14:schemeClr w14:val="tx1"/>
                  </w14:solidFill>
                </w14:textFill>
              </w:rPr>
              <w:t xml:space="preserve"> </w:t>
            </w:r>
          </w:p>
          <w:p>
            <w:pPr>
              <w:rPr>
                <w:color w:val="000000" w:themeColor="text1"/>
                <w14:textFill>
                  <w14:solidFill>
                    <w14:schemeClr w14:val="tx1"/>
                  </w14:solidFill>
                </w14:textFill>
              </w:rPr>
            </w:pPr>
          </w:p>
          <w:p>
            <w:pPr>
              <w:pStyle w:val="71"/>
              <w:spacing w:beforeLines="0" w:afterLines="0" w:line="360" w:lineRule="auto"/>
              <w:ind w:left="0" w:leftChars="0" w:firstLine="482"/>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布袋除尘器</w:t>
            </w:r>
            <w:r>
              <w:rPr>
                <w:rFonts w:hint="eastAsia"/>
                <w:b/>
                <w:bCs/>
                <w:color w:val="000000" w:themeColor="text1"/>
                <w:szCs w:val="24"/>
                <w14:textFill>
                  <w14:solidFill>
                    <w14:schemeClr w14:val="tx1"/>
                  </w14:solidFill>
                </w14:textFill>
              </w:rPr>
              <w:t>原理：</w:t>
            </w:r>
          </w:p>
          <w:p>
            <w:pPr>
              <w:spacing w:line="360" w:lineRule="auto"/>
              <w:ind w:firstLine="480" w:firstLineChars="200"/>
              <w:rPr>
                <w:color w:val="000000" w:themeColor="text1"/>
                <w:szCs w:val="21"/>
                <w14:textFill>
                  <w14:solidFill>
                    <w14:schemeClr w14:val="tx1"/>
                  </w14:solidFill>
                </w14:textFill>
              </w:rPr>
            </w:pPr>
            <w:r>
              <w:rPr>
                <w:color w:val="000000" w:themeColor="text1"/>
                <w:sz w:val="24"/>
                <w14:textFill>
                  <w14:solidFill>
                    <w14:schemeClr w14:val="tx1"/>
                  </w14:solidFill>
                </w14:textFill>
              </w:rPr>
              <w:t>本项目使用的布袋除尘器均为长袋脉冲式，该除尘器由灰斗、上箱体、中箱体、下箱体等部分组成，上、中、下箱体为分室结构。工作时，含尘气体由进风道进入灰斗，粗尘粒直接落入灰斗底部，细尘粒随气流转折向上进入中、下箱体，粉尘积附在滤袋外表面，过滤后的气体进入上箱体至净气集合管-排风道，经排风机排至大气。类比同类生产企业，布袋式除尘器属于高效除尘器，对细小微粒的除尘效果一般可达到90%以上</w:t>
            </w:r>
            <w:r>
              <w:rPr>
                <w:color w:val="000000" w:themeColor="text1"/>
                <w:szCs w:val="21"/>
                <w14:textFill>
                  <w14:solidFill>
                    <w14:schemeClr w14:val="tx1"/>
                  </w14:solidFill>
                </w14:textFill>
              </w:rPr>
              <w:t>。</w:t>
            </w:r>
          </w:p>
          <w:p>
            <w:pPr>
              <w:pStyle w:val="2"/>
              <w:ind w:firstLine="480"/>
              <w:rPr>
                <w:color w:val="000000" w:themeColor="text1"/>
                <w14:textFill>
                  <w14:solidFill>
                    <w14:schemeClr w14:val="tx1"/>
                  </w14:solidFill>
                </w14:textFill>
              </w:rPr>
            </w:pPr>
          </w:p>
          <w:p>
            <w:pPr>
              <w:adjustRightInd w:val="0"/>
              <w:snapToGrid w:val="0"/>
              <w:spacing w:line="360" w:lineRule="auto"/>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drawing>
                <wp:inline distT="0" distB="0" distL="0" distR="0">
                  <wp:extent cx="3098800" cy="2146300"/>
                  <wp:effectExtent l="0" t="0" r="6350" b="6350"/>
                  <wp:docPr id="5207888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788886"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98800" cy="2146300"/>
                          </a:xfrm>
                          <a:prstGeom prst="rect">
                            <a:avLst/>
                          </a:prstGeom>
                          <a:noFill/>
                          <a:ln>
                            <a:noFill/>
                          </a:ln>
                        </pic:spPr>
                      </pic:pic>
                    </a:graphicData>
                  </a:graphic>
                </wp:inline>
              </w:drawing>
            </w:r>
          </w:p>
          <w:p>
            <w:pPr>
              <w:adjustRightInd w:val="0"/>
              <w:snapToGrid w:val="0"/>
              <w:spacing w:line="360" w:lineRule="auto"/>
              <w:jc w:val="center"/>
              <w:rPr>
                <w:color w:val="000000" w:themeColor="text1"/>
                <w:szCs w:val="21"/>
                <w14:textFill>
                  <w14:solidFill>
                    <w14:schemeClr w14:val="tx1"/>
                  </w14:solidFill>
                </w14:textFill>
              </w:rPr>
            </w:pPr>
            <w:r>
              <w:rPr>
                <w:b/>
                <w:color w:val="000000" w:themeColor="text1"/>
                <w:szCs w:val="21"/>
                <w14:textFill>
                  <w14:solidFill>
                    <w14:schemeClr w14:val="tx1"/>
                  </w14:solidFill>
                </w14:textFill>
              </w:rPr>
              <w:t>图4-1  布袋除尘器结构图</w:t>
            </w:r>
          </w:p>
          <w:p>
            <w:pPr>
              <w:pStyle w:val="2"/>
              <w:ind w:left="0" w:leftChars="0" w:firstLine="480"/>
              <w:rPr>
                <w:color w:val="000000" w:themeColor="text1"/>
                <w14:textFill>
                  <w14:solidFill>
                    <w14:schemeClr w14:val="tx1"/>
                  </w14:solidFill>
                </w14:textFill>
              </w:rPr>
            </w:pPr>
          </w:p>
          <w:p>
            <w:pPr>
              <w:pStyle w:val="2"/>
              <w:ind w:left="0" w:leftChars="0" w:firstLine="480"/>
              <w:rPr>
                <w:color w:val="000000" w:themeColor="text1"/>
                <w14:textFill>
                  <w14:solidFill>
                    <w14:schemeClr w14:val="tx1"/>
                  </w14:solidFill>
                </w14:textFill>
              </w:rPr>
            </w:pPr>
            <w:r>
              <w:rPr>
                <w:color w:val="000000" w:themeColor="text1"/>
                <w14:textFill>
                  <w14:solidFill>
                    <w14:schemeClr w14:val="tx1"/>
                  </w14:solidFill>
                </w14:textFill>
              </w:rPr>
              <w:t>参考《排放源统计调查产排污核算方法和系数手册（公告 2021 年第 24 号）》中 2663 林产化学品制造行业系数手册，产生的颗粒物采用喷淋塔除尘去除率可达 70%以上，本报告</w:t>
            </w:r>
            <w:r>
              <w:rPr>
                <w:rFonts w:hint="eastAsia"/>
                <w:color w:val="000000" w:themeColor="text1"/>
                <w14:textFill>
                  <w14:solidFill>
                    <w14:schemeClr w14:val="tx1"/>
                  </w14:solidFill>
                </w14:textFill>
              </w:rPr>
              <w:t>水喷淋</w:t>
            </w:r>
            <w:r>
              <w:rPr>
                <w:color w:val="000000" w:themeColor="text1"/>
                <w14:textFill>
                  <w14:solidFill>
                    <w14:schemeClr w14:val="tx1"/>
                  </w14:solidFill>
                </w14:textFill>
              </w:rPr>
              <w:t>除尘的粉尘总处理效率取 70%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处理后的粉尘经 15m 高排气筒（DA001）排放</w:t>
            </w:r>
            <w:r>
              <w:rPr>
                <w:rFonts w:hint="eastAsia"/>
                <w:color w:val="000000" w:themeColor="text1"/>
                <w14:textFill>
                  <w14:solidFill>
                    <w14:schemeClr w14:val="tx1"/>
                  </w14:solidFill>
                </w14:textFill>
              </w:rPr>
              <w:t>。</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（2）技术可行性分析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根据《排污许可证申请与核发技术规范 工业炉窑》（HJ1121-2020）的中工业排污单位废气污染防治可行技术参考表可知，供热炉窑产生的废气采用的布袋除尘技术是可行技术，对照《排污许可证申请与核发技术规范 废弃资源加工工业》（HJ1034-2019）中工业排污单位废气污染防治可行技术参考表可知，破碎加工产生的粉尘采用布袋除尘技术为可行技术。</w:t>
            </w:r>
          </w:p>
          <w:p>
            <w:pPr>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因此本项目采用布袋除尘器，属于技术规范推荐的可行性技术措施。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项目</w:t>
            </w:r>
            <w:r>
              <w:rPr>
                <w:rFonts w:hint="eastAsia"/>
                <w:color w:val="000000" w:themeColor="text1"/>
                <w:sz w:val="24"/>
                <w:u w:val="single"/>
                <w14:textFill>
                  <w14:solidFill>
                    <w14:schemeClr w14:val="tx1"/>
                  </w14:solidFill>
                </w14:textFill>
              </w:rPr>
              <w:t>二次破碎粉尘、烘干、炭化废气（烘干机工作时）</w:t>
            </w:r>
            <w:r>
              <w:rPr>
                <w:color w:val="000000" w:themeColor="text1"/>
                <w:sz w:val="24"/>
                <w:u w:val="single"/>
                <w14:textFill>
                  <w14:solidFill>
                    <w14:schemeClr w14:val="tx1"/>
                  </w14:solidFill>
                </w14:textFill>
              </w:rPr>
              <w:t>经</w:t>
            </w:r>
            <w:r>
              <w:rPr>
                <w:rFonts w:hint="eastAsia"/>
                <w:color w:val="000000" w:themeColor="text1"/>
                <w:sz w:val="24"/>
                <w:u w:val="single"/>
                <w14:textFill>
                  <w14:solidFill>
                    <w14:schemeClr w14:val="tx1"/>
                  </w14:solidFill>
                </w14:textFill>
              </w:rPr>
              <w:t>集气管道收集经脉冲布</w:t>
            </w:r>
            <w:r>
              <w:rPr>
                <w:color w:val="000000" w:themeColor="text1"/>
                <w:sz w:val="24"/>
                <w:u w:val="single"/>
                <w14:textFill>
                  <w14:solidFill>
                    <w14:schemeClr w14:val="tx1"/>
                  </w14:solidFill>
                </w14:textFill>
              </w:rPr>
              <w:t>袋除尘器处理后通过1根15m（DA002）高排气筒排放</w:t>
            </w:r>
            <w:r>
              <w:rPr>
                <w:rFonts w:hint="eastAsia"/>
                <w:color w:val="000000" w:themeColor="text1"/>
                <w:sz w:val="24"/>
                <w:u w:val="single"/>
                <w14:textFill>
                  <w14:solidFill>
                    <w14:schemeClr w14:val="tx1"/>
                  </w14:solidFill>
                </w14:textFill>
              </w:rPr>
              <w:t>；炭化废气（烘干机不工作时）、炭化点火燃烧废气</w:t>
            </w:r>
            <w:r>
              <w:rPr>
                <w:color w:val="000000" w:themeColor="text1"/>
                <w:sz w:val="24"/>
                <w:u w:val="single"/>
                <w14:textFill>
                  <w14:solidFill>
                    <w14:schemeClr w14:val="tx1"/>
                  </w14:solidFill>
                </w14:textFill>
              </w:rPr>
              <w:t>经</w:t>
            </w:r>
            <w:r>
              <w:rPr>
                <w:rFonts w:hint="eastAsia"/>
                <w:color w:val="000000" w:themeColor="text1"/>
                <w:sz w:val="24"/>
                <w:u w:val="single"/>
                <w14:textFill>
                  <w14:solidFill>
                    <w14:schemeClr w14:val="tx1"/>
                  </w14:solidFill>
                </w14:textFill>
              </w:rPr>
              <w:t>集气管道收集</w:t>
            </w:r>
            <w:r>
              <w:rPr>
                <w:color w:val="000000" w:themeColor="text1"/>
                <w:sz w:val="24"/>
                <w:u w:val="single"/>
                <w14:textFill>
                  <w14:solidFill>
                    <w14:schemeClr w14:val="tx1"/>
                  </w14:solidFill>
                </w14:textFill>
              </w:rPr>
              <w:t>后通过1根15m（DA003）高排气筒排放</w:t>
            </w:r>
            <w:r>
              <w:rPr>
                <w:rFonts w:hint="eastAsia"/>
                <w:color w:val="000000" w:themeColor="text1"/>
                <w:sz w:val="24"/>
                <w:u w:val="single"/>
                <w14:textFill>
                  <w14:solidFill>
                    <w14:schemeClr w14:val="tx1"/>
                  </w14:solidFill>
                </w14:textFill>
              </w:rPr>
              <w:t>；制棒废气</w:t>
            </w:r>
            <w:r>
              <w:rPr>
                <w:color w:val="000000" w:themeColor="text1"/>
                <w:sz w:val="24"/>
                <w:u w:val="single"/>
                <w14:textFill>
                  <w14:solidFill>
                    <w14:schemeClr w14:val="tx1"/>
                  </w14:solidFill>
                </w14:textFill>
              </w:rPr>
              <w:t>经</w:t>
            </w:r>
            <w:r>
              <w:rPr>
                <w:rFonts w:hint="eastAsia"/>
                <w:color w:val="000000" w:themeColor="text1"/>
                <w:sz w:val="24"/>
                <w:u w:val="single"/>
                <w14:textFill>
                  <w14:solidFill>
                    <w14:schemeClr w14:val="tx1"/>
                  </w14:solidFill>
                </w14:textFill>
              </w:rPr>
              <w:t>集气管收集</w:t>
            </w:r>
            <w:r>
              <w:rPr>
                <w:color w:val="000000" w:themeColor="text1"/>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水喷淋装置处理</w:t>
            </w:r>
            <w:r>
              <w:rPr>
                <w:color w:val="000000" w:themeColor="text1"/>
                <w:sz w:val="24"/>
                <w:u w:val="single"/>
                <w14:textFill>
                  <w14:solidFill>
                    <w14:schemeClr w14:val="tx1"/>
                  </w14:solidFill>
                </w14:textFill>
              </w:rPr>
              <w:t>后通过1根15m（DA001）高排气筒排放</w:t>
            </w:r>
            <w:r>
              <w:rPr>
                <w:rFonts w:hint="eastAsia"/>
                <w:color w:val="000000" w:themeColor="text1"/>
                <w:sz w:val="24"/>
                <w14:textFill>
                  <w14:solidFill>
                    <w14:schemeClr w14:val="tx1"/>
                  </w14:solidFill>
                </w14:textFill>
              </w:rPr>
              <w:t>；</w:t>
            </w:r>
            <w:r>
              <w:rPr>
                <w:rFonts w:hint="eastAsia"/>
                <w:color w:val="000000" w:themeColor="text1"/>
                <w:sz w:val="24"/>
                <w:u w:val="single"/>
                <w14:textFill>
                  <w14:solidFill>
                    <w14:schemeClr w14:val="tx1"/>
                  </w14:solidFill>
                </w14:textFill>
              </w:rPr>
              <w:t>钾钠长石粉烘干、包装粉尘经收集后经布袋除尘器进行处理后在厂内无组织排放；</w:t>
            </w:r>
            <w:r>
              <w:rPr>
                <w:rFonts w:hint="eastAsia"/>
                <w:color w:val="000000" w:themeColor="text1"/>
                <w:sz w:val="24"/>
                <w14:textFill>
                  <w14:solidFill>
                    <w14:schemeClr w14:val="tx1"/>
                  </w14:solidFill>
                </w14:textFill>
              </w:rPr>
              <w:t>项目破碎、制棒颗粒物、钾钠长石粉烘干包装颗粒物、炭化废气中</w:t>
            </w:r>
            <w:r>
              <w:rPr>
                <w:rFonts w:hint="eastAsia"/>
                <w:bCs/>
                <w:color w:val="000000" w:themeColor="text1"/>
                <w:spacing w:val="-10"/>
                <w:sz w:val="24"/>
                <w14:textFill>
                  <w14:solidFill>
                    <w14:schemeClr w14:val="tx1"/>
                  </w14:solidFill>
                </w14:textFill>
              </w:rPr>
              <w:t>NOx排放浓度能</w:t>
            </w:r>
            <w:r>
              <w:rPr>
                <w:rFonts w:hint="eastAsia"/>
                <w:color w:val="000000" w:themeColor="text1"/>
                <w:sz w:val="24"/>
                <w14:textFill>
                  <w14:solidFill>
                    <w14:schemeClr w14:val="tx1"/>
                  </w14:solidFill>
                </w14:textFill>
              </w:rPr>
              <w:t>满足《大气污染物综合排放标准》（</w:t>
            </w:r>
            <w:r>
              <w:rPr>
                <w:color w:val="000000" w:themeColor="text1"/>
                <w:sz w:val="24"/>
                <w14:textFill>
                  <w14:solidFill>
                    <w14:schemeClr w14:val="tx1"/>
                  </w14:solidFill>
                </w14:textFill>
              </w:rPr>
              <w:t>GB16297</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1996</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中限值要求</w:t>
            </w:r>
            <w:r>
              <w:rPr>
                <w:rFonts w:hint="eastAsia"/>
                <w:bCs/>
                <w:color w:val="000000" w:themeColor="text1"/>
                <w:sz w:val="24"/>
                <w14:textFill>
                  <w14:solidFill>
                    <w14:schemeClr w14:val="tx1"/>
                  </w14:solidFill>
                </w14:textFill>
              </w:rPr>
              <w:t>限值</w:t>
            </w:r>
            <w:r>
              <w:rPr>
                <w:rFonts w:hint="eastAsia"/>
                <w:color w:val="000000" w:themeColor="text1"/>
                <w:sz w:val="24"/>
                <w14:textFill>
                  <w14:solidFill>
                    <w14:schemeClr w14:val="tx1"/>
                  </w14:solidFill>
                </w14:textFill>
              </w:rPr>
              <w:t>，烘干、炭化废气中的烟尘、二氧化硫满足</w:t>
            </w:r>
            <w:r>
              <w:rPr>
                <w:color w:val="000000" w:themeColor="text1"/>
                <w:sz w:val="24"/>
                <w14:textFill>
                  <w14:solidFill>
                    <w14:schemeClr w14:val="tx1"/>
                  </w14:solidFill>
                </w14:textFill>
              </w:rPr>
              <w:t>《工业炉窑大气污染物排放标准》（GB9078-1996）</w:t>
            </w:r>
            <w:r>
              <w:rPr>
                <w:rFonts w:hint="eastAsia"/>
                <w:color w:val="000000" w:themeColor="text1"/>
                <w:sz w:val="24"/>
                <w14:textFill>
                  <w14:solidFill>
                    <w14:schemeClr w14:val="tx1"/>
                  </w14:solidFill>
                </w14:textFill>
              </w:rPr>
              <w:t>表2中加热炉</w:t>
            </w:r>
            <w:r>
              <w:rPr>
                <w:color w:val="000000" w:themeColor="text1"/>
                <w:sz w:val="24"/>
                <w14:textFill>
                  <w14:solidFill>
                    <w14:schemeClr w14:val="tx1"/>
                  </w14:solidFill>
                </w14:textFill>
              </w:rPr>
              <w:t>二级标准</w:t>
            </w:r>
            <w:r>
              <w:rPr>
                <w:rFonts w:hint="eastAsia"/>
                <w:color w:val="000000" w:themeColor="text1"/>
                <w:sz w:val="24"/>
                <w14:textFill>
                  <w14:solidFill>
                    <w14:schemeClr w14:val="tx1"/>
                  </w14:solidFill>
                </w14:textFill>
              </w:rPr>
              <w:t>要求，本项目产生的废气经处理后均能达标排放，</w:t>
            </w:r>
            <w:r>
              <w:rPr>
                <w:color w:val="000000" w:themeColor="text1"/>
                <w:sz w:val="24"/>
                <w14:textFill>
                  <w14:solidFill>
                    <w14:schemeClr w14:val="tx1"/>
                  </w14:solidFill>
                </w14:textFill>
              </w:rPr>
              <w:t>对周围环境影响较小。</w:t>
            </w:r>
            <w:bookmarkStart w:id="9" w:name="_Hlk119262706"/>
            <w:r>
              <w:rPr>
                <w:rFonts w:hint="eastAsia"/>
                <w:color w:val="000000" w:themeColor="text1"/>
                <w:sz w:val="24"/>
                <w14:textFill>
                  <w14:solidFill>
                    <w14:schemeClr w14:val="tx1"/>
                  </w14:solidFill>
                </w14:textFill>
              </w:rPr>
              <w:t>本项目废气</w:t>
            </w:r>
            <w:r>
              <w:rPr>
                <w:color w:val="000000" w:themeColor="text1"/>
                <w:sz w:val="24"/>
                <w14:textFill>
                  <w14:solidFill>
                    <w14:schemeClr w14:val="tx1"/>
                  </w14:solidFill>
                </w14:textFill>
              </w:rPr>
              <w:t>处理</w:t>
            </w:r>
            <w:r>
              <w:rPr>
                <w:rFonts w:hint="eastAsia"/>
                <w:color w:val="000000" w:themeColor="text1"/>
                <w:sz w:val="24"/>
                <w14:textFill>
                  <w14:solidFill>
                    <w14:schemeClr w14:val="tx1"/>
                  </w14:solidFill>
                </w14:textFill>
              </w:rPr>
              <w:t>措施</w:t>
            </w:r>
            <w:r>
              <w:rPr>
                <w:color w:val="000000" w:themeColor="text1"/>
                <w:sz w:val="24"/>
                <w14:textFill>
                  <w14:solidFill>
                    <w14:schemeClr w14:val="tx1"/>
                  </w14:solidFill>
                </w14:textFill>
              </w:rPr>
              <w:t>属于排污许可证申请与核发技术规范、工业污染防治可行技术指南等标准中可行技术</w:t>
            </w:r>
            <w:r>
              <w:rPr>
                <w:rFonts w:hint="eastAsia"/>
                <w:color w:val="000000" w:themeColor="text1"/>
                <w:sz w:val="24"/>
                <w14:textFill>
                  <w14:solidFill>
                    <w14:schemeClr w14:val="tx1"/>
                  </w14:solidFill>
                </w14:textFill>
              </w:rPr>
              <w:t>。</w:t>
            </w:r>
          </w:p>
          <w:bookmarkEnd w:id="9"/>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综上，本项目的废气处理设施是可行的，能满足项目废气稳定达标排放的要求。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废气治理措施路线见图</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4</w:t>
            </w:r>
          </w:p>
          <w:p>
            <w:pPr>
              <w:rPr>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732790</wp:posOffset>
                      </wp:positionH>
                      <wp:positionV relativeFrom="paragraph">
                        <wp:posOffset>116840</wp:posOffset>
                      </wp:positionV>
                      <wp:extent cx="1443355" cy="292100"/>
                      <wp:effectExtent l="0" t="0" r="4445" b="0"/>
                      <wp:wrapNone/>
                      <wp:docPr id="136584800" name="矩形 11"/>
                      <wp:cNvGraphicFramePr/>
                      <a:graphic xmlns:a="http://schemas.openxmlformats.org/drawingml/2006/main">
                        <a:graphicData uri="http://schemas.microsoft.com/office/word/2010/wordprocessingShape">
                          <wps:wsp>
                            <wps:cNvSpPr>
                              <a:spLocks noChangeArrowheads="1"/>
                            </wps:cNvSpPr>
                            <wps:spPr bwMode="auto">
                              <a:xfrm>
                                <a:off x="0" y="0"/>
                                <a:ext cx="1443355" cy="292100"/>
                              </a:xfrm>
                              <a:prstGeom prst="rect">
                                <a:avLst/>
                              </a:prstGeom>
                              <a:solidFill>
                                <a:srgbClr val="FFFFFF"/>
                              </a:solidFill>
                              <a:ln>
                                <a:noFill/>
                              </a:ln>
                            </wps:spPr>
                            <wps:txbx>
                              <w:txbxContent>
                                <w:p>
                                  <w:pPr>
                                    <w:jc w:val="left"/>
                                  </w:pPr>
                                  <w:r>
                                    <w:rPr>
                                      <w:rFonts w:hint="eastAsia"/>
                                    </w:rPr>
                                    <w:t>颗粒物、S</w:t>
                                  </w:r>
                                  <w:r>
                                    <w:t>O</w:t>
                                  </w:r>
                                  <w:r>
                                    <w:rPr>
                                      <w:vertAlign w:val="subscript"/>
                                    </w:rPr>
                                    <w:t>2</w:t>
                                  </w:r>
                                  <w:r>
                                    <w:rPr>
                                      <w:rFonts w:hint="eastAsia"/>
                                    </w:rPr>
                                    <w:t>、</w:t>
                                  </w:r>
                                  <w:r>
                                    <w:t>NO</w:t>
                                  </w:r>
                                  <w:r>
                                    <w:rPr>
                                      <w:vertAlign w:val="subscript"/>
                                    </w:rPr>
                                    <w:t>X</w:t>
                                  </w:r>
                                </w:p>
                              </w:txbxContent>
                            </wps:txbx>
                            <wps:bodyPr rot="0" vert="horz" wrap="square" lIns="91440" tIns="45720" rIns="91440" bIns="45720" anchor="t" anchorCtr="0" upright="1">
                              <a:noAutofit/>
                            </wps:bodyPr>
                          </wps:wsp>
                        </a:graphicData>
                      </a:graphic>
                    </wp:anchor>
                  </w:drawing>
                </mc:Choice>
                <mc:Fallback>
                  <w:pict>
                    <v:rect id="矩形 11" o:spid="_x0000_s1026" o:spt="1" style="position:absolute;left:0pt;margin-left:57.7pt;margin-top:9.2pt;height:23pt;width:113.65pt;z-index:251672576;mso-width-relative:page;mso-height-relative:page;" fillcolor="#FFFFFF" filled="t" stroked="f" coordsize="21600,21600" o:gfxdata="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mEx2/XAAAACQEAAA8AAAAAAAAAAQAgAAAAIgAAAGRycy9kb3ducmV2LnhtbFBLAQIUABQAAAAI&#10;AIdO4kBzdHzsJwIAADoEAAAOAAAAAAAAAAEAIAAAACYBAABkcnMvZTJvRG9jLnhtbFBLBQYAAAAA&#10;BgAGAFkBAAC/BQAAAAA=&#10;">
                      <v:fill on="t" focussize="0,0"/>
                      <v:stroke on="f"/>
                      <v:imagedata o:title=""/>
                      <o:lock v:ext="edit" aspectratio="f"/>
                      <v:textbox>
                        <w:txbxContent>
                          <w:p>
                            <w:pPr>
                              <w:jc w:val="left"/>
                            </w:pPr>
                            <w:r>
                              <w:rPr>
                                <w:rFonts w:hint="eastAsia"/>
                              </w:rPr>
                              <w:t>颗粒物、S</w:t>
                            </w:r>
                            <w:r>
                              <w:t>O</w:t>
                            </w:r>
                            <w:r>
                              <w:rPr>
                                <w:vertAlign w:val="subscript"/>
                              </w:rPr>
                              <w:t>2</w:t>
                            </w:r>
                            <w:r>
                              <w:rPr>
                                <w:rFonts w:hint="eastAsia"/>
                              </w:rPr>
                              <w:t>、</w:t>
                            </w:r>
                            <w:r>
                              <w:t>NO</w:t>
                            </w:r>
                            <w:r>
                              <w:rPr>
                                <w:vertAlign w:val="subscript"/>
                              </w:rPr>
                              <w:t>X</w:t>
                            </w:r>
                          </w:p>
                        </w:txbxContent>
                      </v:textbox>
                    </v:rect>
                  </w:pict>
                </mc:Fallback>
              </mc:AlternateContent>
            </w:r>
          </w:p>
          <w:p>
            <w:pPr>
              <w:spacing w:line="360" w:lineRule="auto"/>
              <w:rPr>
                <w:color w:val="000000" w:themeColor="text1"/>
                <w:szCs w:val="21"/>
                <w14:textFill>
                  <w14:solidFill>
                    <w14:schemeClr w14:val="tx1"/>
                  </w14:solidFill>
                </w14:textFill>
              </w:rPr>
            </w:pP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137160</wp:posOffset>
                      </wp:positionV>
                      <wp:extent cx="980440" cy="762000"/>
                      <wp:effectExtent l="0" t="0" r="10160" b="19050"/>
                      <wp:wrapNone/>
                      <wp:docPr id="1964464465" name="矩形 16"/>
                      <wp:cNvGraphicFramePr/>
                      <a:graphic xmlns:a="http://schemas.openxmlformats.org/drawingml/2006/main">
                        <a:graphicData uri="http://schemas.microsoft.com/office/word/2010/wordprocessingShape">
                          <wps:wsp>
                            <wps:cNvSpPr>
                              <a:spLocks noChangeArrowheads="1"/>
                            </wps:cNvSpPr>
                            <wps:spPr bwMode="auto">
                              <a:xfrm>
                                <a:off x="0" y="0"/>
                                <a:ext cx="980440" cy="762000"/>
                              </a:xfrm>
                              <a:prstGeom prst="rect">
                                <a:avLst/>
                              </a:prstGeom>
                              <a:solidFill>
                                <a:srgbClr val="FFFFFF"/>
                              </a:solidFill>
                              <a:ln w="9525">
                                <a:solidFill>
                                  <a:srgbClr val="000000"/>
                                </a:solidFill>
                                <a:miter lim="800000"/>
                              </a:ln>
                            </wps:spPr>
                            <wps:txbx>
                              <w:txbxContent>
                                <w:p>
                                  <w:r>
                                    <w:rPr>
                                      <w:rFonts w:hint="eastAsia"/>
                                    </w:rPr>
                                    <w:t>二次破碎废气、烘干、炭化废气（烘干机工作时）</w:t>
                                  </w:r>
                                </w:p>
                                <w:p/>
                              </w:txbxContent>
                            </wps:txbx>
                            <wps:bodyPr rot="0" vert="horz" wrap="square" lIns="91440" tIns="45720" rIns="91440" bIns="45720" anchor="t" anchorCtr="0" upright="1">
                              <a:noAutofit/>
                            </wps:bodyPr>
                          </wps:wsp>
                        </a:graphicData>
                      </a:graphic>
                    </wp:anchor>
                  </w:drawing>
                </mc:Choice>
                <mc:Fallback>
                  <w:pict>
                    <v:rect id="矩形 16" o:spid="_x0000_s1026" o:spt="1" style="position:absolute;left:0pt;margin-left:4.2pt;margin-top:10.8pt;height:60pt;width:77.2pt;z-index:251659264;mso-width-relative:page;mso-height-relative:page;" fillcolor="#FFFFFF" filled="t" stroked="t" coordsize="21600,21600" o:gfxdata="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My0dK1gAAAAgBAAAPAAAAAAAAAAEAIAAAACIAAABkcnMv&#10;ZG93bnJldi54bWxQSwECFAAUAAAACACHTuJA3I7DlD4CAACDBAAADgAAAAAAAAABACAAAAAlAQAA&#10;ZHJzL2Uyb0RvYy54bWxQSwUGAAAAAAYABgBZAQAA1QUAAAAA&#10;">
                      <v:fill on="t" focussize="0,0"/>
                      <v:stroke color="#000000" miterlimit="8" joinstyle="miter"/>
                      <v:imagedata o:title=""/>
                      <o:lock v:ext="edit" aspectratio="f"/>
                      <v:textbox>
                        <w:txbxContent>
                          <w:p>
                            <w:r>
                              <w:rPr>
                                <w:rFonts w:hint="eastAsia"/>
                              </w:rPr>
                              <w:t>二次破碎废气、烘干、炭化废气（烘干机工作时）</w:t>
                            </w:r>
                          </w:p>
                          <w:p/>
                        </w:txbxContent>
                      </v:textbox>
                    </v:rect>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ragraph">
                        <wp:posOffset>182245</wp:posOffset>
                      </wp:positionV>
                      <wp:extent cx="775335" cy="431800"/>
                      <wp:effectExtent l="0" t="0" r="24765" b="25400"/>
                      <wp:wrapNone/>
                      <wp:docPr id="1495152128" name="矩形 17"/>
                      <wp:cNvGraphicFramePr/>
                      <a:graphic xmlns:a="http://schemas.openxmlformats.org/drawingml/2006/main">
                        <a:graphicData uri="http://schemas.microsoft.com/office/word/2010/wordprocessingShape">
                          <wps:wsp>
                            <wps:cNvSpPr>
                              <a:spLocks noChangeArrowheads="1"/>
                            </wps:cNvSpPr>
                            <wps:spPr bwMode="auto">
                              <a:xfrm>
                                <a:off x="0" y="0"/>
                                <a:ext cx="775335" cy="431800"/>
                              </a:xfrm>
                              <a:prstGeom prst="rect">
                                <a:avLst/>
                              </a:prstGeom>
                              <a:solidFill>
                                <a:srgbClr val="FFFFFF"/>
                              </a:solidFill>
                              <a:ln w="9525">
                                <a:solidFill>
                                  <a:srgbClr val="000000"/>
                                </a:solidFill>
                                <a:miter lim="800000"/>
                              </a:ln>
                            </wps:spPr>
                            <wps:txbx>
                              <w:txbxContent>
                                <w:p>
                                  <w:r>
                                    <w:t>15m</w:t>
                                  </w:r>
                                  <w:r>
                                    <w:rPr>
                                      <w:rFonts w:hint="eastAsia"/>
                                    </w:rPr>
                                    <w:t>排气筒D</w:t>
                                  </w:r>
                                  <w:r>
                                    <w:t>A002</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307.15pt;margin-top:14.35pt;height:34pt;width:61.05pt;z-index:251661312;mso-width-relative:page;mso-height-relative:page;" fillcolor="#FFFFFF" filled="t" stroked="t" coordsize="21600,21600" o:gfxdata="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HStcNgAAAAJAQAADwAAAAAAAAABACAAAAAi&#10;AAAAZHJzL2Rvd25yZXYueG1sUEsBAhQAFAAAAAgAh07iQNC6PN5DAgAAgwQAAA4AAAAAAAAAAQAg&#10;AAAAJwEAAGRycy9lMm9Eb2MueG1sUEsFBgAAAAAGAAYAWQEAANwFAAAAAA==&#10;">
                      <v:fill on="t" focussize="0,0"/>
                      <v:stroke color="#000000" miterlimit="8" joinstyle="miter"/>
                      <v:imagedata o:title=""/>
                      <o:lock v:ext="edit" aspectratio="f"/>
                      <v:textbox>
                        <w:txbxContent>
                          <w:p>
                            <w:r>
                              <w:t>15m</w:t>
                            </w:r>
                            <w:r>
                              <w:rPr>
                                <w:rFonts w:hint="eastAsia"/>
                              </w:rPr>
                              <w:t>排气筒D</w:t>
                            </w:r>
                            <w:r>
                              <w:t>A002</w:t>
                            </w:r>
                          </w:p>
                          <w:p/>
                        </w:txbxContent>
                      </v:textbox>
                    </v:rect>
                  </w:pict>
                </mc:Fallback>
              </mc:AlternateContent>
            </w:r>
          </w:p>
          <w:p>
            <w:pPr>
              <w:snapToGrid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2543175</wp:posOffset>
                      </wp:positionH>
                      <wp:positionV relativeFrom="paragraph">
                        <wp:posOffset>6985</wp:posOffset>
                      </wp:positionV>
                      <wp:extent cx="1023620" cy="342900"/>
                      <wp:effectExtent l="8255" t="10160" r="6350" b="8890"/>
                      <wp:wrapNone/>
                      <wp:docPr id="646177877" name="矩形 18"/>
                      <wp:cNvGraphicFramePr/>
                      <a:graphic xmlns:a="http://schemas.openxmlformats.org/drawingml/2006/main">
                        <a:graphicData uri="http://schemas.microsoft.com/office/word/2010/wordprocessingShape">
                          <wps:wsp>
                            <wps:cNvSpPr>
                              <a:spLocks noChangeArrowheads="1"/>
                            </wps:cNvSpPr>
                            <wps:spPr bwMode="auto">
                              <a:xfrm>
                                <a:off x="0" y="0"/>
                                <a:ext cx="1023620" cy="342900"/>
                              </a:xfrm>
                              <a:prstGeom prst="rect">
                                <a:avLst/>
                              </a:prstGeom>
                              <a:solidFill>
                                <a:srgbClr val="FFFFFF"/>
                              </a:solidFill>
                              <a:ln w="9525">
                                <a:solidFill>
                                  <a:srgbClr val="000000"/>
                                </a:solidFill>
                                <a:miter lim="800000"/>
                              </a:ln>
                            </wps:spPr>
                            <wps:txbx>
                              <w:txbxContent>
                                <w:p>
                                  <w:pPr>
                                    <w:rPr>
                                      <w:color w:val="FF0000"/>
                                    </w:rPr>
                                  </w:pPr>
                                  <w:r>
                                    <w:rPr>
                                      <w:rFonts w:hint="eastAsia"/>
                                    </w:rPr>
                                    <w:t>布袋除尘装置</w:t>
                                  </w:r>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200.25pt;margin-top:0.55pt;height:27pt;width:80.6pt;z-index:251670528;mso-width-relative:page;mso-height-relative:page;" fillcolor="#FFFFFF" filled="t" stroked="t" coordsize="21600,21600" o:gfxdata="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nheP61gAAAAgBAAAPAAAAAAAAAAEAIAAAACIAAABk&#10;cnMvZG93bnJldi54bWxQSwECFAAUAAAACACHTuJApT+vZEECAACDBAAADgAAAAAAAAABACAAAAAl&#10;AQAAZHJzL2Uyb0RvYy54bWxQSwUGAAAAAAYABgBZAQAA2AUAAAAA&#10;">
                      <v:fill on="t" focussize="0,0"/>
                      <v:stroke color="#000000" miterlimit="8" joinstyle="miter"/>
                      <v:imagedata o:title=""/>
                      <o:lock v:ext="edit" aspectratio="f"/>
                      <v:textbox>
                        <w:txbxContent>
                          <w:p>
                            <w:pPr>
                              <w:rPr>
                                <w:color w:val="FF0000"/>
                              </w:rPr>
                            </w:pPr>
                            <w:r>
                              <w:rPr>
                                <w:rFonts w:hint="eastAsia"/>
                              </w:rPr>
                              <w:t>布袋除尘装置</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3564255</wp:posOffset>
                      </wp:positionH>
                      <wp:positionV relativeFrom="paragraph">
                        <wp:posOffset>170180</wp:posOffset>
                      </wp:positionV>
                      <wp:extent cx="334010" cy="635"/>
                      <wp:effectExtent l="10160" t="53975" r="17780" b="59690"/>
                      <wp:wrapNone/>
                      <wp:docPr id="2038604117"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5" o:spid="_x0000_s1026" o:spt="32" type="#_x0000_t32" style="position:absolute;left:0pt;margin-left:280.65pt;margin-top:13.4pt;height:0.05pt;width:26.3pt;z-index:251671552;mso-width-relative:page;mso-height-relative:page;" filled="f" stroked="t" coordsize="21600,21600" o:gfxdata="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w3MhHYAAAACQEA&#10;AA8AAAAAAAAAAQAgAAAAIgAAAGRycy9kb3ducmV2LnhtbFBLAQIUABQAAAAIAIdO4kBXxFBAGgIA&#10;APcDAAAOAAAAAAAAAAEAIAAAACcBAABkcnMvZTJvRG9jLnhtbFBLBQYAAAAABgAGAFkBAACzBQAA&#10;AAA=&#10;">
                      <v:fill on="f" focussize="0,0"/>
                      <v:stroke color="#000000" joinstyle="round" endarrow="block"/>
                      <v:imagedata o:title=""/>
                      <o:lock v:ext="edit" aspectratio="f"/>
                    </v:shape>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2279015</wp:posOffset>
                      </wp:positionH>
                      <wp:positionV relativeFrom="paragraph">
                        <wp:posOffset>176530</wp:posOffset>
                      </wp:positionV>
                      <wp:extent cx="255270" cy="0"/>
                      <wp:effectExtent l="10795" t="60325" r="19685" b="53975"/>
                      <wp:wrapNone/>
                      <wp:docPr id="1213935981"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14" o:spid="_x0000_s1026" o:spt="32" type="#_x0000_t32" style="position:absolute;left:0pt;margin-left:179.45pt;margin-top:13.9pt;height:0pt;width:20.1pt;z-index:251663360;mso-width-relative:page;mso-height-relative:page;" filled="f" stroked="t" coordsize="21600,21600" o:gfxdata="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uoE8HZAAAA&#10;CQEAAA8AAAAAAAAAAQAgAAAAIgAAAGRycy9kb3ducmV2LnhtbFBLAQIUABQAAAAIAIdO4kCWApAV&#10;HAIAAAMEAAAOAAAAAAAAAAEAIAAAACgBAABkcnMvZTJvRG9jLnhtbFBLBQYAAAAABgAGAFkBAAC2&#10;BQAAAAA=&#10;">
                      <v:fill on="f" focussize="0,0"/>
                      <v:stroke color="#000000" joinstyle="round" endarrow="block"/>
                      <v:imagedata o:title=""/>
                      <o:lock v:ext="edit" aspectratio="f"/>
                    </v:shape>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1378585</wp:posOffset>
                      </wp:positionH>
                      <wp:positionV relativeFrom="paragraph">
                        <wp:posOffset>31750</wp:posOffset>
                      </wp:positionV>
                      <wp:extent cx="899160" cy="271145"/>
                      <wp:effectExtent l="5715" t="10795" r="9525" b="13335"/>
                      <wp:wrapNone/>
                      <wp:docPr id="1499689187" name="矩形 13"/>
                      <wp:cNvGraphicFramePr/>
                      <a:graphic xmlns:a="http://schemas.openxmlformats.org/drawingml/2006/main">
                        <a:graphicData uri="http://schemas.microsoft.com/office/word/2010/wordprocessingShape">
                          <wps:wsp>
                            <wps:cNvSpPr>
                              <a:spLocks noChangeArrowheads="1"/>
                            </wps:cNvSpPr>
                            <wps:spPr bwMode="auto">
                              <a:xfrm>
                                <a:off x="0" y="0"/>
                                <a:ext cx="899160" cy="271145"/>
                              </a:xfrm>
                              <a:prstGeom prst="rect">
                                <a:avLst/>
                              </a:prstGeom>
                              <a:solidFill>
                                <a:srgbClr val="FFFFFF"/>
                              </a:solidFill>
                              <a:ln w="9525">
                                <a:solidFill>
                                  <a:srgbClr val="000000"/>
                                </a:solidFill>
                                <a:miter lim="800000"/>
                              </a:ln>
                            </wps:spPr>
                            <wps:txbx>
                              <w:txbxContent>
                                <w:p>
                                  <w:pPr>
                                    <w:rPr>
                                      <w:color w:val="FF0000"/>
                                    </w:rPr>
                                  </w:pPr>
                                  <w:r>
                                    <w:rPr>
                                      <w:rFonts w:hint="eastAsia"/>
                                    </w:rPr>
                                    <w:t>集气管道</w:t>
                                  </w:r>
                                </w:p>
                              </w:txbxContent>
                            </wps:txbx>
                            <wps:bodyPr rot="0" vert="horz" wrap="square" lIns="91440" tIns="45720" rIns="91440" bIns="45720" anchor="t" anchorCtr="0" upright="1">
                              <a:noAutofit/>
                            </wps:bodyPr>
                          </wps:wsp>
                        </a:graphicData>
                      </a:graphic>
                    </wp:anchor>
                  </w:drawing>
                </mc:Choice>
                <mc:Fallback>
                  <w:pict>
                    <v:rect id="矩形 13" o:spid="_x0000_s1026" o:spt="1" style="position:absolute;left:0pt;margin-left:108.55pt;margin-top:2.5pt;height:21.35pt;width:70.8pt;z-index:251660288;mso-width-relative:page;mso-height-relative:page;" fillcolor="#FFFFFF" filled="t" stroked="t" coordsize="21600,21600" o:gfxdata="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BzuyA1wAAAAgBAAAPAAAAAAAAAAEAIAAAACIAAABk&#10;cnMvZG93bnJldi54bWxQSwECFAAUAAAACACHTuJAq41Ob0ACAACDBAAADgAAAAAAAAABACAAAAAm&#10;AQAAZHJzL2Uyb0RvYy54bWxQSwUGAAAAAAYABgBZAQAA2AUAAAAA&#10;">
                      <v:fill on="t" focussize="0,0"/>
                      <v:stroke color="#000000" miterlimit="8" joinstyle="miter"/>
                      <v:imagedata o:title=""/>
                      <o:lock v:ext="edit" aspectratio="f"/>
                      <v:textbox>
                        <w:txbxContent>
                          <w:p>
                            <w:pPr>
                              <w:rPr>
                                <w:color w:val="FF0000"/>
                              </w:rPr>
                            </w:pPr>
                            <w:r>
                              <w:rPr>
                                <w:rFonts w:hint="eastAsia"/>
                              </w:rPr>
                              <w:t>集气管道</w:t>
                            </w:r>
                          </w:p>
                        </w:txbxContent>
                      </v:textbox>
                    </v:rect>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999490</wp:posOffset>
                      </wp:positionH>
                      <wp:positionV relativeFrom="paragraph">
                        <wp:posOffset>178435</wp:posOffset>
                      </wp:positionV>
                      <wp:extent cx="376555" cy="635"/>
                      <wp:effectExtent l="7620" t="52705" r="15875" b="60960"/>
                      <wp:wrapNone/>
                      <wp:docPr id="2067058502" name="连接符: 肘形 12"/>
                      <wp:cNvGraphicFramePr/>
                      <a:graphic xmlns:a="http://schemas.openxmlformats.org/drawingml/2006/main">
                        <a:graphicData uri="http://schemas.microsoft.com/office/word/2010/wordprocessingShape">
                          <wps:wsp>
                            <wps:cNvCnPr>
                              <a:cxnSpLocks noChangeShapeType="1"/>
                            </wps:cNvCnPr>
                            <wps:spPr bwMode="auto">
                              <a:xfrm>
                                <a:off x="0" y="0"/>
                                <a:ext cx="376555" cy="635"/>
                              </a:xfrm>
                              <a:prstGeom prst="bentConnector3">
                                <a:avLst>
                                  <a:gd name="adj1" fmla="val 49917"/>
                                </a:avLst>
                              </a:prstGeom>
                              <a:noFill/>
                              <a:ln w="9525">
                                <a:solidFill>
                                  <a:srgbClr val="000000"/>
                                </a:solidFill>
                                <a:miter lim="800000"/>
                                <a:tailEnd type="triangle" w="med" len="med"/>
                              </a:ln>
                              <a:effectLst/>
                            </wps:spPr>
                            <wps:bodyPr/>
                          </wps:wsp>
                        </a:graphicData>
                      </a:graphic>
                    </wp:anchor>
                  </w:drawing>
                </mc:Choice>
                <mc:Fallback>
                  <w:pict>
                    <v:shape id="连接符: 肘形 12" o:spid="_x0000_s1026" o:spt="34" type="#_x0000_t34" style="position:absolute;left:0pt;margin-left:78.7pt;margin-top:14.05pt;height:0.05pt;width:29.65pt;z-index:251662336;mso-width-relative:page;mso-height-relative:page;" filled="f" stroked="t" coordsize="21600,21600" o:gfxdata="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u+xRDVAAAACQEAAA8AAAAAAAAAAQAgAAAAIgAAAGRycy9kb3ducmV2&#10;LnhtbFBLAQIUABQAAAAIAIdO4kC7zPKgOAIAADcEAAAOAAAAAAAAAAEAIAAAACQBAABkcnMvZTJv&#10;RG9jLnhtbFBLBQYAAAAABgAGAFkBAADOBQAAAAA=&#10;" adj="10782">
                      <v:fill on="f" focussize="0,0"/>
                      <v:stroke color="#000000" miterlimit="8" joinstyle="miter" endarrow="block"/>
                      <v:imagedata o:title=""/>
                      <o:lock v:ext="edit" aspectratio="f"/>
                    </v:shape>
                  </w:pict>
                </mc:Fallback>
              </mc:AlternateConten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1426210</wp:posOffset>
                      </wp:positionH>
                      <wp:positionV relativeFrom="paragraph">
                        <wp:posOffset>104775</wp:posOffset>
                      </wp:positionV>
                      <wp:extent cx="1443355" cy="292100"/>
                      <wp:effectExtent l="0" t="0" r="4445" b="0"/>
                      <wp:wrapNone/>
                      <wp:docPr id="1923050634" name="矩形 11"/>
                      <wp:cNvGraphicFramePr/>
                      <a:graphic xmlns:a="http://schemas.openxmlformats.org/drawingml/2006/main">
                        <a:graphicData uri="http://schemas.microsoft.com/office/word/2010/wordprocessingShape">
                          <wps:wsp>
                            <wps:cNvSpPr>
                              <a:spLocks noChangeArrowheads="1"/>
                            </wps:cNvSpPr>
                            <wps:spPr bwMode="auto">
                              <a:xfrm>
                                <a:off x="0" y="0"/>
                                <a:ext cx="1443355" cy="292100"/>
                              </a:xfrm>
                              <a:prstGeom prst="rect">
                                <a:avLst/>
                              </a:prstGeom>
                              <a:solidFill>
                                <a:srgbClr val="FFFFFF"/>
                              </a:solidFill>
                              <a:ln>
                                <a:noFill/>
                              </a:ln>
                            </wps:spPr>
                            <wps:txbx>
                              <w:txbxContent>
                                <w:p>
                                  <w:pPr>
                                    <w:jc w:val="left"/>
                                  </w:pPr>
                                  <w:r>
                                    <w:rPr>
                                      <w:rFonts w:hint="eastAsia"/>
                                    </w:rPr>
                                    <w:t>颗粒物、S</w:t>
                                  </w:r>
                                  <w:r>
                                    <w:t>O</w:t>
                                  </w:r>
                                  <w:r>
                                    <w:rPr>
                                      <w:vertAlign w:val="subscript"/>
                                    </w:rPr>
                                    <w:t>2</w:t>
                                  </w:r>
                                  <w:r>
                                    <w:rPr>
                                      <w:rFonts w:hint="eastAsia"/>
                                    </w:rPr>
                                    <w:t>、</w:t>
                                  </w:r>
                                  <w:r>
                                    <w:t>NO</w:t>
                                  </w:r>
                                  <w:r>
                                    <w:rPr>
                                      <w:vertAlign w:val="subscript"/>
                                    </w:rPr>
                                    <w:t>X</w:t>
                                  </w:r>
                                </w:p>
                              </w:txbxContent>
                            </wps:txbx>
                            <wps:bodyPr rot="0" vert="horz" wrap="square" lIns="91440" tIns="45720" rIns="91440" bIns="45720" anchor="t" anchorCtr="0" upright="1">
                              <a:noAutofit/>
                            </wps:bodyPr>
                          </wps:wsp>
                        </a:graphicData>
                      </a:graphic>
                    </wp:anchor>
                  </w:drawing>
                </mc:Choice>
                <mc:Fallback>
                  <w:pict>
                    <v:rect id="矩形 11" o:spid="_x0000_s1026" o:spt="1" style="position:absolute;left:0pt;margin-left:112.3pt;margin-top:8.25pt;height:23pt;width:113.65pt;z-index:251727872;mso-width-relative:page;mso-height-relative:page;" fillcolor="#FFFFFF" filled="t" stroked="f" coordsize="21600,21600" o:gfxdata="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LiyWn1gAAAAkBAAAPAAAAAAAAAAEAIAAAACIAAABkcnMvZG93bnJldi54bWxQSwECFAAUAAAA&#10;CACHTuJAyQpDhikCAAA7BAAADgAAAAAAAAABACAAAAAlAQAAZHJzL2Uyb0RvYy54bWxQSwUGAAAA&#10;AAYABgBZAQAAwAUAAAAA&#10;">
                      <v:fill on="t" focussize="0,0"/>
                      <v:stroke on="f"/>
                      <v:imagedata o:title=""/>
                      <o:lock v:ext="edit" aspectratio="f"/>
                      <v:textbox>
                        <w:txbxContent>
                          <w:p>
                            <w:pPr>
                              <w:jc w:val="left"/>
                            </w:pPr>
                            <w:r>
                              <w:rPr>
                                <w:rFonts w:hint="eastAsia"/>
                              </w:rPr>
                              <w:t>颗粒物、S</w:t>
                            </w:r>
                            <w:r>
                              <w:t>O</w:t>
                            </w:r>
                            <w:r>
                              <w:rPr>
                                <w:vertAlign w:val="subscript"/>
                              </w:rPr>
                              <w:t>2</w:t>
                            </w:r>
                            <w:r>
                              <w:rPr>
                                <w:rFonts w:hint="eastAsia"/>
                              </w:rPr>
                              <w:t>、</w:t>
                            </w:r>
                            <w:r>
                              <w:t>NO</w:t>
                            </w:r>
                            <w:r>
                              <w:rPr>
                                <w:vertAlign w:val="subscript"/>
                              </w:rPr>
                              <w:t>X</w:t>
                            </w:r>
                          </w:p>
                        </w:txbxContent>
                      </v:textbox>
                    </v:rect>
                  </w:pict>
                </mc:Fallback>
              </mc:AlternateContent>
            </w:r>
          </w:p>
          <w:p>
            <w:pPr>
              <w:spacing w:line="360" w:lineRule="auto"/>
              <w:rPr>
                <w:color w:val="000000" w:themeColor="text1"/>
                <w:szCs w:val="21"/>
                <w14:textFill>
                  <w14:solidFill>
                    <w14:schemeClr w14:val="tx1"/>
                  </w14:solidFill>
                </w14:textFill>
              </w:rPr>
            </w:pPr>
          </w:p>
          <w:p>
            <w:pPr>
              <w:snapToGrid w:val="0"/>
              <w:spacing w:line="360" w:lineRule="auto"/>
              <w:rPr>
                <w:color w:val="000000" w:themeColor="text1"/>
                <w14:textFill>
                  <w14:solidFill>
                    <w14:schemeClr w14:val="tx1"/>
                  </w14:solidFill>
                </w14:textFill>
              </w:rPr>
            </w:pPr>
            <w:r>
              <w:rPr>
                <w:b/>
                <w:bCs/>
                <w:color w:val="000000" w:themeColor="text1"/>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2595245</wp:posOffset>
                      </wp:positionH>
                      <wp:positionV relativeFrom="paragraph">
                        <wp:posOffset>143510</wp:posOffset>
                      </wp:positionV>
                      <wp:extent cx="899160" cy="271145"/>
                      <wp:effectExtent l="5715" t="10795" r="9525" b="13335"/>
                      <wp:wrapNone/>
                      <wp:docPr id="1412291973" name="矩形 13"/>
                      <wp:cNvGraphicFramePr/>
                      <a:graphic xmlns:a="http://schemas.openxmlformats.org/drawingml/2006/main">
                        <a:graphicData uri="http://schemas.microsoft.com/office/word/2010/wordprocessingShape">
                          <wps:wsp>
                            <wps:cNvSpPr>
                              <a:spLocks noChangeArrowheads="1"/>
                            </wps:cNvSpPr>
                            <wps:spPr bwMode="auto">
                              <a:xfrm>
                                <a:off x="0" y="0"/>
                                <a:ext cx="899160" cy="271145"/>
                              </a:xfrm>
                              <a:prstGeom prst="rect">
                                <a:avLst/>
                              </a:prstGeom>
                              <a:solidFill>
                                <a:srgbClr val="FFFFFF"/>
                              </a:solidFill>
                              <a:ln w="9525">
                                <a:solidFill>
                                  <a:srgbClr val="000000"/>
                                </a:solidFill>
                                <a:miter lim="800000"/>
                              </a:ln>
                            </wps:spPr>
                            <wps:txbx>
                              <w:txbxContent>
                                <w:p>
                                  <w:pPr>
                                    <w:rPr>
                                      <w:color w:val="FF0000"/>
                                    </w:rPr>
                                  </w:pPr>
                                  <w:r>
                                    <w:rPr>
                                      <w:rFonts w:hint="eastAsia"/>
                                    </w:rPr>
                                    <w:t>集气管道</w:t>
                                  </w:r>
                                </w:p>
                              </w:txbxContent>
                            </wps:txbx>
                            <wps:bodyPr rot="0" vert="horz" wrap="square" lIns="91440" tIns="45720" rIns="91440" bIns="45720" anchor="t" anchorCtr="0" upright="1">
                              <a:noAutofit/>
                            </wps:bodyPr>
                          </wps:wsp>
                        </a:graphicData>
                      </a:graphic>
                    </wp:anchor>
                  </w:drawing>
                </mc:Choice>
                <mc:Fallback>
                  <w:pict>
                    <v:rect id="矩形 13" o:spid="_x0000_s1026" o:spt="1" style="position:absolute;left:0pt;margin-left:204.35pt;margin-top:11.3pt;height:21.35pt;width:70.8pt;z-index:251724800;mso-width-relative:page;mso-height-relative:page;" fillcolor="#FFFFFF" filled="t" stroked="t" coordsize="21600,21600" o:gfxdata="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&#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2IkEt2AAAAAkBAAAPAAAAAAAAAAEAIAAAACIAAABk&#10;cnMvZG93bnJldi54bWxQSwECFAAUAAAACACHTuJA4l1xIT8CAACDBAAADgAAAAAAAAABACAAAAAn&#10;AQAAZHJzL2Uyb0RvYy54bWxQSwUGAAAAAAYABgBZAQAA2AUAAAAA&#10;">
                      <v:fill on="t" focussize="0,0"/>
                      <v:stroke color="#000000" miterlimit="8" joinstyle="miter"/>
                      <v:imagedata o:title=""/>
                      <o:lock v:ext="edit" aspectratio="f"/>
                      <v:textbox>
                        <w:txbxContent>
                          <w:p>
                            <w:pPr>
                              <w:rPr>
                                <w:color w:val="FF0000"/>
                              </w:rPr>
                            </w:pPr>
                            <w:r>
                              <w:rPr>
                                <w:rFonts w:hint="eastAsia"/>
                              </w:rPr>
                              <w:t>集气管道</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25400</wp:posOffset>
                      </wp:positionH>
                      <wp:positionV relativeFrom="paragraph">
                        <wp:posOffset>44450</wp:posOffset>
                      </wp:positionV>
                      <wp:extent cx="1841500" cy="459105"/>
                      <wp:effectExtent l="0" t="0" r="25400" b="17145"/>
                      <wp:wrapNone/>
                      <wp:docPr id="58812867" name="矩形 16"/>
                      <wp:cNvGraphicFramePr/>
                      <a:graphic xmlns:a="http://schemas.openxmlformats.org/drawingml/2006/main">
                        <a:graphicData uri="http://schemas.microsoft.com/office/word/2010/wordprocessingShape">
                          <wps:wsp>
                            <wps:cNvSpPr>
                              <a:spLocks noChangeArrowheads="1"/>
                            </wps:cNvSpPr>
                            <wps:spPr bwMode="auto">
                              <a:xfrm>
                                <a:off x="0" y="0"/>
                                <a:ext cx="1841500" cy="459105"/>
                              </a:xfrm>
                              <a:prstGeom prst="rect">
                                <a:avLst/>
                              </a:prstGeom>
                              <a:solidFill>
                                <a:srgbClr val="FFFFFF"/>
                              </a:solidFill>
                              <a:ln w="9525">
                                <a:solidFill>
                                  <a:srgbClr val="000000"/>
                                </a:solidFill>
                                <a:miter lim="800000"/>
                              </a:ln>
                            </wps:spPr>
                            <wps:txbx>
                              <w:txbxContent>
                                <w:p>
                                  <w:r>
                                    <w:rPr>
                                      <w:rFonts w:hint="eastAsia"/>
                                    </w:rPr>
                                    <w:t>炭化废气（烘干机未工作）、点火阶段燃烧废气</w:t>
                                  </w:r>
                                </w:p>
                                <w:p/>
                              </w:txbxContent>
                            </wps:txbx>
                            <wps:bodyPr rot="0" vert="horz" wrap="square" lIns="91440" tIns="45720" rIns="91440" bIns="45720" anchor="t" anchorCtr="0" upright="1">
                              <a:noAutofit/>
                            </wps:bodyPr>
                          </wps:wsp>
                        </a:graphicData>
                      </a:graphic>
                    </wp:anchor>
                  </w:drawing>
                </mc:Choice>
                <mc:Fallback>
                  <w:pict>
                    <v:rect id="矩形 16" o:spid="_x0000_s1026" o:spt="1" style="position:absolute;left:0pt;margin-left:2pt;margin-top:3.5pt;height:36.15pt;width:145pt;z-index:251723776;mso-width-relative:page;mso-height-relative:page;" fillcolor="#FFFFFF" filled="t" stroked="t" coordsize="21600,21600" o:gfxdata="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o78GjUAAAABgEAAA8AAAAAAAAAAQAgAAAAIgAAAGRycy9k&#10;b3ducmV2LnhtbFBLAQIUABQAAAAIAIdO4kBEJg1MPwIAAIIEAAAOAAAAAAAAAAEAIAAAACMBAABk&#10;cnMvZTJvRG9jLnhtbFBLBQYAAAAABgAGAFkBAADUBQAAAAA=&#10;">
                      <v:fill on="t" focussize="0,0"/>
                      <v:stroke color="#000000" miterlimit="8" joinstyle="miter"/>
                      <v:imagedata o:title=""/>
                      <o:lock v:ext="edit" aspectratio="f"/>
                      <v:textbox>
                        <w:txbxContent>
                          <w:p>
                            <w:r>
                              <w:rPr>
                                <w:rFonts w:hint="eastAsia"/>
                              </w:rPr>
                              <w:t>炭化废气（烘干机未工作）、点火阶段燃烧废气</w:t>
                            </w:r>
                          </w:p>
                          <w:p/>
                        </w:txbxContent>
                      </v:textbox>
                    </v:rect>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3823970</wp:posOffset>
                      </wp:positionH>
                      <wp:positionV relativeFrom="paragraph">
                        <wp:posOffset>6985</wp:posOffset>
                      </wp:positionV>
                      <wp:extent cx="775335" cy="431800"/>
                      <wp:effectExtent l="0" t="0" r="24765" b="25400"/>
                      <wp:wrapNone/>
                      <wp:docPr id="1456617892" name="矩形 17"/>
                      <wp:cNvGraphicFramePr/>
                      <a:graphic xmlns:a="http://schemas.openxmlformats.org/drawingml/2006/main">
                        <a:graphicData uri="http://schemas.microsoft.com/office/word/2010/wordprocessingShape">
                          <wps:wsp>
                            <wps:cNvSpPr>
                              <a:spLocks noChangeArrowheads="1"/>
                            </wps:cNvSpPr>
                            <wps:spPr bwMode="auto">
                              <a:xfrm>
                                <a:off x="0" y="0"/>
                                <a:ext cx="775335" cy="431800"/>
                              </a:xfrm>
                              <a:prstGeom prst="rect">
                                <a:avLst/>
                              </a:prstGeom>
                              <a:solidFill>
                                <a:srgbClr val="FFFFFF"/>
                              </a:solidFill>
                              <a:ln w="9525">
                                <a:solidFill>
                                  <a:srgbClr val="000000"/>
                                </a:solidFill>
                                <a:miter lim="800000"/>
                              </a:ln>
                            </wps:spPr>
                            <wps:txbx>
                              <w:txbxContent>
                                <w:p>
                                  <w:r>
                                    <w:t>15m</w:t>
                                  </w:r>
                                  <w:r>
                                    <w:rPr>
                                      <w:rFonts w:hint="eastAsia"/>
                                    </w:rPr>
                                    <w:t>排气筒D</w:t>
                                  </w:r>
                                  <w:r>
                                    <w:t>A003</w:t>
                                  </w:r>
                                </w:p>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301.1pt;margin-top:0.55pt;height:34pt;width:61.05pt;z-index:251725824;mso-width-relative:page;mso-height-relative:page;" fillcolor="#FFFFFF" filled="t" stroked="t" coordsize="21600,21600" o:gfxdata="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AfY6+1gAAAAgBAAAPAAAAAAAAAAEAIAAAACIA&#10;AABkcnMvZG93bnJldi54bWxQSwECFAAUAAAACACHTuJAMs6DpkQCAACDBAAADgAAAAAAAAABACAA&#10;AAAlAQAAZHJzL2Uyb0RvYy54bWxQSwUGAAAAAAYABgBZAQAA2wUAAAAA&#10;">
                      <v:fill on="t" focussize="0,0"/>
                      <v:stroke color="#000000" miterlimit="8" joinstyle="miter"/>
                      <v:imagedata o:title=""/>
                      <o:lock v:ext="edit" aspectratio="f"/>
                      <v:textbox>
                        <w:txbxContent>
                          <w:p>
                            <w:r>
                              <w:t>15m</w:t>
                            </w:r>
                            <w:r>
                              <w:rPr>
                                <w:rFonts w:hint="eastAsia"/>
                              </w:rPr>
                              <w:t>排气筒D</w:t>
                            </w:r>
                            <w:r>
                              <w:t>A003</w:t>
                            </w:r>
                          </w:p>
                          <w:p/>
                        </w:txbxContent>
                      </v:textbox>
                    </v:rect>
                  </w:pict>
                </mc:Fallback>
              </mc:AlternateContent>
            </w:r>
          </w:p>
          <w:p>
            <w:pPr>
              <w:snapToGrid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1865630</wp:posOffset>
                      </wp:positionH>
                      <wp:positionV relativeFrom="paragraph">
                        <wp:posOffset>26035</wp:posOffset>
                      </wp:positionV>
                      <wp:extent cx="723265" cy="0"/>
                      <wp:effectExtent l="0" t="76200" r="19685" b="95250"/>
                      <wp:wrapNone/>
                      <wp:docPr id="431522908" name="直接箭头连接符 1"/>
                      <wp:cNvGraphicFramePr/>
                      <a:graphic xmlns:a="http://schemas.openxmlformats.org/drawingml/2006/main">
                        <a:graphicData uri="http://schemas.microsoft.com/office/word/2010/wordprocessingShape">
                          <wps:wsp>
                            <wps:cNvCnPr/>
                            <wps:spPr>
                              <a:xfrm>
                                <a:off x="0" y="0"/>
                                <a:ext cx="7232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 o:spid="_x0000_s1026" o:spt="32" type="#_x0000_t32" style="position:absolute;left:0pt;margin-left:146.9pt;margin-top:2.05pt;height:0pt;width:56.95pt;z-index:251728896;mso-width-relative:page;mso-height-relative:page;" filled="f" stroked="t" coordsize="21600,21600" o:gfxdata="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UEv8jXAAAABwEAAA8A&#10;AAAAAAAAAQAgAAAAIgAAAGRycy9kb3ducmV2LnhtbFBLAQIUABQAAAAIAIdO4kCQvSKbGAIAAAoE&#10;AAAOAAAAAAAAAAEAIAAAACYBAABkcnMvZTJvRG9jLnhtbFBLBQYAAAAABgAGAFkBAACwBQAAAAA=&#10;">
                      <v:fill on="f" focussize="0,0"/>
                      <v:stroke color="#000000 [3200]" joinstyle="round" endarrow="block"/>
                      <v:imagedata o:title=""/>
                      <o:lock v:ext="edit" aspectratio="f"/>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3489325</wp:posOffset>
                      </wp:positionH>
                      <wp:positionV relativeFrom="paragraph">
                        <wp:posOffset>24130</wp:posOffset>
                      </wp:positionV>
                      <wp:extent cx="334010" cy="635"/>
                      <wp:effectExtent l="10160" t="53975" r="17780" b="59690"/>
                      <wp:wrapNone/>
                      <wp:docPr id="718056510"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5" o:spid="_x0000_s1026" o:spt="32" type="#_x0000_t32" style="position:absolute;left:0pt;margin-left:274.75pt;margin-top:1.9pt;height:0.05pt;width:26.3pt;z-index:251726848;mso-width-relative:page;mso-height-relative:page;" filled="f" stroked="t" coordsize="21600,21600" o:gfxdata="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BWnB1wAAAAcBAAAP&#10;AAAAAAAAAAEAIAAAACIAAABkcnMvZG93bnJldi54bWxQSwECFAAUAAAACACHTuJAa3KqxRkCAAD2&#10;AwAADgAAAAAAAAABACAAAAAmAQAAZHJzL2Uyb0RvYy54bWxQSwUGAAAAAAYABgBZAQAAsQUAAAAA&#10;">
                      <v:fill on="f" focussize="0,0"/>
                      <v:stroke color="#000000" joinstyle="round" endarrow="block"/>
                      <v:imagedata o:title=""/>
                      <o:lock v:ext="edit" aspectratio="f"/>
                    </v:shape>
                  </w:pict>
                </mc:Fallback>
              </mc:AlternateConten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b/>
                <w:bCs/>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936625</wp:posOffset>
                      </wp:positionH>
                      <wp:positionV relativeFrom="paragraph">
                        <wp:posOffset>80010</wp:posOffset>
                      </wp:positionV>
                      <wp:extent cx="755015" cy="260350"/>
                      <wp:effectExtent l="0" t="3810" r="0" b="2540"/>
                      <wp:wrapNone/>
                      <wp:docPr id="1811104668" name="矩形 19"/>
                      <wp:cNvGraphicFramePr/>
                      <a:graphic xmlns:a="http://schemas.openxmlformats.org/drawingml/2006/main">
                        <a:graphicData uri="http://schemas.microsoft.com/office/word/2010/wordprocessingShape">
                          <wps:wsp>
                            <wps:cNvSpPr>
                              <a:spLocks noChangeArrowheads="1"/>
                            </wps:cNvSpPr>
                            <wps:spPr bwMode="auto">
                              <a:xfrm>
                                <a:off x="0" y="0"/>
                                <a:ext cx="755015" cy="260350"/>
                              </a:xfrm>
                              <a:prstGeom prst="rect">
                                <a:avLst/>
                              </a:prstGeom>
                              <a:solidFill>
                                <a:srgbClr val="FFFFFF"/>
                              </a:solidFill>
                              <a:ln>
                                <a:noFill/>
                              </a:ln>
                            </wps:spPr>
                            <wps:txbx>
                              <w:txbxContent>
                                <w:p>
                                  <w:r>
                                    <w:rPr>
                                      <w:rFonts w:hint="eastAsia"/>
                                    </w:rPr>
                                    <w:t>颗粒物</w:t>
                                  </w:r>
                                </w:p>
                              </w:txbxContent>
                            </wps:txbx>
                            <wps:bodyPr rot="0" vert="horz" wrap="square" lIns="91440" tIns="45720" rIns="91440" bIns="45720" anchor="t" anchorCtr="0" upright="1">
                              <a:noAutofit/>
                            </wps:bodyPr>
                          </wps:wsp>
                        </a:graphicData>
                      </a:graphic>
                    </wp:anchor>
                  </w:drawing>
                </mc:Choice>
                <mc:Fallback>
                  <w:pict>
                    <v:rect id="矩形 19" o:spid="_x0000_s1026" o:spt="1" style="position:absolute;left:0pt;margin-left:73.75pt;margin-top:6.3pt;height:20.5pt;width:59.45pt;z-index:251664384;mso-width-relative:page;mso-height-relative:page;" fillcolor="#FFFFFF" filled="t" stroked="f" coordsize="21600,21600" o:gfxdata="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JlJ1NYAAAAJAQAADwAAAAAAAAABACAAAAAiAAAAZHJzL2Rvd25yZXYueG1sUEsBAhQAFAAA&#10;AAgAh07iQE6rbM0qAgAAOgQAAA4AAAAAAAAAAQAgAAAAJQEAAGRycy9lMm9Eb2MueG1sUEsFBgAA&#10;AAAGAAYAWQEAAMEFAAAAAA==&#10;">
                      <v:fill on="t" focussize="0,0"/>
                      <v:stroke on="f"/>
                      <v:imagedata o:title=""/>
                      <o:lock v:ext="edit" aspectratio="f"/>
                      <v:textbox>
                        <w:txbxContent>
                          <w:p>
                            <w:r>
                              <w:rPr>
                                <w:rFonts w:hint="eastAsia"/>
                              </w:rPr>
                              <w:t>颗粒物</w:t>
                            </w:r>
                          </w:p>
                        </w:txbxContent>
                      </v:textbox>
                    </v:rect>
                  </w:pict>
                </mc:Fallback>
              </mc:AlternateContent>
            </w:r>
          </w:p>
          <w:p>
            <w:pPr>
              <w:adjustRightInd w:val="0"/>
              <w:snapToGrid w:val="0"/>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231775</wp:posOffset>
                      </wp:positionV>
                      <wp:extent cx="906145" cy="312420"/>
                      <wp:effectExtent l="0" t="0" r="27305" b="11430"/>
                      <wp:wrapNone/>
                      <wp:docPr id="2094927273" name="矩形 10"/>
                      <wp:cNvGraphicFramePr/>
                      <a:graphic xmlns:a="http://schemas.openxmlformats.org/drawingml/2006/main">
                        <a:graphicData uri="http://schemas.microsoft.com/office/word/2010/wordprocessingShape">
                          <wps:wsp>
                            <wps:cNvSpPr>
                              <a:spLocks noChangeArrowheads="1"/>
                            </wps:cNvSpPr>
                            <wps:spPr bwMode="auto">
                              <a:xfrm>
                                <a:off x="0" y="0"/>
                                <a:ext cx="906145" cy="312420"/>
                              </a:xfrm>
                              <a:prstGeom prst="rect">
                                <a:avLst/>
                              </a:prstGeom>
                              <a:solidFill>
                                <a:srgbClr val="FFFFFF"/>
                              </a:solidFill>
                              <a:ln w="9525">
                                <a:solidFill>
                                  <a:srgbClr val="000000"/>
                                </a:solidFill>
                                <a:miter lim="800000"/>
                              </a:ln>
                            </wps:spPr>
                            <wps:txbx>
                              <w:txbxContent>
                                <w:p>
                                  <w:r>
                                    <w:rPr>
                                      <w:rFonts w:hint="eastAsia"/>
                                    </w:rPr>
                                    <w:t>制棒废气</w:t>
                                  </w:r>
                                </w:p>
                              </w:txbxContent>
                            </wps:txbx>
                            <wps:bodyPr rot="0" vert="horz" wrap="square" lIns="91440" tIns="45720" rIns="91440" bIns="45720" anchor="t" anchorCtr="0" upright="1">
                              <a:noAutofit/>
                            </wps:bodyPr>
                          </wps:wsp>
                        </a:graphicData>
                      </a:graphic>
                    </wp:anchor>
                  </w:drawing>
                </mc:Choice>
                <mc:Fallback>
                  <w:pict>
                    <v:rect id="矩形 10" o:spid="_x0000_s1026" o:spt="1" style="position:absolute;left:0pt;margin-left:7.8pt;margin-top:18.25pt;height:24.6pt;width:71.35pt;z-index:251665408;mso-width-relative:page;mso-height-relative:page;" fillcolor="#FFFFFF" filled="t" stroked="t" coordsize="21600,21600" o:gfxdata="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EuFZM1gAAAAgBAAAPAAAAAAAAAAEAIAAAACIAAABk&#10;cnMvZG93bnJldi54bWxQSwECFAAUAAAACACHTuJACUrkm0ECAACDBAAADgAAAAAAAAABACAAAAAl&#10;AQAAZHJzL2Uyb0RvYy54bWxQSwUGAAAAAAYABgBZAQAA2AUAAAAA&#10;">
                      <v:fill on="t" focussize="0,0"/>
                      <v:stroke color="#000000" miterlimit="8" joinstyle="miter"/>
                      <v:imagedata o:title=""/>
                      <o:lock v:ext="edit" aspectratio="f"/>
                      <v:textbox>
                        <w:txbxContent>
                          <w:p>
                            <w:r>
                              <w:rPr>
                                <w:rFonts w:hint="eastAsia"/>
                              </w:rPr>
                              <w:t>制棒废气</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2682240</wp:posOffset>
                      </wp:positionH>
                      <wp:positionV relativeFrom="paragraph">
                        <wp:posOffset>189865</wp:posOffset>
                      </wp:positionV>
                      <wp:extent cx="993140" cy="318770"/>
                      <wp:effectExtent l="0" t="0" r="16510" b="24130"/>
                      <wp:wrapNone/>
                      <wp:docPr id="713201229" name="矩形 9"/>
                      <wp:cNvGraphicFramePr/>
                      <a:graphic xmlns:a="http://schemas.openxmlformats.org/drawingml/2006/main">
                        <a:graphicData uri="http://schemas.microsoft.com/office/word/2010/wordprocessingShape">
                          <wps:wsp>
                            <wps:cNvSpPr>
                              <a:spLocks noChangeArrowheads="1"/>
                            </wps:cNvSpPr>
                            <wps:spPr bwMode="auto">
                              <a:xfrm>
                                <a:off x="0" y="0"/>
                                <a:ext cx="993140" cy="318770"/>
                              </a:xfrm>
                              <a:prstGeom prst="rect">
                                <a:avLst/>
                              </a:prstGeom>
                              <a:solidFill>
                                <a:srgbClr val="FFFFFF"/>
                              </a:solidFill>
                              <a:ln w="9525">
                                <a:solidFill>
                                  <a:srgbClr val="000000"/>
                                </a:solidFill>
                                <a:miter lim="800000"/>
                              </a:ln>
                            </wps:spPr>
                            <wps:txbx>
                              <w:txbxContent>
                                <w:p>
                                  <w:pPr>
                                    <w:jc w:val="left"/>
                                    <w:rPr>
                                      <w:color w:val="FF0000"/>
                                    </w:rPr>
                                  </w:pPr>
                                  <w:r>
                                    <w:rPr>
                                      <w:rFonts w:hint="eastAsia"/>
                                    </w:rPr>
                                    <w:t>水喷淋装置</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211.2pt;margin-top:14.95pt;height:25.1pt;width:78.2pt;z-index:251669504;mso-width-relative:page;mso-height-relative:page;" fillcolor="#FFFFFF" filled="t" stroked="t" coordsize="21600,21600" o:gfxdata="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YhgbDYAAAACQEAAA8AAAAAAAAAAQAgAAAAIgAAAGRy&#10;cy9kb3ducmV2LnhtbFBLAQIUABQAAAAIAIdO4kCGNte4PgIAAIEEAAAOAAAAAAAAAAEAIAAAACcB&#10;AABkcnMvZTJvRG9jLnhtbFBLBQYAAAAABgAGAFkBAADXBQAAAAA=&#10;">
                      <v:fill on="t" focussize="0,0"/>
                      <v:stroke color="#000000" miterlimit="8" joinstyle="miter"/>
                      <v:imagedata o:title=""/>
                      <o:lock v:ext="edit" aspectratio="f"/>
                      <v:textbox>
                        <w:txbxContent>
                          <w:p>
                            <w:pPr>
                              <w:jc w:val="left"/>
                              <w:rPr>
                                <w:color w:val="FF0000"/>
                              </w:rPr>
                            </w:pPr>
                            <w:r>
                              <w:rPr>
                                <w:rFonts w:hint="eastAsia"/>
                              </w:rPr>
                              <w:t>水喷淋装置</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203200</wp:posOffset>
                      </wp:positionV>
                      <wp:extent cx="819785" cy="431800"/>
                      <wp:effectExtent l="0" t="0" r="18415" b="25400"/>
                      <wp:wrapNone/>
                      <wp:docPr id="1550063092" name="矩形 8"/>
                      <wp:cNvGraphicFramePr/>
                      <a:graphic xmlns:a="http://schemas.openxmlformats.org/drawingml/2006/main">
                        <a:graphicData uri="http://schemas.microsoft.com/office/word/2010/wordprocessingShape">
                          <wps:wsp>
                            <wps:cNvSpPr>
                              <a:spLocks noChangeArrowheads="1"/>
                            </wps:cNvSpPr>
                            <wps:spPr bwMode="auto">
                              <a:xfrm>
                                <a:off x="0" y="0"/>
                                <a:ext cx="819785" cy="431800"/>
                              </a:xfrm>
                              <a:prstGeom prst="rect">
                                <a:avLst/>
                              </a:prstGeom>
                              <a:solidFill>
                                <a:srgbClr val="FFFFFF"/>
                              </a:solidFill>
                              <a:ln w="9525">
                                <a:solidFill>
                                  <a:srgbClr val="000000"/>
                                </a:solidFill>
                                <a:miter lim="800000"/>
                              </a:ln>
                            </wps:spPr>
                            <wps:txbx>
                              <w:txbxContent>
                                <w:p>
                                  <w:r>
                                    <w:t>15m</w:t>
                                  </w:r>
                                  <w:r>
                                    <w:rPr>
                                      <w:rFonts w:hint="eastAsia"/>
                                    </w:rPr>
                                    <w:t>排气筒D</w:t>
                                  </w:r>
                                  <w:r>
                                    <w:t>A001</w:t>
                                  </w:r>
                                </w:p>
                                <w:p/>
                              </w:txbxContent>
                            </wps:txbx>
                            <wps:bodyPr rot="0" vert="horz" wrap="square" lIns="91440" tIns="45720" rIns="91440" bIns="45720" anchor="t" anchorCtr="0" upright="1">
                              <a:noAutofit/>
                            </wps:bodyPr>
                          </wps:wsp>
                        </a:graphicData>
                      </a:graphic>
                    </wp:anchor>
                  </w:drawing>
                </mc:Choice>
                <mc:Fallback>
                  <w:pict>
                    <v:rect id="矩形 8" o:spid="_x0000_s1026" o:spt="1" style="position:absolute;left:0pt;margin-left:315pt;margin-top:16pt;height:34pt;width:64.55pt;z-index:251674624;mso-width-relative:page;mso-height-relative:page;" fillcolor="#FFFFFF" filled="t" stroked="t" coordsize="21600,21600" o:gfxdata="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EDWb1wAAAAoBAAAPAAAAAAAAAAEAIAAAACIAAABk&#10;cnMvZG93bnJldi54bWxQSwECFAAUAAAACACHTuJAuNZ98EACAACCBAAADgAAAAAAAAABACAAAAAm&#10;AQAAZHJzL2Uyb0RvYy54bWxQSwUGAAAAAAYABgBZAQAA2AUAAAAA&#10;">
                      <v:fill on="t" focussize="0,0"/>
                      <v:stroke color="#000000" miterlimit="8" joinstyle="miter"/>
                      <v:imagedata o:title=""/>
                      <o:lock v:ext="edit" aspectratio="f"/>
                      <v:textbox>
                        <w:txbxContent>
                          <w:p>
                            <w:r>
                              <w:t>15m</w:t>
                            </w:r>
                            <w:r>
                              <w:rPr>
                                <w:rFonts w:hint="eastAsia"/>
                              </w:rPr>
                              <w:t>排气筒D</w:t>
                            </w:r>
                            <w:r>
                              <w:t>A001</w:t>
                            </w:r>
                          </w:p>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1378585</wp:posOffset>
                      </wp:positionH>
                      <wp:positionV relativeFrom="paragraph">
                        <wp:posOffset>240030</wp:posOffset>
                      </wp:positionV>
                      <wp:extent cx="900430" cy="271145"/>
                      <wp:effectExtent l="5715" t="9525" r="8255" b="5080"/>
                      <wp:wrapNone/>
                      <wp:docPr id="1231586068" name="矩形 7"/>
                      <wp:cNvGraphicFramePr/>
                      <a:graphic xmlns:a="http://schemas.openxmlformats.org/drawingml/2006/main">
                        <a:graphicData uri="http://schemas.microsoft.com/office/word/2010/wordprocessingShape">
                          <wps:wsp>
                            <wps:cNvSpPr>
                              <a:spLocks noChangeArrowheads="1"/>
                            </wps:cNvSpPr>
                            <wps:spPr bwMode="auto">
                              <a:xfrm>
                                <a:off x="0" y="0"/>
                                <a:ext cx="900430" cy="271145"/>
                              </a:xfrm>
                              <a:prstGeom prst="rect">
                                <a:avLst/>
                              </a:prstGeom>
                              <a:solidFill>
                                <a:srgbClr val="FFFFFF"/>
                              </a:solidFill>
                              <a:ln w="9525">
                                <a:solidFill>
                                  <a:srgbClr val="000000"/>
                                </a:solidFill>
                                <a:miter lim="800000"/>
                              </a:ln>
                            </wps:spPr>
                            <wps:txbx>
                              <w:txbxContent>
                                <w:p>
                                  <w:pPr>
                                    <w:rPr>
                                      <w:color w:val="FF0000"/>
                                    </w:rPr>
                                  </w:pPr>
                                  <w:r>
                                    <w:rPr>
                                      <w:rFonts w:hint="eastAsia"/>
                                    </w:rPr>
                                    <w:t>集气管道</w:t>
                                  </w: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108.55pt;margin-top:18.9pt;height:21.35pt;width:70.9pt;z-index:251668480;mso-width-relative:page;mso-height-relative:page;" fillcolor="#FFFFFF" filled="t" stroked="t" coordsize="21600,21600" o:gfxdata="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L/lzm2AAAAAkBAAAPAAAAAAAAAAEAIAAAACIAAABk&#10;cnMvZG93bnJldi54bWxQSwECFAAUAAAACACHTuJAtCaKGj8CAACCBAAADgAAAAAAAAABACAAAAAn&#10;AQAAZHJzL2Uyb0RvYy54bWxQSwUGAAAAAAYABgBZAQAA2AUAAAAA&#10;">
                      <v:fill on="t" focussize="0,0"/>
                      <v:stroke color="#000000" miterlimit="8" joinstyle="miter"/>
                      <v:imagedata o:title=""/>
                      <o:lock v:ext="edit" aspectratio="f"/>
                      <v:textbox>
                        <w:txbxContent>
                          <w:p>
                            <w:pPr>
                              <w:rPr>
                                <w:color w:val="FF0000"/>
                              </w:rPr>
                            </w:pPr>
                            <w:r>
                              <w:rPr>
                                <w:rFonts w:hint="eastAsia"/>
                              </w:rPr>
                              <w:t>集气管道</w:t>
                            </w:r>
                          </w:p>
                        </w:txbxContent>
                      </v:textbox>
                    </v:rect>
                  </w:pict>
                </mc:Fallback>
              </mc:AlternateContent>
            </w:r>
          </w:p>
          <w:p>
            <w:pPr>
              <w:snapToGrid w:val="0"/>
              <w:spacing w:line="360" w:lineRule="auto"/>
              <w:rPr>
                <w:b/>
                <w:bCs/>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3667760</wp:posOffset>
                      </wp:positionH>
                      <wp:positionV relativeFrom="paragraph">
                        <wp:posOffset>156210</wp:posOffset>
                      </wp:positionV>
                      <wp:extent cx="334010" cy="635"/>
                      <wp:effectExtent l="8890" t="57150" r="19050" b="56515"/>
                      <wp:wrapNone/>
                      <wp:docPr id="182847800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6" o:spid="_x0000_s1026" o:spt="32" type="#_x0000_t32" style="position:absolute;left:0pt;margin-left:288.8pt;margin-top:12.3pt;height:0.05pt;width:26.3pt;z-index:251673600;mso-width-relative:page;mso-height-relative:page;" filled="f" stroked="t" coordsize="21600,21600" o:gfxdata="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shgG9kAAAAJAQAA&#10;DwAAAAAAAAABACAAAAAiAAAAZHJzL2Rvd25yZXYueG1sUEsBAhQAFAAAAAgAh07iQFYqakQYAgAA&#10;9gMAAA4AAAAAAAAAAQAgAAAAKAEAAGRycy9lMm9Eb2MueG1sUEsFBgAAAAAGAAYAWQEAALIFAAAA&#10;AA==&#10;">
                      <v:fill on="f" focussize="0,0"/>
                      <v:stroke color="#000000" joinstyle="round" endarrow="block"/>
                      <v:imagedata o:title=""/>
                      <o:lock v:ext="edit" aspectratio="f"/>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2167255</wp:posOffset>
                      </wp:positionH>
                      <wp:positionV relativeFrom="paragraph">
                        <wp:posOffset>108585</wp:posOffset>
                      </wp:positionV>
                      <wp:extent cx="492760" cy="0"/>
                      <wp:effectExtent l="13335" t="60960" r="17780" b="53340"/>
                      <wp:wrapNone/>
                      <wp:docPr id="381342953"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5" o:spid="_x0000_s1026" o:spt="32" type="#_x0000_t32" style="position:absolute;left:0pt;margin-left:170.65pt;margin-top:8.55pt;height:0pt;width:38.8pt;z-index:251667456;mso-width-relative:page;mso-height-relative:page;" filled="f" stroked="t" coordsize="21600,21600" o:gfxdata="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wmYK2AAAAAkB&#10;AAAPAAAAAAAAAAEAIAAAACIAAABkcnMvZG93bnJldi54bWxQSwECFAAUAAAACACHTuJA6InyqRsC&#10;AAABBAAADgAAAAAAAAABACAAAAAnAQAAZHJzL2Uyb0RvYy54bWxQSwUGAAAAAAYABgBZAQAAtAUA&#10;AAAA&#10;">
                      <v:fill on="f" focussize="0,0"/>
                      <v:stroke color="#000000" joinstyle="round" endarrow="block"/>
                      <v:imagedata o:title=""/>
                      <o:lock v:ext="edit" aspectratio="f"/>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999490</wp:posOffset>
                      </wp:positionH>
                      <wp:positionV relativeFrom="paragraph">
                        <wp:posOffset>111760</wp:posOffset>
                      </wp:positionV>
                      <wp:extent cx="376555" cy="0"/>
                      <wp:effectExtent l="7620" t="54610" r="15875" b="59690"/>
                      <wp:wrapNone/>
                      <wp:docPr id="1090904563"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4" o:spid="_x0000_s1026" o:spt="32" type="#_x0000_t32" style="position:absolute;left:0pt;margin-left:78.7pt;margin-top:8.8pt;height:0pt;width:29.65pt;z-index:251666432;mso-width-relative:page;mso-height-relative:page;" filled="f" stroked="t" coordsize="21600,21600" o:gfxdata="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2UF+fYAAAACQEA&#10;AA8AAAAAAAAAAQAgAAAAIgAAAGRycy9kb3ducmV2LnhtbFBLAQIUABQAAAAIAIdO4kCwdyQZGgIA&#10;AAIEAAAOAAAAAAAAAAEAIAAAACcBAABkcnMvZTJvRG9jLnhtbFBLBQYAAAAABgAGAFkBAACzBQAA&#10;AAA=&#10;">
                      <v:fill on="f" focussize="0,0"/>
                      <v:stroke color="#000000" joinstyle="round" endarrow="block"/>
                      <v:imagedata o:title=""/>
                      <o:lock v:ext="edit" aspectratio="f"/>
                    </v:shape>
                  </w:pict>
                </mc:Fallback>
              </mc:AlternateContent>
            </w: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b/>
                <w:bCs/>
                <w:color w:val="000000" w:themeColor="text1"/>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882650</wp:posOffset>
                      </wp:positionH>
                      <wp:positionV relativeFrom="paragraph">
                        <wp:posOffset>80010</wp:posOffset>
                      </wp:positionV>
                      <wp:extent cx="755015" cy="260350"/>
                      <wp:effectExtent l="0" t="3810" r="0" b="2540"/>
                      <wp:wrapNone/>
                      <wp:docPr id="836420004" name="矩形 19"/>
                      <wp:cNvGraphicFramePr/>
                      <a:graphic xmlns:a="http://schemas.openxmlformats.org/drawingml/2006/main">
                        <a:graphicData uri="http://schemas.microsoft.com/office/word/2010/wordprocessingShape">
                          <wps:wsp>
                            <wps:cNvSpPr>
                              <a:spLocks noChangeArrowheads="1"/>
                            </wps:cNvSpPr>
                            <wps:spPr bwMode="auto">
                              <a:xfrm>
                                <a:off x="0" y="0"/>
                                <a:ext cx="755015" cy="260350"/>
                              </a:xfrm>
                              <a:prstGeom prst="rect">
                                <a:avLst/>
                              </a:prstGeom>
                              <a:solidFill>
                                <a:srgbClr val="FFFFFF"/>
                              </a:solidFill>
                              <a:ln>
                                <a:noFill/>
                              </a:ln>
                            </wps:spPr>
                            <wps:txbx>
                              <w:txbxContent>
                                <w:p>
                                  <w:r>
                                    <w:rPr>
                                      <w:rFonts w:hint="eastAsia"/>
                                    </w:rPr>
                                    <w:t>颗粒物</w:t>
                                  </w:r>
                                </w:p>
                              </w:txbxContent>
                            </wps:txbx>
                            <wps:bodyPr rot="0" vert="horz" wrap="square" lIns="91440" tIns="45720" rIns="91440" bIns="45720" anchor="t" anchorCtr="0" upright="1">
                              <a:noAutofit/>
                            </wps:bodyPr>
                          </wps:wsp>
                        </a:graphicData>
                      </a:graphic>
                    </wp:anchor>
                  </w:drawing>
                </mc:Choice>
                <mc:Fallback>
                  <w:pict>
                    <v:rect id="矩形 19" o:spid="_x0000_s1026" o:spt="1" style="position:absolute;left:0pt;margin-left:69.5pt;margin-top:6.3pt;height:20.5pt;width:59.45pt;z-index:251729920;mso-width-relative:page;mso-height-relative:page;" fillcolor="#FFFFFF" filled="t" stroked="f" coordsize="21600,21600" o:gfxdata="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BhO+NcAAAAJAQAADwAAAAAAAAABACAAAAAiAAAAZHJzL2Rvd25yZXYueG1sUEsBAhQAFAAA&#10;AAgAh07iQNqM3LopAgAAOQQAAA4AAAAAAAAAAQAgAAAAJgEAAGRycy9lMm9Eb2MueG1sUEsFBgAA&#10;AAAGAAYAWQEAAMEFAAAAAA==&#10;">
                      <v:fill on="t" focussize="0,0"/>
                      <v:stroke on="f"/>
                      <v:imagedata o:title=""/>
                      <o:lock v:ext="edit" aspectratio="f"/>
                      <v:textbox>
                        <w:txbxContent>
                          <w:p>
                            <w:r>
                              <w:rPr>
                                <w:rFonts w:hint="eastAsia"/>
                              </w:rPr>
                              <w:t>颗粒物</w:t>
                            </w:r>
                          </w:p>
                        </w:txbxContent>
                      </v:textbox>
                    </v:rect>
                  </w:pict>
                </mc:Fallback>
              </mc:AlternateContent>
            </w:r>
          </w:p>
          <w:p>
            <w:pPr>
              <w:adjustRightInd w:val="0"/>
              <w:snapToGrid w:val="0"/>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2823845</wp:posOffset>
                      </wp:positionH>
                      <wp:positionV relativeFrom="paragraph">
                        <wp:posOffset>196215</wp:posOffset>
                      </wp:positionV>
                      <wp:extent cx="993140" cy="325120"/>
                      <wp:effectExtent l="0" t="0" r="16510" b="17780"/>
                      <wp:wrapNone/>
                      <wp:docPr id="44431604" name="矩形 9"/>
                      <wp:cNvGraphicFramePr/>
                      <a:graphic xmlns:a="http://schemas.openxmlformats.org/drawingml/2006/main">
                        <a:graphicData uri="http://schemas.microsoft.com/office/word/2010/wordprocessingShape">
                          <wps:wsp>
                            <wps:cNvSpPr>
                              <a:spLocks noChangeArrowheads="1"/>
                            </wps:cNvSpPr>
                            <wps:spPr bwMode="auto">
                              <a:xfrm>
                                <a:off x="0" y="0"/>
                                <a:ext cx="993140" cy="325120"/>
                              </a:xfrm>
                              <a:prstGeom prst="rect">
                                <a:avLst/>
                              </a:prstGeom>
                              <a:solidFill>
                                <a:srgbClr val="FFFFFF"/>
                              </a:solidFill>
                              <a:ln w="9525">
                                <a:solidFill>
                                  <a:srgbClr val="000000"/>
                                </a:solidFill>
                                <a:miter lim="800000"/>
                              </a:ln>
                            </wps:spPr>
                            <wps:txbx>
                              <w:txbxContent>
                                <w:p>
                                  <w:pPr>
                                    <w:jc w:val="left"/>
                                    <w:rPr>
                                      <w:color w:val="FF0000"/>
                                    </w:rPr>
                                  </w:pPr>
                                  <w:r>
                                    <w:rPr>
                                      <w:rFonts w:hint="eastAsia"/>
                                    </w:rPr>
                                    <w:t>无组织排放</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222.35pt;margin-top:15.45pt;height:25.6pt;width:78.2pt;z-index:251722752;mso-width-relative:page;mso-height-relative:page;" fillcolor="#FFFFFF" filled="t" stroked="t" coordsize="21600,21600" o:gfxdata="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OaGfYAAAACQEAAA8AAAAAAAAAAQAgAAAAIgAAAGRy&#10;cy9kb3ducmV2LnhtbFBLAQIUABQAAAAIAIdO4kDwGUvjPgIAAIAEAAAOAAAAAAAAAAEAIAAAACcB&#10;AABkcnMvZTJvRG9jLnhtbFBLBQYAAAAABgAGAFkBAADXBQAAAAA=&#10;">
                      <v:fill on="t" focussize="0,0"/>
                      <v:stroke color="#000000" miterlimit="8" joinstyle="miter"/>
                      <v:imagedata o:title=""/>
                      <o:lock v:ext="edit" aspectratio="f"/>
                      <v:textbox>
                        <w:txbxContent>
                          <w:p>
                            <w:pPr>
                              <w:jc w:val="left"/>
                              <w:rPr>
                                <w:color w:val="FF0000"/>
                              </w:rPr>
                            </w:pPr>
                            <w:r>
                              <w:rPr>
                                <w:rFonts w:hint="eastAsia"/>
                              </w:rPr>
                              <w:t>无组织排放</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1418590</wp:posOffset>
                      </wp:positionH>
                      <wp:positionV relativeFrom="paragraph">
                        <wp:posOffset>144145</wp:posOffset>
                      </wp:positionV>
                      <wp:extent cx="900430" cy="485775"/>
                      <wp:effectExtent l="0" t="0" r="13970" b="28575"/>
                      <wp:wrapNone/>
                      <wp:docPr id="2137941312" name="矩形 7"/>
                      <wp:cNvGraphicFramePr/>
                      <a:graphic xmlns:a="http://schemas.openxmlformats.org/drawingml/2006/main">
                        <a:graphicData uri="http://schemas.microsoft.com/office/word/2010/wordprocessingShape">
                          <wps:wsp>
                            <wps:cNvSpPr>
                              <a:spLocks noChangeArrowheads="1"/>
                            </wps:cNvSpPr>
                            <wps:spPr bwMode="auto">
                              <a:xfrm>
                                <a:off x="0" y="0"/>
                                <a:ext cx="900430" cy="485775"/>
                              </a:xfrm>
                              <a:prstGeom prst="rect">
                                <a:avLst/>
                              </a:prstGeom>
                              <a:solidFill>
                                <a:srgbClr val="FFFFFF"/>
                              </a:solidFill>
                              <a:ln w="9525">
                                <a:solidFill>
                                  <a:srgbClr val="000000"/>
                                </a:solidFill>
                                <a:miter lim="800000"/>
                              </a:ln>
                            </wps:spPr>
                            <wps:txbx>
                              <w:txbxContent>
                                <w:p>
                                  <w:pPr>
                                    <w:rPr>
                                      <w:color w:val="FF0000"/>
                                    </w:rPr>
                                  </w:pPr>
                                  <w:r>
                                    <w:rPr>
                                      <w:rFonts w:hint="eastAsia"/>
                                    </w:rPr>
                                    <w:t>局部围蔽，自然沉降</w:t>
                                  </w: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111.7pt;margin-top:11.35pt;height:38.25pt;width:70.9pt;z-index:251721728;mso-width-relative:page;mso-height-relative:page;" fillcolor="#FFFFFF" filled="t" stroked="t" coordsize="21600,21600" o:gfxdata="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&#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mvW72AAAAAkBAAAPAAAAAAAAAAEAIAAAACIAAABk&#10;cnMvZG93bnJldi54bWxQSwECFAAUAAAACACHTuJAtKI+Sj8CAACCBAAADgAAAAAAAAABACAAAAAn&#10;AQAAZHJzL2Uyb0RvYy54bWxQSwUGAAAAAAYABgBZAQAA2AUAAAAA&#10;">
                      <v:fill on="t" focussize="0,0"/>
                      <v:stroke color="#000000" miterlimit="8" joinstyle="miter"/>
                      <v:imagedata o:title=""/>
                      <o:lock v:ext="edit" aspectratio="f"/>
                      <v:textbox>
                        <w:txbxContent>
                          <w:p>
                            <w:pPr>
                              <w:rPr>
                                <w:color w:val="FF0000"/>
                              </w:rPr>
                            </w:pPr>
                            <w:r>
                              <w:rPr>
                                <w:rFonts w:hint="eastAsia"/>
                              </w:rPr>
                              <w:t>局部围蔽，自然沉降</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109220</wp:posOffset>
                      </wp:positionH>
                      <wp:positionV relativeFrom="paragraph">
                        <wp:posOffset>198755</wp:posOffset>
                      </wp:positionV>
                      <wp:extent cx="906145" cy="430530"/>
                      <wp:effectExtent l="0" t="0" r="27305" b="26670"/>
                      <wp:wrapNone/>
                      <wp:docPr id="2029310142" name="矩形 10"/>
                      <wp:cNvGraphicFramePr/>
                      <a:graphic xmlns:a="http://schemas.openxmlformats.org/drawingml/2006/main">
                        <a:graphicData uri="http://schemas.microsoft.com/office/word/2010/wordprocessingShape">
                          <wps:wsp>
                            <wps:cNvSpPr>
                              <a:spLocks noChangeArrowheads="1"/>
                            </wps:cNvSpPr>
                            <wps:spPr bwMode="auto">
                              <a:xfrm>
                                <a:off x="0" y="0"/>
                                <a:ext cx="906145" cy="430530"/>
                              </a:xfrm>
                              <a:prstGeom prst="rect">
                                <a:avLst/>
                              </a:prstGeom>
                              <a:solidFill>
                                <a:srgbClr val="FFFFFF"/>
                              </a:solidFill>
                              <a:ln w="9525">
                                <a:solidFill>
                                  <a:srgbClr val="000000"/>
                                </a:solidFill>
                                <a:miter lim="800000"/>
                              </a:ln>
                            </wps:spPr>
                            <wps:txbx>
                              <w:txbxContent>
                                <w:p>
                                  <w:r>
                                    <w:rPr>
                                      <w:rFonts w:hint="eastAsia"/>
                                    </w:rPr>
                                    <w:t>一道破碎、筛分</w:t>
                                  </w:r>
                                </w:p>
                              </w:txbxContent>
                            </wps:txbx>
                            <wps:bodyPr rot="0" vert="horz" wrap="square" lIns="91440" tIns="45720" rIns="91440" bIns="45720" anchor="t" anchorCtr="0" upright="1">
                              <a:noAutofit/>
                            </wps:bodyPr>
                          </wps:wsp>
                        </a:graphicData>
                      </a:graphic>
                    </wp:anchor>
                  </w:drawing>
                </mc:Choice>
                <mc:Fallback>
                  <w:pict>
                    <v:rect id="矩形 10" o:spid="_x0000_s1026" o:spt="1" style="position:absolute;left:0pt;margin-left:8.6pt;margin-top:15.65pt;height:33.9pt;width:71.35pt;z-index:251718656;mso-width-relative:page;mso-height-relative:page;" fillcolor="#FFFFFF" filled="t" stroked="t" coordsize="21600,21600" o:gfxdata="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U5RkrWAAAACAEAAA8AAAAAAAAAAQAgAAAAIgAAAGRy&#10;cy9kb3ducmV2LnhtbFBLAQIUABQAAAAIAIdO4kAlsExsQAIAAIMEAAAOAAAAAAAAAAEAIAAAACUB&#10;AABkcnMvZTJvRG9jLnhtbFBLBQYAAAAABgAGAFkBAADXBQAAAAA=&#10;">
                      <v:fill on="t" focussize="0,0"/>
                      <v:stroke color="#000000" miterlimit="8" joinstyle="miter"/>
                      <v:imagedata o:title=""/>
                      <o:lock v:ext="edit" aspectratio="f"/>
                      <v:textbox>
                        <w:txbxContent>
                          <w:p>
                            <w:r>
                              <w:rPr>
                                <w:rFonts w:hint="eastAsia"/>
                              </w:rPr>
                              <w:t>一道破碎、筛分</w:t>
                            </w:r>
                          </w:p>
                        </w:txbxContent>
                      </v:textbox>
                    </v:rect>
                  </w:pict>
                </mc:Fallback>
              </mc:AlternateContent>
            </w:r>
          </w:p>
          <w:p>
            <w:pPr>
              <w:snapToGrid w:val="0"/>
              <w:spacing w:line="360" w:lineRule="auto"/>
              <w:rPr>
                <w:b/>
                <w:bCs/>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2332355</wp:posOffset>
                      </wp:positionH>
                      <wp:positionV relativeFrom="paragraph">
                        <wp:posOffset>106045</wp:posOffset>
                      </wp:positionV>
                      <wp:extent cx="492760" cy="0"/>
                      <wp:effectExtent l="13335" t="60960" r="17780" b="53340"/>
                      <wp:wrapNone/>
                      <wp:docPr id="1290254262"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5" o:spid="_x0000_s1026" o:spt="32" type="#_x0000_t32" style="position:absolute;left:0pt;margin-left:183.65pt;margin-top:8.35pt;height:0pt;width:38.8pt;z-index:251720704;mso-width-relative:page;mso-height-relative:page;" filled="f" stroked="t" coordsize="21600,21600" o:gfxdata="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f/kE2AAAAAkB&#10;AAAPAAAAAAAAAAEAIAAAACIAAABkcnMvZG93bnJldi54bWxQSwECFAAUAAAACACHTuJAfbMFABsC&#10;AAACBAAADgAAAAAAAAABACAAAAAnAQAAZHJzL2Uyb0RvYy54bWxQSwUGAAAAAAYABgBZAQAAtAUA&#10;AAAA&#10;">
                      <v:fill on="f" focussize="0,0"/>
                      <v:stroke color="#000000" joinstyle="round" endarrow="block"/>
                      <v:imagedata o:title=""/>
                      <o:lock v:ext="edit" aspectratio="f"/>
                    </v:shape>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999490</wp:posOffset>
                      </wp:positionH>
                      <wp:positionV relativeFrom="paragraph">
                        <wp:posOffset>111760</wp:posOffset>
                      </wp:positionV>
                      <wp:extent cx="376555" cy="0"/>
                      <wp:effectExtent l="7620" t="54610" r="15875" b="59690"/>
                      <wp:wrapNone/>
                      <wp:docPr id="1754956517"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4" o:spid="_x0000_s1026" o:spt="32" type="#_x0000_t32" style="position:absolute;left:0pt;margin-left:78.7pt;margin-top:8.8pt;height:0pt;width:29.65pt;z-index:251719680;mso-width-relative:page;mso-height-relative:page;" filled="f" stroked="t" coordsize="21600,21600" o:gfxdata="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tlBfn2AAAAAkB&#10;AAAPAAAAAAAAAAEAIAAAACIAAABkcnMvZG93bnJldi54bWxQSwECFAAUAAAACACHTuJAW4HqeBsC&#10;AAACBAAADgAAAAAAAAABACAAAAAnAQAAZHJzL2Uyb0RvYy54bWxQSwUGAAAAAAYABgBZAQAAtAUA&#10;AAAA&#10;">
                      <v:fill on="f" focussize="0,0"/>
                      <v:stroke color="#000000" joinstyle="round" endarrow="block"/>
                      <v:imagedata o:title=""/>
                      <o:lock v:ext="edit" aspectratio="f"/>
                    </v:shape>
                  </w:pict>
                </mc:Fallback>
              </mc:AlternateContent>
            </w: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b/>
                <w:bCs/>
                <w:color w:val="000000" w:themeColor="text1"/>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1047750</wp:posOffset>
                      </wp:positionH>
                      <wp:positionV relativeFrom="paragraph">
                        <wp:posOffset>72390</wp:posOffset>
                      </wp:positionV>
                      <wp:extent cx="755015" cy="260350"/>
                      <wp:effectExtent l="0" t="3810" r="0" b="2540"/>
                      <wp:wrapNone/>
                      <wp:docPr id="1493514375" name="矩形 19"/>
                      <wp:cNvGraphicFramePr/>
                      <a:graphic xmlns:a="http://schemas.openxmlformats.org/drawingml/2006/main">
                        <a:graphicData uri="http://schemas.microsoft.com/office/word/2010/wordprocessingShape">
                          <wps:wsp>
                            <wps:cNvSpPr>
                              <a:spLocks noChangeArrowheads="1"/>
                            </wps:cNvSpPr>
                            <wps:spPr bwMode="auto">
                              <a:xfrm>
                                <a:off x="0" y="0"/>
                                <a:ext cx="755015" cy="260350"/>
                              </a:xfrm>
                              <a:prstGeom prst="rect">
                                <a:avLst/>
                              </a:prstGeom>
                              <a:solidFill>
                                <a:srgbClr val="FFFFFF"/>
                              </a:solidFill>
                              <a:ln>
                                <a:noFill/>
                              </a:ln>
                            </wps:spPr>
                            <wps:txbx>
                              <w:txbxContent>
                                <w:p>
                                  <w:r>
                                    <w:rPr>
                                      <w:rFonts w:hint="eastAsia"/>
                                    </w:rPr>
                                    <w:t>颗粒物</w:t>
                                  </w:r>
                                </w:p>
                              </w:txbxContent>
                            </wps:txbx>
                            <wps:bodyPr rot="0" vert="horz" wrap="square" lIns="91440" tIns="45720" rIns="91440" bIns="45720" anchor="t" anchorCtr="0" upright="1">
                              <a:noAutofit/>
                            </wps:bodyPr>
                          </wps:wsp>
                        </a:graphicData>
                      </a:graphic>
                    </wp:anchor>
                  </w:drawing>
                </mc:Choice>
                <mc:Fallback>
                  <w:pict>
                    <v:rect id="矩形 19" o:spid="_x0000_s1026" o:spt="1" style="position:absolute;left:0pt;margin-left:82.5pt;margin-top:5.7pt;height:20.5pt;width:59.45pt;z-index:251717632;mso-width-relative:page;mso-height-relative:page;" fillcolor="#FFFFFF" filled="t" stroked="f" coordsize="21600,21600" o:gfxdata="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U2vXrXAAAACQEAAA8AAAAAAAAAAQAgAAAAIgAAAGRycy9kb3ducmV2LnhtbFBLAQIUABQA&#10;AAAIAIdO4kAG/8BHKgIAADoEAAAOAAAAAAAAAAEAIAAAACYBAABkcnMvZTJvRG9jLnhtbFBLBQYA&#10;AAAABgAGAFkBAADCBQAAAAA=&#10;">
                      <v:fill on="t" focussize="0,0"/>
                      <v:stroke on="f"/>
                      <v:imagedata o:title=""/>
                      <o:lock v:ext="edit" aspectratio="f"/>
                      <v:textbox>
                        <w:txbxContent>
                          <w:p>
                            <w:r>
                              <w:rPr>
                                <w:rFonts w:hint="eastAsia"/>
                              </w:rPr>
                              <w:t>颗粒物</w:t>
                            </w:r>
                          </w:p>
                        </w:txbxContent>
                      </v:textbox>
                    </v:rect>
                  </w:pict>
                </mc:Fallback>
              </mc:AlternateConten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95250</wp:posOffset>
                      </wp:positionH>
                      <wp:positionV relativeFrom="paragraph">
                        <wp:posOffset>86360</wp:posOffset>
                      </wp:positionV>
                      <wp:extent cx="916940" cy="577850"/>
                      <wp:effectExtent l="0" t="0" r="16510" b="12700"/>
                      <wp:wrapNone/>
                      <wp:docPr id="632466137" name="矩形 16"/>
                      <wp:cNvGraphicFramePr/>
                      <a:graphic xmlns:a="http://schemas.openxmlformats.org/drawingml/2006/main">
                        <a:graphicData uri="http://schemas.microsoft.com/office/word/2010/wordprocessingShape">
                          <wps:wsp>
                            <wps:cNvSpPr>
                              <a:spLocks noChangeArrowheads="1"/>
                            </wps:cNvSpPr>
                            <wps:spPr bwMode="auto">
                              <a:xfrm>
                                <a:off x="0" y="0"/>
                                <a:ext cx="916940" cy="577850"/>
                              </a:xfrm>
                              <a:prstGeom prst="rect">
                                <a:avLst/>
                              </a:prstGeom>
                              <a:solidFill>
                                <a:srgbClr val="FFFFFF"/>
                              </a:solidFill>
                              <a:ln w="9525">
                                <a:solidFill>
                                  <a:srgbClr val="000000"/>
                                </a:solidFill>
                                <a:miter lim="800000"/>
                              </a:ln>
                            </wps:spPr>
                            <wps:txbx>
                              <w:txbxContent>
                                <w:p>
                                  <w:r>
                                    <w:rPr>
                                      <w:rFonts w:hint="eastAsia"/>
                                    </w:rPr>
                                    <w:t>钾钠长石粉烘干包装废气</w:t>
                                  </w:r>
                                </w:p>
                              </w:txbxContent>
                            </wps:txbx>
                            <wps:bodyPr rot="0" vert="horz" wrap="square" lIns="91440" tIns="45720" rIns="91440" bIns="45720" anchor="t" anchorCtr="0" upright="1">
                              <a:noAutofit/>
                            </wps:bodyPr>
                          </wps:wsp>
                        </a:graphicData>
                      </a:graphic>
                    </wp:anchor>
                  </w:drawing>
                </mc:Choice>
                <mc:Fallback>
                  <w:pict>
                    <v:rect id="矩形 16" o:spid="_x0000_s1026" o:spt="1" style="position:absolute;left:0pt;margin-left:7.5pt;margin-top:6.8pt;height:45.5pt;width:72.2pt;z-index:251710464;mso-width-relative:page;mso-height-relative:page;" fillcolor="#FFFFFF" filled="t" stroked="t" coordsize="21600,21600" o:gfxdata="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5nyjq1wAAAAkBAAAPAAAAAAAAAAEAIAAAACIAAABk&#10;cnMvZG93bnJldi54bWxQSwECFAAUAAAACACHTuJAJKXn40ACAACCBAAADgAAAAAAAAABACAAAAAm&#10;AQAAZHJzL2Uyb0RvYy54bWxQSwUGAAAAAAYABgBZAQAA2AUAAAAA&#10;">
                      <v:fill on="t" focussize="0,0"/>
                      <v:stroke color="#000000" miterlimit="8" joinstyle="miter"/>
                      <v:imagedata o:title=""/>
                      <o:lock v:ext="edit" aspectratio="f"/>
                      <v:textbox>
                        <w:txbxContent>
                          <w:p>
                            <w:r>
                              <w:rPr>
                                <w:rFonts w:hint="eastAsia"/>
                              </w:rPr>
                              <w:t>钾钠长石粉烘干包装废气</w:t>
                            </w:r>
                          </w:p>
                        </w:txbxContent>
                      </v:textbox>
                    </v:rect>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3900805</wp:posOffset>
                      </wp:positionH>
                      <wp:positionV relativeFrom="paragraph">
                        <wp:posOffset>182245</wp:posOffset>
                      </wp:positionV>
                      <wp:extent cx="775335" cy="431800"/>
                      <wp:effectExtent l="0" t="0" r="24765" b="25400"/>
                      <wp:wrapNone/>
                      <wp:docPr id="643082636" name="矩形 17"/>
                      <wp:cNvGraphicFramePr/>
                      <a:graphic xmlns:a="http://schemas.openxmlformats.org/drawingml/2006/main">
                        <a:graphicData uri="http://schemas.microsoft.com/office/word/2010/wordprocessingShape">
                          <wps:wsp>
                            <wps:cNvSpPr>
                              <a:spLocks noChangeArrowheads="1"/>
                            </wps:cNvSpPr>
                            <wps:spPr bwMode="auto">
                              <a:xfrm>
                                <a:off x="0" y="0"/>
                                <a:ext cx="775335" cy="431800"/>
                              </a:xfrm>
                              <a:prstGeom prst="rect">
                                <a:avLst/>
                              </a:prstGeom>
                              <a:solidFill>
                                <a:srgbClr val="FFFFFF"/>
                              </a:solidFill>
                              <a:ln w="9525">
                                <a:solidFill>
                                  <a:srgbClr val="000000"/>
                                </a:solidFill>
                                <a:miter lim="800000"/>
                              </a:ln>
                            </wps:spPr>
                            <wps:txbx>
                              <w:txbxContent>
                                <w:p>
                                  <w:r>
                                    <w:rPr>
                                      <w:rFonts w:hint="eastAsia"/>
                                    </w:rPr>
                                    <w:t>无组织排放</w:t>
                                  </w:r>
                                </w:p>
                              </w:txbxContent>
                            </wps:txbx>
                            <wps:bodyPr rot="0" vert="horz" wrap="square" lIns="91440" tIns="45720" rIns="91440" bIns="45720" anchor="t" anchorCtr="0" upright="1">
                              <a:noAutofit/>
                            </wps:bodyPr>
                          </wps:wsp>
                        </a:graphicData>
                      </a:graphic>
                    </wp:anchor>
                  </w:drawing>
                </mc:Choice>
                <mc:Fallback>
                  <w:pict>
                    <v:rect id="矩形 17" o:spid="_x0000_s1026" o:spt="1" style="position:absolute;left:0pt;margin-left:307.15pt;margin-top:14.35pt;height:34pt;width:61.05pt;z-index:251712512;mso-width-relative:page;mso-height-relative:page;" fillcolor="#FFFFFF" filled="t" stroked="t" coordsize="21600,21600" o:gfxdata="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dK1w2AAAAAkBAAAPAAAAAAAAAAEAIAAAACIA&#10;AABkcnMvZG93bnJldi54bWxQSwECFAAUAAAACACHTuJAzcLIt0ICAACCBAAADgAAAAAAAAABACAA&#10;AAAnAQAAZHJzL2Uyb0RvYy54bWxQSwUGAAAAAAYABgBZAQAA2wUAAAAA&#10;">
                      <v:fill on="t" focussize="0,0"/>
                      <v:stroke color="#000000" miterlimit="8" joinstyle="miter"/>
                      <v:imagedata o:title=""/>
                      <o:lock v:ext="edit" aspectratio="f"/>
                      <v:textbox>
                        <w:txbxContent>
                          <w:p>
                            <w:r>
                              <w:rPr>
                                <w:rFonts w:hint="eastAsia"/>
                              </w:rPr>
                              <w:t>无组织排放</w:t>
                            </w:r>
                          </w:p>
                        </w:txbxContent>
                      </v:textbox>
                    </v:rect>
                  </w:pict>
                </mc:Fallback>
              </mc:AlternateContent>
            </w:r>
          </w:p>
          <w:p>
            <w:pPr>
              <w:snapToGrid w:val="0"/>
              <w:spacing w:line="360" w:lineRule="auto"/>
              <w:ind w:firstLine="420" w:firstLineChars="200"/>
              <w:rPr>
                <w:color w:val="000000" w:themeColor="text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2543175</wp:posOffset>
                      </wp:positionH>
                      <wp:positionV relativeFrom="paragraph">
                        <wp:posOffset>6985</wp:posOffset>
                      </wp:positionV>
                      <wp:extent cx="1023620" cy="342900"/>
                      <wp:effectExtent l="8255" t="10160" r="6350" b="8890"/>
                      <wp:wrapNone/>
                      <wp:docPr id="838672401" name="矩形 18"/>
                      <wp:cNvGraphicFramePr/>
                      <a:graphic xmlns:a="http://schemas.openxmlformats.org/drawingml/2006/main">
                        <a:graphicData uri="http://schemas.microsoft.com/office/word/2010/wordprocessingShape">
                          <wps:wsp>
                            <wps:cNvSpPr>
                              <a:spLocks noChangeArrowheads="1"/>
                            </wps:cNvSpPr>
                            <wps:spPr bwMode="auto">
                              <a:xfrm>
                                <a:off x="0" y="0"/>
                                <a:ext cx="1023620" cy="342900"/>
                              </a:xfrm>
                              <a:prstGeom prst="rect">
                                <a:avLst/>
                              </a:prstGeom>
                              <a:solidFill>
                                <a:srgbClr val="FFFFFF"/>
                              </a:solidFill>
                              <a:ln w="9525">
                                <a:solidFill>
                                  <a:srgbClr val="000000"/>
                                </a:solidFill>
                                <a:miter lim="800000"/>
                              </a:ln>
                            </wps:spPr>
                            <wps:txbx>
                              <w:txbxContent>
                                <w:p>
                                  <w:pPr>
                                    <w:rPr>
                                      <w:color w:val="FF0000"/>
                                    </w:rPr>
                                  </w:pPr>
                                  <w:r>
                                    <w:rPr>
                                      <w:rFonts w:hint="eastAsia"/>
                                    </w:rPr>
                                    <w:t>布袋除尘装置</w:t>
                                  </w:r>
                                </w:p>
                              </w:txbxContent>
                            </wps:txbx>
                            <wps:bodyPr rot="0" vert="horz" wrap="square" lIns="91440" tIns="45720" rIns="91440" bIns="45720" anchor="t" anchorCtr="0" upright="1">
                              <a:noAutofit/>
                            </wps:bodyPr>
                          </wps:wsp>
                        </a:graphicData>
                      </a:graphic>
                    </wp:anchor>
                  </w:drawing>
                </mc:Choice>
                <mc:Fallback>
                  <w:pict>
                    <v:rect id="矩形 18" o:spid="_x0000_s1026" o:spt="1" style="position:absolute;left:0pt;margin-left:200.25pt;margin-top:0.55pt;height:27pt;width:80.6pt;z-index:251715584;mso-width-relative:page;mso-height-relative:page;" fillcolor="#FFFFFF" filled="t" stroked="t" coordsize="21600,21600" o:gfxdata="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eF4/rWAAAACAEAAA8AAAAAAAAAAQAgAAAAIgAAAGRy&#10;cy9kb3ducmV2LnhtbFBLAQIUABQAAAAIAIdO4kAypIoVQAIAAIMEAAAOAAAAAAAAAAEAIAAAACUB&#10;AABkcnMvZTJvRG9jLnhtbFBLBQYAAAAABgAGAFkBAADXBQAAAAA=&#10;">
                      <v:fill on="t" focussize="0,0"/>
                      <v:stroke color="#000000" miterlimit="8" joinstyle="miter"/>
                      <v:imagedata o:title=""/>
                      <o:lock v:ext="edit" aspectratio="f"/>
                      <v:textbox>
                        <w:txbxContent>
                          <w:p>
                            <w:pPr>
                              <w:rPr>
                                <w:color w:val="FF0000"/>
                              </w:rPr>
                            </w:pPr>
                            <w:r>
                              <w:rPr>
                                <w:rFonts w:hint="eastAsia"/>
                              </w:rPr>
                              <w:t>布袋除尘装置</w:t>
                            </w:r>
                          </w:p>
                        </w:txbxContent>
                      </v:textbox>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3564255</wp:posOffset>
                      </wp:positionH>
                      <wp:positionV relativeFrom="paragraph">
                        <wp:posOffset>170180</wp:posOffset>
                      </wp:positionV>
                      <wp:extent cx="334010" cy="635"/>
                      <wp:effectExtent l="10160" t="53975" r="17780" b="59690"/>
                      <wp:wrapNone/>
                      <wp:docPr id="585512294"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15" o:spid="_x0000_s1026" o:spt="32" type="#_x0000_t32" style="position:absolute;left:0pt;margin-left:280.65pt;margin-top:13.4pt;height:0.05pt;width:26.3pt;z-index:251716608;mso-width-relative:page;mso-height-relative:page;" filled="f" stroked="t" coordsize="21600,21600" o:gfxdata="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DcyEdgAAAAJAQAA&#10;DwAAAAAAAAABACAAAAAiAAAAZHJzL2Rvd25yZXYueG1sUEsBAhQAFAAAAAgAh07iQM4w9RUZAgAA&#10;9gMAAA4AAAAAAAAAAQAgAAAAJwEAAGRycy9lMm9Eb2MueG1sUEsFBgAAAAAGAAYAWQEAALIFAAAA&#10;AA==&#10;">
                      <v:fill on="f" focussize="0,0"/>
                      <v:stroke color="#000000" joinstyle="round" endarrow="block"/>
                      <v:imagedata o:title=""/>
                      <o:lock v:ext="edit" aspectratio="f"/>
                    </v:shape>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2279015</wp:posOffset>
                      </wp:positionH>
                      <wp:positionV relativeFrom="paragraph">
                        <wp:posOffset>176530</wp:posOffset>
                      </wp:positionV>
                      <wp:extent cx="255270" cy="0"/>
                      <wp:effectExtent l="10795" t="60325" r="19685" b="53975"/>
                      <wp:wrapNone/>
                      <wp:docPr id="953922300"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tailEnd type="triangle" w="med" len="med"/>
                              </a:ln>
                              <a:effectLst/>
                            </wps:spPr>
                            <wps:bodyPr/>
                          </wps:wsp>
                        </a:graphicData>
                      </a:graphic>
                    </wp:anchor>
                  </w:drawing>
                </mc:Choice>
                <mc:Fallback>
                  <w:pict>
                    <v:shape id="直接箭头连接符 14" o:spid="_x0000_s1026" o:spt="32" type="#_x0000_t32" style="position:absolute;left:0pt;margin-left:179.45pt;margin-top:13.9pt;height:0pt;width:20.1pt;z-index:251714560;mso-width-relative:page;mso-height-relative:page;" filled="f" stroked="t" coordsize="21600,21600" o:gfxdata="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uoE8HZAAAACQEA&#10;AA8AAAAAAAAAAQAgAAAAIgAAAGRycy9kb3ducmV2LnhtbFBLAQIUABQAAAAIAIdO4kAP4LctGQIA&#10;AAIEAAAOAAAAAAAAAAEAIAAAACgBAABkcnMvZTJvRG9jLnhtbFBLBQYAAAAABgAGAFkBAACzBQAA&#10;AAA=&#10;">
                      <v:fill on="f" focussize="0,0"/>
                      <v:stroke color="#000000" joinstyle="round" endarrow="block"/>
                      <v:imagedata o:title=""/>
                      <o:lock v:ext="edit" aspectratio="f"/>
                    </v:shape>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1378585</wp:posOffset>
                      </wp:positionH>
                      <wp:positionV relativeFrom="paragraph">
                        <wp:posOffset>31750</wp:posOffset>
                      </wp:positionV>
                      <wp:extent cx="899160" cy="271145"/>
                      <wp:effectExtent l="5715" t="10795" r="9525" b="13335"/>
                      <wp:wrapNone/>
                      <wp:docPr id="739711311" name="矩形 13"/>
                      <wp:cNvGraphicFramePr/>
                      <a:graphic xmlns:a="http://schemas.openxmlformats.org/drawingml/2006/main">
                        <a:graphicData uri="http://schemas.microsoft.com/office/word/2010/wordprocessingShape">
                          <wps:wsp>
                            <wps:cNvSpPr>
                              <a:spLocks noChangeArrowheads="1"/>
                            </wps:cNvSpPr>
                            <wps:spPr bwMode="auto">
                              <a:xfrm>
                                <a:off x="0" y="0"/>
                                <a:ext cx="899160" cy="271145"/>
                              </a:xfrm>
                              <a:prstGeom prst="rect">
                                <a:avLst/>
                              </a:prstGeom>
                              <a:solidFill>
                                <a:srgbClr val="FFFFFF"/>
                              </a:solidFill>
                              <a:ln w="9525">
                                <a:solidFill>
                                  <a:srgbClr val="000000"/>
                                </a:solidFill>
                                <a:miter lim="800000"/>
                              </a:ln>
                            </wps:spPr>
                            <wps:txbx>
                              <w:txbxContent>
                                <w:p>
                                  <w:pPr>
                                    <w:rPr>
                                      <w:color w:val="FF0000"/>
                                    </w:rPr>
                                  </w:pPr>
                                  <w:r>
                                    <w:rPr>
                                      <w:rFonts w:hint="eastAsia"/>
                                    </w:rPr>
                                    <w:t>集气管道</w:t>
                                  </w:r>
                                </w:p>
                              </w:txbxContent>
                            </wps:txbx>
                            <wps:bodyPr rot="0" vert="horz" wrap="square" lIns="91440" tIns="45720" rIns="91440" bIns="45720" anchor="t" anchorCtr="0" upright="1">
                              <a:noAutofit/>
                            </wps:bodyPr>
                          </wps:wsp>
                        </a:graphicData>
                      </a:graphic>
                    </wp:anchor>
                  </w:drawing>
                </mc:Choice>
                <mc:Fallback>
                  <w:pict>
                    <v:rect id="矩形 13" o:spid="_x0000_s1026" o:spt="1" style="position:absolute;left:0pt;margin-left:108.55pt;margin-top:2.5pt;height:21.35pt;width:70.8pt;z-index:251711488;mso-width-relative:page;mso-height-relative:page;" fillcolor="#FFFFFF" filled="t" stroked="t" coordsize="21600,21600" o:gfxdata="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c7sgNcAAAAIAQAADwAAAAAAAAABACAAAAAiAAAAZHJz&#10;L2Rvd25yZXYueG1sUEsBAhQAFAAAAAgAh07iQMt/reI+AgAAggQAAA4AAAAAAAAAAQAgAAAAJgEA&#10;AGRycy9lMm9Eb2MueG1sUEsFBgAAAAAGAAYAWQEAANYFAAAAAA==&#10;">
                      <v:fill on="t" focussize="0,0"/>
                      <v:stroke color="#000000" miterlimit="8" joinstyle="miter"/>
                      <v:imagedata o:title=""/>
                      <o:lock v:ext="edit" aspectratio="f"/>
                      <v:textbox>
                        <w:txbxContent>
                          <w:p>
                            <w:pPr>
                              <w:rPr>
                                <w:color w:val="FF0000"/>
                              </w:rPr>
                            </w:pPr>
                            <w:r>
                              <w:rPr>
                                <w:rFonts w:hint="eastAsia"/>
                              </w:rPr>
                              <w:t>集气管道</w:t>
                            </w:r>
                          </w:p>
                        </w:txbxContent>
                      </v:textbox>
                    </v:rect>
                  </w:pict>
                </mc:Fallback>
              </mc:AlternateContent>
            </w:r>
            <w:r>
              <w:rPr>
                <w:b/>
                <w:bCs/>
                <w:color w:val="000000" w:themeColor="text1"/>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999490</wp:posOffset>
                      </wp:positionH>
                      <wp:positionV relativeFrom="paragraph">
                        <wp:posOffset>178435</wp:posOffset>
                      </wp:positionV>
                      <wp:extent cx="376555" cy="635"/>
                      <wp:effectExtent l="7620" t="52705" r="15875" b="60960"/>
                      <wp:wrapNone/>
                      <wp:docPr id="2049021600" name="连接符: 肘形 12"/>
                      <wp:cNvGraphicFramePr/>
                      <a:graphic xmlns:a="http://schemas.openxmlformats.org/drawingml/2006/main">
                        <a:graphicData uri="http://schemas.microsoft.com/office/word/2010/wordprocessingShape">
                          <wps:wsp>
                            <wps:cNvCnPr>
                              <a:cxnSpLocks noChangeShapeType="1"/>
                            </wps:cNvCnPr>
                            <wps:spPr bwMode="auto">
                              <a:xfrm>
                                <a:off x="0" y="0"/>
                                <a:ext cx="376555" cy="635"/>
                              </a:xfrm>
                              <a:prstGeom prst="bentConnector3">
                                <a:avLst>
                                  <a:gd name="adj1" fmla="val 49917"/>
                                </a:avLst>
                              </a:prstGeom>
                              <a:noFill/>
                              <a:ln w="9525">
                                <a:solidFill>
                                  <a:srgbClr val="000000"/>
                                </a:solidFill>
                                <a:miter lim="800000"/>
                                <a:tailEnd type="triangle" w="med" len="med"/>
                              </a:ln>
                              <a:effectLst/>
                            </wps:spPr>
                            <wps:bodyPr/>
                          </wps:wsp>
                        </a:graphicData>
                      </a:graphic>
                    </wp:anchor>
                  </w:drawing>
                </mc:Choice>
                <mc:Fallback>
                  <w:pict>
                    <v:shape id="连接符: 肘形 12" o:spid="_x0000_s1026" o:spt="34" type="#_x0000_t34" style="position:absolute;left:0pt;margin-left:78.7pt;margin-top:14.05pt;height:0.05pt;width:29.65pt;z-index:251713536;mso-width-relative:page;mso-height-relative:page;" filled="f" stroked="t" coordsize="21600,21600" o:gfxdata="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u+xRDVAAAACQEAAA8AAAAAAAAAAQAgAAAAIgAAAGRycy9kb3ducmV2&#10;LnhtbFBLAQIUABQAAAAIAIdO4kAcLcASOAIAADcEAAAOAAAAAAAAAAEAIAAAACQBAABkcnMvZTJv&#10;RG9jLnhtbFBLBQYAAAAABgAGAFkBAADOBQAAAAA=&#10;" adj="10782">
                      <v:fill on="f" focussize="0,0"/>
                      <v:stroke color="#000000" miterlimit="8" joinstyle="miter" endarrow="block"/>
                      <v:imagedata o:title=""/>
                      <o:lock v:ext="edit" aspectratio="f"/>
                    </v:shape>
                  </w:pict>
                </mc:Fallback>
              </mc:AlternateContent>
            </w:r>
          </w:p>
          <w:p>
            <w:pPr>
              <w:adjustRightInd w:val="0"/>
              <w:snapToGrid w:val="0"/>
              <w:spacing w:line="360" w:lineRule="auto"/>
              <w:rPr>
                <w:rFonts w:ascii="宋体" w:hAnsi="宋体"/>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p>
          <w:p>
            <w:pPr>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w:t>
            </w:r>
            <w:r>
              <w:rPr>
                <w:rFonts w:hint="eastAsia"/>
                <w:b/>
                <w:bCs/>
                <w:color w:val="000000" w:themeColor="text1"/>
                <w:szCs w:val="21"/>
                <w14:textFill>
                  <w14:solidFill>
                    <w14:schemeClr w14:val="tx1"/>
                  </w14:solidFill>
                </w14:textFill>
              </w:rPr>
              <w:t>4-</w:t>
            </w:r>
            <w:r>
              <w:rPr>
                <w:b/>
                <w:bCs/>
                <w:color w:val="000000" w:themeColor="text1"/>
                <w:szCs w:val="21"/>
                <w14:textFill>
                  <w14:solidFill>
                    <w14:schemeClr w14:val="tx1"/>
                  </w14:solidFill>
                </w14:textFill>
              </w:rPr>
              <w:t>4 项目废气污染防治措施图</w:t>
            </w:r>
          </w:p>
          <w:bookmarkEnd w:id="8"/>
          <w:p>
            <w:pPr>
              <w:adjustRightInd w:val="0"/>
              <w:snapToGrid w:val="0"/>
              <w:spacing w:line="360" w:lineRule="auto"/>
              <w:ind w:firstLine="440" w:firstLineChars="200"/>
              <w:rPr>
                <w:bCs/>
                <w:color w:val="000000" w:themeColor="text1"/>
                <w:spacing w:val="-10"/>
                <w:sz w:val="24"/>
                <w14:textFill>
                  <w14:solidFill>
                    <w14:schemeClr w14:val="tx1"/>
                  </w14:solidFill>
                </w14:textFill>
              </w:rPr>
            </w:pPr>
          </w:p>
          <w:p>
            <w:pPr>
              <w:adjustRightInd w:val="0"/>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bookmarkStart w:id="10" w:name="_Hlk99621044"/>
            <w:r>
              <w:rPr>
                <w:b/>
                <w:bCs/>
                <w:color w:val="000000" w:themeColor="text1"/>
                <w:sz w:val="24"/>
                <w14:textFill>
                  <w14:solidFill>
                    <w14:schemeClr w14:val="tx1"/>
                  </w14:solidFill>
                </w14:textFill>
              </w:rPr>
              <w:t>4</w:t>
            </w:r>
            <w:r>
              <w:rPr>
                <w:rFonts w:hint="eastAsia"/>
                <w:b/>
                <w:bCs/>
                <w:color w:val="000000" w:themeColor="text1"/>
                <w:sz w:val="24"/>
                <w14:textFill>
                  <w14:solidFill>
                    <w14:schemeClr w14:val="tx1"/>
                  </w14:solidFill>
                </w14:textFill>
              </w:rPr>
              <w:t>正常工况下废气达标分析</w:t>
            </w:r>
          </w:p>
          <w:p>
            <w:pPr>
              <w:adjustRightInd w:val="0"/>
              <w:spacing w:line="360" w:lineRule="auto"/>
              <w:ind w:firstLine="480" w:firstLineChars="200"/>
              <w:rPr>
                <w:b/>
                <w:color w:val="000000" w:themeColor="text1"/>
                <w:szCs w:val="21"/>
                <w:u w:val="single"/>
                <w14:textFill>
                  <w14:solidFill>
                    <w14:schemeClr w14:val="tx1"/>
                  </w14:solidFill>
                </w14:textFill>
              </w:rPr>
            </w:pPr>
            <w:r>
              <w:rPr>
                <w:color w:val="000000" w:themeColor="text1"/>
                <w:sz w:val="24"/>
                <w:u w:val="single"/>
                <w14:textFill>
                  <w14:solidFill>
                    <w14:schemeClr w14:val="tx1"/>
                  </w14:solidFill>
                </w14:textFill>
              </w:rPr>
              <w:t>本项目设有3根排气筒，排气筒污染物排放情况见表4-10，项目</w:t>
            </w:r>
            <w:r>
              <w:rPr>
                <w:rFonts w:hint="eastAsia"/>
                <w:color w:val="000000" w:themeColor="text1"/>
                <w:sz w:val="24"/>
                <w:u w:val="single"/>
                <w14:textFill>
                  <w14:solidFill>
                    <w14:schemeClr w14:val="tx1"/>
                  </w14:solidFill>
                </w14:textFill>
              </w:rPr>
              <w:t>破碎、制棒排放的颗粒物</w:t>
            </w:r>
            <w:r>
              <w:rPr>
                <w:color w:val="000000" w:themeColor="text1"/>
                <w:sz w:val="24"/>
                <w:u w:val="single"/>
                <w14:textFill>
                  <w14:solidFill>
                    <w14:schemeClr w14:val="tx1"/>
                  </w14:solidFill>
                </w14:textFill>
              </w:rPr>
              <w:t>能够满足《大气污染物综合排放标准》（GB16297-1996）表2中限值要求</w:t>
            </w:r>
            <w:r>
              <w:rPr>
                <w:rFonts w:hint="eastAsia"/>
                <w:color w:val="000000" w:themeColor="text1"/>
                <w:sz w:val="24"/>
                <w:u w:val="single"/>
                <w14:textFill>
                  <w14:solidFill>
                    <w14:schemeClr w14:val="tx1"/>
                  </w14:solidFill>
                </w14:textFill>
              </w:rPr>
              <w:t>；烘干、炭化</w:t>
            </w:r>
            <w:r>
              <w:rPr>
                <w:color w:val="000000" w:themeColor="text1"/>
                <w:sz w:val="24"/>
                <w:u w:val="single"/>
                <w14:textFill>
                  <w14:solidFill>
                    <w14:schemeClr w14:val="tx1"/>
                  </w14:solidFill>
                </w14:textFill>
              </w:rPr>
              <w:t>废气排放的</w:t>
            </w:r>
            <w:r>
              <w:rPr>
                <w:rFonts w:hint="eastAsia"/>
                <w:color w:val="000000" w:themeColor="text1"/>
                <w:sz w:val="24"/>
                <w:u w:val="single"/>
                <w14:textFill>
                  <w14:solidFill>
                    <w14:schemeClr w14:val="tx1"/>
                  </w14:solidFill>
                </w14:textFill>
              </w:rPr>
              <w:t>颗粒物、二氧化硫能够满足</w:t>
            </w:r>
            <w:r>
              <w:rPr>
                <w:color w:val="000000" w:themeColor="text1"/>
                <w:sz w:val="24"/>
                <w:u w:val="single"/>
                <w14:textFill>
                  <w14:solidFill>
                    <w14:schemeClr w14:val="tx1"/>
                  </w14:solidFill>
                </w14:textFill>
              </w:rPr>
              <w:t>《工业炉窑大气污染物排放标准》（GB9078-1996）</w:t>
            </w:r>
            <w:r>
              <w:rPr>
                <w:rFonts w:hint="eastAsia"/>
                <w:color w:val="000000" w:themeColor="text1"/>
                <w:sz w:val="24"/>
                <w:u w:val="single"/>
                <w14:textFill>
                  <w14:solidFill>
                    <w14:schemeClr w14:val="tx1"/>
                  </w14:solidFill>
                </w14:textFill>
              </w:rPr>
              <w:t>表2中加热炉</w:t>
            </w:r>
            <w:r>
              <w:rPr>
                <w:color w:val="000000" w:themeColor="text1"/>
                <w:sz w:val="24"/>
                <w:u w:val="single"/>
                <w14:textFill>
                  <w14:solidFill>
                    <w14:schemeClr w14:val="tx1"/>
                  </w14:solidFill>
                </w14:textFill>
              </w:rPr>
              <w:t>二级标准</w:t>
            </w:r>
            <w:r>
              <w:rPr>
                <w:rFonts w:hint="eastAsia"/>
                <w:color w:val="000000" w:themeColor="text1"/>
                <w:sz w:val="24"/>
                <w:u w:val="single"/>
                <w14:textFill>
                  <w14:solidFill>
                    <w14:schemeClr w14:val="tx1"/>
                  </w14:solidFill>
                </w14:textFill>
              </w:rPr>
              <w:t>要求、氮氧化物</w:t>
            </w:r>
            <w:r>
              <w:rPr>
                <w:color w:val="000000" w:themeColor="text1"/>
                <w:sz w:val="24"/>
                <w:u w:val="single"/>
                <w14:textFill>
                  <w14:solidFill>
                    <w14:schemeClr w14:val="tx1"/>
                  </w14:solidFill>
                </w14:textFill>
              </w:rPr>
              <w:t>能够满足《大气污染物综合排放标准》（GB16297-1996）表2中限值要求</w:t>
            </w:r>
            <w:r>
              <w:rPr>
                <w:bCs/>
                <w:color w:val="000000" w:themeColor="text1"/>
                <w:szCs w:val="21"/>
                <w:u w:val="single"/>
                <w14:textFill>
                  <w14:solidFill>
                    <w14:schemeClr w14:val="tx1"/>
                  </w14:solidFill>
                </w14:textFill>
              </w:rPr>
              <w:t>。</w:t>
            </w:r>
          </w:p>
          <w:p>
            <w:pPr>
              <w:adjustRightInd w:val="0"/>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表</w:t>
            </w:r>
            <w:r>
              <w:rPr>
                <w:b/>
                <w:color w:val="000000" w:themeColor="text1"/>
                <w:szCs w:val="21"/>
                <w14:textFill>
                  <w14:solidFill>
                    <w14:schemeClr w14:val="tx1"/>
                  </w14:solidFill>
                </w14:textFill>
              </w:rPr>
              <w:t>4</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 xml:space="preserve">12 </w:t>
            </w:r>
            <w:r>
              <w:rPr>
                <w:rFonts w:hint="eastAsia" w:ascii="宋体" w:hAnsi="宋体" w:cs="宋体"/>
                <w:b/>
                <w:color w:val="000000" w:themeColor="text1"/>
                <w:szCs w:val="21"/>
                <w14:textFill>
                  <w14:solidFill>
                    <w14:schemeClr w14:val="tx1"/>
                  </w14:solidFill>
                </w14:textFill>
              </w:rPr>
              <w:t>废气污染物达标排放情况</w:t>
            </w:r>
          </w:p>
          <w:tbl>
            <w:tblPr>
              <w:tblStyle w:val="24"/>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903"/>
              <w:gridCol w:w="1115"/>
              <w:gridCol w:w="1254"/>
              <w:gridCol w:w="1115"/>
              <w:gridCol w:w="930"/>
              <w:gridCol w:w="93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污染源</w:t>
                  </w:r>
                </w:p>
              </w:tc>
              <w:tc>
                <w:tcPr>
                  <w:tcW w:w="903"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tc>
              <w:tc>
                <w:tcPr>
                  <w:tcW w:w="1115"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排放速率（kg/h）</w:t>
                  </w:r>
                </w:p>
              </w:tc>
              <w:tc>
                <w:tcPr>
                  <w:tcW w:w="1254"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排放浓度（mg/m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1115"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执行标准</w:t>
                  </w:r>
                </w:p>
              </w:tc>
              <w:tc>
                <w:tcPr>
                  <w:tcW w:w="930"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浓度限值mg/m</w:t>
                  </w:r>
                  <w:r>
                    <w:rPr>
                      <w:b/>
                      <w:color w:val="000000" w:themeColor="text1"/>
                      <w:szCs w:val="21"/>
                      <w:vertAlign w:val="superscript"/>
                      <w14:textFill>
                        <w14:solidFill>
                          <w14:schemeClr w14:val="tx1"/>
                        </w14:solidFill>
                      </w14:textFill>
                    </w:rPr>
                    <w:t>3</w:t>
                  </w:r>
                </w:p>
              </w:tc>
              <w:tc>
                <w:tcPr>
                  <w:tcW w:w="93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速率限值kg/h</w:t>
                  </w:r>
                </w:p>
              </w:tc>
              <w:tc>
                <w:tcPr>
                  <w:tcW w:w="926" w:type="dxa"/>
                  <w:vAlign w:val="center"/>
                </w:tcPr>
                <w:p>
                  <w:pPr>
                    <w:ind w:left="-80" w:leftChars="-38" w:right="-113" w:rightChars="-54"/>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restart"/>
                  <w:vAlign w:val="center"/>
                </w:tcPr>
                <w:p>
                  <w:pPr>
                    <w:ind w:left="-48" w:leftChars="-23" w:right="-92" w:rightChars="-44"/>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DA002</w:t>
                  </w:r>
                </w:p>
              </w:tc>
              <w:tc>
                <w:tcPr>
                  <w:tcW w:w="90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115" w:type="dxa"/>
                  <w:tcMar>
                    <w:left w:w="0" w:type="dxa"/>
                    <w:right w:w="0" w:type="dxa"/>
                  </w:tcMar>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.01707</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1.14</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GB</w:t>
                  </w:r>
                  <w:r>
                    <w:rPr>
                      <w:rFonts w:hint="eastAsia"/>
                      <w:color w:val="000000" w:themeColor="text1"/>
                      <w:kern w:val="0"/>
                      <w:szCs w:val="21"/>
                      <w14:textFill>
                        <w14:solidFill>
                          <w14:schemeClr w14:val="tx1"/>
                        </w14:solidFill>
                      </w14:textFill>
                    </w:rPr>
                    <w:t>9078</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93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continue"/>
                  <w:vAlign w:val="center"/>
                </w:tcPr>
                <w:p>
                  <w:pPr>
                    <w:ind w:left="-48" w:leftChars="-23" w:right="-92" w:rightChars="-44"/>
                    <w:jc w:val="center"/>
                    <w:rPr>
                      <w:color w:val="000000" w:themeColor="text1"/>
                      <w:kern w:val="0"/>
                      <w:szCs w:val="21"/>
                      <w14:textFill>
                        <w14:solidFill>
                          <w14:schemeClr w14:val="tx1"/>
                        </w14:solidFill>
                      </w14:textFill>
                    </w:rPr>
                  </w:pPr>
                </w:p>
              </w:tc>
              <w:tc>
                <w:tcPr>
                  <w:tcW w:w="90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p>
              </w:tc>
              <w:tc>
                <w:tcPr>
                  <w:tcW w:w="1115" w:type="dxa"/>
                  <w:tcMar>
                    <w:left w:w="0" w:type="dxa"/>
                    <w:right w:w="0" w:type="dxa"/>
                  </w:tcMar>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.00002</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0.01</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GB</w:t>
                  </w:r>
                  <w:r>
                    <w:rPr>
                      <w:rFonts w:hint="eastAsia"/>
                      <w:color w:val="000000" w:themeColor="text1"/>
                      <w:kern w:val="0"/>
                      <w:szCs w:val="21"/>
                      <w14:textFill>
                        <w14:solidFill>
                          <w14:schemeClr w14:val="tx1"/>
                        </w14:solidFill>
                      </w14:textFill>
                    </w:rPr>
                    <w:t>9078</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50</w:t>
                  </w:r>
                </w:p>
              </w:tc>
              <w:tc>
                <w:tcPr>
                  <w:tcW w:w="93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continue"/>
                  <w:vAlign w:val="center"/>
                </w:tcPr>
                <w:p>
                  <w:pPr>
                    <w:ind w:left="-48" w:leftChars="-23" w:right="-92" w:rightChars="-44"/>
                    <w:jc w:val="center"/>
                    <w:rPr>
                      <w:color w:val="000000" w:themeColor="text1"/>
                      <w:kern w:val="0"/>
                      <w:szCs w:val="21"/>
                      <w14:textFill>
                        <w14:solidFill>
                          <w14:schemeClr w14:val="tx1"/>
                        </w14:solidFill>
                      </w14:textFill>
                    </w:rPr>
                  </w:pPr>
                </w:p>
              </w:tc>
              <w:tc>
                <w:tcPr>
                  <w:tcW w:w="90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X</w:t>
                  </w:r>
                </w:p>
              </w:tc>
              <w:tc>
                <w:tcPr>
                  <w:tcW w:w="1115" w:type="dxa"/>
                  <w:tcMar>
                    <w:left w:w="0" w:type="dxa"/>
                    <w:right w:w="0" w:type="dxa"/>
                  </w:tcMar>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.132</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2.8</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GB16297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40</w:t>
                  </w:r>
                </w:p>
              </w:tc>
              <w:tc>
                <w:tcPr>
                  <w:tcW w:w="93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Align w:val="center"/>
                </w:tcPr>
                <w:p>
                  <w:pPr>
                    <w:ind w:left="-48" w:leftChars="-23" w:right="-92" w:rightChars="-44"/>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DA001</w:t>
                  </w:r>
                </w:p>
              </w:tc>
              <w:tc>
                <w:tcPr>
                  <w:tcW w:w="903" w:type="dxa"/>
                  <w:vAlign w:val="center"/>
                </w:tcPr>
                <w:p>
                  <w:pPr>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.166</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16.7</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GB16297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c>
                <w:tcPr>
                  <w:tcW w:w="93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3.5</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restart"/>
                  <w:vAlign w:val="center"/>
                </w:tcPr>
                <w:p>
                  <w:pPr>
                    <w:ind w:left="-48" w:leftChars="-23" w:right="-92" w:rightChars="-44"/>
                    <w:jc w:val="center"/>
                    <w:rPr>
                      <w:color w:val="000000" w:themeColor="text1"/>
                      <w:kern w:val="0"/>
                      <w:szCs w:val="21"/>
                      <w:u w:val="single"/>
                      <w14:textFill>
                        <w14:solidFill>
                          <w14:schemeClr w14:val="tx1"/>
                        </w14:solidFill>
                      </w14:textFill>
                    </w:rPr>
                  </w:pPr>
                  <w:r>
                    <w:rPr>
                      <w:rFonts w:hint="eastAsia"/>
                      <w:color w:val="000000" w:themeColor="text1"/>
                      <w:kern w:val="0"/>
                      <w:szCs w:val="21"/>
                      <w:u w:val="single"/>
                      <w14:textFill>
                        <w14:solidFill>
                          <w14:schemeClr w14:val="tx1"/>
                        </w14:solidFill>
                      </w14:textFill>
                    </w:rPr>
                    <w:t>D</w:t>
                  </w:r>
                  <w:r>
                    <w:rPr>
                      <w:color w:val="000000" w:themeColor="text1"/>
                      <w:kern w:val="0"/>
                      <w:szCs w:val="21"/>
                      <w:u w:val="single"/>
                      <w14:textFill>
                        <w14:solidFill>
                          <w14:schemeClr w14:val="tx1"/>
                        </w14:solidFill>
                      </w14:textFill>
                    </w:rPr>
                    <w:t>A003</w:t>
                  </w:r>
                </w:p>
              </w:tc>
              <w:tc>
                <w:tcPr>
                  <w:tcW w:w="90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.128</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13.2</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GB</w:t>
                  </w:r>
                  <w:r>
                    <w:rPr>
                      <w:rFonts w:hint="eastAsia"/>
                      <w:color w:val="000000" w:themeColor="text1"/>
                      <w:kern w:val="0"/>
                      <w:szCs w:val="21"/>
                      <w14:textFill>
                        <w14:solidFill>
                          <w14:schemeClr w14:val="tx1"/>
                        </w14:solidFill>
                      </w14:textFill>
                    </w:rPr>
                    <w:t>9078</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939" w:type="dxa"/>
                  <w:vAlign w:val="center"/>
                </w:tcPr>
                <w:p>
                  <w:pPr>
                    <w:jc w:val="center"/>
                    <w:rPr>
                      <w:color w:val="000000" w:themeColor="text1"/>
                      <w14:textFill>
                        <w14:solidFill>
                          <w14:schemeClr w14:val="tx1"/>
                        </w14:solidFill>
                      </w14:textFill>
                    </w:rPr>
                  </w:pPr>
                  <w:r>
                    <w:rPr>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continue"/>
                  <w:vAlign w:val="center"/>
                </w:tcPr>
                <w:p>
                  <w:pPr>
                    <w:ind w:left="-48" w:leftChars="-23" w:right="-92" w:rightChars="-44"/>
                    <w:jc w:val="center"/>
                    <w:rPr>
                      <w:color w:val="000000" w:themeColor="text1"/>
                      <w:kern w:val="0"/>
                      <w:szCs w:val="21"/>
                      <w:u w:val="single"/>
                      <w14:textFill>
                        <w14:solidFill>
                          <w14:schemeClr w14:val="tx1"/>
                        </w14:solidFill>
                      </w14:textFill>
                    </w:rPr>
                  </w:pPr>
                </w:p>
              </w:tc>
              <w:tc>
                <w:tcPr>
                  <w:tcW w:w="90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0.065</w:t>
                  </w:r>
                </w:p>
              </w:tc>
              <w:tc>
                <w:tcPr>
                  <w:tcW w:w="1254" w:type="dxa"/>
                  <w:vAlign w:val="center"/>
                </w:tcPr>
                <w:p>
                  <w:pPr>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6.5</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GB</w:t>
                  </w:r>
                  <w:r>
                    <w:rPr>
                      <w:rFonts w:hint="eastAsia"/>
                      <w:color w:val="000000" w:themeColor="text1"/>
                      <w:kern w:val="0"/>
                      <w:szCs w:val="21"/>
                      <w14:textFill>
                        <w14:solidFill>
                          <w14:schemeClr w14:val="tx1"/>
                        </w14:solidFill>
                      </w14:textFill>
                    </w:rPr>
                    <w:t>9078</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50</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9" w:type="dxa"/>
                  <w:vMerge w:val="continue"/>
                  <w:vAlign w:val="center"/>
                </w:tcPr>
                <w:p>
                  <w:pPr>
                    <w:ind w:left="-48" w:leftChars="-23" w:right="-92" w:rightChars="-44"/>
                    <w:jc w:val="center"/>
                    <w:rPr>
                      <w:color w:val="000000" w:themeColor="text1"/>
                      <w:kern w:val="0"/>
                      <w:szCs w:val="21"/>
                      <w:u w:val="single"/>
                      <w14:textFill>
                        <w14:solidFill>
                          <w14:schemeClr w14:val="tx1"/>
                        </w14:solidFill>
                      </w14:textFill>
                    </w:rPr>
                  </w:pPr>
                </w:p>
              </w:tc>
              <w:tc>
                <w:tcPr>
                  <w:tcW w:w="90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X</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.168</w:t>
                  </w:r>
                </w:p>
              </w:tc>
              <w:tc>
                <w:tcPr>
                  <w:tcW w:w="1254" w:type="dxa"/>
                  <w:vAlign w:val="center"/>
                </w:tcPr>
                <w:p>
                  <w:pPr>
                    <w:jc w:val="center"/>
                    <w:rPr>
                      <w:color w:val="000000" w:themeColor="text1"/>
                      <w:szCs w:val="21"/>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6.8</w:t>
                  </w:r>
                </w:p>
              </w:tc>
              <w:tc>
                <w:tcPr>
                  <w:tcW w:w="1115" w:type="dxa"/>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GB16297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1996</w:t>
                  </w:r>
                </w:p>
              </w:tc>
              <w:tc>
                <w:tcPr>
                  <w:tcW w:w="93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40</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bl>
          <w:p>
            <w:pPr>
              <w:snapToGrid w:val="0"/>
              <w:spacing w:line="360" w:lineRule="auto"/>
              <w:rPr>
                <w:b/>
                <w:bCs/>
                <w:color w:val="000000" w:themeColor="text1"/>
                <w14:textFill>
                  <w14:solidFill>
                    <w14:schemeClr w14:val="tx1"/>
                  </w14:solidFill>
                </w14:textFill>
              </w:rPr>
            </w:pPr>
          </w:p>
          <w:p>
            <w:pPr>
              <w:tabs>
                <w:tab w:val="left" w:pos="360"/>
              </w:tabs>
              <w:snapToGrid w:val="0"/>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1.5 非正常工况</w:t>
            </w:r>
          </w:p>
          <w:p>
            <w:pPr>
              <w:tabs>
                <w:tab w:val="left" w:pos="360"/>
              </w:tabs>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本项目的非正常工况主要是污染物排放控制措施达不到应有效率，即废气处理设施失效，造成排气筒废气中废气污染物未经净化直接排放，其排放情况如表4-12所示。</w:t>
            </w:r>
          </w:p>
          <w:p>
            <w:pPr>
              <w:tabs>
                <w:tab w:val="left" w:pos="360"/>
              </w:tabs>
              <w:snapToGrid w:val="0"/>
              <w:spacing w:line="360" w:lineRule="auto"/>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表4-12非正常工况排气筒排放情况</w:t>
            </w:r>
          </w:p>
          <w:tbl>
            <w:tblPr>
              <w:tblStyle w:val="24"/>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72"/>
              <w:gridCol w:w="850"/>
              <w:gridCol w:w="1276"/>
              <w:gridCol w:w="1221"/>
              <w:gridCol w:w="851"/>
              <w:gridCol w:w="992"/>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污染源</w:t>
                  </w:r>
                </w:p>
              </w:tc>
              <w:tc>
                <w:tcPr>
                  <w:tcW w:w="872"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非正常排放原因</w:t>
                  </w:r>
                </w:p>
              </w:tc>
              <w:tc>
                <w:tcPr>
                  <w:tcW w:w="850"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1276" w:type="dxa"/>
                  <w:vAlign w:val="center"/>
                </w:tcPr>
                <w:p>
                  <w:pPr>
                    <w:tabs>
                      <w:tab w:val="left" w:pos="360"/>
                    </w:tabs>
                    <w:snapToGrid w:val="0"/>
                    <w:jc w:val="center"/>
                    <w:rPr>
                      <w:color w:val="000000" w:themeColor="text1"/>
                      <w14:textFill>
                        <w14:solidFill>
                          <w14:schemeClr w14:val="tx1"/>
                        </w14:solidFill>
                      </w14:textFill>
                    </w:rPr>
                  </w:pPr>
                  <w:r>
                    <w:rPr>
                      <w:b/>
                      <w:bCs/>
                      <w:color w:val="000000" w:themeColor="text1"/>
                      <w14:textFill>
                        <w14:solidFill>
                          <w14:schemeClr w14:val="tx1"/>
                        </w14:solidFill>
                      </w14:textFill>
                    </w:rPr>
                    <w:t>非正常排放速率（kg/h）</w:t>
                  </w:r>
                </w:p>
              </w:tc>
              <w:tc>
                <w:tcPr>
                  <w:tcW w:w="1221"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非正常排放浓度（mg/m</w:t>
                  </w:r>
                  <w:r>
                    <w:rPr>
                      <w:b/>
                      <w:bCs/>
                      <w:color w:val="000000" w:themeColor="text1"/>
                      <w:vertAlign w:val="superscript"/>
                      <w14:textFill>
                        <w14:solidFill>
                          <w14:schemeClr w14:val="tx1"/>
                        </w14:solidFill>
                      </w14:textFill>
                    </w:rPr>
                    <w:t>3</w:t>
                  </w:r>
                  <w:r>
                    <w:rPr>
                      <w:b/>
                      <w:bCs/>
                      <w:color w:val="000000" w:themeColor="text1"/>
                      <w14:textFill>
                        <w14:solidFill>
                          <w14:schemeClr w14:val="tx1"/>
                        </w14:solidFill>
                      </w14:textFill>
                    </w:rPr>
                    <w:t>）</w:t>
                  </w:r>
                </w:p>
                <w:p>
                  <w:pPr>
                    <w:tabs>
                      <w:tab w:val="left" w:pos="360"/>
                    </w:tabs>
                    <w:snapToGrid w:val="0"/>
                    <w:jc w:val="center"/>
                    <w:rPr>
                      <w:b/>
                      <w:bCs/>
                      <w:color w:val="000000" w:themeColor="text1"/>
                      <w14:textFill>
                        <w14:solidFill>
                          <w14:schemeClr w14:val="tx1"/>
                        </w14:solidFill>
                      </w14:textFill>
                    </w:rPr>
                  </w:pPr>
                </w:p>
              </w:tc>
              <w:tc>
                <w:tcPr>
                  <w:tcW w:w="851"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单次持续时间（h）</w:t>
                  </w:r>
                </w:p>
              </w:tc>
              <w:tc>
                <w:tcPr>
                  <w:tcW w:w="992" w:type="dxa"/>
                  <w:vAlign w:val="center"/>
                </w:tcPr>
                <w:p>
                  <w:pPr>
                    <w:tabs>
                      <w:tab w:val="left" w:pos="360"/>
                    </w:tabs>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年发生频次（次）</w:t>
                  </w:r>
                </w:p>
              </w:tc>
              <w:tc>
                <w:tcPr>
                  <w:tcW w:w="1549" w:type="dxa"/>
                  <w:vAlign w:val="center"/>
                </w:tcPr>
                <w:p>
                  <w:pPr>
                    <w:tabs>
                      <w:tab w:val="left" w:pos="360"/>
                    </w:tabs>
                    <w:snapToGrid w:val="0"/>
                    <w:spacing w:line="360" w:lineRule="auto"/>
                    <w:jc w:val="center"/>
                    <w:rPr>
                      <w:b/>
                      <w:bCs/>
                      <w:color w:val="000000" w:themeColor="text1"/>
                      <w14:textFill>
                        <w14:solidFill>
                          <w14:schemeClr w14:val="tx1"/>
                        </w14:solidFill>
                      </w14:textFill>
                    </w:rPr>
                  </w:pPr>
                  <w:r>
                    <w:rPr>
                      <w:b/>
                      <w:bCs/>
                      <w:color w:val="000000" w:themeColor="text1"/>
                      <w14:textFill>
                        <w14:solidFill>
                          <w14:schemeClr w14:val="tx1"/>
                        </w14:solidFill>
                      </w14:textFill>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5" w:type="dxa"/>
                  <w:vMerge w:val="restart"/>
                  <w:vAlign w:val="center"/>
                </w:tcPr>
                <w:p>
                  <w:pPr>
                    <w:tabs>
                      <w:tab w:val="left" w:pos="360"/>
                    </w:tabs>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DA002</w:t>
                  </w:r>
                </w:p>
              </w:tc>
              <w:tc>
                <w:tcPr>
                  <w:tcW w:w="872" w:type="dxa"/>
                  <w:vMerge w:val="restart"/>
                  <w:vAlign w:val="center"/>
                </w:tcPr>
                <w:p>
                  <w:pPr>
                    <w:tabs>
                      <w:tab w:val="left" w:pos="360"/>
                    </w:tabs>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废气处理设施故障，处理效率为0</w:t>
                  </w:r>
                </w:p>
              </w:tc>
              <w:tc>
                <w:tcPr>
                  <w:tcW w:w="850" w:type="dxa"/>
                  <w:vAlign w:val="center"/>
                </w:tcPr>
                <w:p>
                  <w:pPr>
                    <w:tabs>
                      <w:tab w:val="left" w:pos="360"/>
                    </w:tabs>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颗粒物</w:t>
                  </w:r>
                </w:p>
              </w:tc>
              <w:tc>
                <w:tcPr>
                  <w:tcW w:w="1276" w:type="dxa"/>
                  <w:vAlign w:val="center"/>
                </w:tcPr>
                <w:p>
                  <w:pPr>
                    <w:tabs>
                      <w:tab w:val="left" w:pos="360"/>
                    </w:tabs>
                    <w:snapToGrid w:val="0"/>
                    <w:spacing w:line="360" w:lineRule="auto"/>
                    <w:jc w:val="center"/>
                    <w:rPr>
                      <w:color w:val="000000" w:themeColor="text1"/>
                      <w:highlight w:val="yellow"/>
                      <w14:textFill>
                        <w14:solidFill>
                          <w14:schemeClr w14:val="tx1"/>
                        </w14:solidFill>
                      </w14:textFill>
                    </w:rPr>
                  </w:pPr>
                  <w:r>
                    <w:rPr>
                      <w:rFonts w:hint="eastAsia"/>
                      <w:color w:val="000000" w:themeColor="text1"/>
                      <w:szCs w:val="21"/>
                      <w:u w:val="single"/>
                      <w14:textFill>
                        <w14:solidFill>
                          <w14:schemeClr w14:val="tx1"/>
                        </w14:solidFill>
                      </w14:textFill>
                    </w:rPr>
                    <w:t>1</w:t>
                  </w:r>
                  <w:r>
                    <w:rPr>
                      <w:color w:val="000000" w:themeColor="text1"/>
                      <w:szCs w:val="21"/>
                      <w:u w:val="single"/>
                      <w14:textFill>
                        <w14:solidFill>
                          <w14:schemeClr w14:val="tx1"/>
                        </w14:solidFill>
                      </w14:textFill>
                    </w:rPr>
                    <w:t>.707</w:t>
                  </w:r>
                </w:p>
              </w:tc>
              <w:tc>
                <w:tcPr>
                  <w:tcW w:w="1221" w:type="dxa"/>
                  <w:vAlign w:val="center"/>
                </w:tcPr>
                <w:p>
                  <w:pPr>
                    <w:tabs>
                      <w:tab w:val="left" w:pos="360"/>
                    </w:tabs>
                    <w:snapToGrid w:val="0"/>
                    <w:spacing w:line="360" w:lineRule="auto"/>
                    <w:jc w:val="center"/>
                    <w:rPr>
                      <w:color w:val="000000" w:themeColor="text1"/>
                      <w14:textFill>
                        <w14:solidFill>
                          <w14:schemeClr w14:val="tx1"/>
                        </w14:solidFill>
                      </w14:textFill>
                    </w:rPr>
                  </w:pPr>
                  <w:r>
                    <w:rPr>
                      <w:color w:val="000000" w:themeColor="text1"/>
                      <w:szCs w:val="21"/>
                      <w:u w:val="single"/>
                      <w14:textFill>
                        <w14:solidFill>
                          <w14:schemeClr w14:val="tx1"/>
                        </w14:solidFill>
                      </w14:textFill>
                    </w:rPr>
                    <w:t>114</w:t>
                  </w:r>
                </w:p>
              </w:tc>
              <w:tc>
                <w:tcPr>
                  <w:tcW w:w="851" w:type="dxa"/>
                  <w:vAlign w:val="center"/>
                </w:tcPr>
                <w:p>
                  <w:pPr>
                    <w:tabs>
                      <w:tab w:val="left" w:pos="360"/>
                    </w:tabs>
                    <w:snapToGri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992" w:type="dxa"/>
                  <w:vAlign w:val="center"/>
                </w:tcPr>
                <w:p>
                  <w:pPr>
                    <w:tabs>
                      <w:tab w:val="left" w:pos="360"/>
                    </w:tabs>
                    <w:snapToGri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49" w:type="dxa"/>
                  <w:vMerge w:val="restart"/>
                  <w:vAlign w:val="center"/>
                </w:tcPr>
                <w:p>
                  <w:pPr>
                    <w:tabs>
                      <w:tab w:val="left" w:pos="360"/>
                    </w:tabs>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立即停止生产,关闭排放阀，及时疏散人群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35" w:type="dxa"/>
                  <w:vMerge w:val="continue"/>
                  <w:vAlign w:val="center"/>
                </w:tcPr>
                <w:p>
                  <w:pPr>
                    <w:tabs>
                      <w:tab w:val="left" w:pos="360"/>
                    </w:tabs>
                    <w:snapToGrid w:val="0"/>
                    <w:jc w:val="center"/>
                    <w:rPr>
                      <w:color w:val="000000" w:themeColor="text1"/>
                      <w14:textFill>
                        <w14:solidFill>
                          <w14:schemeClr w14:val="tx1"/>
                        </w14:solidFill>
                      </w14:textFill>
                    </w:rPr>
                  </w:pPr>
                </w:p>
              </w:tc>
              <w:tc>
                <w:tcPr>
                  <w:tcW w:w="872" w:type="dxa"/>
                  <w:vMerge w:val="continue"/>
                  <w:vAlign w:val="center"/>
                </w:tcPr>
                <w:p>
                  <w:pPr>
                    <w:tabs>
                      <w:tab w:val="left" w:pos="360"/>
                    </w:tabs>
                    <w:snapToGrid w:val="0"/>
                    <w:jc w:val="center"/>
                    <w:rPr>
                      <w:color w:val="000000" w:themeColor="text1"/>
                      <w14:textFill>
                        <w14:solidFill>
                          <w14:schemeClr w14:val="tx1"/>
                        </w14:solidFill>
                      </w14:textFill>
                    </w:rPr>
                  </w:pPr>
                </w:p>
              </w:tc>
              <w:tc>
                <w:tcPr>
                  <w:tcW w:w="850" w:type="dxa"/>
                  <w:vAlign w:val="center"/>
                </w:tcPr>
                <w:p>
                  <w:pPr>
                    <w:tabs>
                      <w:tab w:val="left" w:pos="360"/>
                    </w:tabs>
                    <w:snapToGri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S</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2</w:t>
                  </w:r>
                </w:p>
              </w:tc>
              <w:tc>
                <w:tcPr>
                  <w:tcW w:w="1276" w:type="dxa"/>
                  <w:vAlign w:val="center"/>
                </w:tcPr>
                <w:p>
                  <w:pPr>
                    <w:tabs>
                      <w:tab w:val="left" w:pos="360"/>
                    </w:tabs>
                    <w:snapToGrid w:val="0"/>
                    <w:spacing w:line="360" w:lineRule="auto"/>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.00002</w:t>
                  </w:r>
                </w:p>
              </w:tc>
              <w:tc>
                <w:tcPr>
                  <w:tcW w:w="1221" w:type="dxa"/>
                  <w:vAlign w:val="center"/>
                </w:tcPr>
                <w:p>
                  <w:pPr>
                    <w:tabs>
                      <w:tab w:val="left" w:pos="360"/>
                    </w:tabs>
                    <w:snapToGrid w:val="0"/>
                    <w:spacing w:line="360" w:lineRule="auto"/>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0.01</w:t>
                  </w:r>
                </w:p>
              </w:tc>
              <w:tc>
                <w:tcPr>
                  <w:tcW w:w="851" w:type="dxa"/>
                  <w:vAlign w:val="center"/>
                </w:tcPr>
                <w:p>
                  <w:pPr>
                    <w:tabs>
                      <w:tab w:val="left" w:pos="360"/>
                    </w:tabs>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992" w:type="dxa"/>
                  <w:vAlign w:val="center"/>
                </w:tcPr>
                <w:p>
                  <w:pPr>
                    <w:tabs>
                      <w:tab w:val="left" w:pos="360"/>
                    </w:tabs>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49" w:type="dxa"/>
                  <w:vMerge w:val="continue"/>
                  <w:vAlign w:val="center"/>
                </w:tcPr>
                <w:p>
                  <w:pPr>
                    <w:tabs>
                      <w:tab w:val="left" w:pos="360"/>
                    </w:tabs>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35" w:type="dxa"/>
                  <w:vMerge w:val="continue"/>
                  <w:vAlign w:val="center"/>
                </w:tcPr>
                <w:p>
                  <w:pPr>
                    <w:tabs>
                      <w:tab w:val="left" w:pos="360"/>
                    </w:tabs>
                    <w:snapToGrid w:val="0"/>
                    <w:jc w:val="center"/>
                    <w:rPr>
                      <w:color w:val="000000" w:themeColor="text1"/>
                      <w14:textFill>
                        <w14:solidFill>
                          <w14:schemeClr w14:val="tx1"/>
                        </w14:solidFill>
                      </w14:textFill>
                    </w:rPr>
                  </w:pPr>
                </w:p>
              </w:tc>
              <w:tc>
                <w:tcPr>
                  <w:tcW w:w="872" w:type="dxa"/>
                  <w:vMerge w:val="continue"/>
                  <w:vAlign w:val="center"/>
                </w:tcPr>
                <w:p>
                  <w:pPr>
                    <w:tabs>
                      <w:tab w:val="left" w:pos="360"/>
                    </w:tabs>
                    <w:snapToGrid w:val="0"/>
                    <w:jc w:val="center"/>
                    <w:rPr>
                      <w:color w:val="000000" w:themeColor="text1"/>
                      <w14:textFill>
                        <w14:solidFill>
                          <w14:schemeClr w14:val="tx1"/>
                        </w14:solidFill>
                      </w14:textFill>
                    </w:rPr>
                  </w:pPr>
                </w:p>
              </w:tc>
              <w:tc>
                <w:tcPr>
                  <w:tcW w:w="850" w:type="dxa"/>
                  <w:vAlign w:val="center"/>
                </w:tcPr>
                <w:p>
                  <w:pPr>
                    <w:tabs>
                      <w:tab w:val="left" w:pos="360"/>
                    </w:tabs>
                    <w:snapToGrid w:val="0"/>
                    <w:jc w:val="center"/>
                    <w:rPr>
                      <w:color w:val="000000" w:themeColor="text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X</w:t>
                  </w:r>
                </w:p>
              </w:tc>
              <w:tc>
                <w:tcPr>
                  <w:tcW w:w="1276" w:type="dxa"/>
                  <w:vAlign w:val="center"/>
                </w:tcPr>
                <w:p>
                  <w:pPr>
                    <w:tabs>
                      <w:tab w:val="left" w:pos="360"/>
                    </w:tabs>
                    <w:snapToGrid w:val="0"/>
                    <w:spacing w:line="360" w:lineRule="auto"/>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.132</w:t>
                  </w:r>
                </w:p>
              </w:tc>
              <w:tc>
                <w:tcPr>
                  <w:tcW w:w="1221" w:type="dxa"/>
                  <w:vAlign w:val="center"/>
                </w:tcPr>
                <w:p>
                  <w:pPr>
                    <w:tabs>
                      <w:tab w:val="left" w:pos="360"/>
                    </w:tabs>
                    <w:snapToGrid w:val="0"/>
                    <w:spacing w:line="360" w:lineRule="auto"/>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2.8</w:t>
                  </w:r>
                </w:p>
              </w:tc>
              <w:tc>
                <w:tcPr>
                  <w:tcW w:w="851" w:type="dxa"/>
                  <w:vAlign w:val="center"/>
                </w:tcPr>
                <w:p>
                  <w:pPr>
                    <w:tabs>
                      <w:tab w:val="left" w:pos="360"/>
                    </w:tabs>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992" w:type="dxa"/>
                  <w:vAlign w:val="center"/>
                </w:tcPr>
                <w:p>
                  <w:pPr>
                    <w:tabs>
                      <w:tab w:val="left" w:pos="360"/>
                    </w:tabs>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49" w:type="dxa"/>
                  <w:vMerge w:val="continue"/>
                  <w:vAlign w:val="center"/>
                </w:tcPr>
                <w:p>
                  <w:pPr>
                    <w:tabs>
                      <w:tab w:val="left" w:pos="360"/>
                    </w:tabs>
                    <w:snapToGrid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35" w:type="dxa"/>
                  <w:vAlign w:val="center"/>
                </w:tcPr>
                <w:p>
                  <w:pPr>
                    <w:tabs>
                      <w:tab w:val="left" w:pos="360"/>
                    </w:tabs>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DA001</w:t>
                  </w:r>
                </w:p>
              </w:tc>
              <w:tc>
                <w:tcPr>
                  <w:tcW w:w="872" w:type="dxa"/>
                  <w:vMerge w:val="continue"/>
                  <w:vAlign w:val="center"/>
                </w:tcPr>
                <w:p>
                  <w:pPr>
                    <w:tabs>
                      <w:tab w:val="left" w:pos="360"/>
                    </w:tabs>
                    <w:snapToGrid w:val="0"/>
                    <w:jc w:val="center"/>
                    <w:rPr>
                      <w:color w:val="000000" w:themeColor="text1"/>
                      <w14:textFill>
                        <w14:solidFill>
                          <w14:schemeClr w14:val="tx1"/>
                        </w14:solidFill>
                      </w14:textFill>
                    </w:rPr>
                  </w:pPr>
                </w:p>
              </w:tc>
              <w:tc>
                <w:tcPr>
                  <w:tcW w:w="850" w:type="dxa"/>
                  <w:vAlign w:val="center"/>
                </w:tcPr>
                <w:p>
                  <w:pPr>
                    <w:tabs>
                      <w:tab w:val="left" w:pos="360"/>
                    </w:tabs>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颗粒物</w:t>
                  </w:r>
                </w:p>
              </w:tc>
              <w:tc>
                <w:tcPr>
                  <w:tcW w:w="1276" w:type="dxa"/>
                  <w:vAlign w:val="center"/>
                </w:tcPr>
                <w:p>
                  <w:pPr>
                    <w:tabs>
                      <w:tab w:val="left" w:pos="360"/>
                    </w:tabs>
                    <w:snapToGrid w:val="0"/>
                    <w:spacing w:line="360" w:lineRule="auto"/>
                    <w:jc w:val="center"/>
                    <w:rPr>
                      <w:color w:val="000000" w:themeColor="text1"/>
                      <w:szCs w:val="21"/>
                      <w:highlight w:val="yellow"/>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.554</w:t>
                  </w:r>
                </w:p>
              </w:tc>
              <w:tc>
                <w:tcPr>
                  <w:tcW w:w="1221" w:type="dxa"/>
                  <w:vAlign w:val="center"/>
                </w:tcPr>
                <w:p>
                  <w:pPr>
                    <w:tabs>
                      <w:tab w:val="left" w:pos="360"/>
                    </w:tabs>
                    <w:snapToGrid w:val="0"/>
                    <w:spacing w:line="360" w:lineRule="auto"/>
                    <w:jc w:val="center"/>
                    <w:rPr>
                      <w:color w:val="000000" w:themeColor="text1"/>
                      <w:szCs w:val="21"/>
                      <w14:textFill>
                        <w14:solidFill>
                          <w14:schemeClr w14:val="tx1"/>
                        </w14:solidFill>
                      </w14:textFill>
                    </w:rPr>
                  </w:pPr>
                  <w:r>
                    <w:rPr>
                      <w:color w:val="000000" w:themeColor="text1"/>
                      <w:szCs w:val="21"/>
                      <w:u w:val="single"/>
                      <w14:textFill>
                        <w14:solidFill>
                          <w14:schemeClr w14:val="tx1"/>
                        </w14:solidFill>
                      </w14:textFill>
                    </w:rPr>
                    <w:t>55.4</w:t>
                  </w:r>
                </w:p>
              </w:tc>
              <w:tc>
                <w:tcPr>
                  <w:tcW w:w="851" w:type="dxa"/>
                  <w:vAlign w:val="center"/>
                </w:tcPr>
                <w:p>
                  <w:pPr>
                    <w:tabs>
                      <w:tab w:val="left" w:pos="360"/>
                    </w:tabs>
                    <w:snapToGri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992" w:type="dxa"/>
                  <w:vAlign w:val="center"/>
                </w:tcPr>
                <w:p>
                  <w:pPr>
                    <w:tabs>
                      <w:tab w:val="left" w:pos="360"/>
                    </w:tabs>
                    <w:snapToGri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549" w:type="dxa"/>
                  <w:vMerge w:val="continue"/>
                  <w:vAlign w:val="center"/>
                </w:tcPr>
                <w:p>
                  <w:pPr>
                    <w:tabs>
                      <w:tab w:val="left" w:pos="360"/>
                    </w:tabs>
                    <w:snapToGrid w:val="0"/>
                    <w:jc w:val="cente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tabs>
                <w:tab w:val="left" w:pos="360"/>
              </w:tabs>
              <w:snapToGrid w:val="0"/>
              <w:spacing w:line="360" w:lineRule="auto"/>
              <w:ind w:firstLine="480" w:firstLineChars="200"/>
              <w:rPr>
                <w:color w:val="000000" w:themeColor="text1"/>
                <w:sz w:val="24"/>
                <w14:textFill>
                  <w14:solidFill>
                    <w14:schemeClr w14:val="tx1"/>
                  </w14:solidFill>
                </w14:textFill>
              </w:rPr>
            </w:pPr>
            <w:bookmarkStart w:id="11" w:name="_Hlk99573456"/>
            <w:r>
              <w:rPr>
                <w:color w:val="000000" w:themeColor="text1"/>
                <w:sz w:val="24"/>
                <w14:textFill>
                  <w14:solidFill>
                    <w14:schemeClr w14:val="tx1"/>
                  </w14:solidFill>
                </w14:textFill>
              </w:rPr>
              <w:t>由上表可知，项目在非正常排放情况下，污染物的排放浓度比正常情况下要大，说明事故排放情况下，对外界环境造成一定影响</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为防止生产废气非正常工况排放，企业必须加强废气处理设施的管理，定期检修、检查，确保废气处理设施正常运行，在废气处理设备停止运行或出现故障时，产生废气的各工序也必须相应停止生产。为杜绝废气非正常排放，应采取以下措施确保废气达标排放：</w:t>
            </w:r>
          </w:p>
          <w:p>
            <w:pPr>
              <w:tabs>
                <w:tab w:val="left" w:pos="360"/>
              </w:tabs>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安排专人负责环保设备的日常维护和管理，每个固定时间检查、汇报情况，及时发现废气处理设备的隐患，确保废气处理系统正常运行；</w:t>
            </w:r>
          </w:p>
          <w:p>
            <w:pPr>
              <w:tabs>
                <w:tab w:val="left" w:pos="360"/>
              </w:tabs>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定期更换布袋和活性炭，每一个季度至少进行一次更换；</w:t>
            </w:r>
          </w:p>
          <w:p>
            <w:pPr>
              <w:tabs>
                <w:tab w:val="left" w:pos="360"/>
              </w:tabs>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③</w:t>
            </w:r>
            <w:r>
              <w:rPr>
                <w:color w:val="000000" w:themeColor="text1"/>
                <w:sz w:val="24"/>
                <w14:textFill>
                  <w14:solidFill>
                    <w14:schemeClr w14:val="tx1"/>
                  </w14:solidFill>
                </w14:textFill>
              </w:rPr>
              <w:t>建立健全的环保管理机构，对环保管理人员和技术人员进行岗位培训，委托具有专业资质的环境检测单位对项目排放的各类污染物进行定期检测；</w:t>
            </w:r>
          </w:p>
          <w:p>
            <w:pPr>
              <w:tabs>
                <w:tab w:val="left" w:pos="360"/>
              </w:tabs>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④</w:t>
            </w:r>
            <w:r>
              <w:rPr>
                <w:color w:val="000000" w:themeColor="text1"/>
                <w:sz w:val="24"/>
                <w14:textFill>
                  <w14:solidFill>
                    <w14:schemeClr w14:val="tx1"/>
                  </w14:solidFill>
                </w14:textFill>
              </w:rPr>
              <w:t>应定期维护、检修废气净化装置，以保持废气处理装置的净化能力和净化容量。</w:t>
            </w:r>
          </w:p>
          <w:p>
            <w:pPr>
              <w:tabs>
                <w:tab w:val="left" w:pos="360"/>
              </w:tabs>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综上，本项目废气收集及处理措施可行</w:t>
            </w:r>
            <w:r>
              <w:rPr>
                <w:rFonts w:hint="eastAsia"/>
                <w:color w:val="000000" w:themeColor="text1"/>
                <w:sz w:val="24"/>
                <w14:textFill>
                  <w14:solidFill>
                    <w14:schemeClr w14:val="tx1"/>
                  </w14:solidFill>
                </w14:textFill>
              </w:rPr>
              <w:t>。</w:t>
            </w:r>
          </w:p>
          <w:bookmarkEnd w:id="11"/>
          <w:p>
            <w:pPr>
              <w:spacing w:line="360" w:lineRule="auto"/>
              <w:rPr>
                <w:b/>
                <w:bCs/>
                <w:color w:val="000000" w:themeColor="text1"/>
                <w:sz w:val="24"/>
                <w14:textFill>
                  <w14:solidFill>
                    <w14:schemeClr w14:val="tx1"/>
                  </w14:solidFill>
                </w14:textFill>
              </w:rPr>
            </w:pP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1.6废气排放口基本情况 </w:t>
            </w:r>
          </w:p>
          <w:p>
            <w:pPr>
              <w:spacing w:line="360" w:lineRule="auto"/>
              <w:ind w:left="420" w:firstLine="240" w:firstLineChars="1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项目废气排放口基本情况如下表。 </w:t>
            </w:r>
          </w:p>
          <w:p>
            <w:pPr>
              <w:spacing w:line="360" w:lineRule="auto"/>
              <w:ind w:left="420" w:firstLine="1687" w:firstLineChars="800"/>
              <w:rPr>
                <w:b/>
                <w:bCs/>
                <w:color w:val="000000" w:themeColor="text1"/>
                <w14:textFill>
                  <w14:solidFill>
                    <w14:schemeClr w14:val="tx1"/>
                  </w14:solidFill>
                </w14:textFill>
              </w:rPr>
            </w:pPr>
            <w:r>
              <w:rPr>
                <w:b/>
                <w:bCs/>
                <w:color w:val="000000" w:themeColor="text1"/>
                <w14:textFill>
                  <w14:solidFill>
                    <w14:schemeClr w14:val="tx1"/>
                  </w14:solidFill>
                </w14:textFill>
              </w:rPr>
              <w:t>表4</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13 项目废气排放口基本情况表</w:t>
            </w:r>
          </w:p>
          <w:tbl>
            <w:tblPr>
              <w:tblStyle w:val="24"/>
              <w:tblW w:w="7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34"/>
              <w:gridCol w:w="709"/>
              <w:gridCol w:w="851"/>
              <w:gridCol w:w="708"/>
              <w:gridCol w:w="993"/>
              <w:gridCol w:w="850"/>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36" w:type="dxa"/>
                </w:tcPr>
                <w:p>
                  <w:pPr>
                    <w:jc w:val="left"/>
                    <w:rPr>
                      <w:color w:val="000000" w:themeColor="text1"/>
                      <w14:textFill>
                        <w14:solidFill>
                          <w14:schemeClr w14:val="tx1"/>
                        </w14:solidFill>
                      </w14:textFill>
                    </w:rPr>
                  </w:pPr>
                  <w:r>
                    <w:rPr>
                      <w:color w:val="000000" w:themeColor="text1"/>
                      <w14:textFill>
                        <w14:solidFill>
                          <w14:schemeClr w14:val="tx1"/>
                        </w14:solidFill>
                      </w14:textFill>
                    </w:rPr>
                    <w:t>排气筒编号</w:t>
                  </w:r>
                </w:p>
              </w:tc>
              <w:tc>
                <w:tcPr>
                  <w:tcW w:w="1134"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排气筒名称</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高度</w:t>
                  </w:r>
                </w:p>
              </w:tc>
              <w:tc>
                <w:tcPr>
                  <w:tcW w:w="851"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排气筒内径</w:t>
                  </w:r>
                </w:p>
              </w:tc>
              <w:tc>
                <w:tcPr>
                  <w:tcW w:w="70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温度℃</w:t>
                  </w:r>
                </w:p>
              </w:tc>
              <w:tc>
                <w:tcPr>
                  <w:tcW w:w="993"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地理坐标</w:t>
                  </w:r>
                </w:p>
              </w:tc>
              <w:tc>
                <w:tcPr>
                  <w:tcW w:w="850"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排气筒类型</w:t>
                  </w:r>
                </w:p>
              </w:tc>
              <w:tc>
                <w:tcPr>
                  <w:tcW w:w="70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监测频次</w:t>
                  </w:r>
                </w:p>
              </w:tc>
              <w:tc>
                <w:tcPr>
                  <w:tcW w:w="1276"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736" w:type="dxa"/>
                  <w:vAlign w:val="center"/>
                </w:tcPr>
                <w:p>
                  <w:pPr>
                    <w:jc w:val="left"/>
                    <w:rPr>
                      <w:color w:val="000000" w:themeColor="text1"/>
                      <w:u w:val="single"/>
                      <w14:textFill>
                        <w14:solidFill>
                          <w14:schemeClr w14:val="tx1"/>
                        </w14:solidFill>
                      </w14:textFill>
                    </w:rPr>
                  </w:pPr>
                  <w:r>
                    <w:rPr>
                      <w:color w:val="000000" w:themeColor="text1"/>
                      <w:u w:val="single"/>
                      <w14:textFill>
                        <w14:solidFill>
                          <w14:schemeClr w14:val="tx1"/>
                        </w14:solidFill>
                      </w14:textFill>
                    </w:rPr>
                    <w:t>DA001</w:t>
                  </w:r>
                </w:p>
              </w:tc>
              <w:tc>
                <w:tcPr>
                  <w:tcW w:w="1134" w:type="dxa"/>
                  <w:vAlign w:val="center"/>
                </w:tcPr>
                <w:p>
                  <w:pPr>
                    <w:jc w:val="lef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制棒</w:t>
                  </w:r>
                </w:p>
              </w:tc>
              <w:tc>
                <w:tcPr>
                  <w:tcW w:w="709" w:type="dxa"/>
                  <w:vAlign w:val="center"/>
                </w:tcPr>
                <w:p>
                  <w:pPr>
                    <w:jc w:val="left"/>
                    <w:rPr>
                      <w:color w:val="000000" w:themeColor="text1"/>
                      <w:u w:val="single"/>
                      <w14:textFill>
                        <w14:solidFill>
                          <w14:schemeClr w14:val="tx1"/>
                        </w14:solidFill>
                      </w14:textFill>
                    </w:rPr>
                  </w:pPr>
                  <w:r>
                    <w:rPr>
                      <w:color w:val="000000" w:themeColor="text1"/>
                      <w:u w:val="single"/>
                      <w14:textFill>
                        <w14:solidFill>
                          <w14:schemeClr w14:val="tx1"/>
                        </w14:solidFill>
                      </w14:textFill>
                    </w:rPr>
                    <w:t>15</w:t>
                  </w:r>
                  <w:r>
                    <w:rPr>
                      <w:rFonts w:hint="eastAsia"/>
                      <w:color w:val="000000" w:themeColor="text1"/>
                      <w:u w:val="single"/>
                      <w14:textFill>
                        <w14:solidFill>
                          <w14:schemeClr w14:val="tx1"/>
                        </w14:solidFill>
                      </w14:textFill>
                    </w:rPr>
                    <w:t>m</w:t>
                  </w:r>
                </w:p>
              </w:tc>
              <w:tc>
                <w:tcPr>
                  <w:tcW w:w="851" w:type="dxa"/>
                  <w:vAlign w:val="center"/>
                </w:tcPr>
                <w:p>
                  <w:pPr>
                    <w:ind w:firstLine="210" w:firstLineChars="100"/>
                    <w:jc w:val="lef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0</w:t>
                  </w:r>
                  <w:r>
                    <w:rPr>
                      <w:color w:val="000000" w:themeColor="text1"/>
                      <w:u w:val="single"/>
                      <w14:textFill>
                        <w14:solidFill>
                          <w14:schemeClr w14:val="tx1"/>
                        </w14:solidFill>
                      </w14:textFill>
                    </w:rPr>
                    <w:t>.3</w:t>
                  </w:r>
                </w:p>
              </w:tc>
              <w:tc>
                <w:tcPr>
                  <w:tcW w:w="708" w:type="dxa"/>
                  <w:vAlign w:val="center"/>
                </w:tcPr>
                <w:p>
                  <w:pPr>
                    <w:jc w:val="lef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2</w:t>
                  </w:r>
                  <w:r>
                    <w:rPr>
                      <w:color w:val="000000" w:themeColor="text1"/>
                      <w:u w:val="single"/>
                      <w14:textFill>
                        <w14:solidFill>
                          <w14:schemeClr w14:val="tx1"/>
                        </w14:solidFill>
                      </w14:textFill>
                    </w:rPr>
                    <w:t>5</w:t>
                  </w:r>
                </w:p>
              </w:tc>
              <w:tc>
                <w:tcPr>
                  <w:tcW w:w="993" w:type="dxa"/>
                  <w:vAlign w:val="center"/>
                </w:tcPr>
                <w:p>
                  <w:pPr>
                    <w:jc w:val="lef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N</w:t>
                  </w:r>
                  <w:r>
                    <w:rPr>
                      <w:color w:val="000000" w:themeColor="text1"/>
                      <w:u w:val="single"/>
                      <w14:textFill>
                        <w14:solidFill>
                          <w14:schemeClr w14:val="tx1"/>
                        </w14:solidFill>
                      </w14:textFill>
                    </w:rPr>
                    <w:t xml:space="preserve"> 27.309181°</w:t>
                  </w:r>
                  <w:r>
                    <w:rPr>
                      <w:rFonts w:hint="eastAsia"/>
                      <w:color w:val="000000" w:themeColor="text1"/>
                      <w:u w:val="single"/>
                      <w14:textFill>
                        <w14:solidFill>
                          <w14:schemeClr w14:val="tx1"/>
                        </w14:solidFill>
                      </w14:textFill>
                    </w:rPr>
                    <w:t>E</w:t>
                  </w:r>
                  <w:r>
                    <w:rPr>
                      <w:color w:val="000000" w:themeColor="text1"/>
                      <w:u w:val="single"/>
                      <w14:textFill>
                        <w14:solidFill>
                          <w14:schemeClr w14:val="tx1"/>
                        </w14:solidFill>
                      </w14:textFill>
                    </w:rPr>
                    <w:t>112.559481°</w:t>
                  </w:r>
                </w:p>
              </w:tc>
              <w:tc>
                <w:tcPr>
                  <w:tcW w:w="850" w:type="dxa"/>
                  <w:vAlign w:val="center"/>
                </w:tcPr>
                <w:p>
                  <w:pPr>
                    <w:jc w:val="lef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一般排放口</w:t>
                  </w:r>
                </w:p>
              </w:tc>
              <w:tc>
                <w:tcPr>
                  <w:tcW w:w="709" w:type="dxa"/>
                  <w:vAlign w:val="center"/>
                </w:tcPr>
                <w:p>
                  <w:pPr>
                    <w:jc w:val="left"/>
                    <w:rPr>
                      <w:color w:val="000000" w:themeColor="text1"/>
                      <w:u w:val="single"/>
                      <w14:textFill>
                        <w14:solidFill>
                          <w14:schemeClr w14:val="tx1"/>
                        </w14:solidFill>
                      </w14:textFill>
                    </w:rPr>
                  </w:pPr>
                  <w:r>
                    <w:rPr>
                      <w:color w:val="000000" w:themeColor="text1"/>
                      <w:u w:val="single"/>
                      <w14:textFill>
                        <w14:solidFill>
                          <w14:schemeClr w14:val="tx1"/>
                        </w14:solidFill>
                      </w14:textFill>
                    </w:rPr>
                    <w:t>1次/半年</w:t>
                  </w:r>
                </w:p>
              </w:tc>
              <w:tc>
                <w:tcPr>
                  <w:tcW w:w="1276" w:type="dxa"/>
                  <w:vMerge w:val="restart"/>
                  <w:vAlign w:val="center"/>
                </w:tcPr>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t>《工业炉窑大气污染物排放标准》（GB9078-1996）</w:t>
                  </w:r>
                  <w:r>
                    <w:rPr>
                      <w:rFonts w:hint="eastAsia"/>
                      <w:color w:val="000000" w:themeColor="text1"/>
                      <w14:textFill>
                        <w14:solidFill>
                          <w14:schemeClr w14:val="tx1"/>
                        </w14:solidFill>
                      </w14:textFill>
                    </w:rPr>
                    <w:t>表2中加热炉</w:t>
                  </w:r>
                  <w:r>
                    <w:rPr>
                      <w:color w:val="000000" w:themeColor="text1"/>
                      <w14:textFill>
                        <w14:solidFill>
                          <w14:schemeClr w14:val="tx1"/>
                        </w14:solidFill>
                      </w14:textFill>
                    </w:rPr>
                    <w:t>二级标准</w:t>
                  </w:r>
                  <w:r>
                    <w:rPr>
                      <w:rFonts w:hint="eastAsia"/>
                      <w:color w:val="000000" w:themeColor="text1"/>
                      <w14:textFill>
                        <w14:solidFill>
                          <w14:schemeClr w14:val="tx1"/>
                        </w14:solidFill>
                      </w14:textFill>
                    </w:rPr>
                    <w:t>要求；《大气污染物综合排放标准》（</w:t>
                  </w:r>
                  <w:r>
                    <w:rPr>
                      <w:color w:val="000000" w:themeColor="text1"/>
                      <w14:textFill>
                        <w14:solidFill>
                          <w14:schemeClr w14:val="tx1"/>
                        </w14:solidFill>
                      </w14:textFill>
                    </w:rPr>
                    <w:t>GB16297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1996</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中限值要求限值标准要求；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736" w:type="dxa"/>
                  <w:vAlign w:val="center"/>
                </w:tcPr>
                <w:p>
                  <w:pPr>
                    <w:widowControl/>
                    <w:autoSpaceDE w:val="0"/>
                    <w:autoSpaceDN w:val="0"/>
                    <w:adjustRightIn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DA002</w:t>
                  </w:r>
                </w:p>
              </w:tc>
              <w:tc>
                <w:tcPr>
                  <w:tcW w:w="1134"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二次破碎、</w:t>
                  </w:r>
                  <w:r>
                    <w:rPr>
                      <w:rFonts w:hint="eastAsia"/>
                      <w:color w:val="000000" w:themeColor="text1"/>
                      <w:szCs w:val="21"/>
                      <w:u w:val="single"/>
                      <w14:textFill>
                        <w14:solidFill>
                          <w14:schemeClr w14:val="tx1"/>
                        </w14:solidFill>
                      </w14:textFill>
                    </w:rPr>
                    <w:t>烘干、炭化（烘干机工作）</w:t>
                  </w:r>
                </w:p>
              </w:tc>
              <w:tc>
                <w:tcPr>
                  <w:tcW w:w="709" w:type="dxa"/>
                  <w:vAlign w:val="center"/>
                </w:tcPr>
                <w:p>
                  <w:pPr>
                    <w:jc w:val="center"/>
                    <w:rPr>
                      <w:color w:val="000000" w:themeColor="text1"/>
                      <w:u w:val="single"/>
                      <w14:textFill>
                        <w14:solidFill>
                          <w14:schemeClr w14:val="tx1"/>
                        </w14:solidFill>
                      </w14:textFill>
                    </w:rPr>
                  </w:pPr>
                  <w:r>
                    <w:rPr>
                      <w:color w:val="000000" w:themeColor="text1"/>
                      <w:u w:val="single"/>
                      <w14:textFill>
                        <w14:solidFill>
                          <w14:schemeClr w14:val="tx1"/>
                        </w14:solidFill>
                      </w14:textFill>
                    </w:rPr>
                    <w:t>15</w:t>
                  </w:r>
                  <w:r>
                    <w:rPr>
                      <w:rFonts w:hint="eastAsia"/>
                      <w:color w:val="000000" w:themeColor="text1"/>
                      <w:u w:val="single"/>
                      <w14:textFill>
                        <w14:solidFill>
                          <w14:schemeClr w14:val="tx1"/>
                        </w14:solidFill>
                      </w14:textFill>
                    </w:rPr>
                    <w:t>m</w:t>
                  </w:r>
                </w:p>
              </w:tc>
              <w:tc>
                <w:tcPr>
                  <w:tcW w:w="851" w:type="dxa"/>
                  <w:vAlign w:val="center"/>
                </w:tcPr>
                <w:p>
                  <w:pPr>
                    <w:spacing w:line="360" w:lineRule="auto"/>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0</w:t>
                  </w:r>
                  <w:r>
                    <w:rPr>
                      <w:color w:val="000000" w:themeColor="text1"/>
                      <w:u w:val="single"/>
                      <w14:textFill>
                        <w14:solidFill>
                          <w14:schemeClr w14:val="tx1"/>
                        </w14:solidFill>
                      </w14:textFill>
                    </w:rPr>
                    <w:t>.3</w:t>
                  </w:r>
                </w:p>
              </w:tc>
              <w:tc>
                <w:tcPr>
                  <w:tcW w:w="708" w:type="dxa"/>
                  <w:vAlign w:val="center"/>
                </w:tcPr>
                <w:p>
                  <w:pPr>
                    <w:spacing w:line="360" w:lineRule="auto"/>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2</w:t>
                  </w:r>
                  <w:r>
                    <w:rPr>
                      <w:color w:val="000000" w:themeColor="text1"/>
                      <w:u w:val="single"/>
                      <w14:textFill>
                        <w14:solidFill>
                          <w14:schemeClr w14:val="tx1"/>
                        </w14:solidFill>
                      </w14:textFill>
                    </w:rPr>
                    <w:t>5</w:t>
                  </w:r>
                </w:p>
              </w:tc>
              <w:tc>
                <w:tcPr>
                  <w:tcW w:w="993"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N</w:t>
                  </w:r>
                  <w:r>
                    <w:rPr>
                      <w:color w:val="000000" w:themeColor="text1"/>
                      <w:szCs w:val="21"/>
                      <w:u w:val="single"/>
                      <w14:textFill>
                        <w14:solidFill>
                          <w14:schemeClr w14:val="tx1"/>
                        </w14:solidFill>
                      </w14:textFill>
                    </w:rPr>
                    <w:t>27.320454</w:t>
                  </w:r>
                  <w:r>
                    <w:rPr>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E</w:t>
                  </w:r>
                  <w:r>
                    <w:rPr>
                      <w:color w:val="000000" w:themeColor="text1"/>
                      <w:szCs w:val="21"/>
                      <w:u w:val="single"/>
                      <w14:textFill>
                        <w14:solidFill>
                          <w14:schemeClr w14:val="tx1"/>
                        </w14:solidFill>
                      </w14:textFill>
                    </w:rPr>
                    <w:t>112.554200</w:t>
                  </w:r>
                  <w:r>
                    <w:rPr>
                      <w:color w:val="000000" w:themeColor="text1"/>
                      <w:u w:val="single"/>
                      <w14:textFill>
                        <w14:solidFill>
                          <w14:schemeClr w14:val="tx1"/>
                        </w14:solidFill>
                      </w14:textFill>
                    </w:rPr>
                    <w:t>°</w:t>
                  </w:r>
                </w:p>
              </w:tc>
              <w:tc>
                <w:tcPr>
                  <w:tcW w:w="850"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一般排放口</w:t>
                  </w:r>
                </w:p>
              </w:tc>
              <w:tc>
                <w:tcPr>
                  <w:tcW w:w="709"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1次/半年</w:t>
                  </w:r>
                </w:p>
              </w:tc>
              <w:tc>
                <w:tcPr>
                  <w:tcW w:w="1276" w:type="dxa"/>
                  <w:vMerge w:val="continue"/>
                </w:tcPr>
                <w:p>
                  <w:pPr>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736" w:type="dxa"/>
                  <w:vAlign w:val="center"/>
                </w:tcPr>
                <w:p>
                  <w:pPr>
                    <w:widowControl/>
                    <w:autoSpaceDE w:val="0"/>
                    <w:autoSpaceDN w:val="0"/>
                    <w:adjustRightInd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DA003</w:t>
                  </w:r>
                </w:p>
              </w:tc>
              <w:tc>
                <w:tcPr>
                  <w:tcW w:w="1134"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炭化废气（烘干机未工作）、炭化点火燃烧废气</w:t>
                  </w:r>
                </w:p>
              </w:tc>
              <w:tc>
                <w:tcPr>
                  <w:tcW w:w="709" w:type="dxa"/>
                  <w:vAlign w:val="center"/>
                </w:tcPr>
                <w:p>
                  <w:pPr>
                    <w:jc w:val="center"/>
                    <w:rPr>
                      <w:color w:val="000000" w:themeColor="text1"/>
                      <w:u w:val="single"/>
                      <w14:textFill>
                        <w14:solidFill>
                          <w14:schemeClr w14:val="tx1"/>
                        </w14:solidFill>
                      </w14:textFill>
                    </w:rPr>
                  </w:pPr>
                  <w:r>
                    <w:rPr>
                      <w:color w:val="000000" w:themeColor="text1"/>
                      <w:u w:val="single"/>
                      <w14:textFill>
                        <w14:solidFill>
                          <w14:schemeClr w14:val="tx1"/>
                        </w14:solidFill>
                      </w14:textFill>
                    </w:rPr>
                    <w:t>15</w:t>
                  </w:r>
                  <w:r>
                    <w:rPr>
                      <w:rFonts w:hint="eastAsia"/>
                      <w:color w:val="000000" w:themeColor="text1"/>
                      <w:u w:val="single"/>
                      <w14:textFill>
                        <w14:solidFill>
                          <w14:schemeClr w14:val="tx1"/>
                        </w14:solidFill>
                      </w14:textFill>
                    </w:rPr>
                    <w:t>m</w:t>
                  </w:r>
                </w:p>
              </w:tc>
              <w:tc>
                <w:tcPr>
                  <w:tcW w:w="851" w:type="dxa"/>
                  <w:vAlign w:val="center"/>
                </w:tcPr>
                <w:p>
                  <w:pPr>
                    <w:spacing w:line="360" w:lineRule="auto"/>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0</w:t>
                  </w:r>
                  <w:r>
                    <w:rPr>
                      <w:color w:val="000000" w:themeColor="text1"/>
                      <w:u w:val="single"/>
                      <w14:textFill>
                        <w14:solidFill>
                          <w14:schemeClr w14:val="tx1"/>
                        </w14:solidFill>
                      </w14:textFill>
                    </w:rPr>
                    <w:t>.3</w:t>
                  </w:r>
                </w:p>
              </w:tc>
              <w:tc>
                <w:tcPr>
                  <w:tcW w:w="708" w:type="dxa"/>
                  <w:vAlign w:val="center"/>
                </w:tcPr>
                <w:p>
                  <w:pPr>
                    <w:spacing w:line="360" w:lineRule="auto"/>
                    <w:jc w:val="center"/>
                    <w:rPr>
                      <w:color w:val="000000" w:themeColor="text1"/>
                      <w:u w:val="single"/>
                      <w14:textFill>
                        <w14:solidFill>
                          <w14:schemeClr w14:val="tx1"/>
                        </w14:solidFill>
                      </w14:textFill>
                    </w:rPr>
                  </w:pPr>
                </w:p>
              </w:tc>
              <w:tc>
                <w:tcPr>
                  <w:tcW w:w="993"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N</w:t>
                  </w:r>
                  <w:r>
                    <w:rPr>
                      <w:color w:val="000000" w:themeColor="text1"/>
                      <w:szCs w:val="21"/>
                      <w:u w:val="single"/>
                      <w14:textFill>
                        <w14:solidFill>
                          <w14:schemeClr w14:val="tx1"/>
                        </w14:solidFill>
                      </w14:textFill>
                    </w:rPr>
                    <w:t>27.320463</w:t>
                  </w:r>
                  <w:r>
                    <w:rPr>
                      <w:color w:val="000000" w:themeColor="text1"/>
                      <w:u w:val="single"/>
                      <w14:textFill>
                        <w14:solidFill>
                          <w14:schemeClr w14:val="tx1"/>
                        </w14:solidFill>
                      </w14:textFill>
                    </w:rPr>
                    <w:t>°</w:t>
                  </w:r>
                  <w:r>
                    <w:rPr>
                      <w:rFonts w:hint="eastAsia"/>
                      <w:color w:val="000000" w:themeColor="text1"/>
                      <w:u w:val="single"/>
                      <w14:textFill>
                        <w14:solidFill>
                          <w14:schemeClr w14:val="tx1"/>
                        </w14:solidFill>
                      </w14:textFill>
                    </w:rPr>
                    <w:t>E</w:t>
                  </w:r>
                  <w:r>
                    <w:rPr>
                      <w:color w:val="000000" w:themeColor="text1"/>
                      <w:szCs w:val="21"/>
                      <w:u w:val="single"/>
                      <w14:textFill>
                        <w14:solidFill>
                          <w14:schemeClr w14:val="tx1"/>
                        </w14:solidFill>
                      </w14:textFill>
                    </w:rPr>
                    <w:t>112.554216</w:t>
                  </w:r>
                  <w:r>
                    <w:rPr>
                      <w:color w:val="000000" w:themeColor="text1"/>
                      <w:u w:val="single"/>
                      <w14:textFill>
                        <w14:solidFill>
                          <w14:schemeClr w14:val="tx1"/>
                        </w14:solidFill>
                      </w14:textFill>
                    </w:rPr>
                    <w:t>°</w:t>
                  </w:r>
                </w:p>
              </w:tc>
              <w:tc>
                <w:tcPr>
                  <w:tcW w:w="850"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一般排放口</w:t>
                  </w:r>
                </w:p>
              </w:tc>
              <w:tc>
                <w:tcPr>
                  <w:tcW w:w="709"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1次/半年</w:t>
                  </w:r>
                </w:p>
              </w:tc>
              <w:tc>
                <w:tcPr>
                  <w:tcW w:w="1276" w:type="dxa"/>
                  <w:vMerge w:val="continue"/>
                </w:tcPr>
                <w:p>
                  <w:pPr>
                    <w:jc w:val="left"/>
                    <w:rPr>
                      <w:color w:val="000000" w:themeColor="text1"/>
                      <w14:textFill>
                        <w14:solidFill>
                          <w14:schemeClr w14:val="tx1"/>
                        </w14:solidFill>
                      </w14:textFill>
                    </w:rPr>
                  </w:pPr>
                </w:p>
              </w:tc>
            </w:tr>
          </w:tbl>
          <w:p>
            <w:pPr>
              <w:spacing w:line="360" w:lineRule="auto"/>
              <w:rPr>
                <w:color w:val="000000" w:themeColor="text1"/>
                <w14:textFill>
                  <w14:solidFill>
                    <w14:schemeClr w14:val="tx1"/>
                  </w14:solidFill>
                </w14:textFill>
              </w:rPr>
            </w:pP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1.7大气自行监测计划 </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《排污单位自行监测技术指南 总则》（HJ819-2016）、</w:t>
            </w:r>
            <w:r>
              <w:rPr>
                <w:color w:val="000000" w:themeColor="text1"/>
                <w:sz w:val="24"/>
                <w14:textFill>
                  <w14:solidFill>
                    <w14:schemeClr w14:val="tx1"/>
                  </w14:solidFill>
                </w14:textFill>
              </w:rPr>
              <w:t xml:space="preserve">根据《排污单位自行监测技术指南 </w:t>
            </w:r>
            <w:r>
              <w:rPr>
                <w:rFonts w:hint="eastAsia"/>
                <w:color w:val="000000" w:themeColor="text1"/>
                <w:sz w:val="24"/>
                <w14:textFill>
                  <w14:solidFill>
                    <w14:schemeClr w14:val="tx1"/>
                  </w14:solidFill>
                </w14:textFill>
              </w:rPr>
              <w:t>锅炉</w:t>
            </w:r>
            <w:r>
              <w:rPr>
                <w:color w:val="000000" w:themeColor="text1"/>
                <w:sz w:val="24"/>
                <w14:textFill>
                  <w14:solidFill>
                    <w14:schemeClr w14:val="tx1"/>
                  </w14:solidFill>
                </w14:textFill>
              </w:rPr>
              <w:t>》（HJ9</w:t>
            </w:r>
            <w:r>
              <w:rPr>
                <w:rFonts w:hint="eastAsia"/>
                <w:color w:val="000000" w:themeColor="text1"/>
                <w:sz w:val="24"/>
                <w14:textFill>
                  <w14:solidFill>
                    <w14:schemeClr w14:val="tx1"/>
                  </w14:solidFill>
                </w14:textFill>
              </w:rPr>
              <w:t>53</w:t>
            </w:r>
            <w:r>
              <w:rPr>
                <w:color w:val="000000" w:themeColor="text1"/>
                <w:sz w:val="24"/>
                <w14:textFill>
                  <w14:solidFill>
                    <w14:schemeClr w14:val="tx1"/>
                  </w14:solidFill>
                </w14:textFill>
              </w:rPr>
              <w:t>-201</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《排污许可证申请与核发技术规范 废弃资源加工工业》（HJ1034-2019）</w:t>
            </w:r>
            <w:r>
              <w:rPr>
                <w:color w:val="000000" w:themeColor="text1"/>
                <w:sz w:val="24"/>
                <w14:textFill>
                  <w14:solidFill>
                    <w14:schemeClr w14:val="tx1"/>
                  </w14:solidFill>
                </w14:textFill>
              </w:rPr>
              <w:t>的相关要求，大气环境监测计划：为掌握项目大气污染源排放情况，控制厂区、周围废气浓度、保证操作人员和周围人群健康，定期环境监测工作由有资质的第三方监测单位完成，并出具具有法律效力的监测报告，自行环境监测安排见下表。</w:t>
            </w:r>
          </w:p>
          <w:p>
            <w:pPr>
              <w:spacing w:line="360" w:lineRule="auto"/>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表4</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14 废气监测计划表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619"/>
              <w:gridCol w:w="1560"/>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tcPr>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监测点位</w:t>
                  </w:r>
                </w:p>
              </w:tc>
              <w:tc>
                <w:tcPr>
                  <w:tcW w:w="1619" w:type="dxa"/>
                </w:tcPr>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监测因子</w:t>
                  </w:r>
                </w:p>
              </w:tc>
              <w:tc>
                <w:tcPr>
                  <w:tcW w:w="1560" w:type="dxa"/>
                </w:tcPr>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监测频次</w:t>
                  </w:r>
                </w:p>
              </w:tc>
              <w:tc>
                <w:tcPr>
                  <w:tcW w:w="2770" w:type="dxa"/>
                </w:tcPr>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982" w:type="dxa"/>
                  <w:vAlign w:val="center"/>
                </w:tcPr>
                <w:p>
                  <w:pPr>
                    <w:jc w:val="center"/>
                    <w:rPr>
                      <w:color w:val="000000" w:themeColor="text1"/>
                      <w:u w:val="single"/>
                      <w14:textFill>
                        <w14:solidFill>
                          <w14:schemeClr w14:val="tx1"/>
                        </w14:solidFill>
                      </w14:textFill>
                    </w:rPr>
                  </w:pPr>
                  <w:r>
                    <w:rPr>
                      <w:color w:val="000000" w:themeColor="text1"/>
                      <w:u w:val="single"/>
                      <w14:textFill>
                        <w14:solidFill>
                          <w14:schemeClr w14:val="tx1"/>
                        </w14:solidFill>
                      </w14:textFill>
                    </w:rPr>
                    <w:t>DA001</w:t>
                  </w:r>
                </w:p>
              </w:tc>
              <w:tc>
                <w:tcPr>
                  <w:tcW w:w="1619"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颗粒物</w:t>
                  </w:r>
                </w:p>
              </w:tc>
              <w:tc>
                <w:tcPr>
                  <w:tcW w:w="1560" w:type="dxa"/>
                  <w:vAlign w:val="center"/>
                </w:tcPr>
                <w:p>
                  <w:pPr>
                    <w:spacing w:line="360" w:lineRule="auto"/>
                    <w:jc w:val="center"/>
                    <w:rPr>
                      <w:color w:val="000000" w:themeColor="text1"/>
                      <w:u w:val="single"/>
                      <w14:textFill>
                        <w14:solidFill>
                          <w14:schemeClr w14:val="tx1"/>
                        </w14:solidFill>
                      </w14:textFill>
                    </w:rPr>
                  </w:pPr>
                  <w:r>
                    <w:rPr>
                      <w:color w:val="000000" w:themeColor="text1"/>
                      <w:kern w:val="21"/>
                      <w:szCs w:val="21"/>
                      <w:u w:val="single"/>
                      <w14:textFill>
                        <w14:solidFill>
                          <w14:schemeClr w14:val="tx1"/>
                        </w14:solidFill>
                      </w14:textFill>
                    </w:rPr>
                    <w:t>1次/半年</w:t>
                  </w:r>
                </w:p>
              </w:tc>
              <w:tc>
                <w:tcPr>
                  <w:tcW w:w="2770" w:type="dxa"/>
                  <w:vMerge w:val="restart"/>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《大气污染物综合排放标准》（</w:t>
                  </w:r>
                  <w:r>
                    <w:rPr>
                      <w:color w:val="000000" w:themeColor="text1"/>
                      <w:szCs w:val="21"/>
                      <w14:textFill>
                        <w14:solidFill>
                          <w14:schemeClr w14:val="tx1"/>
                        </w14:solidFill>
                      </w14:textFill>
                    </w:rPr>
                    <w:t>GB16297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1996</w:t>
                  </w: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中限值要求限值标准要求；</w:t>
                  </w:r>
                  <w:r>
                    <w:rPr>
                      <w:color w:val="000000" w:themeColor="text1"/>
                      <w:szCs w:val="21"/>
                      <w14:textFill>
                        <w14:solidFill>
                          <w14:schemeClr w14:val="tx1"/>
                        </w14:solidFill>
                      </w14:textFill>
                    </w:rPr>
                    <w:t>《工业炉窑大气污染物排放标准》（GB9078-1996）</w:t>
                  </w:r>
                  <w:r>
                    <w:rPr>
                      <w:rFonts w:hint="eastAsia"/>
                      <w:color w:val="000000" w:themeColor="text1"/>
                      <w:szCs w:val="21"/>
                      <w14:textFill>
                        <w14:solidFill>
                          <w14:schemeClr w14:val="tx1"/>
                        </w14:solidFill>
                      </w14:textFill>
                    </w:rPr>
                    <w:t>表2中加热炉</w:t>
                  </w:r>
                  <w:r>
                    <w:rPr>
                      <w:color w:val="000000" w:themeColor="text1"/>
                      <w:szCs w:val="21"/>
                      <w14:textFill>
                        <w14:solidFill>
                          <w14:schemeClr w14:val="tx1"/>
                        </w14:solidFill>
                      </w14:textFill>
                    </w:rPr>
                    <w:t>二级标准</w:t>
                  </w:r>
                  <w:r>
                    <w:rPr>
                      <w:rFonts w:hint="eastAsia"/>
                      <w:color w:val="000000" w:themeColor="text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82" w:type="dxa"/>
                  <w:vAlign w:val="center"/>
                </w:tcPr>
                <w:p>
                  <w:pPr>
                    <w:jc w:val="center"/>
                    <w:rPr>
                      <w:color w:val="000000" w:themeColor="text1"/>
                      <w:u w:val="single"/>
                      <w14:textFill>
                        <w14:solidFill>
                          <w14:schemeClr w14:val="tx1"/>
                        </w14:solidFill>
                      </w14:textFill>
                    </w:rPr>
                  </w:pPr>
                  <w:r>
                    <w:rPr>
                      <w:color w:val="000000" w:themeColor="text1"/>
                      <w:u w:val="single"/>
                      <w14:textFill>
                        <w14:solidFill>
                          <w14:schemeClr w14:val="tx1"/>
                        </w14:solidFill>
                      </w14:textFill>
                    </w:rPr>
                    <w:t>DA002</w:t>
                  </w:r>
                </w:p>
              </w:tc>
              <w:tc>
                <w:tcPr>
                  <w:tcW w:w="1619"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颗粒物、S</w:t>
                  </w:r>
                  <w:r>
                    <w:rPr>
                      <w:color w:val="000000" w:themeColor="text1"/>
                      <w:u w:val="single"/>
                      <w14:textFill>
                        <w14:solidFill>
                          <w14:schemeClr w14:val="tx1"/>
                        </w14:solidFill>
                      </w14:textFill>
                    </w:rPr>
                    <w:t>O</w:t>
                  </w:r>
                  <w:r>
                    <w:rPr>
                      <w:color w:val="000000" w:themeColor="text1"/>
                      <w:u w:val="single"/>
                      <w:vertAlign w:val="subscript"/>
                      <w14:textFill>
                        <w14:solidFill>
                          <w14:schemeClr w14:val="tx1"/>
                        </w14:solidFill>
                      </w14:textFill>
                    </w:rPr>
                    <w:t>2</w:t>
                  </w:r>
                  <w:r>
                    <w:rPr>
                      <w:rFonts w:hint="eastAsia"/>
                      <w:color w:val="000000" w:themeColor="text1"/>
                      <w:u w:val="single"/>
                      <w14:textFill>
                        <w14:solidFill>
                          <w14:schemeClr w14:val="tx1"/>
                        </w14:solidFill>
                      </w14:textFill>
                    </w:rPr>
                    <w:t>、N</w:t>
                  </w:r>
                  <w:r>
                    <w:rPr>
                      <w:color w:val="000000" w:themeColor="text1"/>
                      <w:u w:val="single"/>
                      <w14:textFill>
                        <w14:solidFill>
                          <w14:schemeClr w14:val="tx1"/>
                        </w14:solidFill>
                      </w14:textFill>
                    </w:rPr>
                    <w:t>O</w:t>
                  </w:r>
                  <w:r>
                    <w:rPr>
                      <w:color w:val="000000" w:themeColor="text1"/>
                      <w:u w:val="single"/>
                      <w:vertAlign w:val="subscript"/>
                      <w14:textFill>
                        <w14:solidFill>
                          <w14:schemeClr w14:val="tx1"/>
                        </w14:solidFill>
                      </w14:textFill>
                    </w:rPr>
                    <w:t>X</w:t>
                  </w:r>
                </w:p>
              </w:tc>
              <w:tc>
                <w:tcPr>
                  <w:tcW w:w="1560" w:type="dxa"/>
                  <w:vAlign w:val="center"/>
                </w:tcPr>
                <w:p>
                  <w:pPr>
                    <w:spacing w:line="360" w:lineRule="auto"/>
                    <w:jc w:val="center"/>
                    <w:rPr>
                      <w:color w:val="000000" w:themeColor="text1"/>
                      <w:u w:val="single"/>
                      <w14:textFill>
                        <w14:solidFill>
                          <w14:schemeClr w14:val="tx1"/>
                        </w14:solidFill>
                      </w14:textFill>
                    </w:rPr>
                  </w:pPr>
                  <w:r>
                    <w:rPr>
                      <w:color w:val="000000" w:themeColor="text1"/>
                      <w:kern w:val="21"/>
                      <w:szCs w:val="21"/>
                      <w:u w:val="single"/>
                      <w14:textFill>
                        <w14:solidFill>
                          <w14:schemeClr w14:val="tx1"/>
                        </w14:solidFill>
                      </w14:textFill>
                    </w:rPr>
                    <w:t>1次/半年</w:t>
                  </w:r>
                </w:p>
              </w:tc>
              <w:tc>
                <w:tcPr>
                  <w:tcW w:w="2770" w:type="dxa"/>
                  <w:vMerge w:val="continue"/>
                  <w:vAlign w:val="center"/>
                </w:tcPr>
                <w:p>
                  <w:pPr>
                    <w:spacing w:line="360" w:lineRule="auto"/>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82" w:type="dxa"/>
                  <w:vAlign w:val="center"/>
                </w:tcPr>
                <w:p>
                  <w:pPr>
                    <w:jc w:val="center"/>
                    <w:rPr>
                      <w:color w:val="000000" w:themeColor="text1"/>
                      <w:u w:val="single"/>
                      <w14:textFill>
                        <w14:solidFill>
                          <w14:schemeClr w14:val="tx1"/>
                        </w14:solidFill>
                      </w14:textFill>
                    </w:rPr>
                  </w:pPr>
                  <w:r>
                    <w:rPr>
                      <w:color w:val="000000" w:themeColor="text1"/>
                      <w:u w:val="single"/>
                      <w14:textFill>
                        <w14:solidFill>
                          <w14:schemeClr w14:val="tx1"/>
                        </w14:solidFill>
                      </w14:textFill>
                    </w:rPr>
                    <w:t>DA003</w:t>
                  </w:r>
                </w:p>
              </w:tc>
              <w:tc>
                <w:tcPr>
                  <w:tcW w:w="1619" w:type="dxa"/>
                  <w:vAlign w:val="center"/>
                </w:tcPr>
                <w:p>
                  <w:pPr>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颗粒物、S</w:t>
                  </w:r>
                  <w:r>
                    <w:rPr>
                      <w:color w:val="000000" w:themeColor="text1"/>
                      <w:u w:val="single"/>
                      <w14:textFill>
                        <w14:solidFill>
                          <w14:schemeClr w14:val="tx1"/>
                        </w14:solidFill>
                      </w14:textFill>
                    </w:rPr>
                    <w:t>O</w:t>
                  </w:r>
                  <w:r>
                    <w:rPr>
                      <w:color w:val="000000" w:themeColor="text1"/>
                      <w:u w:val="single"/>
                      <w:vertAlign w:val="subscript"/>
                      <w14:textFill>
                        <w14:solidFill>
                          <w14:schemeClr w14:val="tx1"/>
                        </w14:solidFill>
                      </w14:textFill>
                    </w:rPr>
                    <w:t>2</w:t>
                  </w:r>
                  <w:r>
                    <w:rPr>
                      <w:rFonts w:hint="eastAsia"/>
                      <w:color w:val="000000" w:themeColor="text1"/>
                      <w:u w:val="single"/>
                      <w14:textFill>
                        <w14:solidFill>
                          <w14:schemeClr w14:val="tx1"/>
                        </w14:solidFill>
                      </w14:textFill>
                    </w:rPr>
                    <w:t>、N</w:t>
                  </w:r>
                  <w:r>
                    <w:rPr>
                      <w:color w:val="000000" w:themeColor="text1"/>
                      <w:u w:val="single"/>
                      <w14:textFill>
                        <w14:solidFill>
                          <w14:schemeClr w14:val="tx1"/>
                        </w14:solidFill>
                      </w14:textFill>
                    </w:rPr>
                    <w:t>O</w:t>
                  </w:r>
                  <w:r>
                    <w:rPr>
                      <w:color w:val="000000" w:themeColor="text1"/>
                      <w:u w:val="single"/>
                      <w:vertAlign w:val="subscript"/>
                      <w14:textFill>
                        <w14:solidFill>
                          <w14:schemeClr w14:val="tx1"/>
                        </w14:solidFill>
                      </w14:textFill>
                    </w:rPr>
                    <w:t>X</w:t>
                  </w:r>
                </w:p>
              </w:tc>
              <w:tc>
                <w:tcPr>
                  <w:tcW w:w="1560" w:type="dxa"/>
                  <w:vAlign w:val="center"/>
                </w:tcPr>
                <w:p>
                  <w:pPr>
                    <w:spacing w:line="360" w:lineRule="auto"/>
                    <w:jc w:val="center"/>
                    <w:rPr>
                      <w:color w:val="000000" w:themeColor="text1"/>
                      <w:kern w:val="21"/>
                      <w:szCs w:val="21"/>
                      <w:u w:val="single"/>
                      <w14:textFill>
                        <w14:solidFill>
                          <w14:schemeClr w14:val="tx1"/>
                        </w14:solidFill>
                      </w14:textFill>
                    </w:rPr>
                  </w:pPr>
                  <w:r>
                    <w:rPr>
                      <w:color w:val="000000" w:themeColor="text1"/>
                      <w:kern w:val="21"/>
                      <w:szCs w:val="21"/>
                      <w:u w:val="single"/>
                      <w14:textFill>
                        <w14:solidFill>
                          <w14:schemeClr w14:val="tx1"/>
                        </w14:solidFill>
                      </w14:textFill>
                    </w:rPr>
                    <w:t>1次/半年</w:t>
                  </w:r>
                </w:p>
              </w:tc>
              <w:tc>
                <w:tcPr>
                  <w:tcW w:w="2770" w:type="dxa"/>
                  <w:vMerge w:val="continue"/>
                  <w:vAlign w:val="center"/>
                </w:tcPr>
                <w:p>
                  <w:pPr>
                    <w:spacing w:line="360" w:lineRule="auto"/>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厂界无组织废气（</w:t>
                  </w:r>
                  <w:r>
                    <w:rPr>
                      <w:color w:val="000000" w:themeColor="text1"/>
                      <w14:textFill>
                        <w14:solidFill>
                          <w14:schemeClr w14:val="tx1"/>
                        </w14:solidFill>
                      </w14:textFill>
                    </w:rPr>
                    <w:t>厂周界外 20m 根据实际风向上风向设置1个参照点，下风向设置3个监控点</w:t>
                  </w:r>
                  <w:r>
                    <w:rPr>
                      <w:rFonts w:hint="eastAsia"/>
                      <w:color w:val="000000" w:themeColor="text1"/>
                      <w14:textFill>
                        <w14:solidFill>
                          <w14:schemeClr w14:val="tx1"/>
                        </w14:solidFill>
                      </w14:textFill>
                    </w:rPr>
                    <w:t>）</w:t>
                  </w:r>
                </w:p>
              </w:tc>
              <w:tc>
                <w:tcPr>
                  <w:tcW w:w="161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颗粒物</w:t>
                  </w:r>
                </w:p>
              </w:tc>
              <w:tc>
                <w:tcPr>
                  <w:tcW w:w="1560" w:type="dxa"/>
                  <w:vAlign w:val="center"/>
                </w:tcPr>
                <w:p>
                  <w:pPr>
                    <w:spacing w:line="360" w:lineRule="auto"/>
                    <w:jc w:val="center"/>
                    <w:rPr>
                      <w:color w:val="000000" w:themeColor="text1"/>
                      <w14:textFill>
                        <w14:solidFill>
                          <w14:schemeClr w14:val="tx1"/>
                        </w14:solidFill>
                      </w14:textFill>
                    </w:rPr>
                  </w:pPr>
                  <w:r>
                    <w:rPr>
                      <w:color w:val="000000" w:themeColor="text1"/>
                      <w:kern w:val="21"/>
                      <w:szCs w:val="21"/>
                      <w14:textFill>
                        <w14:solidFill>
                          <w14:schemeClr w14:val="tx1"/>
                        </w14:solidFill>
                      </w14:textFill>
                    </w:rPr>
                    <w:t>1次/半年</w:t>
                  </w:r>
                </w:p>
              </w:tc>
              <w:tc>
                <w:tcPr>
                  <w:tcW w:w="2770" w:type="dxa"/>
                  <w:vAlign w:val="center"/>
                </w:tcPr>
                <w:p>
                  <w:pPr>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《大气污染物综合排放标准》（</w:t>
                  </w:r>
                  <w:r>
                    <w:rPr>
                      <w:color w:val="000000" w:themeColor="text1"/>
                      <w:szCs w:val="21"/>
                      <w14:textFill>
                        <w14:solidFill>
                          <w14:schemeClr w14:val="tx1"/>
                        </w14:solidFill>
                      </w14:textFill>
                    </w:rPr>
                    <w:t>GB16297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1996</w:t>
                  </w:r>
                  <w:r>
                    <w:rPr>
                      <w:rFonts w:hint="eastAsia"/>
                      <w:color w:val="000000" w:themeColor="text1"/>
                      <w:szCs w:val="21"/>
                      <w14:textFill>
                        <w14:solidFill>
                          <w14:schemeClr w14:val="tx1"/>
                        </w14:solidFill>
                      </w14:textFill>
                    </w:rPr>
                    <w:t>）表</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中限值要求</w:t>
                  </w:r>
                  <w:r>
                    <w:rPr>
                      <w:rFonts w:hint="eastAsia"/>
                      <w:bCs/>
                      <w:color w:val="000000" w:themeColor="text1"/>
                      <w:szCs w:val="21"/>
                      <w14:textFill>
                        <w14:solidFill>
                          <w14:schemeClr w14:val="tx1"/>
                        </w14:solidFill>
                      </w14:textFill>
                    </w:rPr>
                    <w:t>限值</w:t>
                  </w:r>
                  <w:r>
                    <w:rPr>
                      <w:rFonts w:hint="eastAsia"/>
                      <w:color w:val="000000" w:themeColor="text1"/>
                      <w:szCs w:val="21"/>
                      <w14:textFill>
                        <w14:solidFill>
                          <w14:schemeClr w14:val="tx1"/>
                        </w14:solidFill>
                      </w14:textFill>
                    </w:rPr>
                    <w:t>标准要求</w:t>
                  </w:r>
                </w:p>
              </w:tc>
            </w:tr>
            <w:bookmarkEnd w:id="10"/>
          </w:tbl>
          <w:p>
            <w:pPr>
              <w:rPr>
                <w:color w:val="000000" w:themeColor="text1"/>
                <w14:textFill>
                  <w14:solidFill>
                    <w14:schemeClr w14:val="tx1"/>
                  </w14:solidFill>
                </w14:textFill>
              </w:rPr>
            </w:pPr>
          </w:p>
          <w:p>
            <w:pPr>
              <w:spacing w:line="360" w:lineRule="auto"/>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1.8 废气环境影响评价</w:t>
            </w:r>
          </w:p>
          <w:p>
            <w:pPr>
              <w:pStyle w:val="4"/>
              <w:spacing w:line="360" w:lineRule="auto"/>
              <w:ind w:left="0" w:firstLine="480" w:firstLineChars="200"/>
              <w:rPr>
                <w:rFonts w:eastAsia="宋体"/>
                <w:b w:val="0"/>
                <w:color w:val="000000" w:themeColor="text1"/>
                <w:kern w:val="2"/>
                <w:sz w:val="24"/>
                <w:szCs w:val="24"/>
                <w14:textFill>
                  <w14:solidFill>
                    <w14:schemeClr w14:val="tx1"/>
                  </w14:solidFill>
                </w14:textFill>
              </w:rPr>
            </w:pPr>
            <w:r>
              <w:rPr>
                <w:rFonts w:eastAsia="宋体"/>
                <w:b w:val="0"/>
                <w:color w:val="000000" w:themeColor="text1"/>
                <w:kern w:val="2"/>
                <w:sz w:val="24"/>
                <w:szCs w:val="24"/>
                <w:u w:val="single"/>
                <w14:textFill>
                  <w14:solidFill>
                    <w14:schemeClr w14:val="tx1"/>
                  </w14:solidFill>
                </w14:textFill>
              </w:rPr>
              <w:t>项目所在区域</w:t>
            </w:r>
            <w:r>
              <w:rPr>
                <w:rFonts w:hint="eastAsia" w:eastAsia="宋体"/>
                <w:b w:val="0"/>
                <w:color w:val="000000" w:themeColor="text1"/>
                <w:kern w:val="2"/>
                <w:sz w:val="24"/>
                <w:szCs w:val="24"/>
                <w:u w:val="single"/>
                <w14:textFill>
                  <w14:solidFill>
                    <w14:schemeClr w14:val="tx1"/>
                  </w14:solidFill>
                </w14:textFill>
              </w:rPr>
              <w:t>为</w:t>
            </w:r>
            <w:r>
              <w:rPr>
                <w:rFonts w:eastAsia="宋体"/>
                <w:b w:val="0"/>
                <w:color w:val="000000" w:themeColor="text1"/>
                <w:kern w:val="2"/>
                <w:sz w:val="24"/>
                <w:szCs w:val="24"/>
                <w:u w:val="single"/>
                <w14:textFill>
                  <w14:solidFill>
                    <w14:schemeClr w14:val="tx1"/>
                  </w14:solidFill>
                </w14:textFill>
              </w:rPr>
              <w:t>空气质量为达标区，项目</w:t>
            </w:r>
            <w:r>
              <w:rPr>
                <w:rFonts w:hint="eastAsia" w:eastAsia="宋体"/>
                <w:b w:val="0"/>
                <w:color w:val="000000" w:themeColor="text1"/>
                <w:kern w:val="2"/>
                <w:sz w:val="24"/>
                <w:szCs w:val="24"/>
                <w:u w:val="single"/>
                <w14:textFill>
                  <w14:solidFill>
                    <w14:schemeClr w14:val="tx1"/>
                  </w14:solidFill>
                </w14:textFill>
              </w:rPr>
              <w:t>二次破碎</w:t>
            </w:r>
            <w:r>
              <w:rPr>
                <w:rFonts w:eastAsia="宋体"/>
                <w:b w:val="0"/>
                <w:color w:val="000000" w:themeColor="text1"/>
                <w:kern w:val="2"/>
                <w:sz w:val="24"/>
                <w:szCs w:val="24"/>
                <w:u w:val="single"/>
                <w14:textFill>
                  <w14:solidFill>
                    <w14:schemeClr w14:val="tx1"/>
                  </w14:solidFill>
                </w14:textFill>
              </w:rPr>
              <w:t>废气</w:t>
            </w:r>
            <w:r>
              <w:rPr>
                <w:rFonts w:hint="eastAsia" w:eastAsia="宋体"/>
                <w:b w:val="0"/>
                <w:color w:val="000000" w:themeColor="text1"/>
                <w:kern w:val="2"/>
                <w:sz w:val="24"/>
                <w:szCs w:val="24"/>
                <w:u w:val="single"/>
                <w14:textFill>
                  <w14:solidFill>
                    <w14:schemeClr w14:val="tx1"/>
                  </w14:solidFill>
                </w14:textFill>
              </w:rPr>
              <w:t>、烘干、炭化废气</w:t>
            </w:r>
            <w:r>
              <w:rPr>
                <w:rFonts w:eastAsia="宋体"/>
                <w:b w:val="0"/>
                <w:color w:val="000000" w:themeColor="text1"/>
                <w:kern w:val="2"/>
                <w:sz w:val="24"/>
                <w:szCs w:val="24"/>
                <w:u w:val="single"/>
                <w14:textFill>
                  <w14:solidFill>
                    <w14:schemeClr w14:val="tx1"/>
                  </w14:solidFill>
                </w14:textFill>
              </w:rPr>
              <w:t>经</w:t>
            </w:r>
            <w:r>
              <w:rPr>
                <w:rFonts w:hint="eastAsia" w:eastAsia="宋体"/>
                <w:b w:val="0"/>
                <w:color w:val="000000" w:themeColor="text1"/>
                <w:kern w:val="2"/>
                <w:sz w:val="24"/>
                <w:szCs w:val="24"/>
                <w:u w:val="single"/>
                <w14:textFill>
                  <w14:solidFill>
                    <w14:schemeClr w14:val="tx1"/>
                  </w14:solidFill>
                </w14:textFill>
              </w:rPr>
              <w:t>密闭集气管道</w:t>
            </w:r>
            <w:r>
              <w:rPr>
                <w:rFonts w:eastAsia="宋体"/>
                <w:b w:val="0"/>
                <w:color w:val="000000" w:themeColor="text1"/>
                <w:kern w:val="2"/>
                <w:sz w:val="24"/>
                <w:szCs w:val="24"/>
                <w:u w:val="single"/>
                <w14:textFill>
                  <w14:solidFill>
                    <w14:schemeClr w14:val="tx1"/>
                  </w14:solidFill>
                </w14:textFill>
              </w:rPr>
              <w:t>收集后经</w:t>
            </w:r>
            <w:r>
              <w:rPr>
                <w:rFonts w:hint="eastAsia" w:eastAsia="宋体"/>
                <w:b w:val="0"/>
                <w:color w:val="000000" w:themeColor="text1"/>
                <w:kern w:val="2"/>
                <w:sz w:val="24"/>
                <w:szCs w:val="24"/>
                <w:u w:val="single"/>
                <w14:textFill>
                  <w14:solidFill>
                    <w14:schemeClr w14:val="tx1"/>
                  </w14:solidFill>
                </w14:textFill>
              </w:rPr>
              <w:t>脉冲布袋除尘</w:t>
            </w:r>
            <w:r>
              <w:rPr>
                <w:rFonts w:eastAsia="宋体"/>
                <w:b w:val="0"/>
                <w:color w:val="000000" w:themeColor="text1"/>
                <w:kern w:val="2"/>
                <w:sz w:val="24"/>
                <w:szCs w:val="24"/>
                <w:u w:val="single"/>
                <w14:textFill>
                  <w14:solidFill>
                    <w14:schemeClr w14:val="tx1"/>
                  </w14:solidFill>
                </w14:textFill>
              </w:rPr>
              <w:t>装置处理后引至 15m 排气筒</w:t>
            </w:r>
            <w:r>
              <w:rPr>
                <w:rFonts w:hint="eastAsia" w:eastAsia="宋体"/>
                <w:b w:val="0"/>
                <w:color w:val="000000" w:themeColor="text1"/>
                <w:kern w:val="2"/>
                <w:sz w:val="24"/>
                <w:szCs w:val="24"/>
                <w:u w:val="single"/>
                <w14:textFill>
                  <w14:solidFill>
                    <w14:schemeClr w14:val="tx1"/>
                  </w14:solidFill>
                </w14:textFill>
              </w:rPr>
              <w:t>（D</w:t>
            </w:r>
            <w:r>
              <w:rPr>
                <w:rFonts w:eastAsia="宋体"/>
                <w:b w:val="0"/>
                <w:color w:val="000000" w:themeColor="text1"/>
                <w:kern w:val="2"/>
                <w:sz w:val="24"/>
                <w:szCs w:val="24"/>
                <w:u w:val="single"/>
                <w14:textFill>
                  <w14:solidFill>
                    <w14:schemeClr w14:val="tx1"/>
                  </w14:solidFill>
                </w14:textFill>
              </w:rPr>
              <w:t>A002</w:t>
            </w:r>
            <w:r>
              <w:rPr>
                <w:rFonts w:hint="eastAsia" w:eastAsia="宋体"/>
                <w:b w:val="0"/>
                <w:color w:val="000000" w:themeColor="text1"/>
                <w:kern w:val="2"/>
                <w:sz w:val="24"/>
                <w:szCs w:val="24"/>
                <w:u w:val="single"/>
                <w14:textFill>
                  <w14:solidFill>
                    <w14:schemeClr w14:val="tx1"/>
                  </w14:solidFill>
                </w14:textFill>
              </w:rPr>
              <w:t>）</w:t>
            </w:r>
            <w:r>
              <w:rPr>
                <w:rFonts w:eastAsia="宋体"/>
                <w:b w:val="0"/>
                <w:color w:val="000000" w:themeColor="text1"/>
                <w:kern w:val="2"/>
                <w:sz w:val="24"/>
                <w:szCs w:val="24"/>
                <w:u w:val="single"/>
                <w14:textFill>
                  <w14:solidFill>
                    <w14:schemeClr w14:val="tx1"/>
                  </w14:solidFill>
                </w14:textFill>
              </w:rPr>
              <w:t>达标排放</w:t>
            </w:r>
            <w:r>
              <w:rPr>
                <w:rFonts w:hint="eastAsia" w:eastAsia="宋体"/>
                <w:b w:val="0"/>
                <w:color w:val="000000" w:themeColor="text1"/>
                <w:kern w:val="2"/>
                <w:sz w:val="24"/>
                <w:szCs w:val="24"/>
                <w:u w:val="single"/>
                <w14:textFill>
                  <w14:solidFill>
                    <w14:schemeClr w14:val="tx1"/>
                  </w14:solidFill>
                </w14:textFill>
              </w:rPr>
              <w:t>；制棒废气</w:t>
            </w:r>
            <w:r>
              <w:rPr>
                <w:rFonts w:eastAsia="宋体"/>
                <w:b w:val="0"/>
                <w:color w:val="000000" w:themeColor="text1"/>
                <w:kern w:val="2"/>
                <w:sz w:val="24"/>
                <w:szCs w:val="24"/>
                <w:u w:val="single"/>
                <w14:textFill>
                  <w14:solidFill>
                    <w14:schemeClr w14:val="tx1"/>
                  </w14:solidFill>
                </w14:textFill>
              </w:rPr>
              <w:t>经</w:t>
            </w:r>
            <w:r>
              <w:rPr>
                <w:rFonts w:hint="eastAsia" w:eastAsia="宋体"/>
                <w:b w:val="0"/>
                <w:color w:val="000000" w:themeColor="text1"/>
                <w:kern w:val="2"/>
                <w:sz w:val="24"/>
                <w:szCs w:val="24"/>
                <w:u w:val="single"/>
                <w14:textFill>
                  <w14:solidFill>
                    <w14:schemeClr w14:val="tx1"/>
                  </w14:solidFill>
                </w14:textFill>
              </w:rPr>
              <w:t>集气管道收集后引至水喷淋</w:t>
            </w:r>
            <w:r>
              <w:rPr>
                <w:rFonts w:eastAsia="宋体"/>
                <w:b w:val="0"/>
                <w:color w:val="000000" w:themeColor="text1"/>
                <w:kern w:val="2"/>
                <w:sz w:val="24"/>
                <w:szCs w:val="24"/>
                <w:u w:val="single"/>
                <w14:textFill>
                  <w14:solidFill>
                    <w14:schemeClr w14:val="tx1"/>
                  </w14:solidFill>
                </w14:textFill>
              </w:rPr>
              <w:t>处理后</w:t>
            </w:r>
            <w:r>
              <w:rPr>
                <w:rFonts w:hint="eastAsia" w:eastAsia="宋体"/>
                <w:b w:val="0"/>
                <w:color w:val="000000" w:themeColor="text1"/>
                <w:kern w:val="2"/>
                <w:sz w:val="24"/>
                <w:szCs w:val="24"/>
                <w:u w:val="single"/>
                <w14:textFill>
                  <w14:solidFill>
                    <w14:schemeClr w14:val="tx1"/>
                  </w14:solidFill>
                </w14:textFill>
              </w:rPr>
              <w:t>经</w:t>
            </w:r>
            <w:r>
              <w:rPr>
                <w:rFonts w:eastAsia="宋体"/>
                <w:b w:val="0"/>
                <w:color w:val="000000" w:themeColor="text1"/>
                <w:kern w:val="2"/>
                <w:sz w:val="24"/>
                <w:szCs w:val="24"/>
                <w:u w:val="single"/>
                <w14:textFill>
                  <w14:solidFill>
                    <w14:schemeClr w14:val="tx1"/>
                  </w14:solidFill>
                </w14:textFill>
              </w:rPr>
              <w:t>15m 排气筒</w:t>
            </w:r>
            <w:r>
              <w:rPr>
                <w:rFonts w:hint="eastAsia" w:eastAsia="宋体"/>
                <w:b w:val="0"/>
                <w:color w:val="000000" w:themeColor="text1"/>
                <w:kern w:val="2"/>
                <w:sz w:val="24"/>
                <w:szCs w:val="24"/>
                <w:u w:val="single"/>
                <w14:textFill>
                  <w14:solidFill>
                    <w14:schemeClr w14:val="tx1"/>
                  </w14:solidFill>
                </w14:textFill>
              </w:rPr>
              <w:t>（D</w:t>
            </w:r>
            <w:r>
              <w:rPr>
                <w:rFonts w:eastAsia="宋体"/>
                <w:b w:val="0"/>
                <w:color w:val="000000" w:themeColor="text1"/>
                <w:kern w:val="2"/>
                <w:sz w:val="24"/>
                <w:szCs w:val="24"/>
                <w:u w:val="single"/>
                <w14:textFill>
                  <w14:solidFill>
                    <w14:schemeClr w14:val="tx1"/>
                  </w14:solidFill>
                </w14:textFill>
              </w:rPr>
              <w:t>A001</w:t>
            </w:r>
            <w:r>
              <w:rPr>
                <w:rFonts w:hint="eastAsia" w:eastAsia="宋体"/>
                <w:b w:val="0"/>
                <w:color w:val="000000" w:themeColor="text1"/>
                <w:kern w:val="2"/>
                <w:sz w:val="24"/>
                <w:szCs w:val="24"/>
                <w:u w:val="single"/>
                <w14:textFill>
                  <w14:solidFill>
                    <w14:schemeClr w14:val="tx1"/>
                  </w14:solidFill>
                </w14:textFill>
              </w:rPr>
              <w:t>）</w:t>
            </w:r>
            <w:r>
              <w:rPr>
                <w:rFonts w:eastAsia="宋体"/>
                <w:b w:val="0"/>
                <w:color w:val="000000" w:themeColor="text1"/>
                <w:kern w:val="2"/>
                <w:sz w:val="24"/>
                <w:szCs w:val="24"/>
                <w:u w:val="single"/>
                <w14:textFill>
                  <w14:solidFill>
                    <w14:schemeClr w14:val="tx1"/>
                  </w14:solidFill>
                </w14:textFill>
              </w:rPr>
              <w:t>达标排放</w:t>
            </w:r>
            <w:r>
              <w:rPr>
                <w:rFonts w:hint="eastAsia" w:eastAsia="宋体"/>
                <w:b w:val="0"/>
                <w:color w:val="000000" w:themeColor="text1"/>
                <w:kern w:val="2"/>
                <w:sz w:val="24"/>
                <w:szCs w:val="24"/>
                <w:u w:val="single"/>
                <w14:textFill>
                  <w14:solidFill>
                    <w14:schemeClr w14:val="tx1"/>
                  </w14:solidFill>
                </w14:textFill>
              </w:rPr>
              <w:t>；炭化点火燃烧废气、炭化废气（烘干机未工作时）</w:t>
            </w:r>
            <w:r>
              <w:rPr>
                <w:rFonts w:eastAsia="宋体"/>
                <w:b w:val="0"/>
                <w:color w:val="000000" w:themeColor="text1"/>
                <w:kern w:val="2"/>
                <w:sz w:val="24"/>
                <w:szCs w:val="24"/>
                <w:u w:val="single"/>
                <w14:textFill>
                  <w14:solidFill>
                    <w14:schemeClr w14:val="tx1"/>
                  </w14:solidFill>
                </w14:textFill>
              </w:rPr>
              <w:t>经</w:t>
            </w:r>
            <w:r>
              <w:rPr>
                <w:rFonts w:hint="eastAsia" w:eastAsia="宋体"/>
                <w:b w:val="0"/>
                <w:color w:val="000000" w:themeColor="text1"/>
                <w:kern w:val="2"/>
                <w:sz w:val="24"/>
                <w:szCs w:val="24"/>
                <w:u w:val="single"/>
                <w14:textFill>
                  <w14:solidFill>
                    <w14:schemeClr w14:val="tx1"/>
                  </w14:solidFill>
                </w14:textFill>
              </w:rPr>
              <w:t>集气管道收集后由</w:t>
            </w:r>
            <w:r>
              <w:rPr>
                <w:rFonts w:eastAsia="宋体"/>
                <w:b w:val="0"/>
                <w:color w:val="000000" w:themeColor="text1"/>
                <w:kern w:val="2"/>
                <w:sz w:val="24"/>
                <w:szCs w:val="24"/>
                <w:u w:val="single"/>
                <w14:textFill>
                  <w14:solidFill>
                    <w14:schemeClr w14:val="tx1"/>
                  </w14:solidFill>
                </w14:textFill>
              </w:rPr>
              <w:t>15m 排气筒</w:t>
            </w:r>
            <w:r>
              <w:rPr>
                <w:rFonts w:hint="eastAsia" w:eastAsia="宋体"/>
                <w:b w:val="0"/>
                <w:color w:val="000000" w:themeColor="text1"/>
                <w:kern w:val="2"/>
                <w:sz w:val="24"/>
                <w:szCs w:val="24"/>
                <w:u w:val="single"/>
                <w14:textFill>
                  <w14:solidFill>
                    <w14:schemeClr w14:val="tx1"/>
                  </w14:solidFill>
                </w14:textFill>
              </w:rPr>
              <w:t>（D</w:t>
            </w:r>
            <w:r>
              <w:rPr>
                <w:rFonts w:eastAsia="宋体"/>
                <w:b w:val="0"/>
                <w:color w:val="000000" w:themeColor="text1"/>
                <w:kern w:val="2"/>
                <w:sz w:val="24"/>
                <w:szCs w:val="24"/>
                <w:u w:val="single"/>
                <w14:textFill>
                  <w14:solidFill>
                    <w14:schemeClr w14:val="tx1"/>
                  </w14:solidFill>
                </w14:textFill>
              </w:rPr>
              <w:t>A003</w:t>
            </w:r>
            <w:r>
              <w:rPr>
                <w:rFonts w:hint="eastAsia" w:eastAsia="宋体"/>
                <w:b w:val="0"/>
                <w:color w:val="000000" w:themeColor="text1"/>
                <w:kern w:val="2"/>
                <w:sz w:val="24"/>
                <w:szCs w:val="24"/>
                <w:u w:val="single"/>
                <w14:textFill>
                  <w14:solidFill>
                    <w14:schemeClr w14:val="tx1"/>
                  </w14:solidFill>
                </w14:textFill>
              </w:rPr>
              <w:t>）</w:t>
            </w:r>
            <w:r>
              <w:rPr>
                <w:rFonts w:eastAsia="宋体"/>
                <w:b w:val="0"/>
                <w:color w:val="000000" w:themeColor="text1"/>
                <w:kern w:val="2"/>
                <w:sz w:val="24"/>
                <w:szCs w:val="24"/>
                <w:u w:val="single"/>
                <w14:textFill>
                  <w14:solidFill>
                    <w14:schemeClr w14:val="tx1"/>
                  </w14:solidFill>
                </w14:textFill>
              </w:rPr>
              <w:t>达标排放</w:t>
            </w:r>
            <w:r>
              <w:rPr>
                <w:rFonts w:hint="eastAsia" w:eastAsia="宋体"/>
                <w:b w:val="0"/>
                <w:color w:val="000000" w:themeColor="text1"/>
                <w:kern w:val="2"/>
                <w:sz w:val="24"/>
                <w:szCs w:val="24"/>
                <w14:textFill>
                  <w14:solidFill>
                    <w14:schemeClr w14:val="tx1"/>
                  </w14:solidFill>
                </w14:textFill>
              </w:rPr>
              <w:t>；钾钠长石粉烘干包装颗粒物</w:t>
            </w:r>
            <w:r>
              <w:rPr>
                <w:rFonts w:eastAsia="宋体"/>
                <w:b w:val="0"/>
                <w:color w:val="000000" w:themeColor="text1"/>
                <w:kern w:val="2"/>
                <w:sz w:val="24"/>
                <w:szCs w:val="24"/>
                <w14:textFill>
                  <w14:solidFill>
                    <w14:schemeClr w14:val="tx1"/>
                  </w14:solidFill>
                </w14:textFill>
              </w:rPr>
              <w:t>经</w:t>
            </w:r>
            <w:r>
              <w:rPr>
                <w:rFonts w:hint="eastAsia" w:eastAsia="宋体"/>
                <w:b w:val="0"/>
                <w:color w:val="000000" w:themeColor="text1"/>
                <w:kern w:val="2"/>
                <w:sz w:val="24"/>
                <w:szCs w:val="24"/>
                <w14:textFill>
                  <w14:solidFill>
                    <w14:schemeClr w14:val="tx1"/>
                  </w14:solidFill>
                </w14:textFill>
              </w:rPr>
              <w:t>集气管道</w:t>
            </w:r>
            <w:r>
              <w:rPr>
                <w:rFonts w:eastAsia="宋体"/>
                <w:b w:val="0"/>
                <w:color w:val="000000" w:themeColor="text1"/>
                <w:kern w:val="2"/>
                <w:sz w:val="24"/>
                <w:szCs w:val="24"/>
                <w14:textFill>
                  <w14:solidFill>
                    <w14:schemeClr w14:val="tx1"/>
                  </w14:solidFill>
                </w14:textFill>
              </w:rPr>
              <w:t>收集后经</w:t>
            </w:r>
            <w:r>
              <w:rPr>
                <w:rFonts w:hint="eastAsia" w:eastAsia="宋体"/>
                <w:b w:val="0"/>
                <w:color w:val="000000" w:themeColor="text1"/>
                <w:kern w:val="2"/>
                <w:sz w:val="24"/>
                <w:szCs w:val="24"/>
                <w14:textFill>
                  <w14:solidFill>
                    <w14:schemeClr w14:val="tx1"/>
                  </w14:solidFill>
                </w14:textFill>
              </w:rPr>
              <w:t>布袋除尘</w:t>
            </w:r>
            <w:r>
              <w:rPr>
                <w:rFonts w:eastAsia="宋体"/>
                <w:b w:val="0"/>
                <w:color w:val="000000" w:themeColor="text1"/>
                <w:kern w:val="2"/>
                <w:sz w:val="24"/>
                <w:szCs w:val="24"/>
                <w14:textFill>
                  <w14:solidFill>
                    <w14:schemeClr w14:val="tx1"/>
                  </w14:solidFill>
                </w14:textFill>
              </w:rPr>
              <w:t>装置处理后</w:t>
            </w:r>
            <w:r>
              <w:rPr>
                <w:rFonts w:hint="eastAsia" w:eastAsia="宋体"/>
                <w:b w:val="0"/>
                <w:color w:val="000000" w:themeColor="text1"/>
                <w:kern w:val="2"/>
                <w:sz w:val="24"/>
                <w:szCs w:val="24"/>
                <w14:textFill>
                  <w14:solidFill>
                    <w14:schemeClr w14:val="tx1"/>
                  </w14:solidFill>
                </w14:textFill>
              </w:rPr>
              <w:t>无组织排放，废气均能达标排放；</w:t>
            </w:r>
            <w:r>
              <w:rPr>
                <w:rFonts w:eastAsia="宋体"/>
                <w:b w:val="0"/>
                <w:color w:val="000000" w:themeColor="text1"/>
                <w:kern w:val="2"/>
                <w:sz w:val="24"/>
                <w:szCs w:val="24"/>
                <w14:textFill>
                  <w14:solidFill>
                    <w14:schemeClr w14:val="tx1"/>
                  </w14:solidFill>
                </w14:textFill>
              </w:rPr>
              <w:t>废气采取措施处理后，对周边环境的影响较小</w:t>
            </w:r>
            <w:r>
              <w:rPr>
                <w:rFonts w:hint="eastAsia" w:eastAsia="宋体"/>
                <w:b w:val="0"/>
                <w:color w:val="000000" w:themeColor="text1"/>
                <w:kern w:val="2"/>
                <w:sz w:val="24"/>
                <w:szCs w:val="24"/>
                <w14:textFill>
                  <w14:solidFill>
                    <w14:schemeClr w14:val="tx1"/>
                  </w14:solidFill>
                </w14:textFill>
              </w:rPr>
              <w:t>。</w:t>
            </w:r>
          </w:p>
          <w:p>
            <w:pPr>
              <w:pStyle w:val="59"/>
              <w:adjustRightInd/>
              <w:snapToGrid/>
              <w:spacing w:line="240" w:lineRule="auto"/>
              <w:rPr>
                <w:color w:val="000000" w:themeColor="text1"/>
                <w:sz w:val="21"/>
                <w:szCs w:val="21"/>
                <w14:textFill>
                  <w14:solidFill>
                    <w14:schemeClr w14:val="tx1"/>
                  </w14:solidFill>
                </w14:textFill>
              </w:rPr>
            </w:pPr>
          </w:p>
          <w:p>
            <w:pPr>
              <w:adjustRightInd w:val="0"/>
              <w:snapToGrid w:val="0"/>
              <w:spacing w:line="360" w:lineRule="auto"/>
              <w:rPr>
                <w:rFonts w:ascii="宋体" w:hAnsi="宋体"/>
                <w:bCs/>
                <w:color w:val="000000" w:themeColor="text1"/>
                <w:spacing w:val="-10"/>
                <w:sz w:val="24"/>
                <w14:textFill>
                  <w14:solidFill>
                    <w14:schemeClr w14:val="tx1"/>
                  </w14:solidFill>
                </w14:textFill>
              </w:rPr>
            </w:pPr>
            <w:r>
              <w:rPr>
                <w:rFonts w:hint="eastAsia" w:ascii="宋体" w:hAnsi="宋体"/>
                <w:b/>
                <w:color w:val="000000" w:themeColor="text1"/>
                <w:spacing w:val="-10"/>
                <w:sz w:val="24"/>
                <w14:textFill>
                  <w14:solidFill>
                    <w14:schemeClr w14:val="tx1"/>
                  </w14:solidFill>
                </w14:textFill>
              </w:rPr>
              <w:t>2.废水</w:t>
            </w:r>
          </w:p>
          <w:p>
            <w:pPr>
              <w:adjustRightInd w:val="0"/>
              <w:snapToGrid w:val="0"/>
              <w:spacing w:line="360" w:lineRule="auto"/>
              <w:rPr>
                <w:rFonts w:ascii="宋体" w:hAnsi="宋体"/>
                <w:bCs/>
                <w:color w:val="000000" w:themeColor="text1"/>
                <w:spacing w:val="-10"/>
                <w:sz w:val="24"/>
                <w14:textFill>
                  <w14:solidFill>
                    <w14:schemeClr w14:val="tx1"/>
                  </w14:solidFill>
                </w14:textFill>
              </w:rPr>
            </w:pPr>
            <w:r>
              <w:rPr>
                <w:rFonts w:hint="eastAsia" w:ascii="宋体" w:hAnsi="宋体"/>
                <w:b/>
                <w:color w:val="000000" w:themeColor="text1"/>
                <w:spacing w:val="-10"/>
                <w:sz w:val="24"/>
                <w14:textFill>
                  <w14:solidFill>
                    <w14:schemeClr w14:val="tx1"/>
                  </w14:solidFill>
                </w14:textFill>
              </w:rPr>
              <w:t>2.1废水污染源分析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（1）用水情况</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本项目用水主要为生活用水和喷淋用水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1）喷淋用水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本项目水喷淋</w:t>
            </w:r>
            <w:r>
              <w:rPr>
                <w:bCs/>
                <w:color w:val="000000" w:themeColor="text1"/>
                <w:sz w:val="24"/>
                <w14:textFill>
                  <w14:solidFill>
                    <w14:schemeClr w14:val="tx1"/>
                  </w14:solidFill>
                </w14:textFill>
              </w:rPr>
              <w:t>循环冷却系统蒸发</w:t>
            </w:r>
            <w:r>
              <w:rPr>
                <w:rFonts w:hint="eastAsia"/>
                <w:bCs/>
                <w:color w:val="000000" w:themeColor="text1"/>
                <w:sz w:val="24"/>
                <w14:textFill>
                  <w14:solidFill>
                    <w14:schemeClr w14:val="tx1"/>
                  </w14:solidFill>
                </w14:textFill>
              </w:rPr>
              <w:t>损失</w:t>
            </w:r>
            <w:r>
              <w:rPr>
                <w:bCs/>
                <w:color w:val="000000" w:themeColor="text1"/>
                <w:sz w:val="24"/>
                <w14:textFill>
                  <w14:solidFill>
                    <w14:schemeClr w14:val="tx1"/>
                  </w14:solidFill>
                </w14:textFill>
              </w:rPr>
              <w:t>水量约占总循环水量的</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本项目</w:t>
            </w:r>
            <w:r>
              <w:rPr>
                <w:bCs/>
                <w:color w:val="000000" w:themeColor="text1"/>
                <w:sz w:val="24"/>
                <w14:textFill>
                  <w14:solidFill>
                    <w14:schemeClr w14:val="tx1"/>
                  </w14:solidFill>
                </w14:textFill>
              </w:rPr>
              <w:t>年工作200天，总循环水量为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/d（2000m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r>
              <w:rPr>
                <w:rFonts w:hint="eastAsia"/>
                <w:bCs/>
                <w:color w:val="000000" w:themeColor="text1"/>
                <w:sz w:val="24"/>
                <w14:textFill>
                  <w14:solidFill>
                    <w14:schemeClr w14:val="tx1"/>
                  </w14:solidFill>
                </w14:textFill>
              </w:rPr>
              <w:t>损失水量</w:t>
            </w:r>
            <w:r>
              <w:rPr>
                <w:bCs/>
                <w:color w:val="000000" w:themeColor="text1"/>
                <w:sz w:val="24"/>
                <w14:textFill>
                  <w14:solidFill>
                    <w14:schemeClr w14:val="tx1"/>
                  </w14:solidFill>
                </w14:textFill>
              </w:rPr>
              <w:t>新鲜水补充量为</w:t>
            </w:r>
            <w:r>
              <w:rPr>
                <w:rFonts w:hint="eastAsia"/>
                <w:bCs/>
                <w:color w:val="000000" w:themeColor="text1"/>
                <w:sz w:val="24"/>
                <w14:textFill>
                  <w14:solidFill>
                    <w14:schemeClr w14:val="tx1"/>
                  </w14:solidFill>
                </w14:textFill>
              </w:rPr>
              <w:t>1</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/d（200m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）生活用水</w:t>
            </w:r>
          </w:p>
          <w:p>
            <w:pPr>
              <w:pStyle w:val="2"/>
              <w:ind w:left="0" w:leftChars="0" w:firstLine="480"/>
              <w:rPr>
                <w:color w:val="000000" w:themeColor="text1"/>
                <w14:textFill>
                  <w14:solidFill>
                    <w14:schemeClr w14:val="tx1"/>
                  </w14:solidFill>
                </w14:textFill>
              </w:rPr>
            </w:pPr>
            <w:r>
              <w:rPr>
                <w:rFonts w:hint="eastAsia"/>
                <w:bCs/>
                <w:color w:val="000000" w:themeColor="text1"/>
                <w14:textFill>
                  <w14:solidFill>
                    <w14:schemeClr w14:val="tx1"/>
                  </w14:solidFill>
                </w14:textFill>
              </w:rPr>
              <w:t>本项目劳动定员为1</w:t>
            </w:r>
            <w:r>
              <w:rPr>
                <w:bCs/>
                <w:color w:val="000000" w:themeColor="text1"/>
                <w14:textFill>
                  <w14:solidFill>
                    <w14:schemeClr w14:val="tx1"/>
                  </w14:solidFill>
                </w14:textFill>
              </w:rPr>
              <w:t>0</w:t>
            </w:r>
            <w:r>
              <w:rPr>
                <w:rFonts w:hint="eastAsia"/>
                <w:bCs/>
                <w:color w:val="000000" w:themeColor="text1"/>
                <w14:textFill>
                  <w14:solidFill>
                    <w14:schemeClr w14:val="tx1"/>
                  </w14:solidFill>
                </w14:textFill>
              </w:rPr>
              <w:t>人，均不在厂内食宿，参照《湖南省用水定额》（DB43T388-2020）中</w:t>
            </w:r>
            <w:r>
              <w:rPr>
                <w:rFonts w:hint="eastAsia"/>
                <w:bCs/>
                <w:color w:val="000000" w:themeColor="text1"/>
                <w:szCs w:val="24"/>
                <w14:textFill>
                  <w14:solidFill>
                    <w14:schemeClr w14:val="tx1"/>
                  </w14:solidFill>
                </w14:textFill>
              </w:rPr>
              <w:t>非住宿</w:t>
            </w:r>
            <w:r>
              <w:rPr>
                <w:bCs/>
                <w:color w:val="000000" w:themeColor="text1"/>
                <w:szCs w:val="24"/>
                <w14:textFill>
                  <w14:solidFill>
                    <w14:schemeClr w14:val="tx1"/>
                  </w14:solidFill>
                </w14:textFill>
              </w:rPr>
              <w:t>职工生活用水量按照50L/d•人，则生活用水量为</w:t>
            </w:r>
            <w:r>
              <w:rPr>
                <w:bCs/>
                <w:color w:val="000000" w:themeColor="text1"/>
                <w14:textFill>
                  <w14:solidFill>
                    <w14:schemeClr w14:val="tx1"/>
                  </w14:solidFill>
                </w14:textFill>
              </w:rPr>
              <w:t>0</w:t>
            </w:r>
            <w:r>
              <w:rPr>
                <w:bCs/>
                <w:color w:val="000000" w:themeColor="text1"/>
                <w:szCs w:val="24"/>
                <w14:textFill>
                  <w14:solidFill>
                    <w14:schemeClr w14:val="tx1"/>
                  </w14:solidFill>
                </w14:textFill>
              </w:rPr>
              <w:t>.5t/d（</w:t>
            </w:r>
            <w:r>
              <w:rPr>
                <w:bCs/>
                <w:color w:val="000000" w:themeColor="text1"/>
                <w14:textFill>
                  <w14:solidFill>
                    <w14:schemeClr w14:val="tx1"/>
                  </w14:solidFill>
                </w14:textFill>
              </w:rPr>
              <w:t>1</w:t>
            </w:r>
            <w:r>
              <w:rPr>
                <w:bCs/>
                <w:color w:val="000000" w:themeColor="text1"/>
                <w:szCs w:val="24"/>
                <w14:textFill>
                  <w14:solidFill>
                    <w14:schemeClr w14:val="tx1"/>
                  </w14:solidFill>
                </w14:textFill>
              </w:rPr>
              <w:t>00t/a）</w:t>
            </w:r>
            <w:r>
              <w:rPr>
                <w:rFonts w:hint="eastAsia"/>
                <w:bCs/>
                <w:color w:val="000000" w:themeColor="text1"/>
                <w:szCs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（2）废水源强</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本项目废水主要是员工生活污水。</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生活污水：本项目劳动定员为1</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人，均不在厂内食宿，参照《湖南省用水定额》（DB43T388-2020）中非住宿</w:t>
            </w:r>
            <w:r>
              <w:rPr>
                <w:bCs/>
                <w:color w:val="000000" w:themeColor="text1"/>
                <w:sz w:val="24"/>
                <w14:textFill>
                  <w14:solidFill>
                    <w14:schemeClr w14:val="tx1"/>
                  </w14:solidFill>
                </w14:textFill>
              </w:rPr>
              <w:t>职工生活用水量按照50L/d•人，则生活用水量为0.5t/d（100t/a）</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项目生活污水排放系数按0.8考虑，则生活污水排放量为0.4t/d</w:t>
            </w:r>
            <w:r>
              <w:rPr>
                <w:rFonts w:hint="eastAsia"/>
                <w:bCs/>
                <w:color w:val="000000" w:themeColor="text1"/>
                <w:sz w:val="24"/>
                <w14:textFill>
                  <w14:solidFill>
                    <w14:schemeClr w14:val="tx1"/>
                  </w14:solidFill>
                </w14:textFill>
              </w:rPr>
              <w:t>，年生产</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00天，经计算总用水量为</w:t>
            </w:r>
            <w:r>
              <w:rPr>
                <w:bCs/>
                <w:color w:val="000000" w:themeColor="text1"/>
                <w:sz w:val="24"/>
                <w14:textFill>
                  <w14:solidFill>
                    <w14:schemeClr w14:val="tx1"/>
                  </w14:solidFill>
                </w14:textFill>
              </w:rPr>
              <w:t>80</w:t>
            </w:r>
            <w:r>
              <w:rPr>
                <w:rFonts w:hint="eastAsia"/>
                <w:bCs/>
                <w:color w:val="000000" w:themeColor="text1"/>
                <w:sz w:val="24"/>
                <w14:textFill>
                  <w14:solidFill>
                    <w14:schemeClr w14:val="tx1"/>
                  </w14:solidFill>
                </w14:textFill>
              </w:rPr>
              <w:t>m</w:t>
            </w:r>
            <w:r>
              <w:rPr>
                <w:rFonts w:hint="eastAsia"/>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/a，生活污水经化粪池预处理后定期清掏用作农肥。生活污水中主要因子为COD、BOD5、氨氮、SS和动植物油。</w:t>
            </w:r>
          </w:p>
          <w:p>
            <w:pPr>
              <w:spacing w:line="360" w:lineRule="auto"/>
              <w:rPr>
                <w:b/>
                <w:bCs/>
                <w:snapToGrid w:val="0"/>
                <w:color w:val="000000" w:themeColor="text1"/>
                <w:sz w:val="24"/>
                <w14:textFill>
                  <w14:solidFill>
                    <w14:schemeClr w14:val="tx1"/>
                  </w14:solidFill>
                </w14:textFill>
              </w:rPr>
            </w:pPr>
            <w:r>
              <w:rPr>
                <w:rFonts w:hint="eastAsia"/>
                <w:b/>
                <w:bCs/>
                <w:snapToGrid w:val="0"/>
                <w:color w:val="000000" w:themeColor="text1"/>
                <w:sz w:val="24"/>
                <w14:textFill>
                  <w14:solidFill>
                    <w14:schemeClr w14:val="tx1"/>
                  </w14:solidFill>
                </w14:textFill>
              </w:rPr>
              <w:t>2</w:t>
            </w:r>
            <w:r>
              <w:rPr>
                <w:b/>
                <w:bCs/>
                <w:snapToGrid w:val="0"/>
                <w:color w:val="000000" w:themeColor="text1"/>
                <w:sz w:val="24"/>
                <w14:textFill>
                  <w14:solidFill>
                    <w14:schemeClr w14:val="tx1"/>
                  </w14:solidFill>
                </w14:textFill>
              </w:rPr>
              <w:t>.2</w:t>
            </w:r>
            <w:r>
              <w:rPr>
                <w:rFonts w:hint="eastAsia"/>
                <w:b/>
                <w:bCs/>
                <w:snapToGrid w:val="0"/>
                <w:color w:val="000000" w:themeColor="text1"/>
                <w:sz w:val="24"/>
                <w14:textFill>
                  <w14:solidFill>
                    <w14:schemeClr w14:val="tx1"/>
                  </w14:solidFill>
                </w14:textFill>
              </w:rPr>
              <w:t xml:space="preserve"> 污水处理措施可行性分析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本项目</w:t>
            </w:r>
            <w:r>
              <w:rPr>
                <w:rFonts w:hint="eastAsia"/>
                <w:bCs/>
                <w:color w:val="000000" w:themeColor="text1"/>
                <w:sz w:val="24"/>
                <w14:textFill>
                  <w14:solidFill>
                    <w14:schemeClr w14:val="tx1"/>
                  </w14:solidFill>
                </w14:textFill>
              </w:rPr>
              <w:t>生活污水经化粪池预处理后用作农肥，化粪池容积为</w:t>
            </w:r>
            <w:r>
              <w:rPr>
                <w:bCs/>
                <w:color w:val="000000" w:themeColor="text1"/>
                <w:sz w:val="24"/>
                <w14:textFill>
                  <w14:solidFill>
                    <w14:schemeClr w14:val="tx1"/>
                  </w14:solidFill>
                </w14:textFill>
              </w:rPr>
              <w:t>5m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，能够储存1</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天的生活污水，化粪池每1</w:t>
            </w:r>
            <w:r>
              <w:rPr>
                <w:bCs/>
                <w:color w:val="000000" w:themeColor="text1"/>
                <w:sz w:val="24"/>
                <w14:textFill>
                  <w14:solidFill>
                    <w14:schemeClr w14:val="tx1"/>
                  </w14:solidFill>
                </w14:textFill>
              </w:rPr>
              <w:t>0</w:t>
            </w:r>
            <w:r>
              <w:rPr>
                <w:rFonts w:hint="eastAsia"/>
                <w:bCs/>
                <w:color w:val="000000" w:themeColor="text1"/>
                <w:sz w:val="24"/>
                <w14:textFill>
                  <w14:solidFill>
                    <w14:schemeClr w14:val="tx1"/>
                  </w14:solidFill>
                </w14:textFill>
              </w:rPr>
              <w:t>天清掏一次，容积满足要求。</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项目废水产生及排放情况见下表。</w:t>
            </w:r>
          </w:p>
          <w:p>
            <w:pPr>
              <w:pStyle w:val="59"/>
              <w:adjustRightInd/>
              <w:snapToGrid/>
              <w:spacing w:line="24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表4-</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5  废水污染物排放源汇总一览表（单位：量t/a、浓度mg/L）</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73"/>
              <w:gridCol w:w="688"/>
              <w:gridCol w:w="818"/>
              <w:gridCol w:w="865"/>
              <w:gridCol w:w="798"/>
              <w:gridCol w:w="1098"/>
              <w:gridCol w:w="726"/>
              <w:gridCol w:w="788"/>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0" w:type="dxa"/>
                  <w:vMerge w:val="restart"/>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产排污环节</w:t>
                  </w:r>
                </w:p>
              </w:tc>
              <w:tc>
                <w:tcPr>
                  <w:tcW w:w="773" w:type="dxa"/>
                  <w:vMerge w:val="restart"/>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污染物种类</w:t>
                  </w:r>
                </w:p>
              </w:tc>
              <w:tc>
                <w:tcPr>
                  <w:tcW w:w="1506" w:type="dxa"/>
                  <w:gridSpan w:val="2"/>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污染物产生情况</w:t>
                  </w:r>
                </w:p>
              </w:tc>
              <w:tc>
                <w:tcPr>
                  <w:tcW w:w="865" w:type="dxa"/>
                  <w:vMerge w:val="restart"/>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排放形式</w:t>
                  </w:r>
                </w:p>
              </w:tc>
              <w:tc>
                <w:tcPr>
                  <w:tcW w:w="2622" w:type="dxa"/>
                  <w:gridSpan w:val="3"/>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治理设施情况</w:t>
                  </w:r>
                </w:p>
              </w:tc>
              <w:tc>
                <w:tcPr>
                  <w:tcW w:w="1384" w:type="dxa"/>
                  <w:gridSpan w:val="2"/>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污染物排放情况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90"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73"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688" w:type="dxa"/>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产生量</w:t>
                  </w:r>
                </w:p>
              </w:tc>
              <w:tc>
                <w:tcPr>
                  <w:tcW w:w="817" w:type="dxa"/>
                  <w:vAlign w:val="center"/>
                </w:tcPr>
                <w:p>
                  <w:pPr>
                    <w:adjustRightInd w:val="0"/>
                    <w:snapToGrid w:val="0"/>
                    <w:jc w:val="center"/>
                    <w:rPr>
                      <w:color w:val="000000" w:themeColor="text1"/>
                      <w:szCs w:val="21"/>
                      <w14:textFill>
                        <w14:solidFill>
                          <w14:schemeClr w14:val="tx1"/>
                        </w14:solidFill>
                      </w14:textFill>
                    </w:rPr>
                  </w:pPr>
                  <w:r>
                    <w:rPr>
                      <w:rFonts w:hint="eastAsia"/>
                      <w:b/>
                      <w:color w:val="000000" w:themeColor="text1"/>
                      <w:spacing w:val="-10"/>
                      <w:szCs w:val="21"/>
                      <w14:textFill>
                        <w14:solidFill>
                          <w14:schemeClr w14:val="tx1"/>
                        </w14:solidFill>
                      </w14:textFill>
                    </w:rPr>
                    <w:t>产生浓度</w:t>
                  </w:r>
                </w:p>
              </w:tc>
              <w:tc>
                <w:tcPr>
                  <w:tcW w:w="865"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98" w:type="dxa"/>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治理措施</w:t>
                  </w:r>
                </w:p>
              </w:tc>
              <w:tc>
                <w:tcPr>
                  <w:tcW w:w="1098" w:type="dxa"/>
                  <w:vAlign w:val="center"/>
                </w:tcPr>
                <w:p>
                  <w:pPr>
                    <w:adjustRightInd w:val="0"/>
                    <w:snapToGrid w:val="0"/>
                    <w:jc w:val="center"/>
                    <w:rPr>
                      <w:color w:val="000000" w:themeColor="text1"/>
                      <w:szCs w:val="21"/>
                      <w14:textFill>
                        <w14:solidFill>
                          <w14:schemeClr w14:val="tx1"/>
                        </w14:solidFill>
                      </w14:textFill>
                    </w:rPr>
                  </w:pPr>
                  <w:r>
                    <w:rPr>
                      <w:rFonts w:hint="eastAsia"/>
                      <w:b/>
                      <w:color w:val="000000" w:themeColor="text1"/>
                      <w:spacing w:val="-10"/>
                      <w:szCs w:val="21"/>
                      <w14:textFill>
                        <w14:solidFill>
                          <w14:schemeClr w14:val="tx1"/>
                        </w14:solidFill>
                      </w14:textFill>
                    </w:rPr>
                    <w:t>收集效率</w:t>
                  </w:r>
                </w:p>
              </w:tc>
              <w:tc>
                <w:tcPr>
                  <w:tcW w:w="725" w:type="dxa"/>
                  <w:vAlign w:val="center"/>
                </w:tcPr>
                <w:p>
                  <w:pPr>
                    <w:adjustRightInd w:val="0"/>
                    <w:snapToGrid w:val="0"/>
                    <w:jc w:val="center"/>
                    <w:rPr>
                      <w:color w:val="000000" w:themeColor="text1"/>
                      <w:szCs w:val="21"/>
                      <w14:textFill>
                        <w14:solidFill>
                          <w14:schemeClr w14:val="tx1"/>
                        </w14:solidFill>
                      </w14:textFill>
                    </w:rPr>
                  </w:pPr>
                  <w:r>
                    <w:rPr>
                      <w:rFonts w:hint="eastAsia"/>
                      <w:b/>
                      <w:color w:val="000000" w:themeColor="text1"/>
                      <w:spacing w:val="-10"/>
                      <w:szCs w:val="21"/>
                      <w14:textFill>
                        <w14:solidFill>
                          <w14:schemeClr w14:val="tx1"/>
                        </w14:solidFill>
                      </w14:textFill>
                    </w:rPr>
                    <w:t>技术可行</w:t>
                  </w:r>
                </w:p>
              </w:tc>
              <w:tc>
                <w:tcPr>
                  <w:tcW w:w="788" w:type="dxa"/>
                  <w:vAlign w:val="center"/>
                </w:tcPr>
                <w:p>
                  <w:pPr>
                    <w:adjustRightInd w:val="0"/>
                    <w:snapToGrid w:val="0"/>
                    <w:jc w:val="center"/>
                    <w:rPr>
                      <w:b/>
                      <w:color w:val="000000" w:themeColor="text1"/>
                      <w:spacing w:val="-10"/>
                      <w:szCs w:val="21"/>
                      <w14:textFill>
                        <w14:solidFill>
                          <w14:schemeClr w14:val="tx1"/>
                        </w14:solidFill>
                      </w14:textFill>
                    </w:rPr>
                  </w:pPr>
                  <w:r>
                    <w:rPr>
                      <w:rFonts w:hint="eastAsia"/>
                      <w:b/>
                      <w:color w:val="000000" w:themeColor="text1"/>
                      <w:spacing w:val="-10"/>
                      <w:szCs w:val="21"/>
                      <w14:textFill>
                        <w14:solidFill>
                          <w14:schemeClr w14:val="tx1"/>
                        </w14:solidFill>
                      </w14:textFill>
                    </w:rPr>
                    <w:t>排放量</w:t>
                  </w:r>
                </w:p>
              </w:tc>
              <w:tc>
                <w:tcPr>
                  <w:tcW w:w="595" w:type="dxa"/>
                  <w:vAlign w:val="center"/>
                </w:tcPr>
                <w:p>
                  <w:pPr>
                    <w:adjustRightInd w:val="0"/>
                    <w:snapToGrid w:val="0"/>
                    <w:jc w:val="center"/>
                    <w:rPr>
                      <w:color w:val="000000" w:themeColor="text1"/>
                      <w:szCs w:val="21"/>
                      <w14:textFill>
                        <w14:solidFill>
                          <w14:schemeClr w14:val="tx1"/>
                        </w14:solidFill>
                      </w14:textFill>
                    </w:rPr>
                  </w:pPr>
                  <w:r>
                    <w:rPr>
                      <w:rFonts w:hint="eastAsia"/>
                      <w:b/>
                      <w:color w:val="000000" w:themeColor="text1"/>
                      <w:spacing w:val="-10"/>
                      <w:szCs w:val="21"/>
                      <w14:textFill>
                        <w14:solidFill>
                          <w14:schemeClr w14:val="tx1"/>
                        </w14:solidFill>
                      </w14:textFill>
                    </w:rPr>
                    <w:t>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90" w:type="dxa"/>
                  <w:vMerge w:val="restart"/>
                  <w:vAlign w:val="center"/>
                </w:tcPr>
                <w:p>
                  <w:pPr>
                    <w:adjustRightInd w:val="0"/>
                    <w:snapToGrid w:val="0"/>
                    <w:jc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生活</w:t>
                  </w:r>
                </w:p>
                <w:p>
                  <w:pPr>
                    <w:adjustRightInd w:val="0"/>
                    <w:snapToGrid w:val="0"/>
                    <w:jc w:val="center"/>
                    <w:rPr>
                      <w:b/>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污水</w:t>
                  </w:r>
                  <w:r>
                    <w:rPr>
                      <w:bCs/>
                      <w:color w:val="000000" w:themeColor="text1"/>
                      <w:spacing w:val="-10"/>
                      <w:szCs w:val="21"/>
                      <w14:textFill>
                        <w14:solidFill>
                          <w14:schemeClr w14:val="tx1"/>
                        </w14:solidFill>
                      </w14:textFill>
                    </w:rPr>
                    <w:t>80</w:t>
                  </w:r>
                  <w:r>
                    <w:rPr>
                      <w:rFonts w:hint="eastAsia"/>
                      <w:bCs/>
                      <w:color w:val="000000" w:themeColor="text1"/>
                      <w:spacing w:val="-10"/>
                      <w:szCs w:val="21"/>
                      <w14:textFill>
                        <w14:solidFill>
                          <w14:schemeClr w14:val="tx1"/>
                        </w14:solidFill>
                      </w14:textFill>
                    </w:rPr>
                    <w:t>t/a</w:t>
                  </w:r>
                </w:p>
              </w:tc>
              <w:tc>
                <w:tcPr>
                  <w:tcW w:w="773" w:type="dxa"/>
                  <w:vAlign w:val="center"/>
                </w:tcPr>
                <w:p>
                  <w:pPr>
                    <w:adjustRightInd w:val="0"/>
                    <w:snapToGrid w:val="0"/>
                    <w:jc w:val="center"/>
                    <w:rPr>
                      <w:b/>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COD</w:t>
                  </w:r>
                </w:p>
              </w:tc>
              <w:tc>
                <w:tcPr>
                  <w:tcW w:w="688" w:type="dxa"/>
                  <w:vAlign w:val="center"/>
                </w:tcPr>
                <w:p>
                  <w:pPr>
                    <w:adjustRightInd w:val="0"/>
                    <w:snapToGrid w:val="0"/>
                    <w:jc w:val="center"/>
                    <w:rPr>
                      <w:bCs/>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0.024</w:t>
                  </w:r>
                </w:p>
              </w:tc>
              <w:tc>
                <w:tcPr>
                  <w:tcW w:w="817" w:type="dxa"/>
                  <w:vAlign w:val="center"/>
                </w:tcPr>
                <w:p>
                  <w:pPr>
                    <w:adjustRightInd w:val="0"/>
                    <w:snapToGrid w:val="0"/>
                    <w:jc w:val="center"/>
                    <w:rPr>
                      <w:color w:val="000000" w:themeColor="text1"/>
                      <w:szCs w:val="21"/>
                      <w14:textFill>
                        <w14:solidFill>
                          <w14:schemeClr w14:val="tx1"/>
                        </w14:solidFill>
                      </w14:textFill>
                    </w:rPr>
                  </w:pPr>
                  <w:r>
                    <w:rPr>
                      <w:bCs/>
                      <w:color w:val="000000" w:themeColor="text1"/>
                      <w:spacing w:val="-10"/>
                      <w:szCs w:val="21"/>
                      <w14:textFill>
                        <w14:solidFill>
                          <w14:schemeClr w14:val="tx1"/>
                        </w14:solidFill>
                      </w14:textFill>
                    </w:rPr>
                    <w:t>300</w:t>
                  </w:r>
                </w:p>
              </w:tc>
              <w:tc>
                <w:tcPr>
                  <w:tcW w:w="865" w:type="dxa"/>
                  <w:vMerge w:val="restart"/>
                  <w:vAlign w:val="center"/>
                </w:tcPr>
                <w:p>
                  <w:pPr>
                    <w:adjustRightInd w:val="0"/>
                    <w:snapToGrid w:val="0"/>
                    <w:jc w:val="center"/>
                    <w:rPr>
                      <w:b/>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用作农肥不外排</w:t>
                  </w:r>
                </w:p>
              </w:tc>
              <w:tc>
                <w:tcPr>
                  <w:tcW w:w="798" w:type="dxa"/>
                  <w:vMerge w:val="restart"/>
                  <w:vAlign w:val="center"/>
                </w:tcPr>
                <w:p>
                  <w:pPr>
                    <w:adjustRightInd w:val="0"/>
                    <w:snapToGrid w:val="0"/>
                    <w:jc w:val="center"/>
                    <w:rPr>
                      <w:b/>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化粪池</w:t>
                  </w:r>
                </w:p>
              </w:tc>
              <w:tc>
                <w:tcPr>
                  <w:tcW w:w="1098"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725" w:type="dxa"/>
                  <w:vMerge w:val="restart"/>
                  <w:vAlign w:val="center"/>
                </w:tcPr>
                <w:p>
                  <w:pPr>
                    <w:adjustRightInd w:val="0"/>
                    <w:snapToGrid w:val="0"/>
                    <w:jc w:val="center"/>
                    <w:rPr>
                      <w:color w:val="000000" w:themeColor="text1"/>
                      <w:szCs w:val="21"/>
                      <w14:textFill>
                        <w14:solidFill>
                          <w14:schemeClr w14:val="tx1"/>
                        </w14:solidFill>
                      </w14:textFill>
                    </w:rPr>
                  </w:pPr>
                  <w:r>
                    <w:rPr>
                      <w:rFonts w:hint="eastAsia"/>
                      <w:bCs/>
                      <w:color w:val="000000" w:themeColor="text1"/>
                      <w:spacing w:val="-10"/>
                      <w:szCs w:val="21"/>
                      <w14:textFill>
                        <w14:solidFill>
                          <w14:schemeClr w14:val="tx1"/>
                        </w14:solidFill>
                      </w14:textFill>
                    </w:rPr>
                    <w:t>是</w:t>
                  </w:r>
                </w:p>
              </w:tc>
              <w:tc>
                <w:tcPr>
                  <w:tcW w:w="788" w:type="dxa"/>
                  <w:vAlign w:val="center"/>
                </w:tcPr>
                <w:p>
                  <w:pPr>
                    <w:adjustRightInd w:val="0"/>
                    <w:snapToGrid w:val="0"/>
                    <w:jc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w:t>
                  </w:r>
                </w:p>
              </w:tc>
              <w:tc>
                <w:tcPr>
                  <w:tcW w:w="5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90"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73" w:type="dxa"/>
                  <w:vAlign w:val="center"/>
                </w:tcPr>
                <w:p>
                  <w:pPr>
                    <w:adjustRightInd w:val="0"/>
                    <w:snapToGrid w:val="0"/>
                    <w:jc w:val="center"/>
                    <w:rPr>
                      <w:b/>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BOD</w:t>
                  </w:r>
                  <w:r>
                    <w:rPr>
                      <w:bCs/>
                      <w:color w:val="000000" w:themeColor="text1"/>
                      <w:spacing w:val="-10"/>
                      <w:szCs w:val="21"/>
                      <w:vertAlign w:val="subscript"/>
                      <w14:textFill>
                        <w14:solidFill>
                          <w14:schemeClr w14:val="tx1"/>
                        </w14:solidFill>
                      </w14:textFill>
                    </w:rPr>
                    <w:t>5</w:t>
                  </w:r>
                </w:p>
              </w:tc>
              <w:tc>
                <w:tcPr>
                  <w:tcW w:w="688" w:type="dxa"/>
                  <w:vAlign w:val="center"/>
                </w:tcPr>
                <w:p>
                  <w:pPr>
                    <w:adjustRightInd w:val="0"/>
                    <w:snapToGrid w:val="0"/>
                    <w:jc w:val="center"/>
                    <w:rPr>
                      <w:bCs/>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0.016</w:t>
                  </w:r>
                </w:p>
              </w:tc>
              <w:tc>
                <w:tcPr>
                  <w:tcW w:w="81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865"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98"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109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25"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88" w:type="dxa"/>
                  <w:vAlign w:val="center"/>
                </w:tcPr>
                <w:p>
                  <w:pPr>
                    <w:adjustRightInd w:val="0"/>
                    <w:snapToGrid w:val="0"/>
                    <w:jc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w:t>
                  </w:r>
                </w:p>
              </w:tc>
              <w:tc>
                <w:tcPr>
                  <w:tcW w:w="5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90"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73" w:type="dxa"/>
                  <w:vAlign w:val="center"/>
                </w:tcPr>
                <w:p>
                  <w:pPr>
                    <w:adjustRightInd w:val="0"/>
                    <w:snapToGrid w:val="0"/>
                    <w:jc w:val="center"/>
                    <w:rPr>
                      <w:b/>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NH</w:t>
                  </w:r>
                  <w:r>
                    <w:rPr>
                      <w:bCs/>
                      <w:color w:val="000000" w:themeColor="text1"/>
                      <w:spacing w:val="-10"/>
                      <w:szCs w:val="21"/>
                      <w:vertAlign w:val="subscript"/>
                      <w14:textFill>
                        <w14:solidFill>
                          <w14:schemeClr w14:val="tx1"/>
                        </w14:solidFill>
                      </w14:textFill>
                    </w:rPr>
                    <w:t>3</w:t>
                  </w:r>
                  <w:r>
                    <w:rPr>
                      <w:bCs/>
                      <w:color w:val="000000" w:themeColor="text1"/>
                      <w:spacing w:val="-10"/>
                      <w:szCs w:val="21"/>
                      <w14:textFill>
                        <w14:solidFill>
                          <w14:schemeClr w14:val="tx1"/>
                        </w14:solidFill>
                      </w14:textFill>
                    </w:rPr>
                    <w:t>-N</w:t>
                  </w:r>
                </w:p>
              </w:tc>
              <w:tc>
                <w:tcPr>
                  <w:tcW w:w="688" w:type="dxa"/>
                  <w:vAlign w:val="center"/>
                </w:tcPr>
                <w:p>
                  <w:pPr>
                    <w:adjustRightInd w:val="0"/>
                    <w:snapToGrid w:val="0"/>
                    <w:jc w:val="center"/>
                    <w:rPr>
                      <w:bCs/>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0.0016</w:t>
                  </w:r>
                </w:p>
              </w:tc>
              <w:tc>
                <w:tcPr>
                  <w:tcW w:w="81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865"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98"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109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25"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88" w:type="dxa"/>
                  <w:vAlign w:val="center"/>
                </w:tcPr>
                <w:p>
                  <w:pPr>
                    <w:adjustRightInd w:val="0"/>
                    <w:snapToGrid w:val="0"/>
                    <w:jc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w:t>
                  </w:r>
                </w:p>
              </w:tc>
              <w:tc>
                <w:tcPr>
                  <w:tcW w:w="5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790"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73" w:type="dxa"/>
                  <w:vAlign w:val="center"/>
                </w:tcPr>
                <w:p>
                  <w:pPr>
                    <w:adjustRightInd w:val="0"/>
                    <w:snapToGrid w:val="0"/>
                    <w:jc w:val="center"/>
                    <w:rPr>
                      <w:b/>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SS</w:t>
                  </w:r>
                </w:p>
              </w:tc>
              <w:tc>
                <w:tcPr>
                  <w:tcW w:w="688" w:type="dxa"/>
                  <w:vAlign w:val="center"/>
                </w:tcPr>
                <w:p>
                  <w:pPr>
                    <w:adjustRightInd w:val="0"/>
                    <w:snapToGrid w:val="0"/>
                    <w:jc w:val="center"/>
                    <w:rPr>
                      <w:bCs/>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0.0024</w:t>
                  </w:r>
                </w:p>
              </w:tc>
              <w:tc>
                <w:tcPr>
                  <w:tcW w:w="81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865"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798" w:type="dxa"/>
                  <w:vMerge w:val="continue"/>
                  <w:vAlign w:val="center"/>
                </w:tcPr>
                <w:p>
                  <w:pPr>
                    <w:adjustRightInd w:val="0"/>
                    <w:snapToGrid w:val="0"/>
                    <w:jc w:val="center"/>
                    <w:rPr>
                      <w:b/>
                      <w:color w:val="000000" w:themeColor="text1"/>
                      <w:spacing w:val="-10"/>
                      <w:szCs w:val="21"/>
                      <w14:textFill>
                        <w14:solidFill>
                          <w14:schemeClr w14:val="tx1"/>
                        </w14:solidFill>
                      </w14:textFill>
                    </w:rPr>
                  </w:pPr>
                </w:p>
              </w:tc>
              <w:tc>
                <w:tcPr>
                  <w:tcW w:w="109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25" w:type="dxa"/>
                  <w:vMerge w:val="continue"/>
                  <w:vAlign w:val="center"/>
                </w:tcPr>
                <w:p>
                  <w:pPr>
                    <w:adjustRightInd w:val="0"/>
                    <w:snapToGrid w:val="0"/>
                    <w:jc w:val="center"/>
                    <w:rPr>
                      <w:color w:val="000000" w:themeColor="text1"/>
                      <w:szCs w:val="21"/>
                      <w14:textFill>
                        <w14:solidFill>
                          <w14:schemeClr w14:val="tx1"/>
                        </w14:solidFill>
                      </w14:textFill>
                    </w:rPr>
                  </w:pPr>
                </w:p>
              </w:tc>
              <w:tc>
                <w:tcPr>
                  <w:tcW w:w="788" w:type="dxa"/>
                  <w:vAlign w:val="center"/>
                </w:tcPr>
                <w:p>
                  <w:pPr>
                    <w:adjustRightInd w:val="0"/>
                    <w:snapToGrid w:val="0"/>
                    <w:jc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w:t>
                  </w:r>
                </w:p>
              </w:tc>
              <w:tc>
                <w:tcPr>
                  <w:tcW w:w="5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pStyle w:val="61"/>
              <w:spacing w:line="240" w:lineRule="auto"/>
              <w:ind w:firstLine="422"/>
              <w:jc w:val="center"/>
              <w:rPr>
                <w:b/>
                <w:bCs/>
                <w:color w:val="000000" w:themeColor="text1"/>
                <w:sz w:val="21"/>
                <w:szCs w:val="21"/>
                <w14:textFill>
                  <w14:solidFill>
                    <w14:schemeClr w14:val="tx1"/>
                  </w14:solidFill>
                </w14:textFill>
              </w:rPr>
            </w:pPr>
          </w:p>
          <w:p>
            <w:pPr>
              <w:pStyle w:val="61"/>
              <w:spacing w:line="240" w:lineRule="auto"/>
              <w:ind w:firstLine="422"/>
              <w:jc w:val="center"/>
              <w:rPr>
                <w:b/>
                <w:bCs/>
                <w:color w:val="000000" w:themeColor="text1"/>
                <w:sz w:val="21"/>
                <w:szCs w:val="21"/>
                <w14:textFill>
                  <w14:solidFill>
                    <w14:schemeClr w14:val="tx1"/>
                  </w14:solidFill>
                </w14:textFill>
              </w:rPr>
            </w:pPr>
          </w:p>
          <w:p>
            <w:pPr>
              <w:pStyle w:val="61"/>
              <w:spacing w:line="240" w:lineRule="auto"/>
              <w:ind w:firstLine="422"/>
              <w:jc w:val="center"/>
              <w:rPr>
                <w:b/>
                <w:bCs/>
                <w:color w:val="000000" w:themeColor="text1"/>
                <w:sz w:val="21"/>
                <w:szCs w:val="21"/>
                <w14:textFill>
                  <w14:solidFill>
                    <w14:schemeClr w14:val="tx1"/>
                  </w14:solidFill>
                </w14:textFill>
              </w:rPr>
            </w:pPr>
          </w:p>
          <w:p>
            <w:pPr>
              <w:topLinePunct/>
              <w:spacing w:line="360" w:lineRule="auto"/>
              <w:textAlignment w:val="baseline"/>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2.3废水排放口基本情况 </w:t>
            </w:r>
          </w:p>
          <w:p>
            <w:pPr>
              <w:topLinePunct/>
              <w:spacing w:line="360" w:lineRule="auto"/>
              <w:ind w:firstLine="480" w:firstLineChars="200"/>
              <w:textAlignment w:val="baseline"/>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项目废水排放口基本情况见下表： </w:t>
            </w:r>
          </w:p>
          <w:p>
            <w:pPr>
              <w:topLinePunct/>
              <w:spacing w:line="360" w:lineRule="auto"/>
              <w:jc w:val="center"/>
              <w:textAlignment w:val="baseline"/>
              <w:rPr>
                <w:b/>
                <w:bCs/>
                <w:color w:val="000000" w:themeColor="text1"/>
                <w14:textFill>
                  <w14:solidFill>
                    <w14:schemeClr w14:val="tx1"/>
                  </w14:solidFill>
                </w14:textFill>
              </w:rPr>
            </w:pPr>
          </w:p>
          <w:p>
            <w:pPr>
              <w:topLinePunct/>
              <w:spacing w:line="360" w:lineRule="auto"/>
              <w:jc w:val="center"/>
              <w:textAlignment w:val="baseline"/>
              <w:rPr>
                <w:b/>
                <w:bCs/>
                <w:color w:val="000000" w:themeColor="text1"/>
                <w14:textFill>
                  <w14:solidFill>
                    <w14:schemeClr w14:val="tx1"/>
                  </w14:solidFill>
                </w14:textFill>
              </w:rPr>
            </w:pPr>
            <w:r>
              <w:rPr>
                <w:b/>
                <w:bCs/>
                <w:color w:val="000000" w:themeColor="text1"/>
                <w14:textFill>
                  <w14:solidFill>
                    <w14:schemeClr w14:val="tx1"/>
                  </w14:solidFill>
                </w14:textFill>
              </w:rPr>
              <w:t>表4</w:t>
            </w: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16 项目废水排放口基本情况</w:t>
            </w:r>
          </w:p>
          <w:tbl>
            <w:tblPr>
              <w:tblStyle w:val="24"/>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81"/>
              <w:gridCol w:w="849"/>
              <w:gridCol w:w="1238"/>
              <w:gridCol w:w="1162"/>
              <w:gridCol w:w="706"/>
              <w:gridCol w:w="140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产排污环节</w:t>
                  </w:r>
                </w:p>
              </w:tc>
              <w:tc>
                <w:tcPr>
                  <w:tcW w:w="881"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排放口 编号</w:t>
                  </w:r>
                </w:p>
              </w:tc>
              <w:tc>
                <w:tcPr>
                  <w:tcW w:w="849"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污染物种类</w:t>
                  </w:r>
                </w:p>
              </w:tc>
              <w:tc>
                <w:tcPr>
                  <w:tcW w:w="1238"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排放口地理坐标</w:t>
                  </w:r>
                </w:p>
              </w:tc>
              <w:tc>
                <w:tcPr>
                  <w:tcW w:w="1162"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排放去向</w:t>
                  </w:r>
                </w:p>
              </w:tc>
              <w:tc>
                <w:tcPr>
                  <w:tcW w:w="706" w:type="dxa"/>
                </w:tcPr>
                <w:p>
                  <w:pPr>
                    <w:topLinePunct/>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排放形式</w:t>
                  </w:r>
                </w:p>
              </w:tc>
              <w:tc>
                <w:tcPr>
                  <w:tcW w:w="1409" w:type="dxa"/>
                  <w:vAlign w:val="center"/>
                </w:tcPr>
                <w:p>
                  <w:pPr>
                    <w:topLinePunct/>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排放规律</w:t>
                  </w:r>
                </w:p>
              </w:tc>
              <w:tc>
                <w:tcPr>
                  <w:tcW w:w="1483" w:type="dxa"/>
                  <w:vAlign w:val="center"/>
                </w:tcPr>
                <w:p>
                  <w:pPr>
                    <w:topLinePunct/>
                    <w:spacing w:line="360" w:lineRule="auto"/>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2" w:type="dxa"/>
                  <w:vMerge w:val="restart"/>
                  <w:vAlign w:val="center"/>
                </w:tcPr>
                <w:p>
                  <w:pPr>
                    <w:topLinePunct/>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生活</w:t>
                  </w:r>
                  <w:r>
                    <w:rPr>
                      <w:color w:val="000000" w:themeColor="text1"/>
                      <w14:textFill>
                        <w14:solidFill>
                          <w14:schemeClr w14:val="tx1"/>
                        </w14:solidFill>
                      </w14:textFill>
                    </w:rPr>
                    <w:t>污水</w:t>
                  </w:r>
                </w:p>
              </w:tc>
              <w:tc>
                <w:tcPr>
                  <w:tcW w:w="881" w:type="dxa"/>
                  <w:vMerge w:val="restart"/>
                  <w:vAlign w:val="center"/>
                </w:tcPr>
                <w:p>
                  <w:pPr>
                    <w:topLinePunct/>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DW001</w:t>
                  </w:r>
                </w:p>
              </w:tc>
              <w:tc>
                <w:tcPr>
                  <w:tcW w:w="849" w:type="dxa"/>
                  <w:vAlign w:val="center"/>
                </w:tcPr>
                <w:p>
                  <w:pPr>
                    <w:topLinePunct/>
                    <w:spacing w:line="360" w:lineRule="auto"/>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OD</w:t>
                  </w:r>
                </w:p>
              </w:tc>
              <w:tc>
                <w:tcPr>
                  <w:tcW w:w="1238" w:type="dxa"/>
                  <w:vMerge w:val="restart"/>
                  <w:vAlign w:val="center"/>
                </w:tcPr>
                <w:p>
                  <w:pPr>
                    <w:topLinePunct/>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w:t>
                  </w:r>
                </w:p>
              </w:tc>
              <w:tc>
                <w:tcPr>
                  <w:tcW w:w="1162" w:type="dxa"/>
                  <w:vMerge w:val="restart"/>
                  <w:vAlign w:val="center"/>
                </w:tcPr>
                <w:p>
                  <w:pPr>
                    <w:topLinePunct/>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定期清掏用作农肥</w:t>
                  </w:r>
                </w:p>
              </w:tc>
              <w:tc>
                <w:tcPr>
                  <w:tcW w:w="706" w:type="dxa"/>
                  <w:vMerge w:val="restart"/>
                  <w:vAlign w:val="center"/>
                </w:tcPr>
                <w:p>
                  <w:pPr>
                    <w:topLinePunct/>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间歇 排放</w:t>
                  </w:r>
                </w:p>
              </w:tc>
              <w:tc>
                <w:tcPr>
                  <w:tcW w:w="1409" w:type="dxa"/>
                  <w:vMerge w:val="restart"/>
                  <w:vAlign w:val="center"/>
                </w:tcPr>
                <w:p>
                  <w:pPr>
                    <w:topLinePunct/>
                    <w:jc w:val="center"/>
                    <w:textAlignment w:val="baseline"/>
                    <w:rPr>
                      <w:color w:val="000000" w:themeColor="text1"/>
                      <w14:textFill>
                        <w14:solidFill>
                          <w14:schemeClr w14:val="tx1"/>
                        </w14:solidFill>
                      </w14:textFill>
                    </w:rPr>
                  </w:pPr>
                  <w:r>
                    <w:rPr>
                      <w:color w:val="000000" w:themeColor="text1"/>
                      <w14:textFill>
                        <w14:solidFill>
                          <w14:schemeClr w14:val="tx1"/>
                        </w14:solidFill>
                      </w14:textFill>
                    </w:rPr>
                    <w:t>间断排放，排放期间流量不稳定且无规律，但不属于冲击型排放</w:t>
                  </w:r>
                </w:p>
              </w:tc>
              <w:tc>
                <w:tcPr>
                  <w:tcW w:w="1483" w:type="dxa"/>
                  <w:vMerge w:val="restart"/>
                  <w:vAlign w:val="center"/>
                </w:tcPr>
                <w:p>
                  <w:pPr>
                    <w:topLinePunct/>
                    <w:jc w:val="center"/>
                    <w:textAlignment w:val="baseline"/>
                    <w:rPr>
                      <w:color w:val="000000" w:themeColor="text1"/>
                      <w14:textFill>
                        <w14:solidFill>
                          <w14:schemeClr w14:val="tx1"/>
                        </w14:solidFill>
                      </w14:textFill>
                    </w:rPr>
                  </w:pPr>
                  <w:r>
                    <w:rPr>
                      <w:rFonts w:hint="eastAsia"/>
                      <w:snapToGrid w:val="0"/>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42" w:type="dxa"/>
                  <w:vMerge w:val="continue"/>
                </w:tcPr>
                <w:p>
                  <w:pPr>
                    <w:topLinePunct/>
                    <w:spacing w:line="360" w:lineRule="auto"/>
                    <w:textAlignment w:val="baseline"/>
                    <w:rPr>
                      <w:color w:val="000000" w:themeColor="text1"/>
                      <w14:textFill>
                        <w14:solidFill>
                          <w14:schemeClr w14:val="tx1"/>
                        </w14:solidFill>
                      </w14:textFill>
                    </w:rPr>
                  </w:pPr>
                </w:p>
              </w:tc>
              <w:tc>
                <w:tcPr>
                  <w:tcW w:w="881" w:type="dxa"/>
                  <w:vMerge w:val="continue"/>
                </w:tcPr>
                <w:p>
                  <w:pPr>
                    <w:topLinePunct/>
                    <w:spacing w:line="360" w:lineRule="auto"/>
                    <w:textAlignment w:val="baseline"/>
                    <w:rPr>
                      <w:color w:val="000000" w:themeColor="text1"/>
                      <w14:textFill>
                        <w14:solidFill>
                          <w14:schemeClr w14:val="tx1"/>
                        </w14:solidFill>
                      </w14:textFill>
                    </w:rPr>
                  </w:pPr>
                </w:p>
              </w:tc>
              <w:tc>
                <w:tcPr>
                  <w:tcW w:w="849" w:type="dxa"/>
                  <w:vAlign w:val="center"/>
                </w:tcPr>
                <w:p>
                  <w:pPr>
                    <w:topLinePunct/>
                    <w:spacing w:line="360" w:lineRule="auto"/>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B</w:t>
                  </w:r>
                  <w:r>
                    <w:rPr>
                      <w:color w:val="000000" w:themeColor="text1"/>
                      <w14:textFill>
                        <w14:solidFill>
                          <w14:schemeClr w14:val="tx1"/>
                        </w14:solidFill>
                      </w14:textFill>
                    </w:rPr>
                    <w:t>OD</w:t>
                  </w:r>
                </w:p>
              </w:tc>
              <w:tc>
                <w:tcPr>
                  <w:tcW w:w="1238" w:type="dxa"/>
                  <w:vMerge w:val="continue"/>
                </w:tcPr>
                <w:p>
                  <w:pPr>
                    <w:topLinePunct/>
                    <w:spacing w:line="360" w:lineRule="auto"/>
                    <w:textAlignment w:val="baseline"/>
                    <w:rPr>
                      <w:color w:val="000000" w:themeColor="text1"/>
                      <w14:textFill>
                        <w14:solidFill>
                          <w14:schemeClr w14:val="tx1"/>
                        </w14:solidFill>
                      </w14:textFill>
                    </w:rPr>
                  </w:pPr>
                </w:p>
              </w:tc>
              <w:tc>
                <w:tcPr>
                  <w:tcW w:w="1162" w:type="dxa"/>
                  <w:vMerge w:val="continue"/>
                </w:tcPr>
                <w:p>
                  <w:pPr>
                    <w:topLinePunct/>
                    <w:spacing w:line="360" w:lineRule="auto"/>
                    <w:textAlignment w:val="baseline"/>
                    <w:rPr>
                      <w:color w:val="000000" w:themeColor="text1"/>
                      <w14:textFill>
                        <w14:solidFill>
                          <w14:schemeClr w14:val="tx1"/>
                        </w14:solidFill>
                      </w14:textFill>
                    </w:rPr>
                  </w:pPr>
                </w:p>
              </w:tc>
              <w:tc>
                <w:tcPr>
                  <w:tcW w:w="706" w:type="dxa"/>
                  <w:vMerge w:val="continue"/>
                </w:tcPr>
                <w:p>
                  <w:pPr>
                    <w:topLinePunct/>
                    <w:spacing w:line="360" w:lineRule="auto"/>
                    <w:textAlignment w:val="baseline"/>
                    <w:rPr>
                      <w:color w:val="000000" w:themeColor="text1"/>
                      <w14:textFill>
                        <w14:solidFill>
                          <w14:schemeClr w14:val="tx1"/>
                        </w14:solidFill>
                      </w14:textFill>
                    </w:rPr>
                  </w:pPr>
                </w:p>
              </w:tc>
              <w:tc>
                <w:tcPr>
                  <w:tcW w:w="1409" w:type="dxa"/>
                  <w:vMerge w:val="continue"/>
                </w:tcPr>
                <w:p>
                  <w:pPr>
                    <w:topLinePunct/>
                    <w:spacing w:line="360" w:lineRule="auto"/>
                    <w:textAlignment w:val="baseline"/>
                    <w:rPr>
                      <w:color w:val="000000" w:themeColor="text1"/>
                      <w14:textFill>
                        <w14:solidFill>
                          <w14:schemeClr w14:val="tx1"/>
                        </w14:solidFill>
                      </w14:textFill>
                    </w:rPr>
                  </w:pPr>
                </w:p>
              </w:tc>
              <w:tc>
                <w:tcPr>
                  <w:tcW w:w="1483" w:type="dxa"/>
                  <w:vMerge w:val="continue"/>
                </w:tcPr>
                <w:p>
                  <w:pPr>
                    <w:topLinePunct/>
                    <w:textAlignment w:val="baseline"/>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42" w:type="dxa"/>
                  <w:vMerge w:val="continue"/>
                </w:tcPr>
                <w:p>
                  <w:pPr>
                    <w:topLinePunct/>
                    <w:spacing w:line="360" w:lineRule="auto"/>
                    <w:textAlignment w:val="baseline"/>
                    <w:rPr>
                      <w:color w:val="000000" w:themeColor="text1"/>
                      <w14:textFill>
                        <w14:solidFill>
                          <w14:schemeClr w14:val="tx1"/>
                        </w14:solidFill>
                      </w14:textFill>
                    </w:rPr>
                  </w:pPr>
                </w:p>
              </w:tc>
              <w:tc>
                <w:tcPr>
                  <w:tcW w:w="881" w:type="dxa"/>
                  <w:vMerge w:val="continue"/>
                </w:tcPr>
                <w:p>
                  <w:pPr>
                    <w:topLinePunct/>
                    <w:spacing w:line="360" w:lineRule="auto"/>
                    <w:textAlignment w:val="baseline"/>
                    <w:rPr>
                      <w:color w:val="000000" w:themeColor="text1"/>
                      <w14:textFill>
                        <w14:solidFill>
                          <w14:schemeClr w14:val="tx1"/>
                        </w14:solidFill>
                      </w14:textFill>
                    </w:rPr>
                  </w:pPr>
                </w:p>
              </w:tc>
              <w:tc>
                <w:tcPr>
                  <w:tcW w:w="849" w:type="dxa"/>
                  <w:vAlign w:val="center"/>
                </w:tcPr>
                <w:p>
                  <w:pPr>
                    <w:topLinePunct/>
                    <w:spacing w:line="360" w:lineRule="auto"/>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S</w:t>
                  </w:r>
                  <w:r>
                    <w:rPr>
                      <w:color w:val="000000" w:themeColor="text1"/>
                      <w14:textFill>
                        <w14:solidFill>
                          <w14:schemeClr w14:val="tx1"/>
                        </w14:solidFill>
                      </w14:textFill>
                    </w:rPr>
                    <w:t>S</w:t>
                  </w:r>
                </w:p>
              </w:tc>
              <w:tc>
                <w:tcPr>
                  <w:tcW w:w="1238" w:type="dxa"/>
                  <w:vMerge w:val="continue"/>
                </w:tcPr>
                <w:p>
                  <w:pPr>
                    <w:topLinePunct/>
                    <w:spacing w:line="360" w:lineRule="auto"/>
                    <w:textAlignment w:val="baseline"/>
                    <w:rPr>
                      <w:color w:val="000000" w:themeColor="text1"/>
                      <w14:textFill>
                        <w14:solidFill>
                          <w14:schemeClr w14:val="tx1"/>
                        </w14:solidFill>
                      </w14:textFill>
                    </w:rPr>
                  </w:pPr>
                </w:p>
              </w:tc>
              <w:tc>
                <w:tcPr>
                  <w:tcW w:w="1162" w:type="dxa"/>
                  <w:vMerge w:val="continue"/>
                </w:tcPr>
                <w:p>
                  <w:pPr>
                    <w:topLinePunct/>
                    <w:spacing w:line="360" w:lineRule="auto"/>
                    <w:textAlignment w:val="baseline"/>
                    <w:rPr>
                      <w:color w:val="000000" w:themeColor="text1"/>
                      <w14:textFill>
                        <w14:solidFill>
                          <w14:schemeClr w14:val="tx1"/>
                        </w14:solidFill>
                      </w14:textFill>
                    </w:rPr>
                  </w:pPr>
                </w:p>
              </w:tc>
              <w:tc>
                <w:tcPr>
                  <w:tcW w:w="706" w:type="dxa"/>
                  <w:vMerge w:val="continue"/>
                </w:tcPr>
                <w:p>
                  <w:pPr>
                    <w:topLinePunct/>
                    <w:spacing w:line="360" w:lineRule="auto"/>
                    <w:textAlignment w:val="baseline"/>
                    <w:rPr>
                      <w:color w:val="000000" w:themeColor="text1"/>
                      <w14:textFill>
                        <w14:solidFill>
                          <w14:schemeClr w14:val="tx1"/>
                        </w14:solidFill>
                      </w14:textFill>
                    </w:rPr>
                  </w:pPr>
                </w:p>
              </w:tc>
              <w:tc>
                <w:tcPr>
                  <w:tcW w:w="1409" w:type="dxa"/>
                  <w:vMerge w:val="continue"/>
                </w:tcPr>
                <w:p>
                  <w:pPr>
                    <w:topLinePunct/>
                    <w:spacing w:line="360" w:lineRule="auto"/>
                    <w:textAlignment w:val="baseline"/>
                    <w:rPr>
                      <w:color w:val="000000" w:themeColor="text1"/>
                      <w14:textFill>
                        <w14:solidFill>
                          <w14:schemeClr w14:val="tx1"/>
                        </w14:solidFill>
                      </w14:textFill>
                    </w:rPr>
                  </w:pPr>
                </w:p>
              </w:tc>
              <w:tc>
                <w:tcPr>
                  <w:tcW w:w="1483" w:type="dxa"/>
                  <w:vMerge w:val="continue"/>
                </w:tcPr>
                <w:p>
                  <w:pPr>
                    <w:topLinePunct/>
                    <w:textAlignment w:val="baseline"/>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742" w:type="dxa"/>
                  <w:vMerge w:val="continue"/>
                </w:tcPr>
                <w:p>
                  <w:pPr>
                    <w:topLinePunct/>
                    <w:spacing w:line="360" w:lineRule="auto"/>
                    <w:textAlignment w:val="baseline"/>
                    <w:rPr>
                      <w:color w:val="000000" w:themeColor="text1"/>
                      <w14:textFill>
                        <w14:solidFill>
                          <w14:schemeClr w14:val="tx1"/>
                        </w14:solidFill>
                      </w14:textFill>
                    </w:rPr>
                  </w:pPr>
                </w:p>
              </w:tc>
              <w:tc>
                <w:tcPr>
                  <w:tcW w:w="881" w:type="dxa"/>
                  <w:vMerge w:val="continue"/>
                </w:tcPr>
                <w:p>
                  <w:pPr>
                    <w:topLinePunct/>
                    <w:spacing w:line="360" w:lineRule="auto"/>
                    <w:textAlignment w:val="baseline"/>
                    <w:rPr>
                      <w:color w:val="000000" w:themeColor="text1"/>
                      <w14:textFill>
                        <w14:solidFill>
                          <w14:schemeClr w14:val="tx1"/>
                        </w14:solidFill>
                      </w14:textFill>
                    </w:rPr>
                  </w:pPr>
                </w:p>
              </w:tc>
              <w:tc>
                <w:tcPr>
                  <w:tcW w:w="849" w:type="dxa"/>
                  <w:vAlign w:val="center"/>
                </w:tcPr>
                <w:p>
                  <w:pPr>
                    <w:topLinePunct/>
                    <w:spacing w:line="360" w:lineRule="auto"/>
                    <w:jc w:val="center"/>
                    <w:textAlignment w:val="baseline"/>
                    <w:rPr>
                      <w:color w:val="000000" w:themeColor="text1"/>
                      <w14:textFill>
                        <w14:solidFill>
                          <w14:schemeClr w14:val="tx1"/>
                        </w14:solidFill>
                      </w14:textFill>
                    </w:rPr>
                  </w:pPr>
                  <w:r>
                    <w:rPr>
                      <w:rFonts w:hint="eastAsia"/>
                      <w:color w:val="000000" w:themeColor="text1"/>
                      <w14:textFill>
                        <w14:solidFill>
                          <w14:schemeClr w14:val="tx1"/>
                        </w14:solidFill>
                      </w14:textFill>
                    </w:rPr>
                    <w:t>氨氮</w:t>
                  </w:r>
                </w:p>
              </w:tc>
              <w:tc>
                <w:tcPr>
                  <w:tcW w:w="1238" w:type="dxa"/>
                  <w:vMerge w:val="continue"/>
                </w:tcPr>
                <w:p>
                  <w:pPr>
                    <w:topLinePunct/>
                    <w:spacing w:line="360" w:lineRule="auto"/>
                    <w:textAlignment w:val="baseline"/>
                    <w:rPr>
                      <w:color w:val="000000" w:themeColor="text1"/>
                      <w14:textFill>
                        <w14:solidFill>
                          <w14:schemeClr w14:val="tx1"/>
                        </w14:solidFill>
                      </w14:textFill>
                    </w:rPr>
                  </w:pPr>
                </w:p>
              </w:tc>
              <w:tc>
                <w:tcPr>
                  <w:tcW w:w="1162" w:type="dxa"/>
                  <w:vMerge w:val="continue"/>
                </w:tcPr>
                <w:p>
                  <w:pPr>
                    <w:topLinePunct/>
                    <w:spacing w:line="360" w:lineRule="auto"/>
                    <w:textAlignment w:val="baseline"/>
                    <w:rPr>
                      <w:color w:val="000000" w:themeColor="text1"/>
                      <w14:textFill>
                        <w14:solidFill>
                          <w14:schemeClr w14:val="tx1"/>
                        </w14:solidFill>
                      </w14:textFill>
                    </w:rPr>
                  </w:pPr>
                </w:p>
              </w:tc>
              <w:tc>
                <w:tcPr>
                  <w:tcW w:w="706" w:type="dxa"/>
                  <w:vMerge w:val="continue"/>
                </w:tcPr>
                <w:p>
                  <w:pPr>
                    <w:topLinePunct/>
                    <w:spacing w:line="360" w:lineRule="auto"/>
                    <w:textAlignment w:val="baseline"/>
                    <w:rPr>
                      <w:color w:val="000000" w:themeColor="text1"/>
                      <w14:textFill>
                        <w14:solidFill>
                          <w14:schemeClr w14:val="tx1"/>
                        </w14:solidFill>
                      </w14:textFill>
                    </w:rPr>
                  </w:pPr>
                </w:p>
              </w:tc>
              <w:tc>
                <w:tcPr>
                  <w:tcW w:w="1409" w:type="dxa"/>
                  <w:vMerge w:val="continue"/>
                </w:tcPr>
                <w:p>
                  <w:pPr>
                    <w:topLinePunct/>
                    <w:spacing w:line="360" w:lineRule="auto"/>
                    <w:textAlignment w:val="baseline"/>
                    <w:rPr>
                      <w:color w:val="000000" w:themeColor="text1"/>
                      <w14:textFill>
                        <w14:solidFill>
                          <w14:schemeClr w14:val="tx1"/>
                        </w14:solidFill>
                      </w14:textFill>
                    </w:rPr>
                  </w:pPr>
                </w:p>
              </w:tc>
              <w:tc>
                <w:tcPr>
                  <w:tcW w:w="1483" w:type="dxa"/>
                  <w:vMerge w:val="continue"/>
                </w:tcPr>
                <w:p>
                  <w:pPr>
                    <w:topLinePunct/>
                    <w:textAlignment w:val="baseline"/>
                    <w:rPr>
                      <w:color w:val="000000" w:themeColor="text1"/>
                      <w14:textFill>
                        <w14:solidFill>
                          <w14:schemeClr w14:val="tx1"/>
                        </w14:solidFill>
                      </w14:textFill>
                    </w:rPr>
                  </w:pPr>
                </w:p>
              </w:tc>
            </w:tr>
          </w:tbl>
          <w:p>
            <w:pPr>
              <w:pStyle w:val="61"/>
              <w:spacing w:line="240" w:lineRule="auto"/>
              <w:ind w:firstLine="422"/>
              <w:rPr>
                <w:b/>
                <w:bCs/>
                <w:color w:val="000000" w:themeColor="text1"/>
                <w:sz w:val="21"/>
                <w:szCs w:val="21"/>
                <w14:textFill>
                  <w14:solidFill>
                    <w14:schemeClr w14:val="tx1"/>
                  </w14:solidFill>
                </w14:textFill>
              </w:rPr>
            </w:pPr>
          </w:p>
          <w:p>
            <w:pPr>
              <w:pStyle w:val="61"/>
              <w:spacing w:line="240" w:lineRule="auto"/>
              <w:ind w:firstLine="422"/>
              <w:rPr>
                <w:b/>
                <w:bCs/>
                <w:color w:val="000000" w:themeColor="text1"/>
                <w:sz w:val="21"/>
                <w:szCs w:val="21"/>
                <w14:textFill>
                  <w14:solidFill>
                    <w14:schemeClr w14:val="tx1"/>
                  </w14:solidFill>
                </w14:textFill>
              </w:rPr>
            </w:pPr>
          </w:p>
          <w:p>
            <w:pPr>
              <w:adjustRightInd w:val="0"/>
              <w:snapToGrid w:val="0"/>
              <w:spacing w:line="360" w:lineRule="auto"/>
              <w:rPr>
                <w:b/>
                <w:color w:val="000000" w:themeColor="text1"/>
                <w:spacing w:val="-10"/>
                <w:sz w:val="24"/>
                <w14:textFill>
                  <w14:solidFill>
                    <w14:schemeClr w14:val="tx1"/>
                  </w14:solidFill>
                </w14:textFill>
              </w:rPr>
            </w:pPr>
            <w:r>
              <w:rPr>
                <w:rFonts w:hint="eastAsia"/>
                <w:b/>
                <w:color w:val="000000" w:themeColor="text1"/>
                <w:spacing w:val="-10"/>
                <w:sz w:val="24"/>
                <w14:textFill>
                  <w14:solidFill>
                    <w14:schemeClr w14:val="tx1"/>
                  </w14:solidFill>
                </w14:textFill>
              </w:rPr>
              <w:t>2.</w:t>
            </w:r>
            <w:r>
              <w:rPr>
                <w:b/>
                <w:color w:val="000000" w:themeColor="text1"/>
                <w:spacing w:val="-10"/>
                <w:sz w:val="24"/>
                <w14:textFill>
                  <w14:solidFill>
                    <w14:schemeClr w14:val="tx1"/>
                  </w14:solidFill>
                </w14:textFill>
              </w:rPr>
              <w:t xml:space="preserve">4 </w:t>
            </w:r>
            <w:r>
              <w:rPr>
                <w:rFonts w:hint="eastAsia"/>
                <w:b/>
                <w:color w:val="000000" w:themeColor="text1"/>
                <w:spacing w:val="-10"/>
                <w:sz w:val="24"/>
                <w14:textFill>
                  <w14:solidFill>
                    <w14:schemeClr w14:val="tx1"/>
                  </w14:solidFill>
                </w14:textFill>
              </w:rPr>
              <w:t>监测要求</w:t>
            </w:r>
          </w:p>
          <w:p>
            <w:pPr>
              <w:pStyle w:val="30"/>
              <w:spacing w:line="360" w:lineRule="auto"/>
              <w:ind w:firstLine="480" w:firstLineChars="200"/>
              <w:rPr>
                <w:rFonts w:ascii="Times New Roman" w:cs="Times New Roman"/>
                <w:color w:val="000000" w:themeColor="text1"/>
                <w:shd w:val="clear" w:color="auto" w:fill="FFFFFF"/>
                <w14:textFill>
                  <w14:solidFill>
                    <w14:schemeClr w14:val="tx1"/>
                  </w14:solidFill>
                </w14:textFill>
              </w:rPr>
            </w:pPr>
            <w:r>
              <w:rPr>
                <w:rFonts w:ascii="Times New Roman" w:cs="Times New Roman"/>
                <w:color w:val="000000" w:themeColor="text1"/>
                <w:shd w:val="clear" w:color="auto" w:fill="FFFFFF"/>
                <w14:textFill>
                  <w14:solidFill>
                    <w14:schemeClr w14:val="tx1"/>
                  </w14:solidFill>
                </w14:textFill>
              </w:rPr>
              <w:t>依据《排污单位自行监测技术指南 总则》(HJ819-2017)和本项目废水排放情况，本项目废水</w:t>
            </w:r>
            <w:r>
              <w:rPr>
                <w:rFonts w:hint="eastAsia" w:ascii="Times New Roman" w:cs="Times New Roman"/>
                <w:color w:val="000000" w:themeColor="text1"/>
                <w:shd w:val="clear" w:color="auto" w:fill="FFFFFF"/>
                <w14:textFill>
                  <w14:solidFill>
                    <w14:schemeClr w14:val="tx1"/>
                  </w14:solidFill>
                </w14:textFill>
              </w:rPr>
              <w:t>无需</w:t>
            </w:r>
            <w:r>
              <w:rPr>
                <w:rFonts w:ascii="Times New Roman" w:cs="Times New Roman"/>
                <w:color w:val="000000" w:themeColor="text1"/>
                <w:shd w:val="clear" w:color="auto" w:fill="FFFFFF"/>
                <w14:textFill>
                  <w14:solidFill>
                    <w14:schemeClr w14:val="tx1"/>
                  </w14:solidFill>
                </w14:textFill>
              </w:rPr>
              <w:t>监测</w:t>
            </w:r>
            <w:r>
              <w:rPr>
                <w:rFonts w:hint="eastAsia" w:ascii="Times New Roman" w:cs="Times New Roman"/>
                <w:color w:val="000000" w:themeColor="text1"/>
                <w:shd w:val="clear" w:color="auto" w:fill="FFFFFF"/>
                <w14:textFill>
                  <w14:solidFill>
                    <w14:schemeClr w14:val="tx1"/>
                  </w14:solidFill>
                </w14:textFill>
              </w:rPr>
              <w:t>。</w:t>
            </w:r>
          </w:p>
          <w:p>
            <w:pPr>
              <w:topLinePunct/>
              <w:spacing w:line="360" w:lineRule="auto"/>
              <w:textAlignment w:val="baseline"/>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2.5水环境影响评价结论 </w:t>
            </w:r>
          </w:p>
          <w:p>
            <w:pPr>
              <w:topLinePunct/>
              <w:spacing w:line="360" w:lineRule="auto"/>
              <w:ind w:firstLine="480" w:firstLineChars="200"/>
              <w:textAlignment w:val="baseline"/>
              <w:rPr>
                <w:bCs/>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无生产废水产生排放，</w:t>
            </w:r>
            <w:r>
              <w:rPr>
                <w:color w:val="000000" w:themeColor="text1"/>
                <w:sz w:val="24"/>
                <w14:textFill>
                  <w14:solidFill>
                    <w14:schemeClr w14:val="tx1"/>
                  </w14:solidFill>
                </w14:textFill>
              </w:rPr>
              <w:t>生活污水经三级化粪池</w:t>
            </w:r>
            <w:r>
              <w:rPr>
                <w:rFonts w:hint="eastAsia"/>
                <w:color w:val="000000" w:themeColor="text1"/>
                <w:sz w:val="24"/>
                <w14:textFill>
                  <w14:solidFill>
                    <w14:schemeClr w14:val="tx1"/>
                  </w14:solidFill>
                </w14:textFill>
              </w:rPr>
              <w:t>预</w:t>
            </w:r>
            <w:r>
              <w:rPr>
                <w:color w:val="000000" w:themeColor="text1"/>
                <w:sz w:val="24"/>
                <w14:textFill>
                  <w14:solidFill>
                    <w14:schemeClr w14:val="tx1"/>
                  </w14:solidFill>
                </w14:textFill>
              </w:rPr>
              <w:t>处理</w:t>
            </w:r>
            <w:r>
              <w:rPr>
                <w:rFonts w:hint="eastAsia"/>
                <w:color w:val="000000" w:themeColor="text1"/>
                <w:sz w:val="24"/>
                <w14:textFill>
                  <w14:solidFill>
                    <w14:schemeClr w14:val="tx1"/>
                  </w14:solidFill>
                </w14:textFill>
              </w:rPr>
              <w:t>后定期清掏用作农肥，不外排</w:t>
            </w:r>
            <w:r>
              <w:rPr>
                <w:rFonts w:hint="eastAsia"/>
                <w:snapToGrid w:val="0"/>
                <w:color w:val="000000" w:themeColor="text1"/>
                <w:sz w:val="24"/>
                <w14:textFill>
                  <w14:solidFill>
                    <w14:schemeClr w14:val="tx1"/>
                  </w14:solidFill>
                </w14:textFill>
              </w:rPr>
              <w:t>。</w:t>
            </w:r>
          </w:p>
          <w:p>
            <w:pPr>
              <w:topLinePunct/>
              <w:spacing w:line="360" w:lineRule="auto"/>
              <w:ind w:firstLine="480" w:firstLineChars="200"/>
              <w:textAlignment w:val="baseline"/>
              <w:rPr>
                <w:color w:val="000000" w:themeColor="text1"/>
                <w:sz w:val="24"/>
                <w14:textFill>
                  <w14:solidFill>
                    <w14:schemeClr w14:val="tx1"/>
                  </w14:solidFill>
                </w14:textFill>
              </w:rPr>
            </w:pPr>
            <w:r>
              <w:rPr>
                <w:color w:val="000000" w:themeColor="text1"/>
                <w:sz w:val="24"/>
                <w14:textFill>
                  <w14:solidFill>
                    <w14:schemeClr w14:val="tx1"/>
                  </w14:solidFill>
                </w14:textFill>
              </w:rPr>
              <w:t>因此，项目建设完成若能有效落实以上措施，项目产生的污水不会对周围水环境造成明显的影响。</w:t>
            </w:r>
          </w:p>
          <w:p>
            <w:pPr>
              <w:rPr>
                <w:color w:val="000000" w:themeColor="text1"/>
                <w14:textFill>
                  <w14:solidFill>
                    <w14:schemeClr w14:val="tx1"/>
                  </w14:solidFill>
                </w14:textFill>
              </w:rPr>
            </w:pPr>
          </w:p>
          <w:p>
            <w:pPr>
              <w:adjustRightInd w:val="0"/>
              <w:snapToGrid w:val="0"/>
              <w:spacing w:line="360" w:lineRule="auto"/>
              <w:rPr>
                <w:bCs/>
                <w:color w:val="000000" w:themeColor="text1"/>
                <w:spacing w:val="-10"/>
                <w:sz w:val="24"/>
                <w14:textFill>
                  <w14:solidFill>
                    <w14:schemeClr w14:val="tx1"/>
                  </w14:solidFill>
                </w14:textFill>
              </w:rPr>
            </w:pPr>
            <w:r>
              <w:rPr>
                <w:rFonts w:hint="eastAsia"/>
                <w:b/>
                <w:color w:val="000000" w:themeColor="text1"/>
                <w:spacing w:val="-10"/>
                <w:sz w:val="24"/>
                <w14:textFill>
                  <w14:solidFill>
                    <w14:schemeClr w14:val="tx1"/>
                  </w14:solidFill>
                </w14:textFill>
              </w:rPr>
              <w:t>3、噪声</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.1项目噪声源及降噪措施分析</w:t>
            </w:r>
          </w:p>
          <w:p>
            <w:pPr>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本项目噪声源主要为</w:t>
            </w:r>
            <w:r>
              <w:rPr>
                <w:rFonts w:hint="eastAsia"/>
                <w:bCs/>
                <w:color w:val="000000" w:themeColor="text1"/>
                <w:sz w:val="24"/>
                <w14:textFill>
                  <w14:solidFill>
                    <w14:schemeClr w14:val="tx1"/>
                  </w14:solidFill>
                </w14:textFill>
              </w:rPr>
              <w:t>破碎机、烘干机、炭化窑、制棒机、</w:t>
            </w:r>
            <w:r>
              <w:rPr>
                <w:bCs/>
                <w:color w:val="000000" w:themeColor="text1"/>
                <w:sz w:val="24"/>
                <w14:textFill>
                  <w14:solidFill>
                    <w14:schemeClr w14:val="tx1"/>
                  </w14:solidFill>
                </w14:textFill>
              </w:rPr>
              <w:t>风机等设备运行的机械噪声</w:t>
            </w:r>
            <w:r>
              <w:rPr>
                <w:rFonts w:hint="eastAsia"/>
                <w:bCs/>
                <w:color w:val="000000" w:themeColor="text1"/>
                <w:sz w:val="24"/>
                <w14:textFill>
                  <w14:solidFill>
                    <w14:schemeClr w14:val="tx1"/>
                  </w14:solidFill>
                </w14:textFill>
              </w:rPr>
              <w:t>，类比同类型设备噪声</w:t>
            </w:r>
            <w:r>
              <w:rPr>
                <w:bCs/>
                <w:color w:val="000000" w:themeColor="text1"/>
                <w:sz w:val="24"/>
                <w14:textFill>
                  <w14:solidFill>
                    <w14:schemeClr w14:val="tx1"/>
                  </w14:solidFill>
                </w14:textFill>
              </w:rPr>
              <w:t>源强为70～85dB（A）。</w:t>
            </w:r>
          </w:p>
          <w:p>
            <w:pPr>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评价要求项目设备选型时选用低噪声设备，且设备全部设置在室内，经分别采取基础减振、厂房隔声措施后降噪效果可达15~20dB（A）。项目运行期主要噪声源强及治理效果见下表。其噪声源强及治理措施见表4-17。</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表4-17 项目主要设备及噪声源强一览表</w:t>
            </w:r>
            <w:r>
              <w:rPr>
                <w:rFonts w:hint="eastAsia"/>
                <w:b/>
                <w:color w:val="000000" w:themeColor="text1"/>
                <w:szCs w:val="21"/>
                <w14:textFill>
                  <w14:solidFill>
                    <w14:schemeClr w14:val="tx1"/>
                  </w14:solidFill>
                </w14:textFill>
              </w:rPr>
              <w:t>（室内）</w:t>
            </w:r>
          </w:p>
          <w:tbl>
            <w:tblPr>
              <w:tblStyle w:val="24"/>
              <w:tblW w:w="7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
              <w:gridCol w:w="533"/>
              <w:gridCol w:w="537"/>
              <w:gridCol w:w="443"/>
              <w:gridCol w:w="514"/>
              <w:gridCol w:w="443"/>
              <w:gridCol w:w="443"/>
              <w:gridCol w:w="460"/>
              <w:gridCol w:w="464"/>
              <w:gridCol w:w="460"/>
              <w:gridCol w:w="460"/>
              <w:gridCol w:w="443"/>
              <w:gridCol w:w="667"/>
              <w:gridCol w:w="667"/>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325" w:type="dxa"/>
                  <w:vMerge w:val="restart"/>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序号</w:t>
                  </w:r>
                </w:p>
              </w:tc>
              <w:tc>
                <w:tcPr>
                  <w:tcW w:w="533" w:type="dxa"/>
                  <w:vMerge w:val="restart"/>
                  <w:vAlign w:val="center"/>
                </w:tcPr>
                <w:p>
                  <w:pPr>
                    <w:adjustRightInd w:val="0"/>
                    <w:snapToGrid w:val="0"/>
                    <w:jc w:val="center"/>
                    <w:rPr>
                      <w:b/>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建筑物名称</w:t>
                  </w:r>
                </w:p>
              </w:tc>
              <w:tc>
                <w:tcPr>
                  <w:tcW w:w="537"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声源名称</w:t>
                  </w:r>
                </w:p>
              </w:tc>
              <w:tc>
                <w:tcPr>
                  <w:tcW w:w="443"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型号</w:t>
                  </w:r>
                </w:p>
              </w:tc>
              <w:tc>
                <w:tcPr>
                  <w:tcW w:w="514" w:type="dxa"/>
                  <w:vMerge w:val="restart"/>
                  <w:vAlign w:val="center"/>
                </w:tcPr>
                <w:p>
                  <w:pPr>
                    <w:adjustRightInd w:val="0"/>
                    <w:snapToGrid w:val="0"/>
                    <w:jc w:val="center"/>
                    <w:rPr>
                      <w:b/>
                      <w:color w:val="000000" w:themeColor="text1"/>
                      <w:sz w:val="18"/>
                      <w:szCs w:val="18"/>
                      <w:lang w:eastAsia="en-US"/>
                      <w14:textFill>
                        <w14:solidFill>
                          <w14:schemeClr w14:val="tx1"/>
                        </w14:solidFill>
                      </w14:textFill>
                    </w:rPr>
                  </w:pPr>
                  <w:r>
                    <w:rPr>
                      <w:rFonts w:hint="eastAsia"/>
                      <w:b/>
                      <w:bCs/>
                      <w:color w:val="000000" w:themeColor="text1"/>
                      <w:sz w:val="18"/>
                      <w:szCs w:val="18"/>
                      <w14:textFill>
                        <w14:solidFill>
                          <w14:schemeClr w14:val="tx1"/>
                        </w14:solidFill>
                      </w14:textFill>
                    </w:rPr>
                    <w:t>声压级</w:t>
                  </w:r>
                  <w:r>
                    <w:rPr>
                      <w:b/>
                      <w:bCs/>
                      <w:color w:val="000000" w:themeColor="text1"/>
                      <w:spacing w:val="-54"/>
                      <w:sz w:val="18"/>
                      <w:szCs w:val="18"/>
                      <w:lang w:eastAsia="en-US"/>
                      <w14:textFill>
                        <w14:solidFill>
                          <w14:schemeClr w14:val="tx1"/>
                        </w14:solidFill>
                      </w14:textFill>
                    </w:rPr>
                    <w:t xml:space="preserve"> </w:t>
                  </w:r>
                  <w:r>
                    <w:rPr>
                      <w:rFonts w:hint="eastAsia"/>
                      <w:b/>
                      <w:bCs/>
                      <w:color w:val="000000" w:themeColor="text1"/>
                      <w:spacing w:val="-54"/>
                      <w:sz w:val="18"/>
                      <w:szCs w:val="18"/>
                      <w14:textFill>
                        <w14:solidFill>
                          <w14:schemeClr w14:val="tx1"/>
                        </w14:solidFill>
                      </w14:textFill>
                    </w:rPr>
                    <w:t xml:space="preserve">/ </w:t>
                  </w:r>
                  <w:r>
                    <w:rPr>
                      <w:b/>
                      <w:bCs/>
                      <w:color w:val="000000" w:themeColor="text1"/>
                      <w:spacing w:val="-1"/>
                      <w:sz w:val="18"/>
                      <w:szCs w:val="18"/>
                      <w:lang w:eastAsia="en-US"/>
                      <w14:textFill>
                        <w14:solidFill>
                          <w14:schemeClr w14:val="tx1"/>
                        </w14:solidFill>
                      </w14:textFill>
                    </w:rPr>
                    <w:t>dB(A)</w:t>
                  </w:r>
                </w:p>
              </w:tc>
              <w:tc>
                <w:tcPr>
                  <w:tcW w:w="443"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声源控制措施</w:t>
                  </w:r>
                </w:p>
              </w:tc>
              <w:tc>
                <w:tcPr>
                  <w:tcW w:w="1367" w:type="dxa"/>
                  <w:gridSpan w:val="3"/>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空间相对位置/m</w:t>
                  </w:r>
                </w:p>
              </w:tc>
              <w:tc>
                <w:tcPr>
                  <w:tcW w:w="460"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距室内边界距离</w:t>
                  </w:r>
                  <w:r>
                    <w:rPr>
                      <w:rFonts w:hint="eastAsia"/>
                      <w:b/>
                      <w:bCs/>
                      <w:color w:val="000000" w:themeColor="text1"/>
                      <w:spacing w:val="-54"/>
                      <w:sz w:val="18"/>
                      <w:szCs w:val="18"/>
                      <w14:textFill>
                        <w14:solidFill>
                          <w14:schemeClr w14:val="tx1"/>
                        </w14:solidFill>
                      </w14:textFill>
                    </w:rPr>
                    <w:t xml:space="preserve">/ </w:t>
                  </w:r>
                  <w:r>
                    <w:rPr>
                      <w:b/>
                      <w:bCs/>
                      <w:color w:val="000000" w:themeColor="text1"/>
                      <w:spacing w:val="-1"/>
                      <w:sz w:val="18"/>
                      <w:szCs w:val="18"/>
                      <w:lang w:eastAsia="en-US"/>
                      <w14:textFill>
                        <w14:solidFill>
                          <w14:schemeClr w14:val="tx1"/>
                        </w14:solidFill>
                      </w14:textFill>
                    </w:rPr>
                    <w:t>dB(A)</w:t>
                  </w:r>
                </w:p>
              </w:tc>
              <w:tc>
                <w:tcPr>
                  <w:tcW w:w="460"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室内边界声级</w:t>
                  </w:r>
                  <w:r>
                    <w:rPr>
                      <w:rFonts w:hint="eastAsia"/>
                      <w:b/>
                      <w:bCs/>
                      <w:color w:val="000000" w:themeColor="text1"/>
                      <w:spacing w:val="-54"/>
                      <w:sz w:val="18"/>
                      <w:szCs w:val="18"/>
                      <w14:textFill>
                        <w14:solidFill>
                          <w14:schemeClr w14:val="tx1"/>
                        </w14:solidFill>
                      </w14:textFill>
                    </w:rPr>
                    <w:t xml:space="preserve">/ </w:t>
                  </w:r>
                  <w:r>
                    <w:rPr>
                      <w:b/>
                      <w:bCs/>
                      <w:color w:val="000000" w:themeColor="text1"/>
                      <w:spacing w:val="-1"/>
                      <w:sz w:val="18"/>
                      <w:szCs w:val="18"/>
                      <w:lang w:eastAsia="en-US"/>
                      <w14:textFill>
                        <w14:solidFill>
                          <w14:schemeClr w14:val="tx1"/>
                        </w14:solidFill>
                      </w14:textFill>
                    </w:rPr>
                    <w:t>dB(A)</w:t>
                  </w:r>
                </w:p>
              </w:tc>
              <w:tc>
                <w:tcPr>
                  <w:tcW w:w="443"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运行时段</w:t>
                  </w:r>
                </w:p>
              </w:tc>
              <w:tc>
                <w:tcPr>
                  <w:tcW w:w="667" w:type="dxa"/>
                  <w:vMerge w:val="restart"/>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建筑物插入损失</w:t>
                  </w:r>
                  <w:r>
                    <w:rPr>
                      <w:rFonts w:hint="eastAsia"/>
                      <w:b/>
                      <w:bCs/>
                      <w:color w:val="000000" w:themeColor="text1"/>
                      <w:spacing w:val="-54"/>
                      <w:sz w:val="18"/>
                      <w:szCs w:val="18"/>
                      <w14:textFill>
                        <w14:solidFill>
                          <w14:schemeClr w14:val="tx1"/>
                        </w14:solidFill>
                      </w14:textFill>
                    </w:rPr>
                    <w:t xml:space="preserve">/ </w:t>
                  </w:r>
                  <w:r>
                    <w:rPr>
                      <w:b/>
                      <w:bCs/>
                      <w:color w:val="000000" w:themeColor="text1"/>
                      <w:spacing w:val="-1"/>
                      <w:sz w:val="18"/>
                      <w:szCs w:val="18"/>
                      <w:lang w:eastAsia="en-US"/>
                      <w14:textFill>
                        <w14:solidFill>
                          <w14:schemeClr w14:val="tx1"/>
                        </w14:solidFill>
                      </w14:textFill>
                    </w:rPr>
                    <w:t>dB(A)</w:t>
                  </w:r>
                </w:p>
              </w:tc>
              <w:tc>
                <w:tcPr>
                  <w:tcW w:w="1201" w:type="dxa"/>
                  <w:gridSpan w:val="2"/>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325"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533"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537"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443"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514"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443" w:type="dxa"/>
                  <w:vMerge w:val="continue"/>
                  <w:vAlign w:val="center"/>
                </w:tcPr>
                <w:p>
                  <w:pPr>
                    <w:adjustRightInd w:val="0"/>
                    <w:snapToGrid w:val="0"/>
                    <w:jc w:val="center"/>
                    <w:rPr>
                      <w:b/>
                      <w:bCs/>
                      <w:color w:val="000000" w:themeColor="text1"/>
                      <w:sz w:val="18"/>
                      <w:szCs w:val="18"/>
                      <w:lang w:eastAsia="en-US"/>
                      <w14:textFill>
                        <w14:solidFill>
                          <w14:schemeClr w14:val="tx1"/>
                        </w14:solidFill>
                      </w14:textFill>
                    </w:rPr>
                  </w:pPr>
                </w:p>
              </w:tc>
              <w:tc>
                <w:tcPr>
                  <w:tcW w:w="443" w:type="dxa"/>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X</w:t>
                  </w:r>
                </w:p>
              </w:tc>
              <w:tc>
                <w:tcPr>
                  <w:tcW w:w="460" w:type="dxa"/>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Y</w:t>
                  </w:r>
                </w:p>
              </w:tc>
              <w:tc>
                <w:tcPr>
                  <w:tcW w:w="463" w:type="dxa"/>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Z</w:t>
                  </w:r>
                </w:p>
              </w:tc>
              <w:tc>
                <w:tcPr>
                  <w:tcW w:w="460" w:type="dxa"/>
                  <w:vMerge w:val="continue"/>
                  <w:vAlign w:val="center"/>
                </w:tcPr>
                <w:p>
                  <w:pPr>
                    <w:adjustRightInd w:val="0"/>
                    <w:snapToGrid w:val="0"/>
                    <w:jc w:val="center"/>
                    <w:rPr>
                      <w:b/>
                      <w:bCs/>
                      <w:color w:val="000000" w:themeColor="text1"/>
                      <w:sz w:val="18"/>
                      <w:szCs w:val="18"/>
                      <w14:textFill>
                        <w14:solidFill>
                          <w14:schemeClr w14:val="tx1"/>
                        </w14:solidFill>
                      </w14:textFill>
                    </w:rPr>
                  </w:pPr>
                </w:p>
              </w:tc>
              <w:tc>
                <w:tcPr>
                  <w:tcW w:w="460" w:type="dxa"/>
                  <w:vMerge w:val="continue"/>
                  <w:vAlign w:val="center"/>
                </w:tcPr>
                <w:p>
                  <w:pPr>
                    <w:adjustRightInd w:val="0"/>
                    <w:snapToGrid w:val="0"/>
                    <w:jc w:val="center"/>
                    <w:rPr>
                      <w:b/>
                      <w:bCs/>
                      <w:color w:val="000000" w:themeColor="text1"/>
                      <w:sz w:val="18"/>
                      <w:szCs w:val="18"/>
                      <w14:textFill>
                        <w14:solidFill>
                          <w14:schemeClr w14:val="tx1"/>
                        </w14:solidFill>
                      </w14:textFill>
                    </w:rPr>
                  </w:pPr>
                </w:p>
              </w:tc>
              <w:tc>
                <w:tcPr>
                  <w:tcW w:w="443" w:type="dxa"/>
                  <w:vMerge w:val="continue"/>
                  <w:vAlign w:val="center"/>
                </w:tcPr>
                <w:p>
                  <w:pPr>
                    <w:adjustRightInd w:val="0"/>
                    <w:snapToGrid w:val="0"/>
                    <w:jc w:val="center"/>
                    <w:rPr>
                      <w:b/>
                      <w:bCs/>
                      <w:color w:val="000000" w:themeColor="text1"/>
                      <w:sz w:val="18"/>
                      <w:szCs w:val="18"/>
                      <w14:textFill>
                        <w14:solidFill>
                          <w14:schemeClr w14:val="tx1"/>
                        </w14:solidFill>
                      </w14:textFill>
                    </w:rPr>
                  </w:pPr>
                </w:p>
              </w:tc>
              <w:tc>
                <w:tcPr>
                  <w:tcW w:w="667" w:type="dxa"/>
                  <w:vMerge w:val="continue"/>
                  <w:vAlign w:val="center"/>
                </w:tcPr>
                <w:p>
                  <w:pPr>
                    <w:adjustRightInd w:val="0"/>
                    <w:snapToGrid w:val="0"/>
                    <w:jc w:val="center"/>
                    <w:rPr>
                      <w:b/>
                      <w:bCs/>
                      <w:color w:val="000000" w:themeColor="text1"/>
                      <w:sz w:val="18"/>
                      <w:szCs w:val="18"/>
                      <w14:textFill>
                        <w14:solidFill>
                          <w14:schemeClr w14:val="tx1"/>
                        </w14:solidFill>
                      </w14:textFill>
                    </w:rPr>
                  </w:pPr>
                </w:p>
              </w:tc>
              <w:tc>
                <w:tcPr>
                  <w:tcW w:w="667" w:type="dxa"/>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声压级</w:t>
                  </w:r>
                  <w:r>
                    <w:rPr>
                      <w:b/>
                      <w:bCs/>
                      <w:color w:val="000000" w:themeColor="text1"/>
                      <w:spacing w:val="-54"/>
                      <w:sz w:val="18"/>
                      <w:szCs w:val="18"/>
                      <w:lang w:eastAsia="en-US"/>
                      <w14:textFill>
                        <w14:solidFill>
                          <w14:schemeClr w14:val="tx1"/>
                        </w14:solidFill>
                      </w14:textFill>
                    </w:rPr>
                    <w:t xml:space="preserve"> </w:t>
                  </w:r>
                  <w:r>
                    <w:rPr>
                      <w:rFonts w:hint="eastAsia"/>
                      <w:b/>
                      <w:bCs/>
                      <w:color w:val="000000" w:themeColor="text1"/>
                      <w:spacing w:val="-54"/>
                      <w:sz w:val="18"/>
                      <w:szCs w:val="18"/>
                      <w14:textFill>
                        <w14:solidFill>
                          <w14:schemeClr w14:val="tx1"/>
                        </w14:solidFill>
                      </w14:textFill>
                    </w:rPr>
                    <w:t xml:space="preserve">/ </w:t>
                  </w:r>
                  <w:r>
                    <w:rPr>
                      <w:b/>
                      <w:bCs/>
                      <w:color w:val="000000" w:themeColor="text1"/>
                      <w:spacing w:val="-1"/>
                      <w:sz w:val="18"/>
                      <w:szCs w:val="18"/>
                      <w:lang w:eastAsia="en-US"/>
                      <w14:textFill>
                        <w14:solidFill>
                          <w14:schemeClr w14:val="tx1"/>
                        </w14:solidFill>
                      </w14:textFill>
                    </w:rPr>
                    <w:t>dB(A)</w:t>
                  </w:r>
                </w:p>
              </w:tc>
              <w:tc>
                <w:tcPr>
                  <w:tcW w:w="533" w:type="dxa"/>
                  <w:vAlign w:val="center"/>
                </w:tcPr>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建筑物</w:t>
                  </w:r>
                </w:p>
                <w:p>
                  <w:pPr>
                    <w:adjustRightInd w:val="0"/>
                    <w:snapToGrid w:val="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325" w:type="dxa"/>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1</w:t>
                  </w:r>
                </w:p>
              </w:tc>
              <w:tc>
                <w:tcPr>
                  <w:tcW w:w="533"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生产车间</w:t>
                  </w:r>
                </w:p>
              </w:tc>
              <w:tc>
                <w:tcPr>
                  <w:tcW w:w="53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破碎机</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443"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减振、隔声、消声等降噪措施</w:t>
                  </w: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-17</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76</w:t>
                  </w:r>
                </w:p>
              </w:tc>
              <w:tc>
                <w:tcPr>
                  <w:tcW w:w="443" w:type="dxa"/>
                  <w:vMerge w:val="restar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连续 (</w:t>
                  </w:r>
                  <w:r>
                    <w:rPr>
                      <w:color w:val="000000" w:themeColor="text1"/>
                      <w:sz w:val="18"/>
                      <w:szCs w:val="18"/>
                      <w14:textFill>
                        <w14:solidFill>
                          <w14:schemeClr w14:val="tx1"/>
                        </w14:solidFill>
                      </w14:textFill>
                    </w:rPr>
                    <w:t>72</w:t>
                  </w:r>
                  <w:r>
                    <w:rPr>
                      <w:rFonts w:hint="eastAsia"/>
                      <w:color w:val="000000" w:themeColor="text1"/>
                      <w:sz w:val="18"/>
                      <w:szCs w:val="18"/>
                      <w14:textFill>
                        <w14:solidFill>
                          <w14:schemeClr w14:val="tx1"/>
                        </w14:solidFill>
                      </w14:textFill>
                    </w:rPr>
                    <w:t>00h）</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65</w:t>
                  </w:r>
                </w:p>
              </w:tc>
              <w:tc>
                <w:tcPr>
                  <w:tcW w:w="533" w:type="dxa"/>
                  <w:vAlign w:val="center"/>
                </w:tcPr>
                <w:p>
                  <w:pPr>
                    <w:adjustRightInd w:val="0"/>
                    <w:snapToGrid w:val="0"/>
                    <w:jc w:val="center"/>
                    <w:rPr>
                      <w:color w:val="000000" w:themeColor="text1"/>
                      <w:spacing w:val="-1"/>
                      <w:sz w:val="18"/>
                      <w:szCs w:val="18"/>
                      <w14:textFill>
                        <w14:solidFill>
                          <w14:schemeClr w14:val="tx1"/>
                        </w14:solidFill>
                      </w14:textFill>
                    </w:rPr>
                  </w:pPr>
                  <w:r>
                    <w:rPr>
                      <w:color w:val="000000" w:themeColor="text1"/>
                      <w:spacing w:val="-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325"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2</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adjustRightInd w:val="0"/>
                    <w:snapToGrid w:val="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破碎机</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72</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65</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制棒机</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widowControl/>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58</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-37</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r>
                    <w:rPr>
                      <w:color w:val="000000" w:themeColor="text1"/>
                      <w:sz w:val="18"/>
                      <w:szCs w:val="18"/>
                      <w14:textFill>
                        <w14:solidFill>
                          <w14:schemeClr w14:val="tx1"/>
                        </w14:solidFill>
                      </w14:textFill>
                    </w:rPr>
                    <w:t>0</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pacing w:val="-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4</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烘干机</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8</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54</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5</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绞龙机</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115</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7</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5</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73</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pacing w:val="-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6</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分离器</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13</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r>
                    <w:rPr>
                      <w:color w:val="000000" w:themeColor="text1"/>
                      <w:sz w:val="18"/>
                      <w:szCs w:val="18"/>
                      <w14:textFill>
                        <w14:solidFill>
                          <w14:schemeClr w14:val="tx1"/>
                        </w14:solidFill>
                      </w14:textFill>
                    </w:rPr>
                    <w:t>5</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5</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r>
                    <w:rPr>
                      <w:color w:val="000000" w:themeColor="text1"/>
                      <w:sz w:val="18"/>
                      <w:szCs w:val="18"/>
                      <w14:textFill>
                        <w14:solidFill>
                          <w14:schemeClr w14:val="tx1"/>
                        </w14:solidFill>
                      </w14:textFill>
                    </w:rPr>
                    <w:t>3</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5</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7</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炭化窑</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r>
                    <w:rPr>
                      <w:color w:val="000000" w:themeColor="text1"/>
                      <w:sz w:val="18"/>
                      <w:szCs w:val="18"/>
                      <w14:textFill>
                        <w14:solidFill>
                          <w14:schemeClr w14:val="tx1"/>
                        </w14:solidFill>
                      </w14:textFill>
                    </w:rPr>
                    <w:t>3</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4</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r>
                    <w:rPr>
                      <w:color w:val="000000" w:themeColor="text1"/>
                      <w:sz w:val="18"/>
                      <w:szCs w:val="18"/>
                      <w14:textFill>
                        <w14:solidFill>
                          <w14:schemeClr w14:val="tx1"/>
                        </w14:solidFill>
                      </w14:textFill>
                    </w:rPr>
                    <w:t>3</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pacing w:val="-1"/>
                      <w:sz w:val="18"/>
                      <w:szCs w:val="18"/>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325" w:type="dxa"/>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8</w:t>
                  </w:r>
                </w:p>
              </w:tc>
              <w:tc>
                <w:tcPr>
                  <w:tcW w:w="53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537" w:type="dxa"/>
                  <w:vAlign w:val="center"/>
                </w:tcPr>
                <w:p>
                  <w:pPr>
                    <w:widowControl/>
                    <w:jc w:val="center"/>
                    <w:textAlignment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炭化窑</w:t>
                  </w:r>
                </w:p>
              </w:tc>
              <w:tc>
                <w:tcPr>
                  <w:tcW w:w="443" w:type="dxa"/>
                  <w:vAlign w:val="center"/>
                </w:tcPr>
                <w:p>
                  <w:pPr>
                    <w:widowControl/>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514"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44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r>
                    <w:rPr>
                      <w:color w:val="000000" w:themeColor="text1"/>
                      <w:sz w:val="18"/>
                      <w:szCs w:val="18"/>
                      <w14:textFill>
                        <w14:solidFill>
                          <w14:schemeClr w14:val="tx1"/>
                        </w14:solidFill>
                      </w14:textFill>
                    </w:rPr>
                    <w:t>3</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3</w:t>
                  </w:r>
                </w:p>
              </w:tc>
              <w:tc>
                <w:tcPr>
                  <w:tcW w:w="463"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60"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r>
                    <w:rPr>
                      <w:color w:val="000000" w:themeColor="text1"/>
                      <w:sz w:val="18"/>
                      <w:szCs w:val="18"/>
                      <w14:textFill>
                        <w14:solidFill>
                          <w14:schemeClr w14:val="tx1"/>
                        </w14:solidFill>
                      </w14:textFill>
                    </w:rPr>
                    <w:t>3</w:t>
                  </w:r>
                </w:p>
              </w:tc>
              <w:tc>
                <w:tcPr>
                  <w:tcW w:w="443" w:type="dxa"/>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66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c>
                <w:tcPr>
                  <w:tcW w:w="533"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r>
          </w:tbl>
          <w:p>
            <w:pPr>
              <w:spacing w:line="360" w:lineRule="auto"/>
              <w:ind w:firstLine="422" w:firstLineChars="200"/>
              <w:rPr>
                <w:b/>
                <w:bCs/>
                <w:color w:val="000000" w:themeColor="text1"/>
                <w:kern w:val="0"/>
                <w:szCs w:val="21"/>
                <w14:textFill>
                  <w14:solidFill>
                    <w14:schemeClr w14:val="tx1"/>
                  </w14:solidFill>
                </w14:textFill>
              </w:rPr>
            </w:pP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表4-18 项目主要设备及噪声源强一览表</w:t>
            </w:r>
            <w:r>
              <w:rPr>
                <w:rFonts w:hint="eastAsia"/>
                <w:b/>
                <w:color w:val="000000" w:themeColor="text1"/>
                <w:szCs w:val="21"/>
                <w14:textFill>
                  <w14:solidFill>
                    <w14:schemeClr w14:val="tx1"/>
                  </w14:solidFill>
                </w14:textFill>
              </w:rPr>
              <w:t>（室外）</w:t>
            </w:r>
          </w:p>
          <w:p>
            <w:pPr>
              <w:rPr>
                <w:color w:val="000000" w:themeColor="text1"/>
                <w14:textFill>
                  <w14:solidFill>
                    <w14:schemeClr w14:val="tx1"/>
                  </w14:solidFill>
                </w14:textFill>
              </w:rPr>
            </w:pPr>
          </w:p>
          <w:tbl>
            <w:tblPr>
              <w:tblStyle w:val="24"/>
              <w:tblW w:w="7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791"/>
              <w:gridCol w:w="954"/>
              <w:gridCol w:w="730"/>
              <w:gridCol w:w="730"/>
              <w:gridCol w:w="731"/>
              <w:gridCol w:w="1229"/>
              <w:gridCol w:w="873"/>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95" w:type="dxa"/>
                  <w:vMerge w:val="restart"/>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791" w:type="dxa"/>
                  <w:vMerge w:val="restar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声源名称</w:t>
                  </w:r>
                </w:p>
              </w:tc>
              <w:tc>
                <w:tcPr>
                  <w:tcW w:w="954" w:type="dxa"/>
                  <w:vMerge w:val="restar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型号</w:t>
                  </w:r>
                </w:p>
              </w:tc>
              <w:tc>
                <w:tcPr>
                  <w:tcW w:w="2191" w:type="dxa"/>
                  <w:gridSpan w:val="3"/>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空间相对位置/m</w:t>
                  </w:r>
                </w:p>
              </w:tc>
              <w:tc>
                <w:tcPr>
                  <w:tcW w:w="1229" w:type="dxa"/>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声源源强</w:t>
                  </w:r>
                </w:p>
              </w:tc>
              <w:tc>
                <w:tcPr>
                  <w:tcW w:w="873" w:type="dxa"/>
                  <w:vMerge w:val="restar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声源控制措施</w:t>
                  </w:r>
                </w:p>
                <w:p>
                  <w:pPr>
                    <w:jc w:val="center"/>
                    <w:rPr>
                      <w:color w:val="000000" w:themeColor="text1"/>
                      <w14:textFill>
                        <w14:solidFill>
                          <w14:schemeClr w14:val="tx1"/>
                        </w14:solidFill>
                      </w14:textFill>
                    </w:rPr>
                  </w:pPr>
                </w:p>
              </w:tc>
              <w:tc>
                <w:tcPr>
                  <w:tcW w:w="874" w:type="dxa"/>
                  <w:vMerge w:val="restart"/>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95"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791"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954" w:type="dxa"/>
                  <w:vMerge w:val="continue"/>
                  <w:shd w:val="clear" w:color="auto" w:fill="auto"/>
                  <w:vAlign w:val="center"/>
                </w:tcPr>
                <w:p>
                  <w:pPr>
                    <w:jc w:val="center"/>
                    <w:rPr>
                      <w:color w:val="000000" w:themeColor="text1"/>
                      <w:sz w:val="18"/>
                      <w:szCs w:val="18"/>
                      <w14:textFill>
                        <w14:solidFill>
                          <w14:schemeClr w14:val="tx1"/>
                        </w14:solidFill>
                      </w14:textFill>
                    </w:rPr>
                  </w:pP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X</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Y</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Z</w:t>
                  </w:r>
                </w:p>
              </w:tc>
              <w:tc>
                <w:tcPr>
                  <w:tcW w:w="1229" w:type="dxa"/>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声功率级/dB(A)</w:t>
                  </w:r>
                </w:p>
              </w:tc>
              <w:tc>
                <w:tcPr>
                  <w:tcW w:w="873" w:type="dxa"/>
                  <w:vMerge w:val="continue"/>
                  <w:shd w:val="clear" w:color="auto" w:fill="auto"/>
                </w:tcPr>
                <w:p>
                  <w:pPr>
                    <w:jc w:val="center"/>
                    <w:rPr>
                      <w:color w:val="000000" w:themeColor="text1"/>
                      <w:sz w:val="18"/>
                      <w:szCs w:val="18"/>
                      <w14:textFill>
                        <w14:solidFill>
                          <w14:schemeClr w14:val="tx1"/>
                        </w14:solidFill>
                      </w14:textFill>
                    </w:rPr>
                  </w:pPr>
                </w:p>
              </w:tc>
              <w:tc>
                <w:tcPr>
                  <w:tcW w:w="874" w:type="dxa"/>
                  <w:vMerge w:val="continue"/>
                  <w:shd w:val="clear" w:color="auto" w:fill="auto"/>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95" w:type="dxa"/>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91"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风机</w:t>
                  </w:r>
                </w:p>
              </w:tc>
              <w:tc>
                <w:tcPr>
                  <w:tcW w:w="954"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r>
                    <w:rPr>
                      <w:color w:val="000000" w:themeColor="text1"/>
                      <w:sz w:val="18"/>
                      <w:szCs w:val="18"/>
                      <w14:textFill>
                        <w14:solidFill>
                          <w14:schemeClr w14:val="tx1"/>
                        </w14:solidFill>
                      </w14:textFill>
                    </w:rPr>
                    <w:t>VFY-13/7</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154</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229" w:type="dxa"/>
                  <w:shd w:val="clear" w:color="auto" w:fill="auto"/>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85</w:t>
                  </w:r>
                </w:p>
              </w:tc>
              <w:tc>
                <w:tcPr>
                  <w:tcW w:w="873" w:type="dxa"/>
                  <w:vMerge w:val="restart"/>
                  <w:shd w:val="clear" w:color="auto" w:fill="auto"/>
                </w:tcPr>
                <w:p>
                  <w:pPr>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消声、减震、低噪声设备</w:t>
                  </w:r>
                </w:p>
              </w:tc>
              <w:tc>
                <w:tcPr>
                  <w:tcW w:w="874" w:type="dxa"/>
                  <w:vMerge w:val="restart"/>
                  <w:shd w:val="clear" w:color="auto" w:fill="auto"/>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白天</w:t>
                  </w:r>
                  <w:r>
                    <w:rPr>
                      <w:color w:val="000000" w:themeColor="text1"/>
                      <w:sz w:val="18"/>
                      <w:szCs w:val="18"/>
                      <w14:textFill>
                        <w14:solidFill>
                          <w14:schemeClr w14:val="tx1"/>
                        </w14:solidFill>
                      </w14:textFill>
                    </w:rPr>
                    <w:t>4800h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95"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91"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风机</w:t>
                  </w:r>
                </w:p>
              </w:tc>
              <w:tc>
                <w:tcPr>
                  <w:tcW w:w="954"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r>
                    <w:rPr>
                      <w:color w:val="000000" w:themeColor="text1"/>
                      <w:sz w:val="18"/>
                      <w:szCs w:val="18"/>
                      <w14:textFill>
                        <w14:solidFill>
                          <w14:schemeClr w14:val="tx1"/>
                        </w14:solidFill>
                      </w14:textFill>
                    </w:rPr>
                    <w:t>VFY-13/7</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r>
                    <w:rPr>
                      <w:color w:val="000000" w:themeColor="text1"/>
                      <w:sz w:val="18"/>
                      <w:szCs w:val="18"/>
                      <w14:textFill>
                        <w14:solidFill>
                          <w14:schemeClr w14:val="tx1"/>
                        </w14:solidFill>
                      </w14:textFill>
                    </w:rPr>
                    <w:t>6</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12</w:t>
                  </w:r>
                </w:p>
              </w:tc>
              <w:tc>
                <w:tcPr>
                  <w:tcW w:w="730"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229" w:type="dxa"/>
                  <w:shd w:val="clear" w:color="auto" w:fill="auto"/>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r>
                    <w:rPr>
                      <w:color w:val="000000" w:themeColor="text1"/>
                      <w:sz w:val="18"/>
                      <w:szCs w:val="18"/>
                      <w14:textFill>
                        <w14:solidFill>
                          <w14:schemeClr w14:val="tx1"/>
                        </w14:solidFill>
                      </w14:textFill>
                    </w:rPr>
                    <w:t>5</w:t>
                  </w:r>
                </w:p>
              </w:tc>
              <w:tc>
                <w:tcPr>
                  <w:tcW w:w="873" w:type="dxa"/>
                  <w:vMerge w:val="continue"/>
                  <w:shd w:val="clear" w:color="auto" w:fill="auto"/>
                </w:tcPr>
                <w:p>
                  <w:pPr>
                    <w:jc w:val="left"/>
                    <w:rPr>
                      <w:color w:val="000000" w:themeColor="text1"/>
                      <w:sz w:val="18"/>
                      <w:szCs w:val="18"/>
                      <w14:textFill>
                        <w14:solidFill>
                          <w14:schemeClr w14:val="tx1"/>
                        </w14:solidFill>
                      </w14:textFill>
                    </w:rPr>
                  </w:pPr>
                </w:p>
              </w:tc>
              <w:tc>
                <w:tcPr>
                  <w:tcW w:w="874" w:type="dxa"/>
                  <w:vMerge w:val="continue"/>
                  <w:shd w:val="clear" w:color="auto" w:fill="auto"/>
                </w:tcPr>
                <w:p>
                  <w:pPr>
                    <w:jc w:val="center"/>
                    <w:rPr>
                      <w:color w:val="000000" w:themeColor="text1"/>
                      <w:sz w:val="18"/>
                      <w:szCs w:val="18"/>
                      <w14:textFill>
                        <w14:solidFill>
                          <w14:schemeClr w14:val="tx1"/>
                        </w14:solidFill>
                      </w14:textFill>
                    </w:rPr>
                  </w:pPr>
                </w:p>
              </w:tc>
            </w:tr>
          </w:tbl>
          <w:p>
            <w:pPr>
              <w:spacing w:line="360" w:lineRule="auto"/>
              <w:rPr>
                <w:b/>
                <w:bCs/>
                <w:color w:val="000000" w:themeColor="text1"/>
                <w:kern w:val="0"/>
                <w:szCs w:val="21"/>
                <w14:textFill>
                  <w14:solidFill>
                    <w14:schemeClr w14:val="tx1"/>
                  </w14:solidFill>
                </w14:textFill>
              </w:rPr>
            </w:pPr>
          </w:p>
          <w:p>
            <w:pPr>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3</w:t>
            </w:r>
            <w:r>
              <w:rPr>
                <w:b/>
                <w:bCs/>
                <w:color w:val="000000" w:themeColor="text1"/>
                <w:kern w:val="0"/>
                <w:sz w:val="24"/>
                <w14:textFill>
                  <w14:solidFill>
                    <w14:schemeClr w14:val="tx1"/>
                  </w14:solidFill>
                </w14:textFill>
              </w:rPr>
              <w:t>.2 预测模式及预测方法</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评价选择《环境影响评价技术导则 声环境》（HJ2.4-2021）中的噪声预测模式，主要对拟建项目噪声源对厂界的影响进行预测分析：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对同个厂房内多个设备可作为面源；对室外单个设备等视为点源。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1）室外声源预测模式</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户外传播声级衰减计算模式按下面公式进行计算。</w:t>
            </w:r>
          </w:p>
          <w:p>
            <w:pPr>
              <w:adjustRightInd w:val="0"/>
              <w:snapToGrid w:val="0"/>
              <w:spacing w:line="360" w:lineRule="auto"/>
              <w:jc w:val="center"/>
              <w:rPr>
                <w:color w:val="000000" w:themeColor="text1"/>
                <w:position w:val="-12"/>
                <w:sz w:val="24"/>
                <w14:textFill>
                  <w14:solidFill>
                    <w14:schemeClr w14:val="tx1"/>
                  </w14:solidFill>
                </w14:textFill>
              </w:rPr>
            </w:pPr>
            <w:r>
              <w:rPr>
                <w:i/>
                <w:color w:val="000000" w:themeColor="text1"/>
                <w:position w:val="-12"/>
                <w:sz w:val="24"/>
                <w14:textFill>
                  <w14:solidFill>
                    <w14:schemeClr w14:val="tx1"/>
                  </w14:solidFill>
                </w14:textFill>
              </w:rPr>
              <w:t>L</w:t>
            </w:r>
            <w:r>
              <w:rPr>
                <w:i/>
                <w:color w:val="000000" w:themeColor="text1"/>
                <w:position w:val="-12"/>
                <w:sz w:val="24"/>
                <w:vertAlign w:val="subscript"/>
                <w14:textFill>
                  <w14:solidFill>
                    <w14:schemeClr w14:val="tx1"/>
                  </w14:solidFill>
                </w14:textFill>
              </w:rPr>
              <w:t>A</w:t>
            </w:r>
            <w:r>
              <w:rPr>
                <w:color w:val="000000" w:themeColor="text1"/>
                <w:position w:val="-12"/>
                <w:sz w:val="24"/>
                <w14:textFill>
                  <w14:solidFill>
                    <w14:schemeClr w14:val="tx1"/>
                  </w14:solidFill>
                </w14:textFill>
              </w:rPr>
              <w:t>(</w:t>
            </w:r>
            <w:r>
              <w:rPr>
                <w:i/>
                <w:color w:val="000000" w:themeColor="text1"/>
                <w:position w:val="-12"/>
                <w:sz w:val="24"/>
                <w14:textFill>
                  <w14:solidFill>
                    <w14:schemeClr w14:val="tx1"/>
                  </w14:solidFill>
                </w14:textFill>
              </w:rPr>
              <w:t>r</w:t>
            </w:r>
            <w:r>
              <w:rPr>
                <w:color w:val="000000" w:themeColor="text1"/>
                <w:position w:val="-12"/>
                <w:sz w:val="24"/>
                <w14:textFill>
                  <w14:solidFill>
                    <w14:schemeClr w14:val="tx1"/>
                  </w14:solidFill>
                </w14:textFill>
              </w:rPr>
              <w:t>)=</w:t>
            </w:r>
            <w:r>
              <w:rPr>
                <w:i/>
                <w:color w:val="000000" w:themeColor="text1"/>
                <w:position w:val="-12"/>
                <w:sz w:val="24"/>
                <w14:textFill>
                  <w14:solidFill>
                    <w14:schemeClr w14:val="tx1"/>
                  </w14:solidFill>
                </w14:textFill>
              </w:rPr>
              <w:t>L</w:t>
            </w:r>
            <w:r>
              <w:rPr>
                <w:i/>
                <w:color w:val="000000" w:themeColor="text1"/>
                <w:position w:val="-12"/>
                <w:sz w:val="24"/>
                <w:vertAlign w:val="subscript"/>
                <w14:textFill>
                  <w14:solidFill>
                    <w14:schemeClr w14:val="tx1"/>
                  </w14:solidFill>
                </w14:textFill>
              </w:rPr>
              <w:t>A</w:t>
            </w:r>
            <w:r>
              <w:rPr>
                <w:color w:val="000000" w:themeColor="text1"/>
                <w:position w:val="-12"/>
                <w:sz w:val="24"/>
                <w14:textFill>
                  <w14:solidFill>
                    <w14:schemeClr w14:val="tx1"/>
                  </w14:solidFill>
                </w14:textFill>
              </w:rPr>
              <w:t>(</w:t>
            </w:r>
            <w:r>
              <w:rPr>
                <w:i/>
                <w:color w:val="000000" w:themeColor="text1"/>
                <w:position w:val="-12"/>
                <w:sz w:val="24"/>
                <w14:textFill>
                  <w14:solidFill>
                    <w14:schemeClr w14:val="tx1"/>
                  </w14:solidFill>
                </w14:textFill>
              </w:rPr>
              <w:t>r</w:t>
            </w:r>
            <w:r>
              <w:rPr>
                <w:i/>
                <w:color w:val="000000" w:themeColor="text1"/>
                <w:position w:val="-12"/>
                <w:sz w:val="24"/>
                <w:vertAlign w:val="subscript"/>
                <w14:textFill>
                  <w14:solidFill>
                    <w14:schemeClr w14:val="tx1"/>
                  </w14:solidFill>
                </w14:textFill>
              </w:rPr>
              <w:t>0</w:t>
            </w:r>
            <w:r>
              <w:rPr>
                <w:color w:val="000000" w:themeColor="text1"/>
                <w:position w:val="-12"/>
                <w:sz w:val="24"/>
                <w14:textFill>
                  <w14:solidFill>
                    <w14:schemeClr w14:val="tx1"/>
                  </w14:solidFill>
                </w14:textFill>
              </w:rPr>
              <w:t>)-20lg(</w:t>
            </w:r>
            <w:r>
              <w:rPr>
                <w:i/>
                <w:color w:val="000000" w:themeColor="text1"/>
                <w:position w:val="-12"/>
                <w:sz w:val="24"/>
                <w14:textFill>
                  <w14:solidFill>
                    <w14:schemeClr w14:val="tx1"/>
                  </w14:solidFill>
                </w14:textFill>
              </w:rPr>
              <w:t>r/r</w:t>
            </w:r>
            <w:r>
              <w:rPr>
                <w:i/>
                <w:color w:val="000000" w:themeColor="text1"/>
                <w:position w:val="-12"/>
                <w:sz w:val="24"/>
                <w:vertAlign w:val="subscript"/>
                <w14:textFill>
                  <w14:solidFill>
                    <w14:schemeClr w14:val="tx1"/>
                  </w14:solidFill>
                </w14:textFill>
              </w:rPr>
              <w:t>0</w:t>
            </w:r>
            <w:r>
              <w:rPr>
                <w:color w:val="000000" w:themeColor="text1"/>
                <w:position w:val="-12"/>
                <w:sz w:val="24"/>
                <w14:textFill>
                  <w14:solidFill>
                    <w14:schemeClr w14:val="tx1"/>
                  </w14:solidFill>
                </w14:textFill>
              </w:rPr>
              <w:t>)</w:t>
            </w:r>
          </w:p>
          <w:p>
            <w:pPr>
              <w:adjustRightInd w:val="0"/>
              <w:snapToGrid w:val="0"/>
              <w:spacing w:line="360" w:lineRule="auto"/>
              <w:ind w:firstLine="480" w:firstLineChars="200"/>
              <w:rPr>
                <w:bCs/>
                <w:color w:val="000000" w:themeColor="text1"/>
                <w:position w:val="-14"/>
                <w:sz w:val="24"/>
                <w14:textFill>
                  <w14:solidFill>
                    <w14:schemeClr w14:val="tx1"/>
                  </w14:solidFill>
                </w14:textFill>
              </w:rPr>
            </w:pPr>
            <w:r>
              <w:rPr>
                <w:bCs/>
                <w:color w:val="000000" w:themeColor="text1"/>
                <w:sz w:val="24"/>
                <w14:textFill>
                  <w14:solidFill>
                    <w14:schemeClr w14:val="tx1"/>
                  </w14:solidFill>
                </w14:textFill>
              </w:rPr>
              <w:t>式中：</w:t>
            </w: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w:t>
            </w:r>
            <w:r>
              <w:rPr>
                <w:color w:val="000000" w:themeColor="text1"/>
                <w:sz w:val="24"/>
                <w14:textFill>
                  <w14:solidFill>
                    <w14:schemeClr w14:val="tx1"/>
                  </w14:solidFill>
                </w14:textFill>
              </w:rPr>
              <w:t xml:space="preserve"> </w:t>
            </w:r>
            <w:r>
              <w:rPr>
                <w:bCs/>
                <w:color w:val="000000" w:themeColor="text1"/>
                <w:position w:val="-14"/>
                <w:sz w:val="24"/>
                <w14:textFill>
                  <w14:solidFill>
                    <w14:schemeClr w14:val="tx1"/>
                  </w14:solidFill>
                </w14:textFill>
              </w:rPr>
              <w:t>——参考点A声压级；</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 xml:space="preserve">r </w:t>
            </w:r>
            <w:r>
              <w:rPr>
                <w:bCs/>
                <w:color w:val="000000" w:themeColor="text1"/>
                <w:sz w:val="24"/>
                <w14:textFill>
                  <w14:solidFill>
                    <w14:schemeClr w14:val="tx1"/>
                  </w14:solidFill>
                </w14:textFill>
              </w:rPr>
              <w:t>—— 预测点距离，m；真空泵和风机均分布在车间周边；</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r</w:t>
            </w:r>
            <w:r>
              <w:rPr>
                <w:bCs/>
                <w:i/>
                <w:color w:val="000000" w:themeColor="text1"/>
                <w:sz w:val="24"/>
                <w:vertAlign w:val="subscript"/>
                <w14:textFill>
                  <w14:solidFill>
                    <w14:schemeClr w14:val="tx1"/>
                  </w14:solidFill>
                </w14:textFill>
              </w:rPr>
              <w:t>0</w:t>
            </w:r>
            <w:r>
              <w:rPr>
                <w:bCs/>
                <w:i/>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 参考点距离，m；</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2）室内声源预测模式</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噪声由室内传播到室外时，建筑物墙面相当于一个面声源。面声源衰减规律如下：当预测点和面声源中心距离 r 处于以下条件时，可按下述方法近似计算：r&lt;a/π时，几乎不衰减(Adiv≈0)；当a/π&lt;r&lt;b/π，距离加倍衰减 3dB左右，类似线声源衰减特性(</w:t>
            </w:r>
            <w:r>
              <w:rPr>
                <w:i/>
                <w:color w:val="000000" w:themeColor="text1"/>
                <w:sz w:val="24"/>
                <w14:textFill>
                  <w14:solidFill>
                    <w14:schemeClr w14:val="tx1"/>
                  </w14:solidFill>
                </w14:textFill>
              </w:rPr>
              <w:t>A</w:t>
            </w:r>
            <w:r>
              <w:rPr>
                <w:i/>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≈10lg(</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i/>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))；当r&gt;b/π时，距离加倍衰减趋近于6dB，类似点声源衰减特性(</w:t>
            </w:r>
            <w:r>
              <w:rPr>
                <w:i/>
                <w:color w:val="000000" w:themeColor="text1"/>
                <w:sz w:val="24"/>
                <w14:textFill>
                  <w14:solidFill>
                    <w14:schemeClr w14:val="tx1"/>
                  </w14:solidFill>
                </w14:textFill>
              </w:rPr>
              <w:t>A</w:t>
            </w:r>
            <w:r>
              <w:rPr>
                <w:i/>
                <w:color w:val="000000" w:themeColor="text1"/>
                <w:sz w:val="24"/>
                <w:vertAlign w:val="subscript"/>
                <w14:textFill>
                  <w14:solidFill>
                    <w14:schemeClr w14:val="tx1"/>
                  </w14:solidFill>
                </w14:textFill>
              </w:rPr>
              <w:t>div</w:t>
            </w:r>
            <w:r>
              <w:rPr>
                <w:color w:val="000000" w:themeColor="text1"/>
                <w:sz w:val="24"/>
                <w14:textFill>
                  <w14:solidFill>
                    <w14:schemeClr w14:val="tx1"/>
                  </w14:solidFill>
                </w14:textFill>
              </w:rPr>
              <w:t>≈20lg(</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i/>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))。其中面声源的 b&gt;a。图中虚线为实际衰减量。</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270250" cy="2362200"/>
                  <wp:effectExtent l="0" t="0" r="6350" b="0"/>
                  <wp:docPr id="137828266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82668"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70250" cy="2362200"/>
                          </a:xfrm>
                          <a:prstGeom prst="rect">
                            <a:avLst/>
                          </a:prstGeom>
                          <a:noFill/>
                          <a:ln>
                            <a:noFill/>
                          </a:ln>
                        </pic:spPr>
                      </pic:pic>
                    </a:graphicData>
                  </a:graphic>
                </wp:inline>
              </w:drawing>
            </w:r>
          </w:p>
          <w:p>
            <w:pPr>
              <w:adjustRightInd w:val="0"/>
              <w:snapToGrid w:val="0"/>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图</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-5  长方形面声源中心轴线上的衰减特性</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①</w:t>
            </w:r>
            <w:r>
              <w:rPr>
                <w:bCs/>
                <w:color w:val="000000" w:themeColor="text1"/>
                <w:sz w:val="24"/>
                <w14:textFill>
                  <w14:solidFill>
                    <w14:schemeClr w14:val="tx1"/>
                  </w14:solidFill>
                </w14:textFill>
              </w:rPr>
              <w:t>当</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&lt;</w:t>
            </w:r>
            <w:r>
              <w:rPr>
                <w:i/>
                <w:color w:val="000000" w:themeColor="text1"/>
                <w:sz w:val="24"/>
                <w14:textFill>
                  <w14:solidFill>
                    <w14:schemeClr w14:val="tx1"/>
                  </w14:solidFill>
                </w14:textFill>
              </w:rPr>
              <w:t>a</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π</w:t>
            </w:r>
            <w:r>
              <w:rPr>
                <w:color w:val="000000" w:themeColor="text1"/>
                <w:sz w:val="24"/>
                <w14:textFill>
                  <w14:solidFill>
                    <w14:schemeClr w14:val="tx1"/>
                  </w14:solidFill>
                </w14:textFill>
              </w:rPr>
              <w:t>时</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声压级几乎不衰减，</w:t>
            </w:r>
            <w:r>
              <w:rPr>
                <w:color w:val="000000" w:themeColor="text1"/>
                <w:sz w:val="24"/>
                <w14:textFill>
                  <w14:solidFill>
                    <w14:schemeClr w14:val="tx1"/>
                  </w14:solidFill>
                </w14:textFill>
              </w:rPr>
              <w:t>r处的声压级按下式计算：</w:t>
            </w:r>
          </w:p>
          <w:p>
            <w:pPr>
              <w:adjustRightInd w:val="0"/>
              <w:snapToGrid w:val="0"/>
              <w:spacing w:line="360" w:lineRule="auto"/>
              <w:jc w:val="center"/>
              <w:rPr>
                <w:bCs/>
                <w:color w:val="000000" w:themeColor="text1"/>
                <w:position w:val="-14"/>
                <w:sz w:val="24"/>
                <w14:textFill>
                  <w14:solidFill>
                    <w14:schemeClr w14:val="tx1"/>
                  </w14:solidFill>
                </w14:textFill>
              </w:rPr>
            </w:pP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color w:val="000000" w:themeColor="text1"/>
                <w:position w:val="-14"/>
                <w:sz w:val="24"/>
                <w14:textFill>
                  <w14:solidFill>
                    <w14:schemeClr w14:val="tx1"/>
                  </w14:solidFill>
                </w14:textFill>
              </w:rPr>
              <w:t xml:space="preserve">) = </w:t>
            </w: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②</w:t>
            </w:r>
            <w:r>
              <w:rPr>
                <w:bCs/>
                <w:color w:val="000000" w:themeColor="text1"/>
                <w:sz w:val="24"/>
                <w14:textFill>
                  <w14:solidFill>
                    <w14:schemeClr w14:val="tx1"/>
                  </w14:solidFill>
                </w14:textFill>
              </w:rPr>
              <w:t>当</w:t>
            </w:r>
            <w:r>
              <w:rPr>
                <w:i/>
                <w:color w:val="000000" w:themeColor="text1"/>
                <w:sz w:val="24"/>
                <w14:textFill>
                  <w14:solidFill>
                    <w14:schemeClr w14:val="tx1"/>
                  </w14:solidFill>
                </w14:textFill>
              </w:rPr>
              <w:t>a</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π</w:t>
            </w:r>
            <w:r>
              <w:rPr>
                <w:color w:val="000000" w:themeColor="text1"/>
                <w:sz w:val="24"/>
                <w14:textFill>
                  <w14:solidFill>
                    <w14:schemeClr w14:val="tx1"/>
                  </w14:solidFill>
                </w14:textFill>
              </w:rPr>
              <w:t>&lt;</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&lt;</w:t>
            </w:r>
            <w:r>
              <w:rPr>
                <w:i/>
                <w:color w:val="000000" w:themeColor="text1"/>
                <w:sz w:val="24"/>
                <w14:textFill>
                  <w14:solidFill>
                    <w14:schemeClr w14:val="tx1"/>
                  </w14:solidFill>
                </w14:textFill>
              </w:rPr>
              <w:t>b</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π</w:t>
            </w:r>
            <w:r>
              <w:rPr>
                <w:color w:val="000000" w:themeColor="text1"/>
                <w:sz w:val="24"/>
                <w14:textFill>
                  <w14:solidFill>
                    <w14:schemeClr w14:val="tx1"/>
                  </w14:solidFill>
                </w14:textFill>
              </w:rPr>
              <w:t>时</w:t>
            </w:r>
          </w:p>
          <w:p>
            <w:pPr>
              <w:adjustRightInd w:val="0"/>
              <w:snapToGrid w:val="0"/>
              <w:spacing w:line="360" w:lineRule="auto"/>
              <w:ind w:firstLine="480" w:firstLineChars="200"/>
              <w:rPr>
                <w:color w:val="000000" w:themeColor="text1"/>
                <w:sz w:val="24"/>
                <w14:textFill>
                  <w14:solidFill>
                    <w14:schemeClr w14:val="tx1"/>
                  </w14:solidFill>
                </w14:textFill>
              </w:rPr>
            </w:pPr>
            <w:r>
              <w:rPr>
                <w:bCs/>
                <w:color w:val="000000" w:themeColor="text1"/>
                <w:sz w:val="24"/>
                <w14:textFill>
                  <w14:solidFill>
                    <w14:schemeClr w14:val="tx1"/>
                  </w14:solidFill>
                </w14:textFill>
              </w:rPr>
              <w:t>声压级随着距离加倍衰减3dB左右，类似线声源衰减特性，</w:t>
            </w:r>
            <w:r>
              <w:rPr>
                <w:color w:val="000000" w:themeColor="text1"/>
                <w:sz w:val="24"/>
                <w14:textFill>
                  <w14:solidFill>
                    <w14:schemeClr w14:val="tx1"/>
                  </w14:solidFill>
                </w14:textFill>
              </w:rPr>
              <w:t>r处的声压级按下式计算：</w:t>
            </w:r>
          </w:p>
          <w:p>
            <w:pPr>
              <w:adjustRightInd w:val="0"/>
              <w:snapToGrid w:val="0"/>
              <w:spacing w:line="360" w:lineRule="auto"/>
              <w:jc w:val="center"/>
              <w:rPr>
                <w:bCs/>
                <w:color w:val="000000" w:themeColor="text1"/>
                <w:position w:val="-14"/>
                <w:sz w:val="24"/>
                <w14:textFill>
                  <w14:solidFill>
                    <w14:schemeClr w14:val="tx1"/>
                  </w14:solidFill>
                </w14:textFill>
              </w:rPr>
            </w:pP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color w:val="000000" w:themeColor="text1"/>
                <w:position w:val="-14"/>
                <w:sz w:val="24"/>
                <w14:textFill>
                  <w14:solidFill>
                    <w14:schemeClr w14:val="tx1"/>
                  </w14:solidFill>
                </w14:textFill>
              </w:rPr>
              <w:t xml:space="preserve">) = </w:t>
            </w: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 - 10lg ((</w:t>
            </w:r>
            <w:r>
              <w:rPr>
                <w:bCs/>
                <w:i/>
                <w:color w:val="000000" w:themeColor="text1"/>
                <w:position w:val="-14"/>
                <w:sz w:val="24"/>
                <w14:textFill>
                  <w14:solidFill>
                    <w14:schemeClr w14:val="tx1"/>
                  </w14:solidFill>
                </w14:textFill>
              </w:rPr>
              <w:t>r-a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π</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③</w:t>
            </w:r>
            <w:r>
              <w:rPr>
                <w:color w:val="000000" w:themeColor="text1"/>
                <w:sz w:val="24"/>
                <w14:textFill>
                  <w14:solidFill>
                    <w14:schemeClr w14:val="tx1"/>
                  </w14:solidFill>
                </w14:textFill>
              </w:rPr>
              <w:t>当</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&gt;</w:t>
            </w:r>
            <w:r>
              <w:rPr>
                <w:i/>
                <w:color w:val="000000" w:themeColor="text1"/>
                <w:sz w:val="24"/>
                <w14:textFill>
                  <w14:solidFill>
                    <w14:schemeClr w14:val="tx1"/>
                  </w14:solidFill>
                </w14:textFill>
              </w:rPr>
              <w:t>b</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π</w:t>
            </w:r>
            <w:r>
              <w:rPr>
                <w:color w:val="000000" w:themeColor="text1"/>
                <w:sz w:val="24"/>
                <w14:textFill>
                  <w14:solidFill>
                    <w14:schemeClr w14:val="tx1"/>
                  </w14:solidFill>
                </w14:textFill>
              </w:rPr>
              <w:t>时</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声压级随着</w:t>
            </w:r>
            <w:r>
              <w:rPr>
                <w:color w:val="000000" w:themeColor="text1"/>
                <w:sz w:val="24"/>
                <w14:textFill>
                  <w14:solidFill>
                    <w14:schemeClr w14:val="tx1"/>
                  </w14:solidFill>
                </w14:textFill>
              </w:rPr>
              <w:t>距离加倍衰减趋近于6dB，类似点声源衰减特性</w:t>
            </w:r>
            <w:r>
              <w:rPr>
                <w:bCs/>
                <w:color w:val="000000" w:themeColor="text1"/>
                <w:sz w:val="24"/>
                <w14:textFill>
                  <w14:solidFill>
                    <w14:schemeClr w14:val="tx1"/>
                  </w14:solidFill>
                </w14:textFill>
              </w:rPr>
              <w:t>，</w:t>
            </w:r>
            <w:r>
              <w:rPr>
                <w:color w:val="000000" w:themeColor="text1"/>
                <w:sz w:val="24"/>
                <w14:textFill>
                  <w14:solidFill>
                    <w14:schemeClr w14:val="tx1"/>
                  </w14:solidFill>
                </w14:textFill>
              </w:rPr>
              <w:t>r处的声压级按下式计算：</w:t>
            </w:r>
          </w:p>
          <w:p>
            <w:pPr>
              <w:adjustRightInd w:val="0"/>
              <w:snapToGrid w:val="0"/>
              <w:spacing w:line="360" w:lineRule="auto"/>
              <w:jc w:val="center"/>
              <w:rPr>
                <w:bCs/>
                <w:color w:val="000000" w:themeColor="text1"/>
                <w:position w:val="-14"/>
                <w:sz w:val="24"/>
                <w14:textFill>
                  <w14:solidFill>
                    <w14:schemeClr w14:val="tx1"/>
                  </w14:solidFill>
                </w14:textFill>
              </w:rPr>
            </w:pP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color w:val="000000" w:themeColor="text1"/>
                <w:position w:val="-14"/>
                <w:sz w:val="24"/>
                <w14:textFill>
                  <w14:solidFill>
                    <w14:schemeClr w14:val="tx1"/>
                  </w14:solidFill>
                </w14:textFill>
              </w:rPr>
              <w:t xml:space="preserve">) = </w:t>
            </w:r>
            <w:r>
              <w:rPr>
                <w:bCs/>
                <w:i/>
                <w:color w:val="000000" w:themeColor="text1"/>
                <w:position w:val="-14"/>
                <w:sz w:val="24"/>
                <w14:textFill>
                  <w14:solidFill>
                    <w14:schemeClr w14:val="tx1"/>
                  </w14:solidFill>
                </w14:textFill>
              </w:rPr>
              <w:t>L</w:t>
            </w:r>
            <w:r>
              <w:rPr>
                <w:bCs/>
                <w:i/>
                <w:color w:val="000000" w:themeColor="text1"/>
                <w:position w:val="-14"/>
                <w:sz w:val="24"/>
                <w:vertAlign w:val="subscript"/>
                <w14:textFill>
                  <w14:solidFill>
                    <w14:schemeClr w14:val="tx1"/>
                  </w14:solidFill>
                </w14:textFill>
              </w:rPr>
              <w:t>A</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 - 20lg ((</w:t>
            </w:r>
            <w:r>
              <w:rPr>
                <w:bCs/>
                <w:i/>
                <w:color w:val="000000" w:themeColor="text1"/>
                <w:position w:val="-14"/>
                <w:sz w:val="24"/>
                <w14:textFill>
                  <w14:solidFill>
                    <w14:schemeClr w14:val="tx1"/>
                  </w14:solidFill>
                </w14:textFill>
              </w:rPr>
              <w:t>r-b</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π</w:t>
            </w:r>
            <w:r>
              <w:rPr>
                <w:bCs/>
                <w:color w:val="000000" w:themeColor="text1"/>
                <w:position w:val="-14"/>
                <w:sz w:val="24"/>
                <w14:textFill>
                  <w14:solidFill>
                    <w14:schemeClr w14:val="tx1"/>
                  </w14:solidFill>
                </w14:textFill>
              </w:rPr>
              <w:t>)/</w:t>
            </w:r>
            <w:r>
              <w:rPr>
                <w:bCs/>
                <w:i/>
                <w:color w:val="000000" w:themeColor="text1"/>
                <w:position w:val="-14"/>
                <w:sz w:val="24"/>
                <w14:textFill>
                  <w14:solidFill>
                    <w14:schemeClr w14:val="tx1"/>
                  </w14:solidFill>
                </w14:textFill>
              </w:rPr>
              <w:t>r</w:t>
            </w:r>
            <w:r>
              <w:rPr>
                <w:bCs/>
                <w:i/>
                <w:color w:val="000000" w:themeColor="text1"/>
                <w:position w:val="-14"/>
                <w:sz w:val="24"/>
                <w:vertAlign w:val="subscript"/>
                <w14:textFill>
                  <w14:solidFill>
                    <w14:schemeClr w14:val="tx1"/>
                  </w14:solidFill>
                </w14:textFill>
              </w:rPr>
              <w:t>0</w:t>
            </w:r>
            <w:r>
              <w:rPr>
                <w:bCs/>
                <w:color w:val="000000" w:themeColor="text1"/>
                <w:position w:val="-14"/>
                <w:sz w:val="24"/>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3）预测点的等效声级贡献值</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第</w:t>
            </w:r>
            <w:r>
              <w:rPr>
                <w:i/>
                <w:color w:val="000000" w:themeColor="text1"/>
                <w:sz w:val="24"/>
                <w14:textFill>
                  <w14:solidFill>
                    <w14:schemeClr w14:val="tx1"/>
                  </w14:solidFill>
                </w14:textFill>
              </w:rPr>
              <w:t>i</w:t>
            </w:r>
            <w:r>
              <w:rPr>
                <w:color w:val="000000" w:themeColor="text1"/>
                <w:sz w:val="24"/>
                <w14:textFill>
                  <w14:solidFill>
                    <w14:schemeClr w14:val="tx1"/>
                  </w14:solidFill>
                </w14:textFill>
              </w:rPr>
              <w:t>个室外声源在预测点产生的A声级为</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Ai</w:t>
            </w:r>
            <w:r>
              <w:rPr>
                <w:color w:val="000000" w:themeColor="text1"/>
                <w:sz w:val="24"/>
                <w14:textFill>
                  <w14:solidFill>
                    <w14:schemeClr w14:val="tx1"/>
                  </w14:solidFill>
                </w14:textFill>
              </w:rPr>
              <w:t>，在</w:t>
            </w:r>
            <w:r>
              <w:rPr>
                <w:i/>
                <w:color w:val="000000" w:themeColor="text1"/>
                <w:sz w:val="24"/>
                <w14:textFill>
                  <w14:solidFill>
                    <w14:schemeClr w14:val="tx1"/>
                  </w14:solidFill>
                </w14:textFill>
              </w:rPr>
              <w:t>T</w:t>
            </w:r>
            <w:r>
              <w:rPr>
                <w:color w:val="000000" w:themeColor="text1"/>
                <w:sz w:val="24"/>
                <w14:textFill>
                  <w14:solidFill>
                    <w14:schemeClr w14:val="tx1"/>
                  </w14:solidFill>
                </w14:textFill>
              </w:rPr>
              <w:t>时间内该声源工作时间为</w:t>
            </w:r>
            <w:r>
              <w:rPr>
                <w:i/>
                <w:color w:val="000000" w:themeColor="text1"/>
                <w:sz w:val="24"/>
                <w14:textFill>
                  <w14:solidFill>
                    <w14:schemeClr w14:val="tx1"/>
                  </w14:solidFill>
                </w14:textFill>
              </w:rPr>
              <w:t>t</w:t>
            </w:r>
            <w:r>
              <w:rPr>
                <w:i/>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；第</w:t>
            </w:r>
            <w:r>
              <w:rPr>
                <w:i/>
                <w:color w:val="000000" w:themeColor="text1"/>
                <w:sz w:val="24"/>
                <w14:textFill>
                  <w14:solidFill>
                    <w14:schemeClr w14:val="tx1"/>
                  </w14:solidFill>
                </w14:textFill>
              </w:rPr>
              <w:t>j</w:t>
            </w:r>
            <w:r>
              <w:rPr>
                <w:color w:val="000000" w:themeColor="text1"/>
                <w:sz w:val="24"/>
                <w14:textFill>
                  <w14:solidFill>
                    <w14:schemeClr w14:val="tx1"/>
                  </w14:solidFill>
                </w14:textFill>
              </w:rPr>
              <w:t>个等效室外声源在预测点产生的A声级为</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Aj</w:t>
            </w:r>
            <w:r>
              <w:rPr>
                <w:color w:val="000000" w:themeColor="text1"/>
                <w:sz w:val="24"/>
                <w14:textFill>
                  <w14:solidFill>
                    <w14:schemeClr w14:val="tx1"/>
                  </w14:solidFill>
                </w14:textFill>
              </w:rPr>
              <w:t>，拟建工程声源对预测点产生的贡献值(</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)为：</w:t>
            </w:r>
          </w:p>
          <w:p>
            <w:pPr>
              <w:adjustRightInd w:val="0"/>
              <w:snapToGrid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2743200" cy="552450"/>
                  <wp:effectExtent l="0" t="0" r="0" b="0"/>
                  <wp:docPr id="30650303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03030" name="图片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43200" cy="552450"/>
                          </a:xfrm>
                          <a:prstGeom prst="rect">
                            <a:avLst/>
                          </a:prstGeom>
                          <a:noFill/>
                          <a:ln>
                            <a:noFill/>
                          </a:ln>
                        </pic:spPr>
                      </pic:pic>
                    </a:graphicData>
                  </a:graphic>
                </wp:inline>
              </w:drawing>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w:t>
            </w:r>
            <w:r>
              <w:rPr>
                <w:bCs/>
                <w:i/>
                <w:color w:val="000000" w:themeColor="text1"/>
                <w:sz w:val="24"/>
                <w14:textFill>
                  <w14:solidFill>
                    <w14:schemeClr w14:val="tx1"/>
                  </w14:solidFill>
                </w14:textFill>
              </w:rPr>
              <w:t>L</w:t>
            </w:r>
            <w:r>
              <w:rPr>
                <w:bCs/>
                <w:i/>
                <w:color w:val="000000" w:themeColor="text1"/>
                <w:sz w:val="24"/>
                <w:vertAlign w:val="subscript"/>
                <w14:textFill>
                  <w14:solidFill>
                    <w14:schemeClr w14:val="tx1"/>
                  </w14:solidFill>
                </w14:textFill>
              </w:rPr>
              <w:t>eqg</w:t>
            </w:r>
            <w:r>
              <w:rPr>
                <w:bCs/>
                <w:color w:val="000000" w:themeColor="text1"/>
                <w:sz w:val="24"/>
                <w14:textFill>
                  <w14:solidFill>
                    <w14:schemeClr w14:val="tx1"/>
                  </w14:solidFill>
                </w14:textFill>
              </w:rPr>
              <w:t xml:space="preserve"> ——建设项目声源在预测点的等效声级贡献值，dB(A)；</w:t>
            </w:r>
          </w:p>
          <w:p>
            <w:pPr>
              <w:adjustRightInd w:val="0"/>
              <w:snapToGrid w:val="0"/>
              <w:spacing w:line="360" w:lineRule="auto"/>
              <w:ind w:firstLine="1200" w:firstLineChars="500"/>
              <w:rPr>
                <w:bCs/>
                <w:color w:val="000000" w:themeColor="text1"/>
                <w:sz w:val="24"/>
                <w14:textFill>
                  <w14:solidFill>
                    <w14:schemeClr w14:val="tx1"/>
                  </w14:solidFill>
                </w14:textFill>
              </w:rPr>
            </w:pPr>
            <w:r>
              <w:rPr>
                <w:color w:val="000000" w:themeColor="text1"/>
                <w:position w:val="-12"/>
                <w:sz w:val="24"/>
                <w14:textFill>
                  <w14:solidFill>
                    <w14:schemeClr w14:val="tx1"/>
                  </w14:solidFill>
                </w14:textFill>
              </w:rPr>
              <w:drawing>
                <wp:inline distT="0" distB="0" distL="0" distR="0">
                  <wp:extent cx="361950" cy="184150"/>
                  <wp:effectExtent l="0" t="0" r="0" b="6350"/>
                  <wp:docPr id="94858713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87135"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61950" cy="184150"/>
                          </a:xfrm>
                          <a:prstGeom prst="rect">
                            <a:avLst/>
                          </a:prstGeom>
                          <a:noFill/>
                          <a:ln>
                            <a:noFill/>
                          </a:ln>
                        </pic:spPr>
                      </pic:pic>
                    </a:graphicData>
                  </a:graphic>
                </wp:inline>
              </w:drawing>
            </w:r>
            <w:r>
              <w:rPr>
                <w:bCs/>
                <w:color w:val="000000" w:themeColor="text1"/>
                <w:sz w:val="24"/>
                <w14:textFill>
                  <w14:solidFill>
                    <w14:schemeClr w14:val="tx1"/>
                  </w14:solidFill>
                </w14:textFill>
              </w:rPr>
              <w:t>——i声源在预测点产生的A声级，dB(A)；</w:t>
            </w:r>
          </w:p>
          <w:p>
            <w:pPr>
              <w:adjustRightInd w:val="0"/>
              <w:snapToGrid w:val="0"/>
              <w:spacing w:line="360" w:lineRule="auto"/>
              <w:ind w:firstLine="1200" w:firstLineChars="500"/>
              <w:rPr>
                <w:bCs/>
                <w:color w:val="000000" w:themeColor="text1"/>
                <w:sz w:val="24"/>
                <w14:textFill>
                  <w14:solidFill>
                    <w14:schemeClr w14:val="tx1"/>
                  </w14:solidFill>
                </w14:textFill>
              </w:rPr>
            </w:pPr>
            <w:r>
              <w:rPr>
                <w:color w:val="000000" w:themeColor="text1"/>
                <w:position w:val="-12"/>
                <w:sz w:val="24"/>
                <w14:textFill>
                  <w14:solidFill>
                    <w14:schemeClr w14:val="tx1"/>
                  </w14:solidFill>
                </w14:textFill>
              </w:rPr>
              <w:drawing>
                <wp:inline distT="0" distB="0" distL="0" distR="0">
                  <wp:extent cx="177800" cy="184150"/>
                  <wp:effectExtent l="0" t="0" r="0" b="6350"/>
                  <wp:docPr id="7737856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85611" name="图片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77800" cy="184150"/>
                          </a:xfrm>
                          <a:prstGeom prst="rect">
                            <a:avLst/>
                          </a:prstGeom>
                          <a:noFill/>
                          <a:ln>
                            <a:noFill/>
                          </a:ln>
                        </pic:spPr>
                      </pic:pic>
                    </a:graphicData>
                  </a:graphic>
                </wp:inline>
              </w:drawing>
            </w:r>
            <w:r>
              <w:rPr>
                <w:bCs/>
                <w:color w:val="000000" w:themeColor="text1"/>
                <w:sz w:val="24"/>
                <w14:textFill>
                  <w14:solidFill>
                    <w14:schemeClr w14:val="tx1"/>
                  </w14:solidFill>
                </w14:textFill>
              </w:rPr>
              <w:t>——i声源在T时间段内的运行时间，S；</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t</w:t>
            </w:r>
            <w:r>
              <w:rPr>
                <w:bCs/>
                <w:i/>
                <w:color w:val="000000" w:themeColor="text1"/>
                <w:sz w:val="24"/>
                <w:vertAlign w:val="subscript"/>
                <w14:textFill>
                  <w14:solidFill>
                    <w14:schemeClr w14:val="tx1"/>
                  </w14:solidFill>
                </w14:textFill>
              </w:rPr>
              <w:t>j</w:t>
            </w:r>
            <w:r>
              <w:rPr>
                <w:bCs/>
                <w:color w:val="000000" w:themeColor="text1"/>
                <w:sz w:val="24"/>
                <w14:textFill>
                  <w14:solidFill>
                    <w14:schemeClr w14:val="tx1"/>
                  </w14:solidFill>
                </w14:textFill>
              </w:rPr>
              <w:t xml:space="preserve"> ——在 T 时间内 j 声源工作时间，s；</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t</w:t>
            </w:r>
            <w:r>
              <w:rPr>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 xml:space="preserve"> ——在 T 时间内 i 声源工作时间，s；</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T</w:t>
            </w:r>
            <w:r>
              <w:rPr>
                <w:bCs/>
                <w:color w:val="000000" w:themeColor="text1"/>
                <w:sz w:val="24"/>
                <w14:textFill>
                  <w14:solidFill>
                    <w14:schemeClr w14:val="tx1"/>
                  </w14:solidFill>
                </w14:textFill>
              </w:rPr>
              <w:t xml:space="preserve"> ——用于计算等效声级的时间，s；</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N</w:t>
            </w:r>
            <w:r>
              <w:rPr>
                <w:bCs/>
                <w:color w:val="000000" w:themeColor="text1"/>
                <w:sz w:val="24"/>
                <w14:textFill>
                  <w14:solidFill>
                    <w14:schemeClr w14:val="tx1"/>
                  </w14:solidFill>
                </w14:textFill>
              </w:rPr>
              <w:t xml:space="preserve"> ——室外声源个数；</w:t>
            </w:r>
          </w:p>
          <w:p>
            <w:pPr>
              <w:adjustRightInd w:val="0"/>
              <w:snapToGrid w:val="0"/>
              <w:spacing w:line="360" w:lineRule="auto"/>
              <w:ind w:firstLine="1200" w:firstLineChars="50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M</w:t>
            </w:r>
            <w:r>
              <w:rPr>
                <w:bCs/>
                <w:color w:val="000000" w:themeColor="text1"/>
                <w:sz w:val="24"/>
                <w14:textFill>
                  <w14:solidFill>
                    <w14:schemeClr w14:val="tx1"/>
                  </w14:solidFill>
                </w14:textFill>
              </w:rPr>
              <w:t xml:space="preserve"> ——等效室外声源个数。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4）预测结果及评价</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噪声在室外空间的传播，由于受到遮挡物的隔断，各种介质的吸收与反射，以及空气介质的吸收等物理作用而逐渐减弱。为了简化计算条件并能考虑到最不利因素，计算时只考虑噪声随距离的衰减。只考虑距离衰减时噪声源对厂界噪声贡献值见下表4-19。</w:t>
            </w:r>
          </w:p>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表4-19噪声预测结果一览表  单位：dB(A)</w:t>
            </w:r>
          </w:p>
          <w:tbl>
            <w:tblPr>
              <w:tblStyle w:val="24"/>
              <w:tblW w:w="7817"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1099"/>
              <w:gridCol w:w="992"/>
              <w:gridCol w:w="1134"/>
              <w:gridCol w:w="988"/>
              <w:gridCol w:w="1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Merge w:val="restart"/>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预测点位</w:t>
                  </w:r>
                </w:p>
              </w:tc>
              <w:tc>
                <w:tcPr>
                  <w:tcW w:w="2091" w:type="dxa"/>
                  <w:gridSpan w:val="2"/>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贡献值</w:t>
                  </w:r>
                </w:p>
              </w:tc>
              <w:tc>
                <w:tcPr>
                  <w:tcW w:w="2122" w:type="dxa"/>
                  <w:gridSpan w:val="2"/>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标准值</w:t>
                  </w:r>
                </w:p>
              </w:tc>
              <w:tc>
                <w:tcPr>
                  <w:tcW w:w="1442" w:type="dxa"/>
                  <w:vMerge w:val="restart"/>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Merge w:val="continue"/>
                  <w:vAlign w:val="center"/>
                </w:tcPr>
                <w:p>
                  <w:pPr>
                    <w:pStyle w:val="72"/>
                    <w:rPr>
                      <w:color w:val="000000" w:themeColor="text1"/>
                      <w:kern w:val="2"/>
                      <w:sz w:val="21"/>
                      <w:szCs w:val="21"/>
                      <w14:textFill>
                        <w14:solidFill>
                          <w14:schemeClr w14:val="tx1"/>
                        </w14:solidFill>
                      </w14:textFill>
                    </w:rPr>
                  </w:pPr>
                </w:p>
              </w:tc>
              <w:tc>
                <w:tcPr>
                  <w:tcW w:w="1099"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昼间</w:t>
                  </w:r>
                </w:p>
              </w:tc>
              <w:tc>
                <w:tcPr>
                  <w:tcW w:w="992"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夜间</w:t>
                  </w:r>
                </w:p>
              </w:tc>
              <w:tc>
                <w:tcPr>
                  <w:tcW w:w="1134" w:type="dxa"/>
                  <w:vAlign w:val="center"/>
                </w:tcPr>
                <w:p>
                  <w:pPr>
                    <w:pStyle w:val="72"/>
                    <w:rPr>
                      <w:color w:val="000000" w:themeColor="text1"/>
                      <w:kern w:val="2"/>
                      <w:sz w:val="21"/>
                      <w:szCs w:val="21"/>
                      <w:highlight w:val="yellow"/>
                      <w14:textFill>
                        <w14:solidFill>
                          <w14:schemeClr w14:val="tx1"/>
                        </w14:solidFill>
                      </w14:textFill>
                    </w:rPr>
                  </w:pPr>
                  <w:r>
                    <w:rPr>
                      <w:color w:val="000000" w:themeColor="text1"/>
                      <w:kern w:val="2"/>
                      <w:sz w:val="21"/>
                      <w:szCs w:val="21"/>
                      <w14:textFill>
                        <w14:solidFill>
                          <w14:schemeClr w14:val="tx1"/>
                        </w14:solidFill>
                      </w14:textFill>
                    </w:rPr>
                    <w:t>昼间</w:t>
                  </w:r>
                </w:p>
              </w:tc>
              <w:tc>
                <w:tcPr>
                  <w:tcW w:w="988"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夜间</w:t>
                  </w:r>
                </w:p>
              </w:tc>
              <w:tc>
                <w:tcPr>
                  <w:tcW w:w="1442" w:type="dxa"/>
                  <w:vMerge w:val="continue"/>
                  <w:vAlign w:val="center"/>
                </w:tcPr>
                <w:p>
                  <w:pPr>
                    <w:pStyle w:val="72"/>
                    <w:rPr>
                      <w:color w:val="000000" w:themeColor="text1"/>
                      <w:kern w:val="2"/>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东厂界</w:t>
                  </w:r>
                </w:p>
              </w:tc>
              <w:tc>
                <w:tcPr>
                  <w:tcW w:w="1099" w:type="dxa"/>
                  <w:vAlign w:val="center"/>
                </w:tcPr>
                <w:p>
                  <w:pPr>
                    <w:jc w:val="center"/>
                    <w:rPr>
                      <w:color w:val="000000" w:themeColor="text1"/>
                      <w:kern w:val="24"/>
                      <w:szCs w:val="21"/>
                      <w14:textFill>
                        <w14:solidFill>
                          <w14:schemeClr w14:val="tx1"/>
                        </w14:solidFill>
                      </w14:textFill>
                    </w:rPr>
                  </w:pPr>
                  <w:r>
                    <w:rPr>
                      <w:color w:val="000000" w:themeColor="text1"/>
                      <w:szCs w:val="21"/>
                      <w14:textFill>
                        <w14:solidFill>
                          <w14:schemeClr w14:val="tx1"/>
                        </w14:solidFill>
                      </w14:textFill>
                    </w:rPr>
                    <w:t>51.6</w:t>
                  </w:r>
                </w:p>
              </w:tc>
              <w:tc>
                <w:tcPr>
                  <w:tcW w:w="992" w:type="dxa"/>
                  <w:vAlign w:val="center"/>
                </w:tcPr>
                <w:p>
                  <w:pPr>
                    <w:jc w:val="center"/>
                    <w:rPr>
                      <w:color w:val="000000" w:themeColor="text1"/>
                      <w:kern w:val="24"/>
                      <w:szCs w:val="21"/>
                      <w14:textFill>
                        <w14:solidFill>
                          <w14:schemeClr w14:val="tx1"/>
                        </w14:solidFill>
                      </w14:textFill>
                    </w:rPr>
                  </w:pPr>
                  <w:r>
                    <w:rPr>
                      <w:rFonts w:hint="eastAsia"/>
                      <w:color w:val="000000" w:themeColor="text1"/>
                      <w:kern w:val="24"/>
                      <w:szCs w:val="21"/>
                      <w14:textFill>
                        <w14:solidFill>
                          <w14:schemeClr w14:val="tx1"/>
                        </w14:solidFill>
                      </w14:textFill>
                    </w:rPr>
                    <w:t>4</w:t>
                  </w:r>
                  <w:r>
                    <w:rPr>
                      <w:color w:val="000000" w:themeColor="text1"/>
                      <w:kern w:val="24"/>
                      <w:szCs w:val="21"/>
                      <w14:textFill>
                        <w14:solidFill>
                          <w14:schemeClr w14:val="tx1"/>
                        </w14:solidFill>
                      </w14:textFill>
                    </w:rPr>
                    <w:t>3.2</w:t>
                  </w:r>
                </w:p>
              </w:tc>
              <w:tc>
                <w:tcPr>
                  <w:tcW w:w="1134" w:type="dxa"/>
                  <w:vAlign w:val="center"/>
                </w:tcPr>
                <w:p>
                  <w:pPr>
                    <w:pStyle w:val="72"/>
                    <w:rPr>
                      <w:color w:val="000000" w:themeColor="text1"/>
                      <w:kern w:val="2"/>
                      <w:sz w:val="21"/>
                      <w:szCs w:val="21"/>
                      <w:highlight w:val="yellow"/>
                      <w14:textFill>
                        <w14:solidFill>
                          <w14:schemeClr w14:val="tx1"/>
                        </w14:solidFill>
                      </w14:textFill>
                    </w:rPr>
                  </w:pPr>
                  <w:r>
                    <w:rPr>
                      <w:color w:val="000000" w:themeColor="text1"/>
                      <w:kern w:val="2"/>
                      <w:sz w:val="21"/>
                      <w:szCs w:val="21"/>
                      <w14:textFill>
                        <w14:solidFill>
                          <w14:schemeClr w14:val="tx1"/>
                        </w14:solidFill>
                      </w14:textFill>
                    </w:rPr>
                    <w:t>60</w:t>
                  </w:r>
                </w:p>
              </w:tc>
              <w:tc>
                <w:tcPr>
                  <w:tcW w:w="988"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5</w:t>
                  </w:r>
                  <w:r>
                    <w:rPr>
                      <w:color w:val="000000" w:themeColor="text1"/>
                      <w:kern w:val="2"/>
                      <w:sz w:val="21"/>
                      <w:szCs w:val="21"/>
                      <w14:textFill>
                        <w14:solidFill>
                          <w14:schemeClr w14:val="tx1"/>
                        </w14:solidFill>
                      </w14:textFill>
                    </w:rPr>
                    <w:t>0</w:t>
                  </w:r>
                </w:p>
              </w:tc>
              <w:tc>
                <w:tcPr>
                  <w:tcW w:w="144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南厂界</w:t>
                  </w:r>
                </w:p>
              </w:tc>
              <w:tc>
                <w:tcPr>
                  <w:tcW w:w="10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52.3</w:t>
                  </w:r>
                </w:p>
              </w:tc>
              <w:tc>
                <w:tcPr>
                  <w:tcW w:w="99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4.1</w:t>
                  </w:r>
                </w:p>
              </w:tc>
              <w:tc>
                <w:tcPr>
                  <w:tcW w:w="1134" w:type="dxa"/>
                  <w:vAlign w:val="center"/>
                </w:tcPr>
                <w:p>
                  <w:pPr>
                    <w:pStyle w:val="72"/>
                    <w:rPr>
                      <w:color w:val="000000" w:themeColor="text1"/>
                      <w:kern w:val="2"/>
                      <w:sz w:val="21"/>
                      <w:szCs w:val="21"/>
                      <w:highlight w:val="yellow"/>
                      <w14:textFill>
                        <w14:solidFill>
                          <w14:schemeClr w14:val="tx1"/>
                        </w14:solidFill>
                      </w14:textFill>
                    </w:rPr>
                  </w:pPr>
                  <w:r>
                    <w:rPr>
                      <w:color w:val="000000" w:themeColor="text1"/>
                      <w:kern w:val="2"/>
                      <w:sz w:val="21"/>
                      <w:szCs w:val="21"/>
                      <w14:textFill>
                        <w14:solidFill>
                          <w14:schemeClr w14:val="tx1"/>
                        </w14:solidFill>
                      </w14:textFill>
                    </w:rPr>
                    <w:t>60</w:t>
                  </w:r>
                </w:p>
              </w:tc>
              <w:tc>
                <w:tcPr>
                  <w:tcW w:w="988"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5</w:t>
                  </w:r>
                  <w:r>
                    <w:rPr>
                      <w:color w:val="000000" w:themeColor="text1"/>
                      <w:kern w:val="2"/>
                      <w:sz w:val="21"/>
                      <w:szCs w:val="21"/>
                      <w14:textFill>
                        <w14:solidFill>
                          <w14:schemeClr w14:val="tx1"/>
                        </w14:solidFill>
                      </w14:textFill>
                    </w:rPr>
                    <w:t>0</w:t>
                  </w:r>
                </w:p>
              </w:tc>
              <w:tc>
                <w:tcPr>
                  <w:tcW w:w="144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西厂界</w:t>
                  </w:r>
                </w:p>
              </w:tc>
              <w:tc>
                <w:tcPr>
                  <w:tcW w:w="10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53.1</w:t>
                  </w:r>
                </w:p>
              </w:tc>
              <w:tc>
                <w:tcPr>
                  <w:tcW w:w="99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3.5</w:t>
                  </w:r>
                </w:p>
              </w:tc>
              <w:tc>
                <w:tcPr>
                  <w:tcW w:w="1134" w:type="dxa"/>
                  <w:vAlign w:val="center"/>
                </w:tcPr>
                <w:p>
                  <w:pPr>
                    <w:pStyle w:val="72"/>
                    <w:rPr>
                      <w:color w:val="000000" w:themeColor="text1"/>
                      <w:kern w:val="2"/>
                      <w:sz w:val="21"/>
                      <w:szCs w:val="21"/>
                      <w:highlight w:val="yellow"/>
                      <w14:textFill>
                        <w14:solidFill>
                          <w14:schemeClr w14:val="tx1"/>
                        </w14:solidFill>
                      </w14:textFill>
                    </w:rPr>
                  </w:pPr>
                  <w:r>
                    <w:rPr>
                      <w:color w:val="000000" w:themeColor="text1"/>
                      <w:kern w:val="2"/>
                      <w:sz w:val="21"/>
                      <w:szCs w:val="21"/>
                      <w14:textFill>
                        <w14:solidFill>
                          <w14:schemeClr w14:val="tx1"/>
                        </w14:solidFill>
                      </w14:textFill>
                    </w:rPr>
                    <w:t>60</w:t>
                  </w:r>
                </w:p>
              </w:tc>
              <w:tc>
                <w:tcPr>
                  <w:tcW w:w="988"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5</w:t>
                  </w:r>
                  <w:r>
                    <w:rPr>
                      <w:color w:val="000000" w:themeColor="text1"/>
                      <w:kern w:val="2"/>
                      <w:sz w:val="21"/>
                      <w:szCs w:val="21"/>
                      <w14:textFill>
                        <w14:solidFill>
                          <w14:schemeClr w14:val="tx1"/>
                        </w14:solidFill>
                      </w14:textFill>
                    </w:rPr>
                    <w:t>0</w:t>
                  </w:r>
                </w:p>
              </w:tc>
              <w:tc>
                <w:tcPr>
                  <w:tcW w:w="144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jc w:val="right"/>
              </w:trPr>
              <w:tc>
                <w:tcPr>
                  <w:tcW w:w="216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北厂界</w:t>
                  </w:r>
                </w:p>
              </w:tc>
              <w:tc>
                <w:tcPr>
                  <w:tcW w:w="109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52.4</w:t>
                  </w:r>
                </w:p>
              </w:tc>
              <w:tc>
                <w:tcPr>
                  <w:tcW w:w="992"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4.8</w:t>
                  </w:r>
                </w:p>
              </w:tc>
              <w:tc>
                <w:tcPr>
                  <w:tcW w:w="1134" w:type="dxa"/>
                  <w:vAlign w:val="center"/>
                </w:tcPr>
                <w:p>
                  <w:pPr>
                    <w:pStyle w:val="72"/>
                    <w:rPr>
                      <w:color w:val="000000" w:themeColor="text1"/>
                      <w:kern w:val="2"/>
                      <w:sz w:val="21"/>
                      <w:szCs w:val="21"/>
                      <w:highlight w:val="yellow"/>
                      <w14:textFill>
                        <w14:solidFill>
                          <w14:schemeClr w14:val="tx1"/>
                        </w14:solidFill>
                      </w14:textFill>
                    </w:rPr>
                  </w:pPr>
                  <w:r>
                    <w:rPr>
                      <w:color w:val="000000" w:themeColor="text1"/>
                      <w:kern w:val="2"/>
                      <w:sz w:val="21"/>
                      <w:szCs w:val="21"/>
                      <w14:textFill>
                        <w14:solidFill>
                          <w14:schemeClr w14:val="tx1"/>
                        </w14:solidFill>
                      </w14:textFill>
                    </w:rPr>
                    <w:t>60</w:t>
                  </w:r>
                </w:p>
              </w:tc>
              <w:tc>
                <w:tcPr>
                  <w:tcW w:w="988" w:type="dxa"/>
                  <w:vAlign w:val="center"/>
                </w:tcPr>
                <w:p>
                  <w:pPr>
                    <w:pStyle w:val="72"/>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5</w:t>
                  </w:r>
                  <w:r>
                    <w:rPr>
                      <w:color w:val="000000" w:themeColor="text1"/>
                      <w:kern w:val="2"/>
                      <w:sz w:val="21"/>
                      <w:szCs w:val="21"/>
                      <w14:textFill>
                        <w14:solidFill>
                          <w14:schemeClr w14:val="tx1"/>
                        </w14:solidFill>
                      </w14:textFill>
                    </w:rPr>
                    <w:t>0</w:t>
                  </w:r>
                </w:p>
              </w:tc>
              <w:tc>
                <w:tcPr>
                  <w:tcW w:w="1442" w:type="dxa"/>
                  <w:vAlign w:val="center"/>
                </w:tcPr>
                <w:p>
                  <w:pPr>
                    <w:pStyle w:val="72"/>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达标</w:t>
                  </w:r>
                </w:p>
              </w:tc>
            </w:tr>
          </w:tbl>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根据上述预测，</w:t>
            </w:r>
            <w:r>
              <w:rPr>
                <w:rFonts w:hint="eastAsia"/>
                <w:color w:val="000000" w:themeColor="text1"/>
                <w:sz w:val="24"/>
                <w14:textFill>
                  <w14:solidFill>
                    <w14:schemeClr w14:val="tx1"/>
                  </w14:solidFill>
                </w14:textFill>
              </w:rPr>
              <w:t>本项目夜间不生产，昼间</w:t>
            </w:r>
            <w:r>
              <w:rPr>
                <w:color w:val="000000" w:themeColor="text1"/>
                <w:sz w:val="24"/>
                <w14:textFill>
                  <w14:solidFill>
                    <w14:schemeClr w14:val="tx1"/>
                  </w14:solidFill>
                </w14:textFill>
              </w:rPr>
              <w:t>设备产生的噪声传至厂界外可以满足《工业企业厂界环境噪声排放标准》(GB12348-2008)中的2类标准要求。</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为了减小本项目噪声对周边环境的影响，建议业主还应采取以下防治措施：</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1）尽量选择低噪声和符合国家噪声标准的生产设备，并进行定期检修维护，使其处于良好运行状态；在设备的基与地面之间安装减振基座，减小机械振动产生的噪声污染。</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2）加强车间的隔音措施，如适当增加设备用房墙壁厚度，设备安装应避免接触车间墙壁，并安装隔声门窗。</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3）合理布局，合理布置厂内各功能区的位置及车间内部设备的位置，减少对周围环境的影响。</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4）在高噪声车间工作时，给操作工人配备适用的隔声耳罩或减少工作的时间。</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建设单位严格的执行上述的环保措施，本项目可做到厂界噪声达标排放，不会对周围声环境质量产生明显的不利影响。</w:t>
            </w:r>
          </w:p>
          <w:p>
            <w:pPr>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.3自行监测计划</w:t>
            </w:r>
          </w:p>
          <w:p>
            <w:pPr>
              <w:tabs>
                <w:tab w:val="left" w:pos="462"/>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根据《排污单位自行监测技术指南 总则》（HJ819）的相关要求，在生产运行 阶段的噪声污染源自行监测计划见表 4-20。 </w:t>
            </w:r>
          </w:p>
          <w:p>
            <w:pPr>
              <w:tabs>
                <w:tab w:val="left" w:pos="462"/>
              </w:tabs>
              <w:spacing w:line="360" w:lineRule="auto"/>
              <w:ind w:firstLine="422" w:firstLineChars="200"/>
              <w:jc w:val="center"/>
              <w:rPr>
                <w:b/>
                <w:bCs/>
                <w:color w:val="000000" w:themeColor="text1"/>
                <w:szCs w:val="21"/>
                <w14:textFill>
                  <w14:solidFill>
                    <w14:schemeClr w14:val="tx1"/>
                  </w14:solidFill>
                </w14:textFill>
              </w:rPr>
            </w:pPr>
          </w:p>
          <w:p>
            <w:pPr>
              <w:tabs>
                <w:tab w:val="left" w:pos="462"/>
              </w:tabs>
              <w:spacing w:line="360" w:lineRule="auto"/>
              <w:ind w:firstLine="422" w:firstLineChars="20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 4-20 环境监测计划表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436"/>
              <w:gridCol w:w="1698"/>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监测点位</w:t>
                  </w:r>
                </w:p>
              </w:tc>
              <w:tc>
                <w:tcPr>
                  <w:tcW w:w="143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监测指标</w:t>
                  </w:r>
                </w:p>
              </w:tc>
              <w:tc>
                <w:tcPr>
                  <w:tcW w:w="169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监测频率</w:t>
                  </w:r>
                </w:p>
              </w:tc>
              <w:tc>
                <w:tcPr>
                  <w:tcW w:w="318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5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厂界四周</w:t>
                  </w:r>
                </w:p>
              </w:tc>
              <w:tc>
                <w:tcPr>
                  <w:tcW w:w="143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噪声</w:t>
                  </w:r>
                </w:p>
              </w:tc>
              <w:tc>
                <w:tcPr>
                  <w:tcW w:w="1698"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 次/季度</w:t>
                  </w:r>
                </w:p>
              </w:tc>
              <w:tc>
                <w:tcPr>
                  <w:tcW w:w="318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《工业企业厂界环境噪声排放标准》 （GB12348-2008）2</w:t>
                  </w:r>
                  <w:r>
                    <w:rPr>
                      <w:rFonts w:hint="eastAsia"/>
                      <w:color w:val="000000" w:themeColor="text1"/>
                      <w14:textFill>
                        <w14:solidFill>
                          <w14:schemeClr w14:val="tx1"/>
                        </w14:solidFill>
                      </w14:textFill>
                    </w:rPr>
                    <w:t>类</w:t>
                  </w:r>
                </w:p>
              </w:tc>
            </w:tr>
          </w:tbl>
          <w:p>
            <w:pPr>
              <w:adjustRightInd w:val="0"/>
              <w:snapToGrid w:val="0"/>
              <w:spacing w:line="360" w:lineRule="auto"/>
              <w:ind w:firstLine="442" w:firstLineChars="200"/>
              <w:rPr>
                <w:b/>
                <w:color w:val="000000" w:themeColor="text1"/>
                <w:spacing w:val="-10"/>
                <w:sz w:val="24"/>
                <w14:textFill>
                  <w14:solidFill>
                    <w14:schemeClr w14:val="tx1"/>
                  </w14:solidFill>
                </w14:textFill>
              </w:rPr>
            </w:pPr>
          </w:p>
          <w:p>
            <w:pPr>
              <w:adjustRightInd w:val="0"/>
              <w:snapToGrid w:val="0"/>
              <w:spacing w:line="360" w:lineRule="auto"/>
              <w:rPr>
                <w:bCs/>
                <w:color w:val="000000" w:themeColor="text1"/>
                <w:spacing w:val="-10"/>
                <w:sz w:val="24"/>
                <w14:textFill>
                  <w14:solidFill>
                    <w14:schemeClr w14:val="tx1"/>
                  </w14:solidFill>
                </w14:textFill>
              </w:rPr>
            </w:pPr>
            <w:r>
              <w:rPr>
                <w:rFonts w:hint="eastAsia"/>
                <w:b/>
                <w:color w:val="000000" w:themeColor="text1"/>
                <w:spacing w:val="-10"/>
                <w:sz w:val="24"/>
                <w14:textFill>
                  <w14:solidFill>
                    <w14:schemeClr w14:val="tx1"/>
                  </w14:solidFill>
                </w14:textFill>
              </w:rPr>
              <w:t>4、固废</w:t>
            </w:r>
          </w:p>
          <w:p>
            <w:pPr>
              <w:pStyle w:val="73"/>
              <w:snapToGrid/>
              <w:spacing w:before="0" w:after="0" w:line="360" w:lineRule="auto"/>
              <w:ind w:firstLine="0" w:firstLineChars="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4.1</w:t>
            </w:r>
            <w:r>
              <w:rPr>
                <w:b/>
                <w:bCs/>
                <w:color w:val="000000" w:themeColor="text1"/>
                <w:kern w:val="0"/>
                <w:sz w:val="24"/>
                <w14:textFill>
                  <w14:solidFill>
                    <w14:schemeClr w14:val="tx1"/>
                  </w14:solidFill>
                </w14:textFill>
              </w:rPr>
              <w:t>固体废物产生情况</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根据工艺分析，项目营运期固体废物主要是职工办公生活垃圾；</w:t>
            </w:r>
            <w:r>
              <w:rPr>
                <w:rFonts w:hint="eastAsia"/>
                <w:color w:val="000000" w:themeColor="text1"/>
                <w:sz w:val="24"/>
                <w14:textFill>
                  <w14:solidFill>
                    <w14:schemeClr w14:val="tx1"/>
                  </w14:solidFill>
                </w14:textFill>
              </w:rPr>
              <w:t>炉渣、废包装材料、</w:t>
            </w:r>
            <w:r>
              <w:rPr>
                <w:color w:val="000000" w:themeColor="text1"/>
                <w:sz w:val="24"/>
                <w14:textFill>
                  <w14:solidFill>
                    <w14:schemeClr w14:val="tx1"/>
                  </w14:solidFill>
                </w14:textFill>
              </w:rPr>
              <w:t>除尘器收集粉尘</w:t>
            </w:r>
            <w:r>
              <w:rPr>
                <w:rFonts w:hint="eastAsia"/>
                <w:color w:val="000000" w:themeColor="text1"/>
                <w:sz w:val="24"/>
                <w14:textFill>
                  <w14:solidFill>
                    <w14:schemeClr w14:val="tx1"/>
                  </w14:solidFill>
                </w14:textFill>
              </w:rPr>
              <w:t>、不合格品</w:t>
            </w:r>
            <w:r>
              <w:rPr>
                <w:color w:val="000000" w:themeColor="text1"/>
                <w:sz w:val="24"/>
                <w14:textFill>
                  <w14:solidFill>
                    <w14:schemeClr w14:val="tx1"/>
                  </w14:solidFill>
                </w14:textFill>
              </w:rPr>
              <w:t>等生产工序固废，</w:t>
            </w:r>
            <w:r>
              <w:rPr>
                <w:rFonts w:hint="eastAsia"/>
                <w:color w:val="000000" w:themeColor="text1"/>
                <w:sz w:val="24"/>
                <w14:textFill>
                  <w14:solidFill>
                    <w14:schemeClr w14:val="tx1"/>
                  </w14:solidFill>
                </w14:textFill>
              </w:rPr>
              <w:t>炉渣、废包装材料、</w:t>
            </w:r>
            <w:r>
              <w:rPr>
                <w:color w:val="000000" w:themeColor="text1"/>
                <w:sz w:val="24"/>
                <w14:textFill>
                  <w14:solidFill>
                    <w14:schemeClr w14:val="tx1"/>
                  </w14:solidFill>
                </w14:textFill>
              </w:rPr>
              <w:t>除尘器收集粉尘</w:t>
            </w:r>
            <w:r>
              <w:rPr>
                <w:rFonts w:hint="eastAsia"/>
                <w:color w:val="000000" w:themeColor="text1"/>
                <w:sz w:val="24"/>
                <w14:textFill>
                  <w14:solidFill>
                    <w14:schemeClr w14:val="tx1"/>
                  </w14:solidFill>
                </w14:textFill>
              </w:rPr>
              <w:t>、不合格品</w:t>
            </w:r>
            <w:r>
              <w:rPr>
                <w:color w:val="000000" w:themeColor="text1"/>
                <w:sz w:val="24"/>
                <w14:textFill>
                  <w14:solidFill>
                    <w14:schemeClr w14:val="tx1"/>
                  </w14:solidFill>
                </w14:textFill>
              </w:rPr>
              <w:t>等一般工业固废。本次评价对项目产生的固废产生情况进行判定及汇总。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（1）生活垃圾：本项目员工共计10人，职工生活垃圾产生量按每人每天0.5kg计，年生产200天，则生活垃圾产生量1.0t/a。用垃圾桶收集后交由当地环卫部门处置。</w:t>
            </w:r>
          </w:p>
          <w:p>
            <w:pPr>
              <w:spacing w:line="360" w:lineRule="auto"/>
              <w:ind w:firstLine="480" w:firstLineChars="200"/>
              <w:rPr>
                <w:bCs/>
                <w:color w:val="000000" w:themeColor="text1"/>
                <w:spacing w:val="-10"/>
                <w:sz w:val="24"/>
                <w14:textFill>
                  <w14:solidFill>
                    <w14:schemeClr w14:val="tx1"/>
                  </w14:solidFill>
                </w14:textFill>
              </w:rPr>
            </w:pPr>
            <w:r>
              <w:rPr>
                <w:color w:val="000000" w:themeColor="text1"/>
                <w:sz w:val="24"/>
                <w14:textFill>
                  <w14:solidFill>
                    <w14:schemeClr w14:val="tx1"/>
                  </w14:solidFill>
                </w14:textFill>
              </w:rPr>
              <w:t>（2）</w:t>
            </w:r>
            <w:r>
              <w:rPr>
                <w:bCs/>
                <w:color w:val="000000" w:themeColor="text1"/>
                <w:spacing w:val="-10"/>
                <w:sz w:val="24"/>
                <w14:textFill>
                  <w14:solidFill>
                    <w14:schemeClr w14:val="tx1"/>
                  </w14:solidFill>
                </w14:textFill>
              </w:rPr>
              <w:t>炉渣：项目竹条、竹片燃烧产生的灰渣产生量为其用量的 10%，则炉渣年产生量约为4t/a，</w:t>
            </w:r>
            <w:r>
              <w:rPr>
                <w:rFonts w:hint="eastAsia"/>
                <w:color w:val="000000" w:themeColor="text1"/>
                <w:sz w:val="24"/>
                <w14:textFill>
                  <w14:solidFill>
                    <w14:schemeClr w14:val="tx1"/>
                  </w14:solidFill>
                </w14:textFill>
              </w:rPr>
              <w:t>交由一般工业固废处置单位</w:t>
            </w:r>
            <w:r>
              <w:rPr>
                <w:bCs/>
                <w:color w:val="000000" w:themeColor="text1"/>
                <w:spacing w:val="-10"/>
                <w:sz w:val="24"/>
                <w14:textFill>
                  <w14:solidFill>
                    <w14:schemeClr w14:val="tx1"/>
                  </w14:solidFill>
                </w14:textFill>
              </w:rPr>
              <w:t>。</w:t>
            </w:r>
          </w:p>
          <w:p>
            <w:pPr>
              <w:spacing w:line="360" w:lineRule="auto"/>
              <w:ind w:firstLine="440" w:firstLineChars="200"/>
              <w:rPr>
                <w:bCs/>
                <w:color w:val="000000" w:themeColor="text1"/>
                <w:spacing w:val="-10"/>
                <w:sz w:val="24"/>
                <w14:textFill>
                  <w14:solidFill>
                    <w14:schemeClr w14:val="tx1"/>
                  </w14:solidFill>
                </w14:textFill>
              </w:rPr>
            </w:pPr>
            <w:r>
              <w:rPr>
                <w:bCs/>
                <w:color w:val="000000" w:themeColor="text1"/>
                <w:spacing w:val="-10"/>
                <w:sz w:val="24"/>
                <w14:textFill>
                  <w14:solidFill>
                    <w14:schemeClr w14:val="tx1"/>
                  </w14:solidFill>
                </w14:textFill>
              </w:rPr>
              <w:t>（3）</w:t>
            </w:r>
            <w:r>
              <w:rPr>
                <w:rFonts w:hint="eastAsia"/>
                <w:bCs/>
                <w:color w:val="000000" w:themeColor="text1"/>
                <w:spacing w:val="-10"/>
                <w:sz w:val="24"/>
                <w14:textFill>
                  <w14:solidFill>
                    <w14:schemeClr w14:val="tx1"/>
                  </w14:solidFill>
                </w14:textFill>
              </w:rPr>
              <w:t>水喷淋</w:t>
            </w:r>
            <w:r>
              <w:rPr>
                <w:bCs/>
                <w:color w:val="000000" w:themeColor="text1"/>
                <w:spacing w:val="-10"/>
                <w:sz w:val="24"/>
                <w14:textFill>
                  <w14:solidFill>
                    <w14:schemeClr w14:val="tx1"/>
                  </w14:solidFill>
                </w14:textFill>
              </w:rPr>
              <w:t>沉渣：项目烘干</w:t>
            </w:r>
            <w:r>
              <w:rPr>
                <w:rFonts w:hint="eastAsia"/>
                <w:bCs/>
                <w:color w:val="000000" w:themeColor="text1"/>
                <w:spacing w:val="-10"/>
                <w:sz w:val="24"/>
                <w14:textFill>
                  <w14:solidFill>
                    <w14:schemeClr w14:val="tx1"/>
                  </w14:solidFill>
                </w14:textFill>
              </w:rPr>
              <w:t>炭化</w:t>
            </w:r>
            <w:r>
              <w:rPr>
                <w:bCs/>
                <w:color w:val="000000" w:themeColor="text1"/>
                <w:spacing w:val="-10"/>
                <w:sz w:val="24"/>
                <w14:textFill>
                  <w14:solidFill>
                    <w14:schemeClr w14:val="tx1"/>
                  </w14:solidFill>
                </w14:textFill>
              </w:rPr>
              <w:t>工序废气采用水喷淋处理，沉淀的粉尘的量约为0.4t/a，打捞后回用于生产。</w:t>
            </w:r>
          </w:p>
          <w:p>
            <w:pPr>
              <w:spacing w:line="360" w:lineRule="auto"/>
              <w:ind w:firstLine="440" w:firstLineChars="200"/>
              <w:rPr>
                <w:color w:val="000000" w:themeColor="text1"/>
                <w:sz w:val="24"/>
                <w:u w:val="single"/>
                <w14:textFill>
                  <w14:solidFill>
                    <w14:schemeClr w14:val="tx1"/>
                  </w14:solidFill>
                </w14:textFill>
              </w:rPr>
            </w:pPr>
            <w:r>
              <w:rPr>
                <w:bCs/>
                <w:color w:val="000000" w:themeColor="text1"/>
                <w:spacing w:val="-10"/>
                <w:sz w:val="24"/>
                <w:u w:val="single"/>
                <w14:textFill>
                  <w14:solidFill>
                    <w14:schemeClr w14:val="tx1"/>
                  </w14:solidFill>
                </w14:textFill>
              </w:rPr>
              <w:t>（4）</w:t>
            </w:r>
            <w:r>
              <w:rPr>
                <w:rFonts w:hint="eastAsia"/>
                <w:bCs/>
                <w:color w:val="000000" w:themeColor="text1"/>
                <w:spacing w:val="-10"/>
                <w:sz w:val="24"/>
                <w:u w:val="single"/>
                <w14:textFill>
                  <w14:solidFill>
                    <w14:schemeClr w14:val="tx1"/>
                  </w14:solidFill>
                </w14:textFill>
              </w:rPr>
              <w:t>脉冲布袋</w:t>
            </w:r>
            <w:r>
              <w:rPr>
                <w:bCs/>
                <w:color w:val="000000" w:themeColor="text1"/>
                <w:spacing w:val="-10"/>
                <w:sz w:val="24"/>
                <w:u w:val="single"/>
                <w14:textFill>
                  <w14:solidFill>
                    <w14:schemeClr w14:val="tx1"/>
                  </w14:solidFill>
                </w14:textFill>
              </w:rPr>
              <w:t>除尘器收集粉尘：</w:t>
            </w:r>
            <w:r>
              <w:rPr>
                <w:color w:val="000000" w:themeColor="text1"/>
                <w:sz w:val="24"/>
                <w:u w:val="single"/>
                <w14:textFill>
                  <w14:solidFill>
                    <w14:schemeClr w14:val="tx1"/>
                  </w14:solidFill>
                </w14:textFill>
              </w:rPr>
              <w:t>根据前文废气污染源分析可知，布袋除尘器收集的粉尘</w:t>
            </w:r>
            <w:r>
              <w:rPr>
                <w:rFonts w:hint="eastAsia"/>
                <w:color w:val="000000" w:themeColor="text1"/>
                <w:sz w:val="24"/>
                <w:u w:val="single"/>
                <w14:textFill>
                  <w14:solidFill>
                    <w14:schemeClr w14:val="tx1"/>
                  </w14:solidFill>
                </w14:textFill>
              </w:rPr>
              <w:t>约</w:t>
            </w:r>
            <w:r>
              <w:rPr>
                <w:color w:val="000000" w:themeColor="text1"/>
                <w:sz w:val="24"/>
                <w:u w:val="single"/>
                <w14:textFill>
                  <w14:solidFill>
                    <w14:schemeClr w14:val="tx1"/>
                  </w14:solidFill>
                </w14:textFill>
              </w:rPr>
              <w:t>8.11t/a，除尘器收集的粉尘</w:t>
            </w:r>
            <w:r>
              <w:rPr>
                <w:rFonts w:hint="eastAsia"/>
                <w:color w:val="000000" w:themeColor="text1"/>
                <w:sz w:val="24"/>
                <w:u w:val="single"/>
                <w14:textFill>
                  <w14:solidFill>
                    <w14:schemeClr w14:val="tx1"/>
                  </w14:solidFill>
                </w14:textFill>
              </w:rPr>
              <w:t>回收后</w:t>
            </w:r>
            <w:r>
              <w:rPr>
                <w:color w:val="000000" w:themeColor="text1"/>
                <w:sz w:val="24"/>
                <w:u w:val="single"/>
                <w14:textFill>
                  <w14:solidFill>
                    <w14:schemeClr w14:val="tx1"/>
                  </w14:solidFill>
                </w14:textFill>
              </w:rPr>
              <w:t>回用于生产。</w:t>
            </w:r>
          </w:p>
          <w:p>
            <w:pPr>
              <w:pStyle w:val="2"/>
              <w:ind w:left="0" w:leftChars="0" w:firstLine="480"/>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5</w:t>
            </w:r>
            <w:r>
              <w:rPr>
                <w:rFonts w:hint="eastAsia"/>
                <w:color w:val="000000" w:themeColor="text1"/>
                <w:u w:val="single"/>
                <w14:textFill>
                  <w14:solidFill>
                    <w14:schemeClr w14:val="tx1"/>
                  </w14:solidFill>
                </w14:textFill>
              </w:rPr>
              <w:t>）钾钠长石粉烘干包装粉尘：</w:t>
            </w:r>
            <w:r>
              <w:rPr>
                <w:color w:val="000000" w:themeColor="text1"/>
                <w:u w:val="single"/>
                <w14:textFill>
                  <w14:solidFill>
                    <w14:schemeClr w14:val="tx1"/>
                  </w14:solidFill>
                </w14:textFill>
              </w:rPr>
              <w:t>布袋除尘器收集的粉尘</w:t>
            </w:r>
            <w:r>
              <w:rPr>
                <w:rFonts w:hint="eastAsia"/>
                <w:color w:val="000000" w:themeColor="text1"/>
                <w:u w:val="single"/>
                <w14:textFill>
                  <w14:solidFill>
                    <w14:schemeClr w14:val="tx1"/>
                  </w14:solidFill>
                </w14:textFill>
              </w:rPr>
              <w:t>约</w:t>
            </w:r>
            <w:r>
              <w:rPr>
                <w:color w:val="000000" w:themeColor="text1"/>
                <w:u w:val="single"/>
                <w14:textFill>
                  <w14:solidFill>
                    <w14:schemeClr w14:val="tx1"/>
                  </w14:solidFill>
                </w14:textFill>
              </w:rPr>
              <w:t>5.62t/a，除尘器收集的粉尘</w:t>
            </w:r>
            <w:r>
              <w:rPr>
                <w:rFonts w:hint="eastAsia"/>
                <w:color w:val="000000" w:themeColor="text1"/>
                <w:u w:val="single"/>
                <w14:textFill>
                  <w14:solidFill>
                    <w14:schemeClr w14:val="tx1"/>
                  </w14:solidFill>
                </w14:textFill>
              </w:rPr>
              <w:t>回收后作为产品包装外售。</w:t>
            </w:r>
          </w:p>
          <w:p>
            <w:pPr>
              <w:spacing w:line="360" w:lineRule="auto"/>
              <w:ind w:firstLine="480" w:firstLineChars="200"/>
              <w:rPr>
                <w:color w:val="000000" w:themeColor="text1"/>
                <w:kern w:val="0"/>
                <w:sz w:val="24"/>
                <w:szCs w:val="20"/>
                <w:u w:val="single"/>
                <w14:textFill>
                  <w14:solidFill>
                    <w14:schemeClr w14:val="tx1"/>
                  </w14:solidFill>
                </w14:textFill>
              </w:rPr>
            </w:pPr>
            <w:r>
              <w:rPr>
                <w:rFonts w:hint="eastAsia"/>
                <w:color w:val="000000" w:themeColor="text1"/>
                <w:kern w:val="0"/>
                <w:sz w:val="24"/>
                <w:szCs w:val="20"/>
                <w:u w:val="single"/>
                <w14:textFill>
                  <w14:solidFill>
                    <w14:schemeClr w14:val="tx1"/>
                  </w14:solidFill>
                </w14:textFill>
              </w:rPr>
              <w:t>（6）一道破碎及筛分沉降粉尘：一道破碎及筛分工序局部围蔽，沉降粉尘约</w:t>
            </w:r>
            <w:r>
              <w:rPr>
                <w:color w:val="000000" w:themeColor="text1"/>
                <w:kern w:val="0"/>
                <w:sz w:val="24"/>
                <w:szCs w:val="20"/>
                <w:u w:val="single"/>
                <w14:textFill>
                  <w14:solidFill>
                    <w14:schemeClr w14:val="tx1"/>
                  </w14:solidFill>
                </w14:textFill>
              </w:rPr>
              <w:t>1.37</w:t>
            </w:r>
            <w:r>
              <w:rPr>
                <w:rFonts w:hint="eastAsia"/>
                <w:color w:val="000000" w:themeColor="text1"/>
                <w:kern w:val="0"/>
                <w:sz w:val="24"/>
                <w:szCs w:val="20"/>
                <w:u w:val="single"/>
                <w14:textFill>
                  <w14:solidFill>
                    <w14:schemeClr w14:val="tx1"/>
                  </w14:solidFill>
                </w14:textFill>
              </w:rPr>
              <w:t>t/a，收集</w:t>
            </w:r>
            <w:r>
              <w:rPr>
                <w:rFonts w:hint="eastAsia"/>
                <w:color w:val="000000" w:themeColor="text1"/>
                <w:sz w:val="24"/>
                <w:u w:val="single"/>
                <w14:textFill>
                  <w14:solidFill>
                    <w14:schemeClr w14:val="tx1"/>
                  </w14:solidFill>
                </w14:textFill>
              </w:rPr>
              <w:t>后</w:t>
            </w:r>
            <w:r>
              <w:rPr>
                <w:color w:val="000000" w:themeColor="text1"/>
                <w:sz w:val="24"/>
                <w:u w:val="single"/>
                <w14:textFill>
                  <w14:solidFill>
                    <w14:schemeClr w14:val="tx1"/>
                  </w14:solidFill>
                </w14:textFill>
              </w:rPr>
              <w:t>回用于生产</w:t>
            </w:r>
            <w:r>
              <w:rPr>
                <w:rFonts w:hint="eastAsia"/>
                <w:color w:val="000000" w:themeColor="text1"/>
                <w:sz w:val="24"/>
                <w:u w:val="single"/>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（7）废包装材料：项目原料采用散装汽运，车厢加盖篷布，成品用纸箱包装，因此，项目运营期间所产生的废包装材料主要为破损的篷布和破损纸箱，约为 0.1t/a，厂内收集，</w:t>
            </w:r>
            <w:r>
              <w:rPr>
                <w:rFonts w:hint="eastAsia"/>
                <w:color w:val="000000" w:themeColor="text1"/>
                <w:sz w:val="24"/>
                <w14:textFill>
                  <w14:solidFill>
                    <w14:schemeClr w14:val="tx1"/>
                  </w14:solidFill>
                </w14:textFill>
              </w:rPr>
              <w:t>交由一般工业固废处置单位</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（8）不合格产品：炭化炉在炭化过程中会产生机制炭次品（碎炭），生产过程中制棒机产生的少量不合格品约为1.8t/a，集中收集后</w:t>
            </w:r>
            <w:r>
              <w:rPr>
                <w:rFonts w:hint="eastAsia"/>
                <w:color w:val="000000" w:themeColor="text1"/>
                <w:sz w:val="24"/>
                <w14:textFill>
                  <w14:solidFill>
                    <w14:schemeClr w14:val="tx1"/>
                  </w14:solidFill>
                </w14:textFill>
              </w:rPr>
              <w:t>自用</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《一般固体废物分类与代码》（GB/T39198-2020）、</w:t>
            </w:r>
            <w:r>
              <w:rPr>
                <w:color w:val="000000" w:themeColor="text1"/>
                <w:sz w:val="24"/>
                <w14:textFill>
                  <w14:solidFill>
                    <w14:schemeClr w14:val="tx1"/>
                  </w14:solidFill>
                </w14:textFill>
              </w:rPr>
              <w:t>《固体废物鉴别</w:t>
            </w:r>
            <w:r>
              <w:rPr>
                <w:rFonts w:hint="eastAsia"/>
                <w:color w:val="000000" w:themeColor="text1"/>
                <w:sz w:val="24"/>
                <w14:textFill>
                  <w14:solidFill>
                    <w14:schemeClr w14:val="tx1"/>
                  </w14:solidFill>
                </w14:textFill>
              </w:rPr>
              <w:t>标准 通则</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（GB34330-2017）</w:t>
            </w:r>
            <w:r>
              <w:rPr>
                <w:color w:val="000000" w:themeColor="text1"/>
                <w:sz w:val="24"/>
                <w14:textFill>
                  <w14:solidFill>
                    <w14:schemeClr w14:val="tx1"/>
                  </w14:solidFill>
                </w14:textFill>
              </w:rPr>
              <w:t>和《国家危险废物名录</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2021年</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》等相关文件进行固体废物及危险废物的判定。 </w:t>
            </w:r>
          </w:p>
          <w:p>
            <w:pPr>
              <w:spacing w:line="360" w:lineRule="auto"/>
              <w:ind w:firstLine="480" w:firstLineChars="200"/>
              <w:rPr>
                <w:color w:val="000000" w:themeColor="text1"/>
                <w:szCs w:val="21"/>
                <w14:textFill>
                  <w14:solidFill>
                    <w14:schemeClr w14:val="tx1"/>
                  </w14:solidFill>
                </w14:textFill>
              </w:rPr>
            </w:pPr>
            <w:r>
              <w:rPr>
                <w:color w:val="000000" w:themeColor="text1"/>
                <w:sz w:val="24"/>
                <w14:textFill>
                  <w14:solidFill>
                    <w14:schemeClr w14:val="tx1"/>
                  </w14:solidFill>
                </w14:textFill>
              </w:rPr>
              <w:t>根据本项目生产工艺及《</w:t>
            </w:r>
            <w:r>
              <w:rPr>
                <w:rStyle w:val="74"/>
                <w:color w:val="000000" w:themeColor="text1"/>
                <w:sz w:val="24"/>
                <w:shd w:val="clear" w:color="auto" w:fill="FFFFFF"/>
                <w14:textFill>
                  <w14:solidFill>
                    <w14:schemeClr w14:val="tx1"/>
                  </w14:solidFill>
                </w14:textFill>
              </w:rPr>
              <w:t>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"http://121.40.58.14/vdocument/base/docbaseview.jsp?id=f9a8ba8e5fe78d940160210187211b9a" \t "_blank" \o "固体废物鉴别标准 通则(GB 34330—2017)" </w:instrText>
            </w:r>
            <w:r>
              <w:rPr>
                <w:color w:val="000000" w:themeColor="text1"/>
                <w14:textFill>
                  <w14:solidFill>
                    <w14:schemeClr w14:val="tx1"/>
                  </w14:solidFill>
                </w14:textFill>
              </w:rPr>
              <w:fldChar w:fldCharType="separate"/>
            </w:r>
            <w:r>
              <w:rPr>
                <w:color w:val="000000" w:themeColor="text1"/>
                <w:sz w:val="24"/>
                <w14:textFill>
                  <w14:solidFill>
                    <w14:schemeClr w14:val="tx1"/>
                  </w14:solidFill>
                </w14:textFill>
              </w:rPr>
              <w:t>固体废物鉴别标准 通则</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》（GB 34330-2017）的规定，本项目生产过程中副产物的产生情况及属性判定见表</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21</w:t>
            </w:r>
            <w:r>
              <w:rPr>
                <w:color w:val="000000" w:themeColor="text1"/>
                <w:szCs w:val="21"/>
                <w14:textFill>
                  <w14:solidFill>
                    <w14:schemeClr w14:val="tx1"/>
                  </w14:solidFill>
                </w14:textFill>
              </w:rPr>
              <w:t>。</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21 本项目</w:t>
            </w:r>
            <w:r>
              <w:rPr>
                <w:rFonts w:hint="eastAsia"/>
                <w:b/>
                <w:color w:val="000000" w:themeColor="text1"/>
                <w:szCs w:val="21"/>
                <w14:textFill>
                  <w14:solidFill>
                    <w14:schemeClr w14:val="tx1"/>
                  </w14:solidFill>
                </w14:textFill>
              </w:rPr>
              <w:t>固体废物</w:t>
            </w:r>
            <w:r>
              <w:rPr>
                <w:b/>
                <w:color w:val="000000" w:themeColor="text1"/>
                <w:szCs w:val="21"/>
                <w14:textFill>
                  <w14:solidFill>
                    <w14:schemeClr w14:val="tx1"/>
                  </w14:solidFill>
                </w14:textFill>
              </w:rPr>
              <w:t>产生情况汇总表</w:t>
            </w:r>
          </w:p>
          <w:tbl>
            <w:tblPr>
              <w:tblStyle w:val="24"/>
              <w:tblW w:w="772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5"/>
              <w:gridCol w:w="998"/>
              <w:gridCol w:w="851"/>
              <w:gridCol w:w="708"/>
              <w:gridCol w:w="1134"/>
              <w:gridCol w:w="851"/>
              <w:gridCol w:w="668"/>
              <w:gridCol w:w="616"/>
              <w:gridCol w:w="13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Merge w:val="restart"/>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98" w:type="dxa"/>
                  <w:vMerge w:val="restart"/>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851" w:type="dxa"/>
                  <w:vMerge w:val="restart"/>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w:t>
                  </w:r>
                </w:p>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工序</w:t>
                  </w:r>
                </w:p>
              </w:tc>
              <w:tc>
                <w:tcPr>
                  <w:tcW w:w="708" w:type="dxa"/>
                  <w:vMerge w:val="restart"/>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形态</w:t>
                  </w:r>
                </w:p>
              </w:tc>
              <w:tc>
                <w:tcPr>
                  <w:tcW w:w="1134" w:type="dxa"/>
                  <w:vMerge w:val="restart"/>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主要成分</w:t>
                  </w:r>
                </w:p>
              </w:tc>
              <w:tc>
                <w:tcPr>
                  <w:tcW w:w="851" w:type="dxa"/>
                  <w:vMerge w:val="restart"/>
                  <w:tcBorders>
                    <w:right w:val="single" w:color="auto" w:sz="4" w:space="0"/>
                  </w:tcBorders>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产生量(t/a)</w:t>
                  </w:r>
                </w:p>
              </w:tc>
              <w:tc>
                <w:tcPr>
                  <w:tcW w:w="2605" w:type="dxa"/>
                  <w:gridSpan w:val="3"/>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种类判断*</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c>
                <w:tcPr>
                  <w:tcW w:w="998" w:type="dxa"/>
                  <w:vMerge w:val="continue"/>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p>
              </w:tc>
              <w:tc>
                <w:tcPr>
                  <w:tcW w:w="851" w:type="dxa"/>
                  <w:vMerge w:val="continue"/>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p>
              </w:tc>
              <w:tc>
                <w:tcPr>
                  <w:tcW w:w="708" w:type="dxa"/>
                  <w:vMerge w:val="continue"/>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p>
              </w:tc>
              <w:tc>
                <w:tcPr>
                  <w:tcW w:w="1134" w:type="dxa"/>
                  <w:vMerge w:val="continue"/>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p>
              </w:tc>
              <w:tc>
                <w:tcPr>
                  <w:tcW w:w="851" w:type="dxa"/>
                  <w:vMerge w:val="continue"/>
                  <w:tcBorders>
                    <w:right w:val="single" w:color="auto" w:sz="4" w:space="0"/>
                  </w:tcBorders>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p>
              </w:tc>
              <w:tc>
                <w:tcPr>
                  <w:tcW w:w="668" w:type="dxa"/>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w:t>
                  </w:r>
                </w:p>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废物</w:t>
                  </w:r>
                </w:p>
              </w:tc>
              <w:tc>
                <w:tcPr>
                  <w:tcW w:w="616" w:type="dxa"/>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副产</w:t>
                  </w:r>
                </w:p>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物</w:t>
                  </w:r>
                </w:p>
              </w:tc>
              <w:tc>
                <w:tcPr>
                  <w:tcW w:w="1321" w:type="dxa"/>
                  <w:vAlign w:val="center"/>
                </w:tcPr>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判定</w:t>
                  </w:r>
                </w:p>
                <w:p>
                  <w:pPr>
                    <w:widowControl/>
                    <w:autoSpaceDE w:val="0"/>
                    <w:autoSpaceDN w:val="0"/>
                    <w:adjustRightInd w:val="0"/>
                    <w:spacing w:line="2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依据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炉渣</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机加工</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u w:val="single"/>
                      <w14:textFill>
                        <w14:solidFill>
                          <w14:schemeClr w14:val="tx1"/>
                        </w14:solidFill>
                      </w14:textFill>
                    </w:rPr>
                    <w:t>灰渣</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4</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restart"/>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《固体废物鉴别标准 通则（GB34330-2017）》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2</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废包装材料</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原料</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纸箱、塑料</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0.1</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3</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脉冲</w:t>
                  </w:r>
                  <w:r>
                    <w:rPr>
                      <w:color w:val="000000" w:themeColor="text1"/>
                      <w:szCs w:val="21"/>
                      <w:u w:val="single"/>
                      <w14:textFill>
                        <w14:solidFill>
                          <w14:schemeClr w14:val="tx1"/>
                        </w14:solidFill>
                      </w14:textFill>
                    </w:rPr>
                    <w:t>除尘器收集粉尘</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废气处理</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粉尘</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8.11</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4</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钾钠长石烘干除尘器收集粉尘</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钾钠长石烘干废气处理</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粉尘</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5.62</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5</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一破及筛分收集粉尘</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一破及筛分</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粉尘</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1.37</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6</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水喷淋沉渣</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维修</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液</w:t>
                  </w:r>
                </w:p>
              </w:tc>
              <w:tc>
                <w:tcPr>
                  <w:tcW w:w="1134" w:type="dxa"/>
                  <w:vAlign w:val="center"/>
                </w:tcPr>
                <w:p>
                  <w:pPr>
                    <w:widowControl/>
                    <w:autoSpaceDE w:val="0"/>
                    <w:autoSpaceDN w:val="0"/>
                    <w:adjustRightInd w:val="0"/>
                    <w:spacing w:line="240" w:lineRule="exact"/>
                    <w:jc w:val="center"/>
                    <w:rPr>
                      <w:color w:val="000000" w:themeColor="text1"/>
                      <w:u w:val="single"/>
                      <w14:textFill>
                        <w14:solidFill>
                          <w14:schemeClr w14:val="tx1"/>
                        </w14:solidFill>
                      </w14:textFill>
                    </w:rPr>
                  </w:pPr>
                  <w:r>
                    <w:rPr>
                      <w:rFonts w:hint="eastAsia"/>
                      <w:color w:val="000000" w:themeColor="text1"/>
                      <w:szCs w:val="21"/>
                      <w:u w:val="single"/>
                      <w14:textFill>
                        <w14:solidFill>
                          <w14:schemeClr w14:val="tx1"/>
                        </w14:solidFill>
                      </w14:textFill>
                    </w:rPr>
                    <w:t>沉渣</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0.4</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7</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不合格品</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检测</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炭</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1.8</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75"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8</w:t>
                  </w:r>
                </w:p>
              </w:tc>
              <w:tc>
                <w:tcPr>
                  <w:tcW w:w="99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生活垃圾</w:t>
                  </w:r>
                </w:p>
              </w:tc>
              <w:tc>
                <w:tcPr>
                  <w:tcW w:w="85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职工生活</w:t>
                  </w:r>
                </w:p>
              </w:tc>
              <w:tc>
                <w:tcPr>
                  <w:tcW w:w="70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固</w:t>
                  </w:r>
                </w:p>
              </w:tc>
              <w:tc>
                <w:tcPr>
                  <w:tcW w:w="1134" w:type="dxa"/>
                  <w:vAlign w:val="center"/>
                </w:tcPr>
                <w:p>
                  <w:pPr>
                    <w:widowControl/>
                    <w:autoSpaceDE w:val="0"/>
                    <w:autoSpaceDN w:val="0"/>
                    <w:adjustRightInd w:val="0"/>
                    <w:spacing w:line="240" w:lineRule="exact"/>
                    <w:jc w:val="center"/>
                    <w:rPr>
                      <w:color w:val="000000" w:themeColor="text1"/>
                      <w:u w:val="single"/>
                      <w14:textFill>
                        <w14:solidFill>
                          <w14:schemeClr w14:val="tx1"/>
                        </w14:solidFill>
                      </w14:textFill>
                    </w:rPr>
                  </w:pPr>
                  <w:r>
                    <w:rPr>
                      <w:color w:val="000000" w:themeColor="text1"/>
                      <w:szCs w:val="21"/>
                      <w:u w:val="single"/>
                      <w14:textFill>
                        <w14:solidFill>
                          <w14:schemeClr w14:val="tx1"/>
                        </w14:solidFill>
                      </w14:textFill>
                    </w:rPr>
                    <w:t>果皮纸屑</w:t>
                  </w:r>
                </w:p>
              </w:tc>
              <w:tc>
                <w:tcPr>
                  <w:tcW w:w="851" w:type="dxa"/>
                  <w:tcBorders>
                    <w:right w:val="single" w:color="auto" w:sz="4" w:space="0"/>
                  </w:tcBorders>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1.0</w:t>
                  </w:r>
                </w:p>
              </w:tc>
              <w:tc>
                <w:tcPr>
                  <w:tcW w:w="668"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616"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321" w:type="dxa"/>
                  <w:vMerge w:val="continue"/>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p>
              </w:tc>
            </w:tr>
          </w:tbl>
          <w:p>
            <w:pPr>
              <w:spacing w:line="360" w:lineRule="auto"/>
              <w:ind w:firstLine="480"/>
              <w:rPr>
                <w:bCs/>
                <w:color w:val="000000" w:themeColor="text1"/>
                <w:szCs w:val="21"/>
                <w14:textFill>
                  <w14:solidFill>
                    <w14:schemeClr w14:val="tx1"/>
                  </w14:solidFill>
                </w14:textFill>
              </w:rPr>
            </w:pPr>
          </w:p>
          <w:p>
            <w:pPr>
              <w:spacing w:line="360" w:lineRule="auto"/>
              <w:ind w:firstLine="48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本项目营运期各项固废产生情况见表</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22，固废产生和处置情况见表</w:t>
            </w:r>
            <w:r>
              <w:rPr>
                <w:rFonts w:hint="eastAsia"/>
                <w:bCs/>
                <w:color w:val="000000" w:themeColor="text1"/>
                <w:sz w:val="24"/>
                <w14:textFill>
                  <w14:solidFill>
                    <w14:schemeClr w14:val="tx1"/>
                  </w14:solidFill>
                </w14:textFill>
              </w:rPr>
              <w:t>4-</w:t>
            </w:r>
            <w:r>
              <w:rPr>
                <w:bCs/>
                <w:color w:val="000000" w:themeColor="text1"/>
                <w:sz w:val="24"/>
                <w14:textFill>
                  <w14:solidFill>
                    <w14:schemeClr w14:val="tx1"/>
                  </w14:solidFill>
                </w14:textFill>
              </w:rPr>
              <w:t>23。</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22 营运期固体废物分析结果汇总表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639"/>
              <w:gridCol w:w="1428"/>
              <w:gridCol w:w="1550"/>
              <w:gridCol w:w="1244"/>
              <w:gridCol w:w="932"/>
              <w:gridCol w:w="1070"/>
              <w:gridCol w:w="10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428"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固废名称</w:t>
                  </w:r>
                </w:p>
              </w:tc>
              <w:tc>
                <w:tcPr>
                  <w:tcW w:w="1550"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属性（危废、一般固废或待鉴别）</w:t>
                  </w:r>
                </w:p>
              </w:tc>
              <w:tc>
                <w:tcPr>
                  <w:tcW w:w="1244"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危险特性鉴别方法</w:t>
                  </w:r>
                </w:p>
              </w:tc>
              <w:tc>
                <w:tcPr>
                  <w:tcW w:w="932"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危险特性</w:t>
                  </w:r>
                </w:p>
              </w:tc>
              <w:tc>
                <w:tcPr>
                  <w:tcW w:w="1070"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废物类别</w:t>
                  </w:r>
                </w:p>
              </w:tc>
              <w:tc>
                <w:tcPr>
                  <w:tcW w:w="1074"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废物</w:t>
                  </w:r>
                </w:p>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代码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炉渣</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restart"/>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依据《国家危废名录》（20</w:t>
                  </w:r>
                  <w:r>
                    <w:rPr>
                      <w:rFonts w:hint="eastAsia"/>
                      <w:color w:val="000000" w:themeColor="text1"/>
                      <w:szCs w:val="21"/>
                      <w14:textFill>
                        <w14:solidFill>
                          <w14:schemeClr w14:val="tx1"/>
                        </w14:solidFill>
                      </w14:textFill>
                    </w:rPr>
                    <w:t>21</w:t>
                  </w:r>
                  <w:r>
                    <w:rPr>
                      <w:color w:val="000000" w:themeColor="text1"/>
                      <w:szCs w:val="21"/>
                      <w14:textFill>
                        <w14:solidFill>
                          <w14:schemeClr w14:val="tx1"/>
                        </w14:solidFill>
                      </w14:textFill>
                    </w:rPr>
                    <w:t>）</w:t>
                  </w:r>
                </w:p>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废包装材料</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脉冲</w:t>
                  </w:r>
                  <w:r>
                    <w:rPr>
                      <w:color w:val="000000" w:themeColor="text1"/>
                      <w:szCs w:val="21"/>
                      <w14:textFill>
                        <w14:solidFill>
                          <w14:schemeClr w14:val="tx1"/>
                        </w14:solidFill>
                      </w14:textFill>
                    </w:rPr>
                    <w:t>除尘器收集的粉尘</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钾钠长石烘干除尘器收集粉尘</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一破及筛分沉降收集粉尘</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水喷淋沉渣</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不合格品</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一般固废</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639"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4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155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1244"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932"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74"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bl>
          <w:p>
            <w:pPr>
              <w:spacing w:line="360" w:lineRule="auto"/>
              <w:jc w:val="center"/>
              <w:rPr>
                <w:b/>
                <w:color w:val="000000" w:themeColor="text1"/>
                <w:szCs w:val="21"/>
                <w14:textFill>
                  <w14:solidFill>
                    <w14:schemeClr w14:val="tx1"/>
                  </w14:solidFill>
                </w14:textFill>
              </w:rPr>
            </w:pP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23   固废产生与处置情况一览表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207"/>
              <w:gridCol w:w="1141"/>
              <w:gridCol w:w="900"/>
              <w:gridCol w:w="1288"/>
              <w:gridCol w:w="848"/>
              <w:gridCol w:w="19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Merge w:val="restart"/>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207" w:type="dxa"/>
                  <w:vMerge w:val="restart"/>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固废名称</w:t>
                  </w:r>
                </w:p>
              </w:tc>
              <w:tc>
                <w:tcPr>
                  <w:tcW w:w="1141" w:type="dxa"/>
                  <w:vMerge w:val="restart"/>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产生环节</w:t>
                  </w:r>
                </w:p>
              </w:tc>
              <w:tc>
                <w:tcPr>
                  <w:tcW w:w="2188" w:type="dxa"/>
                  <w:gridSpan w:val="2"/>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废物代号</w:t>
                  </w:r>
                </w:p>
              </w:tc>
              <w:tc>
                <w:tcPr>
                  <w:tcW w:w="848" w:type="dxa"/>
                  <w:vMerge w:val="restart"/>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产生量(t/a)</w:t>
                  </w:r>
                </w:p>
              </w:tc>
              <w:tc>
                <w:tcPr>
                  <w:tcW w:w="1925" w:type="dxa"/>
                  <w:vMerge w:val="restart"/>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处置方式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28" w:type="dxa"/>
                  <w:vMerge w:val="continue"/>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p>
              </w:tc>
              <w:tc>
                <w:tcPr>
                  <w:tcW w:w="1207" w:type="dxa"/>
                  <w:vMerge w:val="continue"/>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p>
              </w:tc>
              <w:tc>
                <w:tcPr>
                  <w:tcW w:w="1141" w:type="dxa"/>
                  <w:vMerge w:val="continue"/>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p>
              </w:tc>
              <w:tc>
                <w:tcPr>
                  <w:tcW w:w="900"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类别</w:t>
                  </w:r>
                </w:p>
              </w:tc>
              <w:tc>
                <w:tcPr>
                  <w:tcW w:w="1288" w:type="dxa"/>
                  <w:vAlign w:val="center"/>
                </w:tcPr>
                <w:p>
                  <w:pPr>
                    <w:pStyle w:val="19"/>
                    <w:widowControl/>
                    <w:autoSpaceDE w:val="0"/>
                    <w:autoSpaceDN w:val="0"/>
                    <w:adjustRightInd w:val="0"/>
                    <w:spacing w:line="240" w:lineRule="exact"/>
                    <w:ind w:left="0" w:firstLine="0" w:firstLineChars="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废物代码</w:t>
                  </w:r>
                </w:p>
              </w:tc>
              <w:tc>
                <w:tcPr>
                  <w:tcW w:w="848"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c>
                <w:tcPr>
                  <w:tcW w:w="1925" w:type="dxa"/>
                  <w:vMerge w:val="continue"/>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07"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炉渣</w:t>
                  </w:r>
                </w:p>
              </w:tc>
              <w:tc>
                <w:tcPr>
                  <w:tcW w:w="1141"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炭化</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422-001-01</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一般工业固废处置单位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207"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废包装材料</w:t>
                  </w:r>
                </w:p>
              </w:tc>
              <w:tc>
                <w:tcPr>
                  <w:tcW w:w="1141"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422-001-0</w:t>
                  </w:r>
                  <w:r>
                    <w:rPr>
                      <w:color w:val="000000" w:themeColor="text1"/>
                      <w:szCs w:val="21"/>
                      <w14:textFill>
                        <w14:solidFill>
                          <w14:schemeClr w14:val="tx1"/>
                        </w14:solidFill>
                      </w14:textFill>
                    </w:rPr>
                    <w:t>2</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一般工业固废处置单位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207"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脉冲</w:t>
                  </w:r>
                  <w:r>
                    <w:rPr>
                      <w:color w:val="000000" w:themeColor="text1"/>
                      <w:szCs w:val="21"/>
                      <w:u w:val="single"/>
                      <w14:textFill>
                        <w14:solidFill>
                          <w14:schemeClr w14:val="tx1"/>
                        </w14:solidFill>
                      </w14:textFill>
                    </w:rPr>
                    <w:t>除尘器收集的粉尘</w:t>
                  </w:r>
                </w:p>
              </w:tc>
              <w:tc>
                <w:tcPr>
                  <w:tcW w:w="114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废气处理</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422-001-0</w:t>
                  </w:r>
                  <w:r>
                    <w:rPr>
                      <w:color w:val="000000" w:themeColor="text1"/>
                      <w:szCs w:val="21"/>
                      <w:u w:val="single"/>
                      <w14:textFill>
                        <w14:solidFill>
                          <w14:schemeClr w14:val="tx1"/>
                        </w14:solidFill>
                      </w14:textFill>
                    </w:rPr>
                    <w:t>3</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8.11</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207"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钾钠长石烘干除尘器收集粉尘</w:t>
                  </w:r>
                </w:p>
              </w:tc>
              <w:tc>
                <w:tcPr>
                  <w:tcW w:w="114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废气处理</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422-001-0</w:t>
                  </w:r>
                  <w:r>
                    <w:rPr>
                      <w:color w:val="000000" w:themeColor="text1"/>
                      <w:szCs w:val="21"/>
                      <w:u w:val="single"/>
                      <w14:textFill>
                        <w14:solidFill>
                          <w14:schemeClr w14:val="tx1"/>
                        </w14:solidFill>
                      </w14:textFill>
                    </w:rPr>
                    <w:t>3</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5.62</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作为产品外售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207"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一破及筛分沉降收集粉尘</w:t>
                  </w:r>
                </w:p>
              </w:tc>
              <w:tc>
                <w:tcPr>
                  <w:tcW w:w="1141" w:type="dxa"/>
                  <w:vAlign w:val="center"/>
                </w:tcPr>
                <w:p>
                  <w:pPr>
                    <w:widowControl/>
                    <w:autoSpaceDE w:val="0"/>
                    <w:autoSpaceDN w:val="0"/>
                    <w:adjustRightInd w:val="0"/>
                    <w:spacing w:line="240" w:lineRule="exact"/>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沉降</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422-001-0</w:t>
                  </w:r>
                  <w:r>
                    <w:rPr>
                      <w:color w:val="000000" w:themeColor="text1"/>
                      <w:szCs w:val="21"/>
                      <w:u w:val="single"/>
                      <w14:textFill>
                        <w14:solidFill>
                          <w14:schemeClr w14:val="tx1"/>
                        </w14:solidFill>
                      </w14:textFill>
                    </w:rPr>
                    <w:t>3</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1.37</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207"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水喷淋沉渣</w:t>
                  </w:r>
                </w:p>
              </w:tc>
              <w:tc>
                <w:tcPr>
                  <w:tcW w:w="1141"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冷却</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288" w:type="dxa"/>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422-001-0</w:t>
                  </w:r>
                  <w:r>
                    <w:rPr>
                      <w:color w:val="000000" w:themeColor="text1"/>
                      <w:szCs w:val="21"/>
                      <w14:textFill>
                        <w14:solidFill>
                          <w14:schemeClr w14:val="tx1"/>
                        </w14:solidFill>
                      </w14:textFill>
                    </w:rPr>
                    <w:t>4</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0.4</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回用于生产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207"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不合格品</w:t>
                  </w:r>
                </w:p>
              </w:tc>
              <w:tc>
                <w:tcPr>
                  <w:tcW w:w="1141"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炭化</w:t>
                  </w:r>
                </w:p>
              </w:tc>
              <w:tc>
                <w:tcPr>
                  <w:tcW w:w="900" w:type="dxa"/>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288" w:type="dxa"/>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422-001-0</w:t>
                  </w:r>
                  <w:r>
                    <w:rPr>
                      <w:color w:val="000000" w:themeColor="text1"/>
                      <w:szCs w:val="21"/>
                      <w14:textFill>
                        <w14:solidFill>
                          <w14:schemeClr w14:val="tx1"/>
                        </w14:solidFill>
                      </w14:textFill>
                    </w:rPr>
                    <w:t>5</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自用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8"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207"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1141" w:type="dxa"/>
                  <w:vAlign w:val="center"/>
                </w:tcPr>
                <w:p>
                  <w:pPr>
                    <w:widowControl/>
                    <w:autoSpaceDE w:val="0"/>
                    <w:autoSpaceDN w:val="0"/>
                    <w:adjustRightIn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员工生活</w:t>
                  </w:r>
                </w:p>
              </w:tc>
              <w:tc>
                <w:tcPr>
                  <w:tcW w:w="900"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99</w:t>
                  </w:r>
                </w:p>
              </w:tc>
              <w:tc>
                <w:tcPr>
                  <w:tcW w:w="128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848"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925" w:type="dxa"/>
                  <w:vAlign w:val="center"/>
                </w:tcPr>
                <w:p>
                  <w:pPr>
                    <w:pStyle w:val="19"/>
                    <w:widowControl/>
                    <w:autoSpaceDE w:val="0"/>
                    <w:autoSpaceDN w:val="0"/>
                    <w:adjustRightInd w:val="0"/>
                    <w:spacing w:line="240" w:lineRule="exact"/>
                    <w:ind w:left="0" w:firstLine="0" w:firstLineChars="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环卫部门处理</w:t>
                  </w:r>
                </w:p>
              </w:tc>
            </w:tr>
          </w:tbl>
          <w:p>
            <w:pPr>
              <w:jc w:val="center"/>
              <w:rPr>
                <w:b/>
                <w:color w:val="000000" w:themeColor="text1"/>
                <w:szCs w:val="21"/>
                <w14:textFill>
                  <w14:solidFill>
                    <w14:schemeClr w14:val="tx1"/>
                  </w14:solidFill>
                </w14:textFill>
              </w:rPr>
            </w:pPr>
          </w:p>
          <w:p>
            <w:pPr>
              <w:jc w:val="center"/>
              <w:rPr>
                <w:b/>
                <w:color w:val="000000" w:themeColor="text1"/>
                <w:szCs w:val="21"/>
                <w14:textFill>
                  <w14:solidFill>
                    <w14:schemeClr w14:val="tx1"/>
                  </w14:solidFill>
                </w14:textFill>
              </w:rPr>
            </w:pPr>
          </w:p>
          <w:p>
            <w:pPr>
              <w:pStyle w:val="30"/>
              <w:spacing w:line="360" w:lineRule="auto"/>
              <w:rPr>
                <w:rFonts w:ascii="Times New Roman"/>
                <w:b/>
                <w:color w:val="000000" w:themeColor="text1"/>
                <w14:textFill>
                  <w14:solidFill>
                    <w14:schemeClr w14:val="tx1"/>
                  </w14:solidFill>
                </w14:textFill>
              </w:rPr>
            </w:pPr>
            <w:r>
              <w:rPr>
                <w:rFonts w:hint="eastAsia" w:ascii="Times New Roman"/>
                <w:b/>
                <w:color w:val="000000" w:themeColor="text1"/>
                <w14:textFill>
                  <w14:solidFill>
                    <w14:schemeClr w14:val="tx1"/>
                  </w14:solidFill>
                </w14:textFill>
              </w:rPr>
              <w:t>4.2</w:t>
            </w:r>
            <w:r>
              <w:rPr>
                <w:rFonts w:ascii="Times New Roman"/>
                <w:b/>
                <w:color w:val="000000" w:themeColor="text1"/>
                <w14:textFill>
                  <w14:solidFill>
                    <w14:schemeClr w14:val="tx1"/>
                  </w14:solidFill>
                </w14:textFill>
              </w:rPr>
              <w:t>一般工业固废影响分析</w:t>
            </w:r>
          </w:p>
          <w:p>
            <w:pPr>
              <w:spacing w:line="360" w:lineRule="auto"/>
              <w:ind w:firstLine="480"/>
              <w:rPr>
                <w:b/>
                <w:color w:val="000000" w:themeColor="text1"/>
                <w:sz w:val="24"/>
                <w14:textFill>
                  <w14:solidFill>
                    <w14:schemeClr w14:val="tx1"/>
                  </w14:solidFill>
                </w14:textFill>
              </w:rPr>
            </w:pPr>
            <w:r>
              <w:rPr>
                <w:bCs/>
                <w:color w:val="000000" w:themeColor="text1"/>
                <w:sz w:val="24"/>
                <w14:textFill>
                  <w14:solidFill>
                    <w14:schemeClr w14:val="tx1"/>
                  </w14:solidFill>
                </w14:textFill>
              </w:rPr>
              <w:t>本项目一般固体废弃物均采取合理措施处理，不会对周围环境造成影响。</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本项目拟在车间</w:t>
            </w:r>
            <w:r>
              <w:rPr>
                <w:rFonts w:hint="eastAsia"/>
                <w:color w:val="000000" w:themeColor="text1"/>
                <w:kern w:val="0"/>
                <w:sz w:val="24"/>
                <w14:textFill>
                  <w14:solidFill>
                    <w14:schemeClr w14:val="tx1"/>
                  </w14:solidFill>
                </w14:textFill>
              </w:rPr>
              <w:t>内</w:t>
            </w:r>
            <w:r>
              <w:rPr>
                <w:color w:val="000000" w:themeColor="text1"/>
                <w:kern w:val="0"/>
                <w:sz w:val="24"/>
                <w14:textFill>
                  <w14:solidFill>
                    <w14:schemeClr w14:val="tx1"/>
                  </w14:solidFill>
                </w14:textFill>
              </w:rPr>
              <w:t>设置1间一般固废堆放点（30m</w:t>
            </w:r>
            <w:r>
              <w:rPr>
                <w:color w:val="000000" w:themeColor="text1"/>
                <w:kern w:val="0"/>
                <w:sz w:val="24"/>
                <w:vertAlign w:val="superscript"/>
                <w14:textFill>
                  <w14:solidFill>
                    <w14:schemeClr w14:val="tx1"/>
                  </w14:solidFill>
                </w14:textFill>
              </w:rPr>
              <w:t>2</w:t>
            </w:r>
            <w:r>
              <w:rPr>
                <w:color w:val="000000" w:themeColor="text1"/>
                <w:kern w:val="0"/>
                <w:sz w:val="24"/>
                <w14:textFill>
                  <w14:solidFill>
                    <w14:schemeClr w14:val="tx1"/>
                  </w14:solidFill>
                </w14:textFill>
              </w:rPr>
              <w:t>）。一般工业固废仓库存放应执行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"http://www.baidu.com/link?url=kNbvpICV8UEYTvnvyIImAvsXldHeDu26i0laF8deFKT7-tVKAkdAKgBdSvj3vTU9yEukCRJSfOogZleVIh_4a7rVTEy1wKYfD0tx6c6USxa7bap1O0jmTumeNfEGPu4P" \t "_blank" </w:instrText>
            </w:r>
            <w:r>
              <w:rPr>
                <w:color w:val="000000" w:themeColor="text1"/>
                <w14:textFill>
                  <w14:solidFill>
                    <w14:schemeClr w14:val="tx1"/>
                  </w14:solidFill>
                </w14:textFill>
              </w:rPr>
              <w:fldChar w:fldCharType="separate"/>
            </w:r>
            <w:r>
              <w:rPr>
                <w:color w:val="000000" w:themeColor="text1"/>
                <w:kern w:val="0"/>
                <w:sz w:val="24"/>
                <w14:textFill>
                  <w14:solidFill>
                    <w14:schemeClr w14:val="tx1"/>
                  </w14:solidFill>
                </w14:textFill>
              </w:rPr>
              <w:t>《一般工业固体废物贮存和填埋污染控制标准》</w:t>
            </w:r>
            <w:r>
              <w:rPr>
                <w:color w:val="000000" w:themeColor="text1"/>
                <w:kern w:val="0"/>
                <w:sz w:val="24"/>
                <w14:textFill>
                  <w14:solidFill>
                    <w14:schemeClr w14:val="tx1"/>
                  </w14:solidFill>
                </w14:textFill>
              </w:rPr>
              <w:fldChar w:fldCharType="end"/>
            </w:r>
            <w:r>
              <w:rPr>
                <w:color w:val="000000" w:themeColor="text1"/>
                <w:kern w:val="0"/>
                <w:sz w:val="24"/>
                <w14:textFill>
                  <w14:solidFill>
                    <w14:schemeClr w14:val="tx1"/>
                  </w14:solidFill>
                </w14:textFill>
              </w:rPr>
              <w:t>（GB18599-2020）中有关规定；危险废物暂存库应执行《危险废物贮存污染控制标准》（GB18597-2023）中有关规定。</w:t>
            </w:r>
          </w:p>
          <w:p>
            <w:pPr>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1）一般工业固废</w:t>
            </w:r>
            <w:r>
              <w:rPr>
                <w:rFonts w:hint="eastAsia"/>
                <w:color w:val="000000" w:themeColor="text1"/>
                <w:kern w:val="0"/>
                <w:sz w:val="24"/>
                <w:lang w:bidi="ar"/>
                <w14:textFill>
                  <w14:solidFill>
                    <w14:schemeClr w14:val="tx1"/>
                  </w14:solidFill>
                </w14:textFill>
              </w:rPr>
              <w:t>间</w:t>
            </w:r>
            <w:r>
              <w:rPr>
                <w:color w:val="000000" w:themeColor="text1"/>
                <w:kern w:val="0"/>
                <w:sz w:val="24"/>
                <w:lang w:bidi="ar"/>
                <w14:textFill>
                  <w14:solidFill>
                    <w14:schemeClr w14:val="tx1"/>
                  </w14:solidFill>
                </w14:textFill>
              </w:rPr>
              <w:t xml:space="preserve">贮存要求： </w:t>
            </w:r>
          </w:p>
          <w:p>
            <w:pPr>
              <w:spacing w:line="360" w:lineRule="auto"/>
              <w:ind w:firstLine="480" w:firstLineChars="200"/>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首先进行分类，然后对可再次利用的固废进行综合利用，不可再次利用的可作为资源外售。严禁乱堆乱放和随便倾倒。堆场应做水泥地面和围挡，设置防渗、防雨、防风吹措施，并设置标牌。一般固废在运输过程中要防止散落地面，以免产生二次污染。一般固废要遵循资源化、无害化的方式进行处理。</w:t>
            </w:r>
          </w:p>
          <w:p>
            <w:pPr>
              <w:spacing w:line="360" w:lineRule="auto"/>
              <w:ind w:firstLine="480" w:firstLineChars="200"/>
              <w:rPr>
                <w:color w:val="000000" w:themeColor="text1"/>
                <w:sz w:val="24"/>
                <w:lang w:bidi="ar"/>
                <w14:textFill>
                  <w14:solidFill>
                    <w14:schemeClr w14:val="tx1"/>
                  </w14:solidFill>
                </w14:textFill>
              </w:rPr>
            </w:pPr>
            <w:r>
              <w:rPr>
                <w:color w:val="000000" w:themeColor="text1"/>
                <w:sz w:val="24"/>
                <w:lang w:bidi="ar"/>
                <w14:textFill>
                  <w14:solidFill>
                    <w14:schemeClr w14:val="tx1"/>
                  </w14:solidFill>
                </w14:textFill>
              </w:rPr>
              <w:t>综上，本项目固体废物均得到合理处理处置，因此固废处置措施是可行的，对周边环境影响较小。</w:t>
            </w:r>
          </w:p>
          <w:p>
            <w:pPr>
              <w:pStyle w:val="60"/>
              <w:adjustRightInd/>
              <w:snapToGrid/>
              <w:spacing w:line="360" w:lineRule="auto"/>
              <w:ind w:firstLine="480" w:firstLineChars="200"/>
              <w:jc w:val="both"/>
              <w:rPr>
                <w:color w:val="000000" w:themeColor="text1"/>
                <w:kern w:val="0"/>
                <w:lang w:bidi="ar"/>
                <w14:textFill>
                  <w14:solidFill>
                    <w14:schemeClr w14:val="tx1"/>
                  </w14:solidFill>
                </w14:textFill>
              </w:rPr>
            </w:pPr>
          </w:p>
          <w:p>
            <w:pPr>
              <w:pStyle w:val="30"/>
              <w:spacing w:line="360" w:lineRule="auto"/>
              <w:rPr>
                <w:rFonts w:ascii="Times New Roman" w:cs="Times New Roman"/>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5</w:t>
            </w:r>
            <w:r>
              <w:rPr>
                <w:rFonts w:hint="eastAsia" w:ascii="Times New Roman" w:cs="Times New Roman"/>
                <w:b/>
                <w:bCs/>
                <w:color w:val="000000" w:themeColor="text1"/>
                <w14:textFill>
                  <w14:solidFill>
                    <w14:schemeClr w14:val="tx1"/>
                  </w14:solidFill>
                </w14:textFill>
              </w:rPr>
              <w:t>、</w:t>
            </w:r>
            <w:r>
              <w:rPr>
                <w:rFonts w:ascii="Times New Roman" w:cs="Times New Roman"/>
                <w:b/>
                <w:bCs/>
                <w:color w:val="000000" w:themeColor="text1"/>
                <w14:textFill>
                  <w14:solidFill>
                    <w14:schemeClr w14:val="tx1"/>
                  </w14:solidFill>
                </w14:textFill>
              </w:rPr>
              <w:t>地下水环境</w:t>
            </w:r>
            <w:r>
              <w:rPr>
                <w:rFonts w:hint="eastAsia" w:ascii="Times New Roman" w:cs="Times New Roman"/>
                <w:b/>
                <w:bCs/>
                <w:color w:val="000000" w:themeColor="text1"/>
                <w14:textFill>
                  <w14:solidFill>
                    <w14:schemeClr w14:val="tx1"/>
                  </w14:solidFill>
                </w14:textFill>
              </w:rPr>
              <w:t>影响分析</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厂区实行“雨污分流、清污分流”排水系统，雨水排入雨水管网。</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生活污水将化粪池处理后定期清掏用作农肥，不外排；废水均不外排</w:t>
            </w:r>
            <w:r>
              <w:rPr>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一般固废按相关要求修建，不会对地下水环境产生影响。</w:t>
            </w:r>
          </w:p>
          <w:p>
            <w:pPr>
              <w:autoSpaceDE w:val="0"/>
              <w:autoSpaceDN w:val="0"/>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5</w:t>
            </w:r>
            <w:r>
              <w:rPr>
                <w:b/>
                <w:bCs/>
                <w:color w:val="000000" w:themeColor="text1"/>
                <w:kern w:val="0"/>
                <w:sz w:val="24"/>
                <w14:textFill>
                  <w14:solidFill>
                    <w14:schemeClr w14:val="tx1"/>
                  </w14:solidFill>
                </w14:textFill>
              </w:rPr>
              <w:t xml:space="preserve">.1 </w:t>
            </w:r>
            <w:r>
              <w:rPr>
                <w:rFonts w:hint="eastAsia"/>
                <w:b/>
                <w:bCs/>
                <w:color w:val="000000" w:themeColor="text1"/>
                <w:kern w:val="0"/>
                <w:sz w:val="24"/>
                <w14:textFill>
                  <w14:solidFill>
                    <w14:schemeClr w14:val="tx1"/>
                  </w14:solidFill>
                </w14:textFill>
              </w:rPr>
              <w:t>地下水的污染途径</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本项目的水污染物进入地下水的主要途径有：</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污水处理系统池体构筑物及污水输送管道等底部的防渗层破裂、粘接缝不够密封或污水管道破裂等原因造成污染物的渗透，从而造成污染地下水。这种污染途径发生的可能性较小，但一旦发生，不容易发现，造成的污染和影响较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2、原辅材料管理不善，造成容器破裂</w:t>
            </w:r>
            <w:r>
              <w:rPr>
                <w:rFonts w:hint="eastAsia"/>
                <w:color w:val="000000" w:themeColor="text1"/>
                <w:sz w:val="24"/>
                <w14:textFill>
                  <w14:solidFill>
                    <w14:schemeClr w14:val="tx1"/>
                  </w14:solidFill>
                </w14:textFill>
              </w:rPr>
              <w:t>泄漏</w:t>
            </w:r>
            <w:r>
              <w:rPr>
                <w:color w:val="000000" w:themeColor="text1"/>
                <w:sz w:val="24"/>
                <w14:textFill>
                  <w14:solidFill>
                    <w14:schemeClr w14:val="tx1"/>
                  </w14:solidFill>
                </w14:textFill>
              </w:rPr>
              <w:t>或随处倾倒，造成其下渗污染地下水。</w:t>
            </w:r>
          </w:p>
          <w:p>
            <w:pPr>
              <w:autoSpaceDE w:val="0"/>
              <w:autoSpaceDN w:val="0"/>
              <w:spacing w:line="36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一般固废</w:t>
            </w:r>
            <w:r>
              <w:rPr>
                <w:color w:val="000000" w:themeColor="text1"/>
                <w:sz w:val="24"/>
                <w14:textFill>
                  <w14:solidFill>
                    <w14:schemeClr w14:val="tx1"/>
                  </w14:solidFill>
                </w14:textFill>
              </w:rPr>
              <w:t>储存或处理不当</w:t>
            </w:r>
            <w:r>
              <w:rPr>
                <w:rFonts w:hint="eastAsia"/>
                <w:color w:val="000000" w:themeColor="text1"/>
                <w:sz w:val="24"/>
                <w14:textFill>
                  <w14:solidFill>
                    <w14:schemeClr w14:val="tx1"/>
                  </w14:solidFill>
                </w14:textFill>
              </w:rPr>
              <w:t>一般固废间</w:t>
            </w:r>
            <w:r>
              <w:rPr>
                <w:color w:val="000000" w:themeColor="text1"/>
                <w:sz w:val="24"/>
                <w14:textFill>
                  <w14:solidFill>
                    <w14:schemeClr w14:val="tx1"/>
                  </w14:solidFill>
                </w14:textFill>
              </w:rPr>
              <w:t>各类</w:t>
            </w:r>
            <w:r>
              <w:rPr>
                <w:rFonts w:hint="eastAsia"/>
                <w:color w:val="000000" w:themeColor="text1"/>
                <w:sz w:val="24"/>
                <w14:textFill>
                  <w14:solidFill>
                    <w14:schemeClr w14:val="tx1"/>
                  </w14:solidFill>
                </w14:textFill>
              </w:rPr>
              <w:t>固废</w:t>
            </w:r>
            <w:r>
              <w:rPr>
                <w:color w:val="000000" w:themeColor="text1"/>
                <w:sz w:val="24"/>
                <w14:textFill>
                  <w14:solidFill>
                    <w14:schemeClr w14:val="tx1"/>
                  </w14:solidFill>
                </w14:textFill>
              </w:rPr>
              <w:t>措施不满足要求，将造成</w:t>
            </w:r>
            <w:r>
              <w:rPr>
                <w:rFonts w:hint="eastAsia"/>
                <w:color w:val="000000" w:themeColor="text1"/>
                <w:sz w:val="24"/>
                <w14:textFill>
                  <w14:solidFill>
                    <w14:schemeClr w14:val="tx1"/>
                  </w14:solidFill>
                </w14:textFill>
              </w:rPr>
              <w:t>一般固废</w:t>
            </w:r>
            <w:r>
              <w:rPr>
                <w:color w:val="000000" w:themeColor="text1"/>
                <w:sz w:val="24"/>
                <w14:textFill>
                  <w14:solidFill>
                    <w14:schemeClr w14:val="tx1"/>
                  </w14:solidFill>
                </w14:textFill>
              </w:rPr>
              <w:t>泄漏，进而污染地下水</w:t>
            </w:r>
            <w:r>
              <w:rPr>
                <w:rFonts w:hint="eastAsia"/>
                <w:color w:val="000000" w:themeColor="text1"/>
                <w:sz w:val="24"/>
                <w14:textFill>
                  <w14:solidFill>
                    <w14:schemeClr w14:val="tx1"/>
                  </w14:solidFill>
                </w14:textFill>
              </w:rPr>
              <w:t>。</w:t>
            </w:r>
          </w:p>
          <w:p>
            <w:pPr>
              <w:autoSpaceDE w:val="0"/>
              <w:autoSpaceDN w:val="0"/>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5</w:t>
            </w:r>
            <w:r>
              <w:rPr>
                <w:b/>
                <w:bCs/>
                <w:color w:val="000000" w:themeColor="text1"/>
                <w:kern w:val="0"/>
                <w:sz w:val="24"/>
                <w14:textFill>
                  <w14:solidFill>
                    <w14:schemeClr w14:val="tx1"/>
                  </w14:solidFill>
                </w14:textFill>
              </w:rPr>
              <w:t xml:space="preserve">.2 </w:t>
            </w:r>
            <w:r>
              <w:rPr>
                <w:rFonts w:hint="eastAsia"/>
                <w:b/>
                <w:bCs/>
                <w:color w:val="000000" w:themeColor="text1"/>
                <w:kern w:val="0"/>
                <w:sz w:val="24"/>
                <w14:textFill>
                  <w14:solidFill>
                    <w14:schemeClr w14:val="tx1"/>
                  </w14:solidFill>
                </w14:textFill>
              </w:rPr>
              <w:t>地下水污染防控措施</w:t>
            </w:r>
          </w:p>
          <w:p>
            <w:pPr>
              <w:autoSpaceDE w:val="0"/>
              <w:autoSpaceDN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1、源头控制、分区防渗</w:t>
            </w:r>
          </w:p>
          <w:p>
            <w:pPr>
              <w:autoSpaceDE w:val="0"/>
              <w:autoSpaceDN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本项目采取分区防治措施</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根据《环境影响评价技术导则  地下水环境》（HJ610-2016），厂区防渗分区分为重点防渗区、一般防渗区和简单防渗区三类地下水污染防治区域。</w:t>
            </w:r>
          </w:p>
          <w:p>
            <w:pPr>
              <w:spacing w:line="360" w:lineRule="auto"/>
              <w:ind w:firstLine="561" w:firstLineChars="234"/>
              <w:rPr>
                <w:color w:val="000000" w:themeColor="text1"/>
                <w:sz w:val="24"/>
                <w14:textFill>
                  <w14:solidFill>
                    <w14:schemeClr w14:val="tx1"/>
                  </w14:solidFill>
                </w14:textFill>
              </w:rPr>
            </w:pPr>
            <w:r>
              <w:rPr>
                <w:color w:val="000000" w:themeColor="text1"/>
                <w:sz w:val="24"/>
                <w14:textFill>
                  <w14:solidFill>
                    <w14:schemeClr w14:val="tx1"/>
                  </w14:solidFill>
                </w14:textFill>
              </w:rPr>
              <w:t>重点防渗区：重点防渗区为</w:t>
            </w:r>
            <w:r>
              <w:rPr>
                <w:rFonts w:hint="eastAsia"/>
                <w:color w:val="000000" w:themeColor="text1"/>
                <w:kern w:val="0"/>
                <w:sz w:val="24"/>
                <w14:textFill>
                  <w14:solidFill>
                    <w14:schemeClr w14:val="tx1"/>
                  </w14:solidFill>
                </w14:textFill>
              </w:rPr>
              <w:t>污水处理设施</w:t>
            </w:r>
            <w:r>
              <w:rPr>
                <w:color w:val="000000" w:themeColor="text1"/>
                <w:sz w:val="24"/>
                <w14:textFill>
                  <w14:solidFill>
                    <w14:schemeClr w14:val="tx1"/>
                  </w14:solidFill>
                </w14:textFill>
              </w:rPr>
              <w:t>，根据工程地下水污染特点，采取相应的防渗措施。</w:t>
            </w:r>
          </w:p>
          <w:p>
            <w:pPr>
              <w:tabs>
                <w:tab w:val="left" w:pos="2895"/>
              </w:tabs>
              <w:adjustRightInd w:val="0"/>
              <w:spacing w:line="360" w:lineRule="auto"/>
              <w:ind w:firstLine="480" w:firstLineChars="200"/>
              <w:textAlignment w:val="baseline"/>
              <w:rPr>
                <w:color w:val="000000" w:themeColor="text1"/>
                <w:sz w:val="24"/>
                <w14:textFill>
                  <w14:solidFill>
                    <w14:schemeClr w14:val="tx1"/>
                  </w14:solidFill>
                </w14:textFill>
              </w:rPr>
            </w:pPr>
            <w:r>
              <w:rPr>
                <w:color w:val="000000" w:themeColor="text1"/>
                <w:sz w:val="24"/>
                <w14:textFill>
                  <w14:solidFill>
                    <w14:schemeClr w14:val="tx1"/>
                  </w14:solidFill>
                </w14:textFill>
              </w:rPr>
              <w:t>一般防渗区：本项目原料库、成品库</w:t>
            </w:r>
            <w:r>
              <w:rPr>
                <w:rFonts w:hint="eastAsia"/>
                <w:color w:val="000000" w:themeColor="text1"/>
                <w:sz w:val="24"/>
                <w14:textFill>
                  <w14:solidFill>
                    <w14:schemeClr w14:val="tx1"/>
                  </w14:solidFill>
                </w14:textFill>
              </w:rPr>
              <w:t>、生产区域</w:t>
            </w:r>
            <w:r>
              <w:rPr>
                <w:color w:val="000000" w:themeColor="text1"/>
                <w:sz w:val="24"/>
                <w14:textFill>
                  <w14:solidFill>
                    <w14:schemeClr w14:val="tx1"/>
                  </w14:solidFill>
                </w14:textFill>
              </w:rPr>
              <w:t>等采用一般防渗，该防渗区地面采用抗渗混凝土结构，之后加强防渗措施的日常维护，达到应有的防渗效果。</w:t>
            </w:r>
          </w:p>
          <w:p>
            <w:pPr>
              <w:tabs>
                <w:tab w:val="left" w:pos="2895"/>
              </w:tabs>
              <w:adjustRightInd w:val="0"/>
              <w:spacing w:line="360" w:lineRule="auto"/>
              <w:ind w:firstLine="480" w:firstLineChars="200"/>
              <w:textAlignment w:val="baseline"/>
              <w:rPr>
                <w:color w:val="000000" w:themeColor="text1"/>
                <w:sz w:val="24"/>
                <w14:textFill>
                  <w14:solidFill>
                    <w14:schemeClr w14:val="tx1"/>
                  </w14:solidFill>
                </w14:textFill>
              </w:rPr>
            </w:pPr>
            <w:r>
              <w:rPr>
                <w:color w:val="000000" w:themeColor="text1"/>
                <w:sz w:val="24"/>
                <w14:textFill>
                  <w14:solidFill>
                    <w14:schemeClr w14:val="tx1"/>
                  </w14:solidFill>
                </w14:textFill>
              </w:rPr>
              <w:t>简单防渗区：本项目办公室为简单防渗区，仅需进行一般地面硬化。</w:t>
            </w:r>
          </w:p>
          <w:p>
            <w:pPr>
              <w:adjustRightInd w:val="0"/>
              <w:spacing w:line="360" w:lineRule="auto"/>
              <w:ind w:firstLine="480" w:firstLineChars="200"/>
              <w:rPr>
                <w:color w:val="000000" w:themeColor="text1"/>
                <w:sz w:val="24"/>
                <w14:textFill>
                  <w14:solidFill>
                    <w14:schemeClr w14:val="tx1"/>
                  </w14:solidFill>
                </w14:textFill>
              </w:rPr>
            </w:pPr>
          </w:p>
          <w:p>
            <w:pPr>
              <w:adjustRightInd w:val="0"/>
              <w:snapToGrid w:val="0"/>
              <w:jc w:val="center"/>
              <w:rPr>
                <w:b/>
                <w:color w:val="000000" w:themeColor="text1"/>
                <w14:textFill>
                  <w14:solidFill>
                    <w14:schemeClr w14:val="tx1"/>
                  </w14:solidFill>
                </w14:textFill>
              </w:rPr>
            </w:pPr>
            <w:r>
              <w:rPr>
                <w:b/>
                <w:color w:val="000000" w:themeColor="text1"/>
                <w14:textFill>
                  <w14:solidFill>
                    <w14:schemeClr w14:val="tx1"/>
                  </w14:solidFill>
                </w14:textFill>
              </w:rPr>
              <w:t>表4-25  项目分区防渗一览表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573"/>
              <w:gridCol w:w="1572"/>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pct"/>
                  <w:tcMar>
                    <w:left w:w="0" w:type="dxa"/>
                    <w:right w:w="0" w:type="dxa"/>
                  </w:tcMar>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分类</w:t>
                  </w:r>
                </w:p>
              </w:tc>
              <w:tc>
                <w:tcPr>
                  <w:tcW w:w="984" w:type="pct"/>
                  <w:tcMar>
                    <w:left w:w="0" w:type="dxa"/>
                    <w:right w:w="0" w:type="dxa"/>
                  </w:tcMar>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区域划分</w:t>
                  </w:r>
                </w:p>
              </w:tc>
              <w:tc>
                <w:tcPr>
                  <w:tcW w:w="983" w:type="pct"/>
                  <w:tcMar>
                    <w:left w:w="0" w:type="dxa"/>
                    <w:right w:w="0" w:type="dxa"/>
                  </w:tcMar>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防渗要求</w:t>
                  </w:r>
                </w:p>
              </w:tc>
              <w:tc>
                <w:tcPr>
                  <w:tcW w:w="2456" w:type="pct"/>
                  <w:tcMar>
                    <w:left w:w="0" w:type="dxa"/>
                    <w:right w:w="0" w:type="dxa"/>
                  </w:tcMar>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防渗措施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pct"/>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重点</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防渗区</w:t>
                  </w:r>
                </w:p>
              </w:tc>
              <w:tc>
                <w:tcPr>
                  <w:tcW w:w="984" w:type="pct"/>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化粪池</w:t>
                  </w:r>
                </w:p>
              </w:tc>
              <w:tc>
                <w:tcPr>
                  <w:tcW w:w="983" w:type="pct"/>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渗透系数K≤10</w:t>
                  </w:r>
                  <w:r>
                    <w:rPr>
                      <w:color w:val="000000" w:themeColor="text1"/>
                      <w:szCs w:val="21"/>
                      <w:vertAlign w:val="superscript"/>
                      <w14:textFill>
                        <w14:solidFill>
                          <w14:schemeClr w14:val="tx1"/>
                        </w14:solidFill>
                      </w14:textFill>
                    </w:rPr>
                    <w:t>-10</w:t>
                  </w:r>
                  <w:r>
                    <w:rPr>
                      <w:color w:val="000000" w:themeColor="text1"/>
                      <w:szCs w:val="21"/>
                      <w14:textFill>
                        <w14:solidFill>
                          <w14:schemeClr w14:val="tx1"/>
                        </w14:solidFill>
                      </w14:textFill>
                    </w:rPr>
                    <w:t xml:space="preserve"> cm/s</w:t>
                  </w:r>
                </w:p>
              </w:tc>
              <w:tc>
                <w:tcPr>
                  <w:tcW w:w="2456" w:type="pct"/>
                  <w:tcMar>
                    <w:left w:w="0" w:type="dxa"/>
                    <w:right w:w="0" w:type="dxa"/>
                  </w:tcMar>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满足《危险废物贮存污染控制标准》（</w:t>
                  </w:r>
                  <w:r>
                    <w:rPr>
                      <w:color w:val="000000" w:themeColor="text1"/>
                      <w:szCs w:val="21"/>
                      <w14:textFill>
                        <w14:solidFill>
                          <w14:schemeClr w14:val="tx1"/>
                        </w14:solidFill>
                      </w14:textFill>
                    </w:rPr>
                    <w:t>GB18597-2023</w:t>
                  </w:r>
                  <w:r>
                    <w:rPr>
                      <w:rFonts w:hint="eastAsia"/>
                      <w:color w:val="000000" w:themeColor="text1"/>
                      <w:szCs w:val="21"/>
                      <w14:textFill>
                        <w14:solidFill>
                          <w14:schemeClr w14:val="tx1"/>
                        </w14:solidFill>
                      </w14:textFill>
                    </w:rPr>
                    <w:t>）中防渗要求：基础必须防渗，防渗层为至少</w:t>
                  </w:r>
                  <w:r>
                    <w:rPr>
                      <w:color w:val="000000" w:themeColor="text1"/>
                      <w:szCs w:val="21"/>
                      <w14:textFill>
                        <w14:solidFill>
                          <w14:schemeClr w14:val="tx1"/>
                        </w14:solidFill>
                      </w14:textFill>
                    </w:rPr>
                    <w:t>1m</w:t>
                  </w:r>
                  <w:r>
                    <w:rPr>
                      <w:rFonts w:hint="eastAsia"/>
                      <w:color w:val="000000" w:themeColor="text1"/>
                      <w:szCs w:val="21"/>
                      <w14:textFill>
                        <w14:solidFill>
                          <w14:schemeClr w14:val="tx1"/>
                        </w14:solidFill>
                      </w14:textFill>
                    </w:rPr>
                    <w:t>厚粘土层（渗透系数</w:t>
                  </w:r>
                  <w:r>
                    <w:rPr>
                      <w:color w:val="000000" w:themeColor="text1"/>
                      <w:szCs w:val="21"/>
                      <w14:textFill>
                        <w14:solidFill>
                          <w14:schemeClr w14:val="tx1"/>
                        </w14:solidFill>
                      </w14:textFill>
                    </w:rPr>
                    <w:t>K≤10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2mm</w:t>
                  </w:r>
                  <w:r>
                    <w:rPr>
                      <w:rFonts w:hint="eastAsia"/>
                      <w:color w:val="000000" w:themeColor="text1"/>
                      <w:szCs w:val="21"/>
                      <w14:textFill>
                        <w14:solidFill>
                          <w14:schemeClr w14:val="tx1"/>
                        </w14:solidFill>
                      </w14:textFill>
                    </w:rPr>
                    <w:t>厚高密度聚乙烯，或至少</w:t>
                  </w:r>
                  <w:r>
                    <w:rPr>
                      <w:color w:val="000000" w:themeColor="text1"/>
                      <w:szCs w:val="21"/>
                      <w14:textFill>
                        <w14:solidFill>
                          <w14:schemeClr w14:val="tx1"/>
                        </w14:solidFill>
                      </w14:textFill>
                    </w:rPr>
                    <w:t>2mm</w:t>
                  </w:r>
                  <w:r>
                    <w:rPr>
                      <w:rFonts w:hint="eastAsia"/>
                      <w:color w:val="000000" w:themeColor="text1"/>
                      <w:szCs w:val="21"/>
                      <w14:textFill>
                        <w14:solidFill>
                          <w14:schemeClr w14:val="tx1"/>
                        </w14:solidFill>
                      </w14:textFill>
                    </w:rPr>
                    <w:t>厚的其它人工材料，渗透系数</w:t>
                  </w:r>
                  <w:r>
                    <w:rPr>
                      <w:color w:val="000000" w:themeColor="text1"/>
                      <w:szCs w:val="21"/>
                      <w14:textFill>
                        <w14:solidFill>
                          <w14:schemeClr w14:val="tx1"/>
                        </w14:solidFill>
                      </w14:textFill>
                    </w:rPr>
                    <w:t>K≤10</w:t>
                  </w:r>
                  <w:r>
                    <w:rPr>
                      <w:color w:val="000000" w:themeColor="text1"/>
                      <w:szCs w:val="21"/>
                      <w:vertAlign w:val="superscript"/>
                      <w14:textFill>
                        <w14:solidFill>
                          <w14:schemeClr w14:val="tx1"/>
                        </w14:solidFill>
                      </w14:textFill>
                    </w:rPr>
                    <w:t>-10</w:t>
                  </w:r>
                  <w:r>
                    <w:rPr>
                      <w:color w:val="000000" w:themeColor="text1"/>
                      <w:szCs w:val="21"/>
                      <w14:textFill>
                        <w14:solidFill>
                          <w14:schemeClr w14:val="tx1"/>
                        </w14:solidFill>
                      </w14:textFill>
                    </w:rPr>
                    <w:t xml:space="preserve"> cm/s</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pct"/>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防渗区</w:t>
                  </w:r>
                </w:p>
              </w:tc>
              <w:tc>
                <w:tcPr>
                  <w:tcW w:w="984" w:type="pct"/>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生产车间、原料仓库</w:t>
                  </w:r>
                </w:p>
              </w:tc>
              <w:tc>
                <w:tcPr>
                  <w:tcW w:w="983" w:type="pct"/>
                  <w:tcMar>
                    <w:left w:w="0" w:type="dxa"/>
                    <w:right w:w="0"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等效黏土防渗层Mb≥1.5m，K≤10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w:t>
                  </w:r>
                </w:p>
              </w:tc>
              <w:tc>
                <w:tcPr>
                  <w:tcW w:w="2456" w:type="pct"/>
                  <w:tcMar>
                    <w:left w:w="0" w:type="dxa"/>
                    <w:right w:w="0" w:type="dxa"/>
                  </w:tcMar>
                  <w:vAlign w:val="center"/>
                </w:tcPr>
                <w:p>
                  <w:pPr>
                    <w:jc w:val="left"/>
                    <w:rPr>
                      <w:color w:val="000000" w:themeColor="text1"/>
                      <w:szCs w:val="21"/>
                      <w14:textFill>
                        <w14:solidFill>
                          <w14:schemeClr w14:val="tx1"/>
                        </w14:solidFill>
                      </w14:textFill>
                    </w:rPr>
                  </w:pPr>
                  <w:r>
                    <w:rPr>
                      <w:rFonts w:hint="eastAsia"/>
                      <w:bCs/>
                      <w:color w:val="000000" w:themeColor="text1"/>
                      <w:kern w:val="24"/>
                      <w:szCs w:val="21"/>
                      <w14:textFill>
                        <w14:solidFill>
                          <w14:schemeClr w14:val="tx1"/>
                        </w14:solidFill>
                      </w14:textFill>
                    </w:rPr>
                    <w:t>采用双层</w:t>
                  </w:r>
                  <w:r>
                    <w:rPr>
                      <w:bCs/>
                      <w:color w:val="000000" w:themeColor="text1"/>
                      <w:kern w:val="24"/>
                      <w:szCs w:val="21"/>
                      <w14:textFill>
                        <w14:solidFill>
                          <w14:schemeClr w14:val="tx1"/>
                        </w14:solidFill>
                      </w14:textFill>
                    </w:rPr>
                    <w:t>厚度不小于1.5mm</w:t>
                  </w:r>
                  <w:r>
                    <w:rPr>
                      <w:rFonts w:hint="eastAsia"/>
                      <w:bCs/>
                      <w:color w:val="000000" w:themeColor="text1"/>
                      <w:kern w:val="24"/>
                      <w:szCs w:val="21"/>
                      <w14:textFill>
                        <w14:solidFill>
                          <w14:schemeClr w14:val="tx1"/>
                        </w14:solidFill>
                      </w14:textFill>
                    </w:rPr>
                    <w:t>的高密度聚乙烯（HDPE）土工膜，厚度不小于0.75m的天然粘土衬层</w:t>
                  </w:r>
                  <w:r>
                    <w:rPr>
                      <w:bCs/>
                      <w:color w:val="000000" w:themeColor="text1"/>
                      <w:kern w:val="24"/>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7" w:type="pct"/>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简单</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防渗区</w:t>
                  </w:r>
                </w:p>
              </w:tc>
              <w:tc>
                <w:tcPr>
                  <w:tcW w:w="984" w:type="pct"/>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办公区</w:t>
                  </w:r>
                </w:p>
              </w:tc>
              <w:tc>
                <w:tcPr>
                  <w:tcW w:w="983" w:type="pct"/>
                  <w:tcMar>
                    <w:left w:w="0" w:type="dxa"/>
                    <w:right w:w="0"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一般地面硬化</w:t>
                  </w:r>
                </w:p>
              </w:tc>
              <w:tc>
                <w:tcPr>
                  <w:tcW w:w="2456" w:type="pct"/>
                  <w:tcMar>
                    <w:left w:w="0" w:type="dxa"/>
                    <w:right w:w="0" w:type="dxa"/>
                  </w:tcMar>
                  <w:vAlign w:val="center"/>
                </w:tcPr>
                <w:p>
                  <w:pPr>
                    <w:jc w:val="left"/>
                    <w:rPr>
                      <w:bCs/>
                      <w:color w:val="000000" w:themeColor="text1"/>
                      <w:kern w:val="24"/>
                      <w:szCs w:val="21"/>
                      <w14:textFill>
                        <w14:solidFill>
                          <w14:schemeClr w14:val="tx1"/>
                        </w14:solidFill>
                      </w14:textFill>
                    </w:rPr>
                  </w:pPr>
                  <w:r>
                    <w:rPr>
                      <w:rFonts w:hint="eastAsia"/>
                      <w:color w:val="000000" w:themeColor="text1"/>
                      <w:szCs w:val="21"/>
                      <w14:textFill>
                        <w14:solidFill>
                          <w14:schemeClr w14:val="tx1"/>
                        </w14:solidFill>
                      </w14:textFill>
                    </w:rPr>
                    <w:t>一般地面硬化</w:t>
                  </w:r>
                </w:p>
              </w:tc>
            </w:tr>
          </w:tbl>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厂区其他区域</w:t>
            </w:r>
            <w:r>
              <w:rPr>
                <w:rFonts w:hint="eastAsia"/>
                <w:color w:val="000000" w:themeColor="text1"/>
                <w:sz w:val="24"/>
                <w14:textFill>
                  <w14:solidFill>
                    <w14:schemeClr w14:val="tx1"/>
                  </w14:solidFill>
                </w14:textFill>
              </w:rPr>
              <w:t>已</w:t>
            </w:r>
            <w:r>
              <w:rPr>
                <w:color w:val="000000" w:themeColor="text1"/>
                <w:sz w:val="24"/>
                <w14:textFill>
                  <w14:solidFill>
                    <w14:schemeClr w14:val="tx1"/>
                  </w14:solidFill>
                </w14:textFill>
              </w:rPr>
              <w:t>全部进行混凝土硬化处理。</w:t>
            </w:r>
            <w:r>
              <w:rPr>
                <w:rFonts w:hint="eastAsia"/>
                <w:color w:val="000000" w:themeColor="text1"/>
                <w:sz w:val="24"/>
                <w14:textFill>
                  <w14:solidFill>
                    <w14:schemeClr w14:val="tx1"/>
                  </w14:solidFill>
                </w14:textFill>
              </w:rPr>
              <w:t>本项目需对</w:t>
            </w:r>
            <w:r>
              <w:rPr>
                <w:rFonts w:hint="eastAsia"/>
                <w:bCs/>
                <w:color w:val="000000" w:themeColor="text1"/>
                <w:sz w:val="24"/>
                <w14:textFill>
                  <w14:solidFill>
                    <w14:schemeClr w14:val="tx1"/>
                  </w14:solidFill>
                </w14:textFill>
              </w:rPr>
              <w:t>化粪池按</w:t>
            </w:r>
            <w:r>
              <w:rPr>
                <w:bCs/>
                <w:color w:val="000000" w:themeColor="text1"/>
                <w:sz w:val="24"/>
                <w14:textFill>
                  <w14:solidFill>
                    <w14:schemeClr w14:val="tx1"/>
                  </w14:solidFill>
                </w14:textFill>
              </w:rPr>
              <w:t>重点防渗</w:t>
            </w:r>
            <w:r>
              <w:rPr>
                <w:rFonts w:hint="eastAsia"/>
                <w:bCs/>
                <w:color w:val="000000" w:themeColor="text1"/>
                <w:sz w:val="24"/>
                <w14:textFill>
                  <w14:solidFill>
                    <w14:schemeClr w14:val="tx1"/>
                  </w14:solidFill>
                </w14:textFill>
              </w:rPr>
              <w:t>要求</w:t>
            </w:r>
            <w:r>
              <w:rPr>
                <w:color w:val="000000" w:themeColor="text1"/>
                <w:sz w:val="24"/>
                <w14:textFill>
                  <w14:solidFill>
                    <w14:schemeClr w14:val="tx1"/>
                  </w14:solidFill>
                </w14:textFill>
              </w:rPr>
              <w:t>进行防腐、防渗、防雨处理。</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重点防渗</w:t>
            </w:r>
            <w:r>
              <w:rPr>
                <w:color w:val="000000" w:themeColor="text1"/>
                <w:kern w:val="0"/>
                <w:sz w:val="24"/>
                <w14:textFill>
                  <w14:solidFill>
                    <w14:schemeClr w14:val="tx1"/>
                  </w14:solidFill>
                </w14:textFill>
              </w:rPr>
              <w:t>措施应满足《环境影响评价技术导则 地下水环境》（HJ610-2016）中重点防渗措施中“等效黏土防渗层Mb≥6.0m，K≤10</w:t>
            </w:r>
            <w:r>
              <w:rPr>
                <w:color w:val="000000" w:themeColor="text1"/>
                <w:kern w:val="0"/>
                <w:sz w:val="24"/>
                <w:vertAlign w:val="superscript"/>
                <w14:textFill>
                  <w14:solidFill>
                    <w14:schemeClr w14:val="tx1"/>
                  </w14:solidFill>
                </w14:textFill>
              </w:rPr>
              <w:t>-7</w:t>
            </w:r>
            <w:r>
              <w:rPr>
                <w:color w:val="000000" w:themeColor="text1"/>
                <w:kern w:val="0"/>
                <w:sz w:val="24"/>
                <w14:textFill>
                  <w14:solidFill>
                    <w14:schemeClr w14:val="tx1"/>
                  </w14:solidFill>
                </w14:textFill>
              </w:rPr>
              <w:t>cm/s；或参照GB18597 执行”中相关要</w:t>
            </w:r>
            <w:r>
              <w:rPr>
                <w:color w:val="000000" w:themeColor="text1"/>
                <w:kern w:val="0"/>
                <w:sz w:val="24"/>
                <w14:textFill>
                  <w14:solidFill>
                    <w14:schemeClr w14:val="tx1"/>
                  </w14:solidFill>
                </w14:textFill>
              </w:rPr>
              <w:t>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一般防渗区</w:t>
            </w:r>
            <w:r>
              <w:rPr>
                <w:color w:val="000000" w:themeColor="text1"/>
                <w:sz w:val="24"/>
                <w14:textFill>
                  <w14:solidFill>
                    <w14:schemeClr w14:val="tx1"/>
                  </w14:solidFill>
                </w14:textFill>
              </w:rPr>
              <w:t>采用混凝土浇注硬化，防渗性能应相当于渗透系数 1.0×10</w:t>
            </w:r>
            <w:r>
              <w:rPr>
                <w:color w:val="000000" w:themeColor="text1"/>
                <w:sz w:val="24"/>
                <w:vertAlign w:val="superscript"/>
                <w14:textFill>
                  <w14:solidFill>
                    <w14:schemeClr w14:val="tx1"/>
                  </w14:solidFill>
                </w14:textFill>
              </w:rPr>
              <w:t xml:space="preserve">-7 </w:t>
            </w:r>
            <w:r>
              <w:rPr>
                <w:color w:val="000000" w:themeColor="text1"/>
                <w:sz w:val="24"/>
                <w14:textFill>
                  <w14:solidFill>
                    <w14:schemeClr w14:val="tx1"/>
                  </w14:solidFill>
                </w14:textFill>
              </w:rPr>
              <w:t>cm/s和厚度1.5mm的粘土层的防渗性能</w:t>
            </w:r>
            <w:r>
              <w:rPr>
                <w:rFonts w:hint="eastAsia"/>
                <w:color w:val="000000" w:themeColor="text1"/>
                <w:sz w:val="24"/>
                <w14:textFill>
                  <w14:solidFill>
                    <w14:schemeClr w14:val="tx1"/>
                  </w14:solidFill>
                </w14:textFill>
              </w:rPr>
              <w:t>。</w:t>
            </w:r>
          </w:p>
          <w:p>
            <w:pPr>
              <w:adjustRightInd w:val="0"/>
              <w:snapToGrid w:val="0"/>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地下水污染监控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建设单位应定期委托有资质机构对项目内的地下水进行分析，以了解该区域地下水的水质情况。具体监测要求见环境管理与监测计划章节相关内容。同时，应对各污染防治区域尤其是重点污染防治区域进行定期检查，如发现泄漏或发生事，应及时确定泄漏污染源，并采取应急措施。 </w:t>
            </w:r>
          </w:p>
          <w:p>
            <w:pPr>
              <w:adjustRightInd w:val="0"/>
              <w:snapToGrid w:val="0"/>
              <w:spacing w:line="360" w:lineRule="auto"/>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地下水环境</w:t>
            </w:r>
            <w:r>
              <w:rPr>
                <w:rFonts w:hint="eastAsia"/>
                <w:color w:val="000000" w:themeColor="text1"/>
                <w:sz w:val="24"/>
                <w14:textFill>
                  <w14:solidFill>
                    <w14:schemeClr w14:val="tx1"/>
                  </w14:solidFill>
                </w14:textFill>
              </w:rPr>
              <w:t>防治</w:t>
            </w:r>
            <w:r>
              <w:rPr>
                <w:color w:val="000000" w:themeColor="text1"/>
                <w:sz w:val="24"/>
                <w14:textFill>
                  <w14:solidFill>
                    <w14:schemeClr w14:val="tx1"/>
                  </w14:solidFill>
                </w14:textFill>
              </w:rPr>
              <w:t>管理</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color w:val="000000" w:themeColor="text1"/>
                <w:sz w:val="24"/>
                <w14:textFill>
                  <w14:solidFill>
                    <w14:schemeClr w14:val="tx1"/>
                  </w14:solidFill>
                </w14:textFill>
              </w:rPr>
              <w:t>应设置完善的物料计量和监控设施，统计物料进出量及贮存量，以便核查可能存在的泄漏源。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在项目投产后，加强现场巡查，特别是在卫生清理、下雨地面水量较大时，重点检查有无渗漏情况（如地面有气泡现象）。若发现问题，及时分析原因，找到泄漏点制定整改措施，尽快修补，确保防腐防渗层的完整性。</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在采取以上防渗措施后，可有效防止和避免项目对地下水和土壤之污染的发生。</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正常情况下，对地下水的污染主要是由于污染物迁移穿过包气带进入含水层造成。项目相关场地已采取了有效的防渗措施，污染物不会很快穿过包气带进入浅层地下水，项目废水污染物排放对地下水的潜在影响及威胁较小。</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在采取以上防渗措施后，可有效防止和避免项目对地下水和土壤之污染的发生。</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由污染途径及对应措施分析可知，本项目对可能产生地下水影响的各项途径均需进行有效预防，在确保各项防渗措施得以落实，并加强维护和厂区环境管理的前提下，可有效控制厂区内的废水污染物下渗现象，避免污染地下水，因此项目不会对区域地下水环境产生明显影响。</w:t>
            </w:r>
          </w:p>
          <w:p>
            <w:pPr>
              <w:rPr>
                <w:color w:val="000000" w:themeColor="text1"/>
                <w:sz w:val="24"/>
                <w14:textFill>
                  <w14:solidFill>
                    <w14:schemeClr w14:val="tx1"/>
                  </w14:solidFill>
                </w14:textFill>
              </w:rPr>
            </w:pPr>
          </w:p>
          <w:p>
            <w:pPr>
              <w:pStyle w:val="30"/>
              <w:spacing w:line="360" w:lineRule="auto"/>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6</w:t>
            </w:r>
            <w:r>
              <w:rPr>
                <w:rFonts w:hint="eastAsia" w:ascii="Times New Roman" w:cs="Times New Roman"/>
                <w:b/>
                <w:bCs/>
                <w:color w:val="000000" w:themeColor="text1"/>
                <w14:textFill>
                  <w14:solidFill>
                    <w14:schemeClr w14:val="tx1"/>
                  </w14:solidFill>
                </w14:textFill>
              </w:rPr>
              <w:t>、土壤环境影响分析</w:t>
            </w:r>
          </w:p>
          <w:p>
            <w:pPr>
              <w:pStyle w:val="7"/>
              <w:widowControl/>
              <w:spacing w:before="0" w:after="0" w:line="360" w:lineRule="auto"/>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w:t>
            </w:r>
            <w:r>
              <w:rPr>
                <w:rFonts w:hint="eastAsia" w:ascii="Times New Roman" w:hAnsi="Times New Roman"/>
                <w:color w:val="000000" w:themeColor="text1"/>
                <w:kern w:val="0"/>
                <w:sz w:val="24"/>
                <w:szCs w:val="24"/>
                <w14:textFill>
                  <w14:solidFill>
                    <w14:schemeClr w14:val="tx1"/>
                  </w14:solidFill>
                </w14:textFill>
              </w:rPr>
              <w:t>1</w:t>
            </w:r>
            <w:r>
              <w:rPr>
                <w:rFonts w:ascii="Times New Roman" w:hAnsi="Times New Roman"/>
                <w:color w:val="000000" w:themeColor="text1"/>
                <w:kern w:val="0"/>
                <w:sz w:val="24"/>
                <w:szCs w:val="24"/>
                <w14:textFill>
                  <w14:solidFill>
                    <w14:schemeClr w14:val="tx1"/>
                  </w14:solidFill>
                </w14:textFill>
              </w:rPr>
              <w:t xml:space="preserve">环境影响识别 </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 xml:space="preserve">1）项目类别 </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根据《环境影响评价技术导则 土壤环境（试行）》（HJ964-2018）附表A.1，</w:t>
            </w:r>
            <w:r>
              <w:rPr>
                <w:color w:val="000000" w:themeColor="text1"/>
                <w:sz w:val="24"/>
                <w14:textFill>
                  <w14:solidFill>
                    <w14:schemeClr w14:val="tx1"/>
                  </w14:solidFill>
                </w14:textFill>
              </w:rPr>
              <w:t>本项目为</w:t>
            </w:r>
            <w:r>
              <w:rPr>
                <w:rFonts w:hint="eastAsia"/>
                <w:color w:val="000000" w:themeColor="text1"/>
                <w:sz w:val="24"/>
                <w14:textFill>
                  <w14:solidFill>
                    <w14:schemeClr w14:val="tx1"/>
                  </w14:solidFill>
                </w14:textFill>
              </w:rPr>
              <w:t>机制炭</w:t>
            </w:r>
            <w:r>
              <w:rPr>
                <w:color w:val="000000" w:themeColor="text1"/>
                <w:sz w:val="24"/>
                <w14:textFill>
                  <w14:solidFill>
                    <w14:schemeClr w14:val="tx1"/>
                  </w14:solidFill>
                </w14:textFill>
              </w:rPr>
              <w:t>制造</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，属于污染影响型项目，根据《环境影响评价技术导则 土壤环境》（HJ 964-2018）附录表A.1，本项目属于</w:t>
            </w:r>
            <w:r>
              <w:rPr>
                <w:rFonts w:hint="eastAsia"/>
                <w:color w:val="000000" w:themeColor="text1"/>
                <w:sz w:val="24"/>
                <w14:textFill>
                  <w14:solidFill>
                    <w14:schemeClr w14:val="tx1"/>
                  </w14:solidFill>
                </w14:textFill>
              </w:rPr>
              <w:t>环境和公共设施管理业</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废旧资源加工再利用项目</w:t>
            </w:r>
            <w:r>
              <w:rPr>
                <w:color w:val="000000" w:themeColor="text1"/>
                <w:sz w:val="24"/>
                <w14:textFill>
                  <w14:solidFill>
                    <w14:schemeClr w14:val="tx1"/>
                  </w14:solidFill>
                </w14:textFill>
              </w:rPr>
              <w:t>，土壤环境影响评价项目类别为Ⅲ类</w:t>
            </w:r>
            <w:r>
              <w:rPr>
                <w:color w:val="000000" w:themeColor="text1"/>
                <w:sz w:val="24"/>
                <w:lang w:bidi="ar"/>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2）影响类型途径</w:t>
            </w:r>
          </w:p>
          <w:p>
            <w:pPr>
              <w:adjustRightInd w:val="0"/>
              <w:snapToGrid w:val="0"/>
              <w:spacing w:line="360" w:lineRule="auto"/>
              <w:ind w:firstLine="480" w:firstLineChars="200"/>
              <w:rPr>
                <w:color w:val="000000" w:themeColor="text1"/>
                <w:sz w:val="24"/>
                <w:lang w:bidi="ar"/>
                <w14:textFill>
                  <w14:solidFill>
                    <w14:schemeClr w14:val="tx1"/>
                  </w14:solidFill>
                </w14:textFill>
              </w:rPr>
            </w:pPr>
            <w:r>
              <w:rPr>
                <w:color w:val="000000" w:themeColor="text1"/>
                <w:sz w:val="24"/>
                <w:lang w:bidi="ar"/>
                <w14:textFill>
                  <w14:solidFill>
                    <w14:schemeClr w14:val="tx1"/>
                  </w14:solidFill>
                </w14:textFill>
              </w:rPr>
              <w:t>营运期主要涉及颗粒物、</w:t>
            </w:r>
            <w:r>
              <w:rPr>
                <w:rFonts w:hint="eastAsia"/>
                <w:color w:val="000000" w:themeColor="text1"/>
                <w:sz w:val="24"/>
                <w:lang w:bidi="ar"/>
                <w14:textFill>
                  <w14:solidFill>
                    <w14:schemeClr w14:val="tx1"/>
                  </w14:solidFill>
                </w14:textFill>
              </w:rPr>
              <w:t>二氧化硫、氮氧化物</w:t>
            </w:r>
            <w:r>
              <w:rPr>
                <w:color w:val="000000" w:themeColor="text1"/>
                <w:sz w:val="24"/>
                <w:lang w:bidi="ar"/>
                <w14:textFill>
                  <w14:solidFill>
                    <w14:schemeClr w14:val="tx1"/>
                  </w14:solidFill>
                </w14:textFill>
              </w:rPr>
              <w:t>等外排对土壤有大气沉降影响；项目不会造成废水地面漫流影响。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拟建项目影响途径主要为运营期大气沉降污染和垂直入渗污染，因此项目土壤污染环境影响类型为“污染影响型”。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3）影响源及影响</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项目土壤环境影响源及影响因子识别结果见下表</w:t>
            </w:r>
            <w:r>
              <w:rPr>
                <w:rFonts w:hint="eastAsia"/>
                <w:color w:val="000000" w:themeColor="text1"/>
                <w:sz w:val="24"/>
                <w:lang w:bidi="ar"/>
                <w14:textFill>
                  <w14:solidFill>
                    <w14:schemeClr w14:val="tx1"/>
                  </w14:solidFill>
                </w14:textFill>
              </w:rPr>
              <w:t>4-</w:t>
            </w:r>
            <w:r>
              <w:rPr>
                <w:color w:val="000000" w:themeColor="text1"/>
                <w:sz w:val="24"/>
                <w:lang w:bidi="ar"/>
                <w14:textFill>
                  <w14:solidFill>
                    <w14:schemeClr w14:val="tx1"/>
                  </w14:solidFill>
                </w14:textFill>
              </w:rPr>
              <w:t>26。</w:t>
            </w:r>
          </w:p>
          <w:p>
            <w:pPr>
              <w:spacing w:line="360" w:lineRule="auto"/>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表</w:t>
            </w:r>
            <w:r>
              <w:rPr>
                <w:rFonts w:hint="eastAsia"/>
                <w:b/>
                <w:color w:val="000000" w:themeColor="text1"/>
                <w:szCs w:val="21"/>
                <w:lang w:bidi="ar"/>
                <w14:textFill>
                  <w14:solidFill>
                    <w14:schemeClr w14:val="tx1"/>
                  </w14:solidFill>
                </w14:textFill>
              </w:rPr>
              <w:t>4-</w:t>
            </w:r>
            <w:r>
              <w:rPr>
                <w:b/>
                <w:color w:val="000000" w:themeColor="text1"/>
                <w:szCs w:val="21"/>
                <w:lang w:bidi="ar"/>
                <w14:textFill>
                  <w14:solidFill>
                    <w14:schemeClr w14:val="tx1"/>
                  </w14:solidFill>
                </w14:textFill>
              </w:rPr>
              <w:t>26   土壤环境影响源及影响因子识别表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432"/>
              <w:gridCol w:w="1034"/>
              <w:gridCol w:w="1504"/>
              <w:gridCol w:w="1593"/>
              <w:gridCol w:w="13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0"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污染源</w:t>
                  </w:r>
                </w:p>
              </w:tc>
              <w:tc>
                <w:tcPr>
                  <w:tcW w:w="1432"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工艺流程/节点</w:t>
                  </w:r>
                </w:p>
              </w:tc>
              <w:tc>
                <w:tcPr>
                  <w:tcW w:w="1034"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污染途径</w:t>
                  </w:r>
                </w:p>
              </w:tc>
              <w:tc>
                <w:tcPr>
                  <w:tcW w:w="1504"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全部污染指标</w:t>
                  </w:r>
                </w:p>
              </w:tc>
              <w:tc>
                <w:tcPr>
                  <w:tcW w:w="1593"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特征因子</w:t>
                  </w:r>
                </w:p>
              </w:tc>
              <w:tc>
                <w:tcPr>
                  <w:tcW w:w="1324" w:type="dxa"/>
                  <w:vAlign w:val="center"/>
                </w:tcPr>
                <w:p>
                  <w:pPr>
                    <w:spacing w:line="24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0" w:type="dxa"/>
                  <w:vAlign w:val="center"/>
                </w:tcPr>
                <w:p>
                  <w:pPr>
                    <w:spacing w:line="240" w:lineRule="exact"/>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生产车间</w:t>
                  </w:r>
                </w:p>
              </w:tc>
              <w:tc>
                <w:tcPr>
                  <w:tcW w:w="1432" w:type="dxa"/>
                  <w:vAlign w:val="center"/>
                </w:tcPr>
                <w:p>
                  <w:pPr>
                    <w:spacing w:line="240" w:lineRule="exact"/>
                    <w:jc w:val="center"/>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炭化、破碎</w:t>
                  </w:r>
                </w:p>
              </w:tc>
              <w:tc>
                <w:tcPr>
                  <w:tcW w:w="1034" w:type="dxa"/>
                  <w:vAlign w:val="center"/>
                </w:tcPr>
                <w:p>
                  <w:pPr>
                    <w:spacing w:line="240" w:lineRule="exact"/>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大气沉降</w:t>
                  </w:r>
                </w:p>
              </w:tc>
              <w:tc>
                <w:tcPr>
                  <w:tcW w:w="1504" w:type="dxa"/>
                  <w:vAlign w:val="center"/>
                </w:tcPr>
                <w:p>
                  <w:pPr>
                    <w:spacing w:line="240" w:lineRule="exact"/>
                    <w:jc w:val="center"/>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颗粒物、S</w:t>
                  </w:r>
                  <w:r>
                    <w:rPr>
                      <w:color w:val="000000" w:themeColor="text1"/>
                      <w:szCs w:val="21"/>
                      <w:lang w:bidi="ar"/>
                      <w14:textFill>
                        <w14:solidFill>
                          <w14:schemeClr w14:val="tx1"/>
                        </w14:solidFill>
                      </w14:textFill>
                    </w:rPr>
                    <w:t>O</w:t>
                  </w:r>
                  <w:r>
                    <w:rPr>
                      <w:color w:val="000000" w:themeColor="text1"/>
                      <w:szCs w:val="21"/>
                      <w:vertAlign w:val="subscript"/>
                      <w:lang w:bidi="ar"/>
                      <w14:textFill>
                        <w14:solidFill>
                          <w14:schemeClr w14:val="tx1"/>
                        </w14:solidFill>
                      </w14:textFill>
                    </w:rPr>
                    <w:t>2</w:t>
                  </w:r>
                  <w:r>
                    <w:rPr>
                      <w:color w:val="000000" w:themeColor="text1"/>
                      <w:szCs w:val="21"/>
                      <w:lang w:bidi="ar"/>
                      <w14:textFill>
                        <w14:solidFill>
                          <w14:schemeClr w14:val="tx1"/>
                        </w14:solidFill>
                      </w14:textFill>
                    </w:rPr>
                    <w:t xml:space="preserve"> NO</w:t>
                  </w:r>
                  <w:r>
                    <w:rPr>
                      <w:rFonts w:hint="eastAsia"/>
                      <w:color w:val="000000" w:themeColor="text1"/>
                      <w:szCs w:val="21"/>
                      <w:lang w:bidi="ar"/>
                      <w14:textFill>
                        <w14:solidFill>
                          <w14:schemeClr w14:val="tx1"/>
                        </w14:solidFill>
                      </w14:textFill>
                    </w:rPr>
                    <w:t>x</w:t>
                  </w:r>
                </w:p>
              </w:tc>
              <w:tc>
                <w:tcPr>
                  <w:tcW w:w="1593" w:type="dxa"/>
                  <w:vAlign w:val="center"/>
                </w:tcPr>
                <w:p>
                  <w:pPr>
                    <w:spacing w:line="240" w:lineRule="exact"/>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w:t>
                  </w:r>
                </w:p>
              </w:tc>
              <w:tc>
                <w:tcPr>
                  <w:tcW w:w="1324" w:type="dxa"/>
                  <w:vAlign w:val="center"/>
                </w:tcPr>
                <w:p>
                  <w:pPr>
                    <w:spacing w:line="240" w:lineRule="exact"/>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正常工况</w:t>
                  </w:r>
                </w:p>
              </w:tc>
            </w:tr>
          </w:tbl>
          <w:p>
            <w:pPr>
              <w:pStyle w:val="7"/>
              <w:widowControl/>
              <w:spacing w:before="0" w:after="0" w:line="360" w:lineRule="auto"/>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6.2</w:t>
            </w:r>
            <w:r>
              <w:rPr>
                <w:rFonts w:ascii="Times New Roman" w:hAnsi="Times New Roman"/>
                <w:color w:val="000000" w:themeColor="text1"/>
                <w:kern w:val="0"/>
                <w:sz w:val="24"/>
                <w:szCs w:val="24"/>
                <w14:textFill>
                  <w14:solidFill>
                    <w14:schemeClr w14:val="tx1"/>
                  </w14:solidFill>
                </w14:textFill>
              </w:rPr>
              <w:t>土壤环境影响</w:t>
            </w:r>
            <w:r>
              <w:rPr>
                <w:rFonts w:hint="eastAsia" w:ascii="Times New Roman" w:hAnsi="Times New Roman"/>
                <w:color w:val="000000" w:themeColor="text1"/>
                <w:kern w:val="0"/>
                <w:sz w:val="24"/>
                <w:szCs w:val="24"/>
                <w14:textFill>
                  <w14:solidFill>
                    <w14:schemeClr w14:val="tx1"/>
                  </w14:solidFill>
                </w14:textFill>
              </w:rPr>
              <w:t>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 xml:space="preserve">1）大气沉降影响分析 </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本项目产生的废气主要涉及颗粒物</w:t>
            </w:r>
            <w:r>
              <w:rPr>
                <w:rFonts w:hint="eastAsia"/>
                <w:color w:val="000000" w:themeColor="text1"/>
                <w:sz w:val="24"/>
                <w:lang w:bidi="ar"/>
                <w14:textFill>
                  <w14:solidFill>
                    <w14:schemeClr w14:val="tx1"/>
                  </w14:solidFill>
                </w14:textFill>
              </w:rPr>
              <w:t>、S</w:t>
            </w:r>
            <w:r>
              <w:rPr>
                <w:color w:val="000000" w:themeColor="text1"/>
                <w:sz w:val="24"/>
                <w:lang w:bidi="ar"/>
                <w14:textFill>
                  <w14:solidFill>
                    <w14:schemeClr w14:val="tx1"/>
                  </w14:solidFill>
                </w14:textFill>
              </w:rPr>
              <w:t>O</w:t>
            </w:r>
            <w:r>
              <w:rPr>
                <w:color w:val="000000" w:themeColor="text1"/>
                <w:sz w:val="24"/>
                <w:vertAlign w:val="subscript"/>
                <w:lang w:bidi="ar"/>
                <w14:textFill>
                  <w14:solidFill>
                    <w14:schemeClr w14:val="tx1"/>
                  </w14:solidFill>
                </w14:textFill>
              </w:rPr>
              <w:t>2</w:t>
            </w:r>
            <w:r>
              <w:rPr>
                <w:color w:val="000000" w:themeColor="text1"/>
                <w:sz w:val="24"/>
                <w:lang w:bidi="ar"/>
                <w14:textFill>
                  <w14:solidFill>
                    <w14:schemeClr w14:val="tx1"/>
                  </w14:solidFill>
                </w14:textFill>
              </w:rPr>
              <w:t xml:space="preserve"> </w:t>
            </w:r>
            <w:r>
              <w:rPr>
                <w:rFonts w:hint="eastAsia"/>
                <w:color w:val="000000" w:themeColor="text1"/>
                <w:sz w:val="24"/>
                <w:lang w:bidi="ar"/>
                <w14:textFill>
                  <w14:solidFill>
                    <w14:schemeClr w14:val="tx1"/>
                  </w14:solidFill>
                </w14:textFill>
              </w:rPr>
              <w:t>、</w:t>
            </w:r>
            <w:r>
              <w:rPr>
                <w:color w:val="000000" w:themeColor="text1"/>
                <w:sz w:val="24"/>
                <w:lang w:bidi="ar"/>
                <w14:textFill>
                  <w14:solidFill>
                    <w14:schemeClr w14:val="tx1"/>
                  </w14:solidFill>
                </w14:textFill>
              </w:rPr>
              <w:t>NO</w:t>
            </w:r>
            <w:r>
              <w:rPr>
                <w:rFonts w:hint="eastAsia"/>
                <w:color w:val="000000" w:themeColor="text1"/>
                <w:sz w:val="24"/>
                <w:lang w:bidi="ar"/>
                <w14:textFill>
                  <w14:solidFill>
                    <w14:schemeClr w14:val="tx1"/>
                  </w14:solidFill>
                </w14:textFill>
              </w:rPr>
              <w:t>x，</w:t>
            </w:r>
            <w:r>
              <w:rPr>
                <w:color w:val="000000" w:themeColor="text1"/>
                <w:sz w:val="24"/>
                <w:lang w:bidi="ar"/>
                <w14:textFill>
                  <w14:solidFill>
                    <w14:schemeClr w14:val="tx1"/>
                  </w14:solidFill>
                </w14:textFill>
              </w:rPr>
              <w:t xml:space="preserve">且根据工程分析，项目产生的废气均处理达标后排放，排放量较少，因此，因大气沉降对土壤环境影响较小。 </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正常工况下，项目</w:t>
            </w:r>
            <w:r>
              <w:rPr>
                <w:rFonts w:hint="eastAsia"/>
                <w:color w:val="000000" w:themeColor="text1"/>
                <w:sz w:val="24"/>
                <w:lang w:bidi="ar"/>
                <w14:textFill>
                  <w14:solidFill>
                    <w14:schemeClr w14:val="tx1"/>
                  </w14:solidFill>
                </w14:textFill>
              </w:rPr>
              <w:t>用地范围内均采取重点</w:t>
            </w:r>
            <w:r>
              <w:rPr>
                <w:color w:val="000000" w:themeColor="text1"/>
                <w:sz w:val="24"/>
                <w:lang w:bidi="ar"/>
                <w14:textFill>
                  <w14:solidFill>
                    <w14:schemeClr w14:val="tx1"/>
                  </w14:solidFill>
                </w14:textFill>
              </w:rPr>
              <w:t>防渗、对固体废弃物进行管理等防渗漏、防溢流措施，不会对土壤环境造成污染。非正常工况下，由于发生物料泄漏、下渗对土壤环境可能会造成一定影响。</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bidi="ar"/>
                <w14:textFill>
                  <w14:solidFill>
                    <w14:schemeClr w14:val="tx1"/>
                  </w14:solidFill>
                </w14:textFill>
              </w:rPr>
              <w:t>泄漏事故发生后，项目所在区域</w:t>
            </w:r>
            <w:r>
              <w:rPr>
                <w:rFonts w:hint="eastAsia"/>
                <w:color w:val="000000" w:themeColor="text1"/>
                <w:sz w:val="24"/>
                <w:lang w:bidi="ar"/>
                <w14:textFill>
                  <w14:solidFill>
                    <w14:schemeClr w14:val="tx1"/>
                  </w14:solidFill>
                </w14:textFill>
              </w:rPr>
              <w:t>地面均做了硬化</w:t>
            </w:r>
            <w:r>
              <w:rPr>
                <w:color w:val="000000" w:themeColor="text1"/>
                <w:sz w:val="24"/>
                <w:lang w:bidi="ar"/>
                <w14:textFill>
                  <w14:solidFill>
                    <w14:schemeClr w14:val="tx1"/>
                  </w14:solidFill>
                </w14:textFill>
              </w:rPr>
              <w:t>，污染物的迁移较慢，如发生持续泄漏，污染物不断向外扩散，对周边土壤环境造成不利影响。综上，若不采取防渗措施，或者措施收到损坏，污染源在较长时间泄漏的情况下会对评价区范围内的土壤造成影响。因此建设单位应当采取相应防渗、防溢流等措施，减免污染源对评价范围内的土壤环境造成不良影响。</w:t>
            </w:r>
          </w:p>
          <w:p>
            <w:pPr>
              <w:pStyle w:val="4"/>
              <w:rPr>
                <w:rFonts w:eastAsia="宋体"/>
                <w:color w:val="000000" w:themeColor="text1"/>
                <w:kern w:val="0"/>
                <w:sz w:val="24"/>
                <w:szCs w:val="24"/>
                <w14:textFill>
                  <w14:solidFill>
                    <w14:schemeClr w14:val="tx1"/>
                  </w14:solidFill>
                </w14:textFill>
              </w:rPr>
            </w:pPr>
            <w:r>
              <w:rPr>
                <w:rFonts w:hint="eastAsia" w:eastAsia="宋体"/>
                <w:color w:val="000000" w:themeColor="text1"/>
                <w:kern w:val="0"/>
                <w:sz w:val="24"/>
                <w:szCs w:val="24"/>
                <w14:textFill>
                  <w14:solidFill>
                    <w14:schemeClr w14:val="tx1"/>
                  </w14:solidFill>
                </w14:textFill>
              </w:rPr>
              <w:t>6</w:t>
            </w:r>
            <w:r>
              <w:rPr>
                <w:rFonts w:eastAsia="宋体"/>
                <w:color w:val="000000" w:themeColor="text1"/>
                <w:kern w:val="0"/>
                <w:sz w:val="24"/>
                <w:szCs w:val="24"/>
                <w14:textFill>
                  <w14:solidFill>
                    <w14:schemeClr w14:val="tx1"/>
                  </w14:solidFill>
                </w14:textFill>
              </w:rPr>
              <w:t xml:space="preserve">.3 </w:t>
            </w:r>
            <w:r>
              <w:rPr>
                <w:rFonts w:hint="eastAsia" w:eastAsia="宋体"/>
                <w:color w:val="000000" w:themeColor="text1"/>
                <w:kern w:val="0"/>
                <w:sz w:val="24"/>
                <w:szCs w:val="24"/>
                <w14:textFill>
                  <w14:solidFill>
                    <w14:schemeClr w14:val="tx1"/>
                  </w14:solidFill>
                </w14:textFill>
              </w:rPr>
              <w:t>土壤污染防控措施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根据《环境影响评价技术导则土壤环境》（HJ964-2018）要求，为减小项目对土壤的污染，拟建项目应采取以下防治措施：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1、源头控制</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控制拟建项目污染物的排放。大力推广闭路循环、清洁工艺，以减少污染物；控制污染物排放的数量和浓度，使之符合排放标准和总量控制要求。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2、过程防控</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（1）厂区内设事故水池，事故状态下产生的事故废水暂贮存于事故水池；</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（2）做好设备的维护、检修，杜绝跑、冒、滴、漏现象，同时，加强污染物产生主要环节的安全防护、报警措施，以便及时发现事故隐患，采取有效的应对措施；</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（3）厂区内全部采用水泥抹面，涉及物料储存的</w:t>
            </w:r>
            <w:r>
              <w:rPr>
                <w:rFonts w:hint="eastAsia"/>
                <w:color w:val="000000" w:themeColor="text1"/>
                <w:sz w:val="24"/>
                <w14:textFill>
                  <w14:solidFill>
                    <w14:schemeClr w14:val="tx1"/>
                  </w14:solidFill>
                </w14:textFill>
              </w:rPr>
              <w:t>原料</w:t>
            </w:r>
            <w:r>
              <w:rPr>
                <w:color w:val="000000" w:themeColor="text1"/>
                <w:sz w:val="24"/>
                <w14:textFill>
                  <w14:solidFill>
                    <w14:schemeClr w14:val="tx1"/>
                  </w14:solidFill>
                </w14:textFill>
              </w:rPr>
              <w:t>仓库、污水处理站、生产车间等需做好防渗措施，污染防治措施均采取严格的硬化及防渗处理。生产过程中的各种物料及污染物均与天然土壤隔离，不会通过裸露区渗入到土壤中。</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w:t>
            </w:r>
            <w:r>
              <w:rPr>
                <w:color w:val="000000" w:themeColor="text1"/>
                <w:sz w:val="24"/>
                <w14:textFill>
                  <w14:solidFill>
                    <w14:schemeClr w14:val="tx1"/>
                  </w14:solidFill>
                </w14:textFill>
              </w:rPr>
              <w:t>之，企业要加强污染物源头控制措施，切实做好建设项目的事故风险防范措施施，做好厂内的地面硬化、防渗并加强维护，则对土壤环境影响不大。</w:t>
            </w:r>
          </w:p>
          <w:p>
            <w:pPr>
              <w:pStyle w:val="30"/>
              <w:spacing w:line="360" w:lineRule="auto"/>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7</w:t>
            </w:r>
            <w:r>
              <w:rPr>
                <w:rFonts w:hint="eastAsia" w:ascii="Times New Roman" w:cs="Times New Roman"/>
                <w:b/>
                <w:bCs/>
                <w:color w:val="000000" w:themeColor="text1"/>
                <w14:textFill>
                  <w14:solidFill>
                    <w14:schemeClr w14:val="tx1"/>
                  </w14:solidFill>
                </w14:textFill>
              </w:rPr>
              <w:t>、生态环境</w:t>
            </w:r>
          </w:p>
          <w:p>
            <w:pPr>
              <w:pStyle w:val="30"/>
              <w:spacing w:line="360" w:lineRule="auto"/>
              <w:ind w:firstLine="480" w:firstLineChars="200"/>
              <w:rPr>
                <w:rFonts w:ascii="Times New Roman" w:cs="Times New Roman"/>
                <w:b/>
                <w:bCs/>
                <w:color w:val="000000" w:themeColor="text1"/>
                <w14:textFill>
                  <w14:solidFill>
                    <w14:schemeClr w14:val="tx1"/>
                  </w14:solidFill>
                </w14:textFill>
              </w:rPr>
            </w:pPr>
            <w:r>
              <w:rPr>
                <w:rFonts w:hint="eastAsia" w:ascii="Times New Roman" w:cs="Times New Roman"/>
                <w:color w:val="000000" w:themeColor="text1"/>
                <w:shd w:val="clear" w:color="auto" w:fill="FFFFFF"/>
                <w14:textFill>
                  <w14:solidFill>
                    <w14:schemeClr w14:val="tx1"/>
                  </w14:solidFill>
                </w14:textFill>
              </w:rPr>
              <w:t>本项目位于衡山县新桥镇，新增用地范围无生态环境保护目标。</w:t>
            </w:r>
          </w:p>
          <w:p>
            <w:pPr>
              <w:pStyle w:val="30"/>
              <w:spacing w:line="360" w:lineRule="auto"/>
              <w:rPr>
                <w:rFonts w:ascii="Times New Roman" w:cs="Times New Roman"/>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8</w:t>
            </w:r>
            <w:r>
              <w:rPr>
                <w:rFonts w:hint="eastAsia" w:ascii="Times New Roman" w:cs="Times New Roman"/>
                <w:b/>
                <w:bCs/>
                <w:color w:val="000000" w:themeColor="text1"/>
                <w14:textFill>
                  <w14:solidFill>
                    <w14:schemeClr w14:val="tx1"/>
                  </w14:solidFill>
                </w14:textFill>
              </w:rPr>
              <w:t>、</w:t>
            </w:r>
            <w:r>
              <w:rPr>
                <w:rFonts w:ascii="Times New Roman" w:cs="Times New Roman"/>
                <w:b/>
                <w:bCs/>
                <w:color w:val="000000" w:themeColor="text1"/>
                <w14:textFill>
                  <w14:solidFill>
                    <w14:schemeClr w14:val="tx1"/>
                  </w14:solidFill>
                </w14:textFill>
              </w:rPr>
              <w:t>环境风险</w:t>
            </w:r>
            <w:r>
              <w:rPr>
                <w:rFonts w:hint="eastAsia" w:ascii="Times New Roman" w:cs="Times New Roman"/>
                <w:b/>
                <w:bCs/>
                <w:color w:val="000000" w:themeColor="text1"/>
                <w14:textFill>
                  <w14:solidFill>
                    <w14:schemeClr w14:val="tx1"/>
                  </w14:solidFill>
                </w14:textFill>
              </w:rPr>
              <w:t>分析</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根据《建设项目环境风险评价技术导则》（HJ169-2018）和国家环境保护总局《关于防范环境风险加强环境影响评价管理的通知》，项目实施后环境风险评价的基本内容包括风险调查、环境风险潜势初判、风险识别、风险事故情形分析、风险预测与评价、环境风险管理等。 </w:t>
            </w:r>
          </w:p>
          <w:p>
            <w:pPr>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 xml:space="preserve">8.1 风险调查 </w:t>
            </w:r>
          </w:p>
          <w:p>
            <w:pPr>
              <w:spacing w:line="360" w:lineRule="auto"/>
              <w:ind w:firstLine="480" w:firstLineChars="200"/>
              <w:rPr>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color w:val="000000" w:themeColor="text1"/>
                <w:kern w:val="0"/>
                <w:sz w:val="24"/>
                <w14:textFill>
                  <w14:solidFill>
                    <w14:schemeClr w14:val="tx1"/>
                  </w14:solidFill>
                </w14:textFill>
              </w:rPr>
              <w:t xml:space="preserve">风险源调查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拟建项目为</w:t>
            </w:r>
            <w:r>
              <w:rPr>
                <w:rFonts w:hint="eastAsia"/>
                <w:color w:val="000000" w:themeColor="text1"/>
                <w:sz w:val="24"/>
                <w14:textFill>
                  <w14:solidFill>
                    <w14:schemeClr w14:val="tx1"/>
                  </w14:solidFill>
                </w14:textFill>
              </w:rPr>
              <w:t>机制炭生产</w:t>
            </w:r>
            <w:r>
              <w:rPr>
                <w:color w:val="000000" w:themeColor="text1"/>
                <w:sz w:val="24"/>
                <w14:textFill>
                  <w14:solidFill>
                    <w14:schemeClr w14:val="tx1"/>
                  </w14:solidFill>
                </w14:textFill>
              </w:rPr>
              <w:t>制造</w:t>
            </w:r>
            <w:r>
              <w:rPr>
                <w:rFonts w:hint="eastAsia"/>
                <w:color w:val="000000" w:themeColor="text1"/>
                <w:sz w:val="24"/>
                <w14:textFill>
                  <w14:solidFill>
                    <w14:schemeClr w14:val="tx1"/>
                  </w14:solidFill>
                </w14:textFill>
              </w:rPr>
              <w:t>项目</w:t>
            </w:r>
            <w:r>
              <w:rPr>
                <w:color w:val="000000" w:themeColor="text1"/>
                <w:kern w:val="0"/>
                <w:sz w:val="24"/>
                <w14:textFill>
                  <w14:solidFill>
                    <w14:schemeClr w14:val="tx1"/>
                  </w14:solidFill>
                </w14:textFill>
              </w:rPr>
              <w:t>，涉及的危险物质见表</w:t>
            </w:r>
            <w:r>
              <w:rPr>
                <w:rFonts w:hint="eastAsia"/>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27。</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27 项目主要风险物质调查一览表</w:t>
            </w:r>
          </w:p>
          <w:tbl>
            <w:tblPr>
              <w:tblStyle w:val="24"/>
              <w:tblW w:w="7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167"/>
              <w:gridCol w:w="1152"/>
              <w:gridCol w:w="15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0" w:type="dxa"/>
                  <w:vAlign w:val="center"/>
                </w:tcPr>
                <w:p>
                  <w:pPr>
                    <w:autoSpaceDE w:val="0"/>
                    <w:autoSpaceDN w:val="0"/>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序号</w:t>
                  </w:r>
                </w:p>
              </w:tc>
              <w:tc>
                <w:tcPr>
                  <w:tcW w:w="2167" w:type="dxa"/>
                  <w:vAlign w:val="center"/>
                </w:tcPr>
                <w:p>
                  <w:pPr>
                    <w:autoSpaceDE w:val="0"/>
                    <w:autoSpaceDN w:val="0"/>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名称</w:t>
                  </w:r>
                </w:p>
              </w:tc>
              <w:tc>
                <w:tcPr>
                  <w:tcW w:w="1152" w:type="dxa"/>
                  <w:vAlign w:val="center"/>
                </w:tcPr>
                <w:p>
                  <w:pPr>
                    <w:adjustRightInd w:val="0"/>
                    <w:snapToGrid w:val="0"/>
                    <w:spacing w:line="0" w:lineRule="atLeas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年用量（t）</w:t>
                  </w:r>
                </w:p>
              </w:tc>
              <w:tc>
                <w:tcPr>
                  <w:tcW w:w="1575" w:type="dxa"/>
                  <w:vAlign w:val="center"/>
                </w:tcPr>
                <w:p>
                  <w:pPr>
                    <w:adjustRightInd w:val="0"/>
                    <w:snapToGrid w:val="0"/>
                    <w:spacing w:line="0" w:lineRule="atLeas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最大储存量（t）</w:t>
                  </w:r>
                </w:p>
              </w:tc>
              <w:tc>
                <w:tcPr>
                  <w:tcW w:w="1985" w:type="dxa"/>
                  <w:vAlign w:val="center"/>
                </w:tcPr>
                <w:p>
                  <w:pPr>
                    <w:adjustRightInd w:val="0"/>
                    <w:snapToGrid w:val="0"/>
                    <w:spacing w:line="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autoSpaceDE w:val="0"/>
                    <w:autoSpaceDN w:val="0"/>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216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煤气</w:t>
                  </w:r>
                </w:p>
              </w:tc>
              <w:tc>
                <w:tcPr>
                  <w:tcW w:w="1152" w:type="dxa"/>
                  <w:vAlign w:val="center"/>
                </w:tcPr>
                <w:p>
                  <w:pPr>
                    <w:jc w:val="center"/>
                    <w:rPr>
                      <w:bCs/>
                      <w:color w:val="000000" w:themeColor="text1"/>
                      <w:szCs w:val="21"/>
                      <w14:textFill>
                        <w14:solidFill>
                          <w14:schemeClr w14:val="tx1"/>
                        </w14:solidFill>
                      </w14:textFill>
                    </w:rPr>
                  </w:pPr>
                  <w:r>
                    <w:rPr>
                      <w:rFonts w:hint="eastAsia"/>
                      <w:color w:val="000000" w:themeColor="text1"/>
                      <w:u w:val="single"/>
                      <w14:textFill>
                        <w14:solidFill>
                          <w14:schemeClr w14:val="tx1"/>
                        </w14:solidFill>
                      </w14:textFill>
                    </w:rPr>
                    <w:t>/</w:t>
                  </w:r>
                </w:p>
              </w:tc>
              <w:tc>
                <w:tcPr>
                  <w:tcW w:w="1575" w:type="dxa"/>
                  <w:vAlign w:val="center"/>
                </w:tcPr>
                <w:p>
                  <w:pPr>
                    <w:spacing w:line="0" w:lineRule="atLeast"/>
                    <w:jc w:val="center"/>
                    <w:rPr>
                      <w:bCs/>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1.34</w:t>
                  </w:r>
                </w:p>
              </w:tc>
              <w:tc>
                <w:tcPr>
                  <w:tcW w:w="1985" w:type="dxa"/>
                </w:tcPr>
                <w:p>
                  <w:pPr>
                    <w:spacing w:line="0" w:lineRule="atLeas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炭化工序</w:t>
                  </w:r>
                </w:p>
              </w:tc>
            </w:tr>
          </w:tbl>
          <w:p>
            <w:pPr>
              <w:spacing w:line="360" w:lineRule="auto"/>
              <w:ind w:firstLine="420" w:firstLineChars="200"/>
              <w:rPr>
                <w:color w:val="000000" w:themeColor="text1"/>
                <w:kern w:val="0"/>
                <w:szCs w:val="21"/>
                <w14:textFill>
                  <w14:solidFill>
                    <w14:schemeClr w14:val="tx1"/>
                  </w14:solidFill>
                </w14:textFill>
              </w:rPr>
            </w:pPr>
          </w:p>
          <w:p>
            <w:pPr>
              <w:pStyle w:val="52"/>
              <w:numPr>
                <w:ilvl w:val="0"/>
                <w:numId w:val="1"/>
              </w:numPr>
              <w:spacing w:line="360" w:lineRule="auto"/>
              <w:ind w:firstLineChars="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环境敏感目标调查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拟建项目位于</w:t>
            </w:r>
            <w:r>
              <w:rPr>
                <w:rFonts w:hint="eastAsia"/>
                <w:color w:val="000000" w:themeColor="text1"/>
                <w:kern w:val="0"/>
                <w:sz w:val="24"/>
                <w14:textFill>
                  <w14:solidFill>
                    <w14:schemeClr w14:val="tx1"/>
                  </w14:solidFill>
                </w14:textFill>
              </w:rPr>
              <w:t>衡山县新桥镇</w:t>
            </w:r>
            <w:r>
              <w:rPr>
                <w:color w:val="000000" w:themeColor="text1"/>
                <w:kern w:val="0"/>
                <w:sz w:val="24"/>
                <w14:textFill>
                  <w14:solidFill>
                    <w14:schemeClr w14:val="tx1"/>
                  </w14:solidFill>
                </w14:textFill>
              </w:rPr>
              <w:t xml:space="preserve">，厂区周边区域不属于集中式饮用水源准保护区以及补给径流区，无分散式饮用水水源地，无特殊地下水资源，自来水管网已经覆盖周边区域，周边居民未饮用地下水。环境敏感目标及与项目位置关系见附图2。 </w:t>
            </w:r>
          </w:p>
          <w:p>
            <w:pPr>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 xml:space="preserve">8.2环境风险潜势初判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（1）p 的分级确定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计算项目涉及的危险物质在厂界的最大储存量与其临界量的比值Q</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当只涉及一种危险物质时，计算该物质的总量与其临界量比值，即为Q；</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当存在多种危险物质时，则按式（C.1）计算物质总量与其临界量比值（Q）：</w:t>
            </w:r>
          </w:p>
          <w:p>
            <w:pPr>
              <w:spacing w:line="360" w:lineRule="auto"/>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Q=q1/Q1+q2/Q2+q3/Q3+……+qn/Qn</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式中：q1，q2，...，qn——每种危险物质的最大存在总量，t；</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Q1，Q2， ...，Qn——每种危险物质的临界量，t。</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当Q＜1 时，该项目环境风险潜势为Ⅰ。当Q≥1 时，将Q 值划分为：（1）1≤Q＜10；（2）10≤Q＜100；（3）Q≥100。</w:t>
            </w:r>
          </w:p>
          <w:p>
            <w:pPr>
              <w:spacing w:line="360" w:lineRule="auto"/>
              <w:ind w:firstLine="480" w:firstLineChars="200"/>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根据《建设项目环境风险评价技术导则》（HJ169－2018），</w:t>
            </w:r>
            <w:r>
              <w:rPr>
                <w:rFonts w:hint="eastAsia"/>
                <w:color w:val="000000" w:themeColor="text1"/>
                <w:kern w:val="0"/>
                <w:sz w:val="24"/>
                <w14:textFill>
                  <w14:solidFill>
                    <w14:schemeClr w14:val="tx1"/>
                  </w14:solidFill>
                </w14:textFill>
              </w:rPr>
              <w:t>本项目属于危险物质为煤气，</w:t>
            </w:r>
            <w:r>
              <w:rPr>
                <w:color w:val="000000" w:themeColor="text1"/>
                <w:kern w:val="0"/>
                <w:sz w:val="24"/>
                <w14:textFill>
                  <w14:solidFill>
                    <w14:schemeClr w14:val="tx1"/>
                  </w14:solidFill>
                </w14:textFill>
              </w:rPr>
              <w:t>项目危险物质数量与临界量比值（Q）判定如下表</w:t>
            </w:r>
            <w:r>
              <w:rPr>
                <w:rFonts w:hint="eastAsia"/>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28</w:t>
            </w:r>
            <w:r>
              <w:rPr>
                <w:color w:val="000000" w:themeColor="text1"/>
                <w:kern w:val="0"/>
                <w:szCs w:val="21"/>
                <w14:textFill>
                  <w14:solidFill>
                    <w14:schemeClr w14:val="tx1"/>
                  </w14:solidFill>
                </w14:textFill>
              </w:rPr>
              <w:t>。</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4-</w:t>
            </w:r>
            <w:r>
              <w:rPr>
                <w:b/>
                <w:color w:val="000000" w:themeColor="text1"/>
                <w:szCs w:val="21"/>
                <w14:textFill>
                  <w14:solidFill>
                    <w14:schemeClr w14:val="tx1"/>
                  </w14:solidFill>
                </w14:textFill>
              </w:rPr>
              <w:t>28  危险物质数量与临界量比（Q）</w:t>
            </w:r>
          </w:p>
          <w:tbl>
            <w:tblPr>
              <w:tblStyle w:val="24"/>
              <w:tblW w:w="7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1984"/>
              <w:gridCol w:w="190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064" w:type="dxa"/>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物料名称</w:t>
                  </w:r>
                </w:p>
              </w:tc>
              <w:tc>
                <w:tcPr>
                  <w:tcW w:w="1984" w:type="dxa"/>
                  <w:vAlign w:val="center"/>
                </w:tcPr>
                <w:p>
                  <w:pPr>
                    <w:autoSpaceDE w:val="0"/>
                    <w:autoSpaceDN w:val="0"/>
                    <w:jc w:val="center"/>
                    <w:rPr>
                      <w:b/>
                      <w:bCs/>
                      <w:color w:val="000000" w:themeColor="text1"/>
                      <w:szCs w:val="21"/>
                      <w14:textFill>
                        <w14:solidFill>
                          <w14:schemeClr w14:val="tx1"/>
                        </w14:solidFill>
                      </w14:textFill>
                    </w:rPr>
                  </w:pPr>
                  <w:r>
                    <w:rPr>
                      <w:b/>
                      <w:color w:val="000000" w:themeColor="text1"/>
                      <w:szCs w:val="21"/>
                      <w14:textFill>
                        <w14:solidFill>
                          <w14:schemeClr w14:val="tx1"/>
                        </w14:solidFill>
                      </w14:textFill>
                    </w:rPr>
                    <w:t>最大储存量</w:t>
                  </w:r>
                  <w:r>
                    <w:rPr>
                      <w:b/>
                      <w:bCs/>
                      <w:color w:val="000000" w:themeColor="text1"/>
                      <w:szCs w:val="21"/>
                      <w14:textFill>
                        <w14:solidFill>
                          <w14:schemeClr w14:val="tx1"/>
                        </w14:solidFill>
                      </w14:textFill>
                    </w:rPr>
                    <w:t>（t）</w:t>
                  </w:r>
                </w:p>
              </w:tc>
              <w:tc>
                <w:tcPr>
                  <w:tcW w:w="1902" w:type="dxa"/>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临界量（t）</w:t>
                  </w:r>
                </w:p>
              </w:tc>
              <w:tc>
                <w:tcPr>
                  <w:tcW w:w="1863" w:type="dxa"/>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6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煤气</w:t>
                  </w:r>
                </w:p>
              </w:tc>
              <w:tc>
                <w:tcPr>
                  <w:tcW w:w="1984" w:type="dxa"/>
                  <w:vAlign w:val="center"/>
                </w:tcPr>
                <w:p>
                  <w:pPr>
                    <w:spacing w:line="0" w:lineRule="atLeast"/>
                    <w:jc w:val="center"/>
                    <w:rPr>
                      <w:bCs/>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1.34</w:t>
                  </w:r>
                  <w:r>
                    <w:rPr>
                      <w:rFonts w:hint="eastAsia"/>
                      <w:color w:val="000000" w:themeColor="text1"/>
                      <w:szCs w:val="21"/>
                      <w:u w:val="single"/>
                      <w14:textFill>
                        <w14:solidFill>
                          <w14:schemeClr w14:val="tx1"/>
                        </w14:solidFill>
                      </w14:textFill>
                    </w:rPr>
                    <w:t>（最大在线量）</w:t>
                  </w:r>
                </w:p>
              </w:tc>
              <w:tc>
                <w:tcPr>
                  <w:tcW w:w="1902" w:type="dxa"/>
                  <w:vAlign w:val="center"/>
                </w:tcPr>
                <w:p>
                  <w:pPr>
                    <w:autoSpaceDE w:val="0"/>
                    <w:autoSpaceDN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w:t>
                  </w:r>
                </w:p>
              </w:tc>
              <w:tc>
                <w:tcPr>
                  <w:tcW w:w="1863"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50" w:type="dxa"/>
                  <w:gridSpan w:val="3"/>
                  <w:vAlign w:val="center"/>
                </w:tcPr>
                <w:p>
                  <w:pPr>
                    <w:autoSpaceDE w:val="0"/>
                    <w:autoSpaceDN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1863"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w:t>
                  </w:r>
                  <w:r>
                    <w:rPr>
                      <w:color w:val="000000" w:themeColor="text1"/>
                      <w:szCs w:val="21"/>
                      <w:u w:val="single"/>
                      <w14:textFill>
                        <w14:solidFill>
                          <w14:schemeClr w14:val="tx1"/>
                        </w14:solidFill>
                      </w14:textFill>
                    </w:rPr>
                    <w:t>.1787</w:t>
                  </w:r>
                </w:p>
              </w:tc>
            </w:tr>
          </w:tbl>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根据上表计算，项目危险物质数量与临界量比值</w:t>
            </w:r>
            <w:r>
              <w:rPr>
                <w:color w:val="000000" w:themeColor="text1"/>
                <w:kern w:val="0"/>
                <w:sz w:val="24"/>
                <w:u w:val="single"/>
                <w14:textFill>
                  <w14:solidFill>
                    <w14:schemeClr w14:val="tx1"/>
                  </w14:solidFill>
                </w14:textFill>
              </w:rPr>
              <w:t>Q=</w:t>
            </w:r>
            <w:r>
              <w:rPr>
                <w:rFonts w:hint="eastAsia"/>
                <w:color w:val="000000" w:themeColor="text1"/>
                <w:sz w:val="24"/>
                <w:u w:val="single"/>
                <w14:textFill>
                  <w14:solidFill>
                    <w14:schemeClr w14:val="tx1"/>
                  </w14:solidFill>
                </w14:textFill>
              </w:rPr>
              <w:t>0</w:t>
            </w:r>
            <w:r>
              <w:rPr>
                <w:color w:val="000000" w:themeColor="text1"/>
                <w:sz w:val="24"/>
                <w:u w:val="single"/>
                <w14:textFill>
                  <w14:solidFill>
                    <w14:schemeClr w14:val="tx1"/>
                  </w14:solidFill>
                </w14:textFill>
              </w:rPr>
              <w:t>.1787</w:t>
            </w:r>
            <w:r>
              <w:rPr>
                <w:color w:val="000000" w:themeColor="text1"/>
                <w:kern w:val="0"/>
                <w:sz w:val="24"/>
                <w:u w:val="single"/>
                <w14:textFill>
                  <w14:solidFill>
                    <w14:schemeClr w14:val="tx1"/>
                  </w14:solidFill>
                </w14:textFill>
              </w:rPr>
              <w:t>＜1</w:t>
            </w:r>
            <w:r>
              <w:rPr>
                <w:color w:val="000000" w:themeColor="text1"/>
                <w:kern w:val="0"/>
                <w:sz w:val="24"/>
                <w14:textFill>
                  <w14:solidFill>
                    <w14:schemeClr w14:val="tx1"/>
                  </w14:solidFill>
                </w14:textFill>
              </w:rPr>
              <w:t>。</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B、环境风险潜势初判</w:t>
            </w:r>
          </w:p>
          <w:p>
            <w:pPr>
              <w:spacing w:line="360" w:lineRule="auto"/>
              <w:ind w:firstLine="480" w:firstLineChars="200"/>
              <w:rPr>
                <w:color w:val="000000" w:themeColor="text1"/>
                <w:kern w:val="0"/>
                <w:sz w:val="24"/>
                <w:u w:val="single"/>
                <w14:textFill>
                  <w14:solidFill>
                    <w14:schemeClr w14:val="tx1"/>
                  </w14:solidFill>
                </w14:textFill>
              </w:rPr>
            </w:pPr>
            <w:r>
              <w:rPr>
                <w:color w:val="000000" w:themeColor="text1"/>
                <w:kern w:val="0"/>
                <w:sz w:val="24"/>
                <w:u w:val="single"/>
                <w14:textFill>
                  <w14:solidFill>
                    <w14:schemeClr w14:val="tx1"/>
                  </w14:solidFill>
                </w14:textFill>
              </w:rPr>
              <w:t>根据HJ 169</w:t>
            </w:r>
            <w:r>
              <w:rPr>
                <w:rFonts w:hint="eastAsia"/>
                <w:color w:val="000000" w:themeColor="text1"/>
                <w:kern w:val="0"/>
                <w:sz w:val="24"/>
                <w:u w:val="single"/>
                <w14:textFill>
                  <w14:solidFill>
                    <w14:schemeClr w14:val="tx1"/>
                  </w14:solidFill>
                </w14:textFill>
              </w:rPr>
              <w:t>-</w:t>
            </w:r>
            <w:r>
              <w:rPr>
                <w:color w:val="000000" w:themeColor="text1"/>
                <w:kern w:val="0"/>
                <w:sz w:val="24"/>
                <w:u w:val="single"/>
                <w14:textFill>
                  <w14:solidFill>
                    <w14:schemeClr w14:val="tx1"/>
                  </w14:solidFill>
                </w14:textFill>
              </w:rPr>
              <w:t>2018，当Q＜1 时，该项目环境风险潜势为Ⅰ。本项目Q=</w:t>
            </w:r>
            <w:r>
              <w:rPr>
                <w:rFonts w:hint="eastAsia"/>
                <w:color w:val="000000" w:themeColor="text1"/>
                <w:sz w:val="24"/>
                <w:u w:val="single"/>
                <w14:textFill>
                  <w14:solidFill>
                    <w14:schemeClr w14:val="tx1"/>
                  </w14:solidFill>
                </w14:textFill>
              </w:rPr>
              <w:t>0</w:t>
            </w:r>
            <w:r>
              <w:rPr>
                <w:color w:val="000000" w:themeColor="text1"/>
                <w:sz w:val="24"/>
                <w:u w:val="single"/>
                <w14:textFill>
                  <w14:solidFill>
                    <w14:schemeClr w14:val="tx1"/>
                  </w14:solidFill>
                </w14:textFill>
              </w:rPr>
              <w:t>.1787</w:t>
            </w:r>
            <w:r>
              <w:rPr>
                <w:color w:val="000000" w:themeColor="text1"/>
                <w:kern w:val="0"/>
                <w:sz w:val="24"/>
                <w:u w:val="single"/>
                <w14:textFill>
                  <w14:solidFill>
                    <w14:schemeClr w14:val="tx1"/>
                  </w14:solidFill>
                </w14:textFill>
              </w:rPr>
              <w:t>＜1， 因此，本项目环境风险潜势为Ⅰ。</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（2）评价等级</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风险评价工作等级划分为一级、二级、三级。根据建设项目涉及的物质及工艺系统危险性和所在地的环境敏感性确定环境风险潜势，按照评价工作等级。风险潜势为Ⅳ及以上，进行一级评价；风险潜势为Ⅲ，进行二级评价；风险潜势为Ⅱ，进行三级评价；风险潜势为Ⅰ，可开展简单分析。</w:t>
            </w:r>
          </w:p>
          <w:p>
            <w:pPr>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 xml:space="preserve">8.3环境风险识别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（1）物质危险性识别</w:t>
            </w:r>
          </w:p>
          <w:p>
            <w:pPr>
              <w:pStyle w:val="30"/>
              <w:spacing w:line="360" w:lineRule="auto"/>
              <w:ind w:firstLine="480" w:firstLineChars="20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项目涉及的危险物质为煤气。</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（2）生产装置风险识别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本项目</w:t>
            </w:r>
            <w:r>
              <w:rPr>
                <w:rFonts w:hint="eastAsia"/>
                <w:color w:val="000000" w:themeColor="text1"/>
                <w:kern w:val="0"/>
                <w:sz w:val="24"/>
                <w14:textFill>
                  <w14:solidFill>
                    <w14:schemeClr w14:val="tx1"/>
                  </w14:solidFill>
                </w14:textFill>
              </w:rPr>
              <w:t>炭化</w:t>
            </w:r>
            <w:r>
              <w:rPr>
                <w:color w:val="000000" w:themeColor="text1"/>
                <w:kern w:val="0"/>
                <w:sz w:val="24"/>
                <w14:textFill>
                  <w14:solidFill>
                    <w14:schemeClr w14:val="tx1"/>
                  </w14:solidFill>
                </w14:textFill>
              </w:rPr>
              <w:t>生产过程中</w:t>
            </w:r>
            <w:r>
              <w:rPr>
                <w:rFonts w:hint="eastAsia"/>
                <w:color w:val="000000" w:themeColor="text1"/>
                <w:kern w:val="0"/>
                <w:sz w:val="24"/>
                <w14:textFill>
                  <w14:solidFill>
                    <w14:schemeClr w14:val="tx1"/>
                  </w14:solidFill>
                </w14:textFill>
              </w:rPr>
              <w:t>产生的煤气</w:t>
            </w:r>
            <w:r>
              <w:rPr>
                <w:color w:val="000000" w:themeColor="text1"/>
                <w:kern w:val="0"/>
                <w:sz w:val="24"/>
                <w14:textFill>
                  <w14:solidFill>
                    <w14:schemeClr w14:val="tx1"/>
                  </w14:solidFill>
                </w14:textFill>
              </w:rPr>
              <w:t>主要危险因素为泄漏，进而引发火灾、爆炸等次生灾害。外界因素影响引起的潜在风险事故指的是当发生停水、停电等紧急故障或各种不可抗拒的自然灾害时可能会导致危险废物散落、废气泄漏等而引发各种风险事故。</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）火灾事故</w:t>
            </w:r>
            <w:r>
              <w:rPr>
                <w:color w:val="000000" w:themeColor="text1"/>
                <w:kern w:val="0"/>
                <w:sz w:val="24"/>
                <w14:textFill>
                  <w14:solidFill>
                    <w14:schemeClr w14:val="tx1"/>
                  </w14:solidFill>
                </w14:textFill>
              </w:rPr>
              <w:t xml:space="preserve">伴、次生风险识别 </w:t>
            </w:r>
          </w:p>
          <w:p>
            <w:pPr>
              <w:spacing w:line="360" w:lineRule="auto"/>
              <w:ind w:firstLine="480" w:firstLineChars="200"/>
              <w:rPr>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w:t>
            </w:r>
            <w:r>
              <w:rPr>
                <w:color w:val="000000" w:themeColor="text1"/>
                <w:kern w:val="0"/>
                <w:sz w:val="24"/>
                <w14:textFill>
                  <w14:solidFill>
                    <w14:schemeClr w14:val="tx1"/>
                  </w14:solidFill>
                </w14:textFill>
              </w:rPr>
              <w:t xml:space="preserve">事故废水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厂区内若发生火灾事故，在应急救援中，会在事故现场喷射大量的消防水以及冷却水等进行灭火或降低有害物质对大气的污染。针对事故排污水若无应急收集措施，可能会有部分有害物质直接或随冷却水、消防水等进入附近水体或土壤，对局 部水体、土壤造成污染。 </w:t>
            </w:r>
          </w:p>
          <w:p>
            <w:pPr>
              <w:spacing w:line="360" w:lineRule="auto"/>
              <w:ind w:firstLine="480" w:firstLineChars="200"/>
              <w:rPr>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②</w:t>
            </w:r>
            <w:r>
              <w:rPr>
                <w:color w:val="000000" w:themeColor="text1"/>
                <w:kern w:val="0"/>
                <w:sz w:val="24"/>
                <w14:textFill>
                  <w14:solidFill>
                    <w14:schemeClr w14:val="tx1"/>
                  </w14:solidFill>
                </w14:textFill>
              </w:rPr>
              <w:t xml:space="preserve">事故固体废物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项目在泄漏、火灾等事故应急救援中可能产生大量的废灭火剂、拦截、堵漏材料，均可能掺杂一定的有害物质，若事故排放后随意丢弃、排放，将对环境产生二次污染。</w:t>
            </w:r>
          </w:p>
          <w:p>
            <w:pPr>
              <w:spacing w:line="360" w:lineRule="auto"/>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8.4 环境风险防范措施</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（1）总图布置和建筑安全防范措施</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厂区总平面布置、防火间距应符合《建筑设计防火规范》(GB50016-2014)和《工业企业总平面设计规范》（GB50187-2012）等相关规定。生产区车间、物料存储车间等建、构筑物的设计应与火灾类别相应的防火对策措施，建筑物耐火等级应符合《建筑设计防火规范》的有关规定，并通过消防、安全验收。</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②厂内道路的布置应满足生产、运输、安装、检修、消防及环境卫生的要求。</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③各功能区之间应设有联系通道，有利于安全疏散和消防。分区内部和相互之间保持一定的通道和安全间距。厂区应有应急救援设施及救援通道、应急救援设施及救援通道。</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④按照《建筑物防雷设计规范》（GB50057-94，2000年版）的要求对建、构筑物采取防直击雷、防雷电感应、防雷电波侵入的措施。</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⑤属于火灾爆炸危险场所的设计必须符合《爆炸和火灾危险环境电力装置设计规范》（GB50058-92）和《爆炸危险场所安全规定》的相关规定。</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）炭化过程产生的煤气防范措施</w:t>
            </w:r>
          </w:p>
          <w:p>
            <w:pPr>
              <w:spacing w:line="360" w:lineRule="auto"/>
              <w:ind w:firstLine="480" w:firstLineChars="200"/>
              <w:rPr>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①</w:t>
            </w:r>
            <w:r>
              <w:rPr>
                <w:rFonts w:hint="eastAsia"/>
                <w:color w:val="000000" w:themeColor="text1"/>
                <w:kern w:val="0"/>
                <w:sz w:val="24"/>
                <w14:textFill>
                  <w14:solidFill>
                    <w14:schemeClr w14:val="tx1"/>
                  </w14:solidFill>
                </w14:textFill>
              </w:rPr>
              <w:t>在对炭化产生煤气设施运行及停气检修时必须严格按照有关安全生产的规定进行。供气管道及煤气燃烧设备的设计和施工中，应参照《工业企业煤气安全规程》（</w:t>
            </w:r>
            <w:r>
              <w:rPr>
                <w:color w:val="000000" w:themeColor="text1"/>
                <w:kern w:val="0"/>
                <w:sz w:val="24"/>
                <w14:textFill>
                  <w14:solidFill>
                    <w14:schemeClr w14:val="tx1"/>
                  </w14:solidFill>
                </w14:textFill>
              </w:rPr>
              <w:t>GB 6222-86</w:t>
            </w:r>
            <w:r>
              <w:rPr>
                <w:rFonts w:hint="eastAsia"/>
                <w:color w:val="000000" w:themeColor="text1"/>
                <w:kern w:val="0"/>
                <w:sz w:val="24"/>
                <w14:textFill>
                  <w14:solidFill>
                    <w14:schemeClr w14:val="tx1"/>
                  </w14:solidFill>
                </w14:textFill>
              </w:rPr>
              <w:t>）等安全生产的有关规定进行。</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②厂内配备专业技术人员负责管理，同时配备必要的个人防护用品，对生产运营过程的各参数进行监控。</w:t>
            </w:r>
          </w:p>
          <w:p>
            <w:pPr>
              <w:adjustRightInd w:val="0"/>
              <w:spacing w:line="360" w:lineRule="auto"/>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w:t>
            </w:r>
            <w:r>
              <w:rPr>
                <w:rFonts w:hint="eastAsia"/>
                <w:color w:val="000000" w:themeColor="text1"/>
                <w:sz w:val="24"/>
                <w14:textFill>
                  <w14:solidFill>
                    <w14:schemeClr w14:val="tx1"/>
                  </w14:solidFill>
                </w14:textFill>
              </w:rPr>
              <w:t>炭化生产区要求防腐、防渗漏，当液体原料发生泄漏时，迅速撤离泄漏污染区人员至安全区。</w:t>
            </w:r>
          </w:p>
          <w:p>
            <w:pPr>
              <w:pStyle w:val="2"/>
              <w:ind w:left="0" w:leftChars="0" w:firstLine="480"/>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④</w:t>
            </w:r>
            <w:r>
              <w:rPr>
                <w:rFonts w:hint="eastAsia"/>
                <w:color w:val="000000" w:themeColor="text1"/>
                <w:szCs w:val="24"/>
                <w14:textFill>
                  <w14:solidFill>
                    <w14:schemeClr w14:val="tx1"/>
                  </w14:solidFill>
                </w14:textFill>
              </w:rPr>
              <w:t>提高项目生产的自动化控制水平，减少生产系统的操作偏差，确保拟建项目的生产安全。</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）火灾爆炸</w:t>
            </w:r>
            <w:r>
              <w:rPr>
                <w:color w:val="000000" w:themeColor="text1"/>
                <w:kern w:val="0"/>
                <w:sz w:val="24"/>
                <w14:textFill>
                  <w14:solidFill>
                    <w14:schemeClr w14:val="tx1"/>
                  </w14:solidFill>
                </w14:textFill>
              </w:rPr>
              <w:t xml:space="preserve">次/伴生污染防治措施 </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事故救援过程中产生的消防废水全部引入事故池暂时收集，事故废水交由有处理资质单位由罐车拉走处置，其它废灭火剂、拦截、堵漏材料等在事故排放后统一收集送有资质单位进行处理。 </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产过程必须严格按照相关防火、防爆设计要求进行，并配备相应的保护工程；加强工艺系统的自动控制的应用，同时应加强对系统设备的维护保养；加强对全厂员工教育，使员工了解安全用气及防火、防爆知识；仓库做好标志，严禁不相关人员进入；配备足够的救灾防毒器具、消防器及防护用品。</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项目配备室外消防装置，在内部设置火灾自动报警系统、消防栓和自动消防喷头等装置。同时，厂区内部设置事故废水收集池、地沟，便于火灾发生时暂存消防事故水。</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综上所述，本项目主要环境风险源为原料仓库和炭化废气，按照环境风险防范制定突发环境事故应急预案，并配置相应救援物资和设备。在上述风险防范措施落实的情况下，本项目环境风险是可以接受的。</w:t>
            </w:r>
          </w:p>
          <w:p>
            <w:pPr>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8.5应急预案</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应急预案内容应包括预防措施、应急措施及事故后处理三个方面：</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A、预防措施内容</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一旦出现风险物质泄漏，应有防止向四周扩散、并起到隔离作用的具体措施；预先配备有处理泄漏事故的器材，并有专人负责妥善保管在专门的地方，一旦出现事故，立即投入使用； 存放各种化学品的容器应定期进行无损检查。</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建立处理事故的组织管理制度和应急响应程序，包括一旦出现事故时现场主管、现场人员的职责，处理事故的步骤、事故区域的隔离，事故的上报，人员的疏散路线等，定期组织实际演习并定期试验、评价程序的有效性，确保这类事故发生后的环境影响得到有效控制。</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B、应急措施内容</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一旦出现事故，立即由平时的生产管理体制转为事故处理管理体制，应付处理事故的指挥决策。泄漏事故发生时的应急措施主要是断源、隔离、回收、清污和上报。</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火灾发生时的应急措施主要是：全厂紧急停工、消防队根据火灾的种类和区域及时按照确定的灭火方案灭火、封锁交通、撤离区内人员、断绝火路避免火灾扩大等。</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C、事故后处理内容</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清理现场，维修设备，查清事故原因，处理人员伤亡事件，了解现场及周围环境污染程度并及时处理污染事故。</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拟建项目生产前须按照相关规定编制环境风险事故应急预案。并定期组织学习事故应急预案和演练，根据演习情况结合实际对预案进行适当修改。应急队伍要进行专业培训，并要有培训记录和档案。同时，加强各应急救援专业队伍的建设，配有相应器材并确保设备性能完好。</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应急救援指挥中心可根据企业的实际情况制定应急救援培训计划，联合当地消防部门对公司应急专业救援组进行定期的应急救援培训和演练，一旦发生事故，可以更有效</w:t>
            </w:r>
          </w:p>
          <w:p>
            <w:pPr>
              <w:spacing w:line="360" w:lineRule="auto"/>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地控制风险事故以防事故扩大。</w:t>
            </w:r>
          </w:p>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8.6 风险分析结论 </w:t>
            </w:r>
          </w:p>
          <w:p>
            <w:pPr>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建设单位将严格采取实施上述提出的要求措施后，可有效防止项目产生的污染物进 入环境，有效降低了对周围环境存在的风险影响。并且通过上述措施，建设单位可将生 物危害和毒性危害控制在可接受的范围内，不会对人体、周围敏感点及水体、大气、土壤等造成明显危害。项目环境风险潜势为Ⅰ，控制措施有效，环境风险可防</w:t>
            </w:r>
            <w:r>
              <w:rPr>
                <w:color w:val="000000" w:themeColor="text1"/>
                <w14:textFill>
                  <w14:solidFill>
                    <w14:schemeClr w14:val="tx1"/>
                  </w14:solidFill>
                </w14:textFill>
              </w:rPr>
              <w:t>控</w:t>
            </w:r>
            <w:r>
              <w:rPr>
                <w:rFonts w:hint="eastAsia"/>
                <w:color w:val="000000" w:themeColor="text1"/>
                <w14:textFill>
                  <w14:solidFill>
                    <w14:schemeClr w14:val="tx1"/>
                  </w14:solidFill>
                </w14:textFill>
              </w:rPr>
              <w:t>。</w:t>
            </w:r>
          </w:p>
          <w:p>
            <w:pPr>
              <w:pStyle w:val="30"/>
              <w:spacing w:line="360" w:lineRule="auto"/>
              <w:rPr>
                <w:rFonts w:ascii="Times New Roman" w:cs="Times New Roman"/>
                <w:b/>
                <w:bCs/>
                <w:color w:val="000000" w:themeColor="text1"/>
                <w14:textFill>
                  <w14:solidFill>
                    <w14:schemeClr w14:val="tx1"/>
                  </w14:solidFill>
                </w14:textFill>
              </w:rPr>
            </w:pPr>
            <w:r>
              <w:rPr>
                <w:rFonts w:ascii="Times New Roman" w:cs="Times New Roman"/>
                <w:b/>
                <w:bCs/>
                <w:color w:val="000000" w:themeColor="text1"/>
                <w14:textFill>
                  <w14:solidFill>
                    <w14:schemeClr w14:val="tx1"/>
                  </w14:solidFill>
                </w14:textFill>
              </w:rPr>
              <w:t>9</w:t>
            </w:r>
            <w:r>
              <w:rPr>
                <w:rFonts w:hint="eastAsia" w:ascii="Times New Roman" w:cs="Times New Roman"/>
                <w:b/>
                <w:bCs/>
                <w:color w:val="000000" w:themeColor="text1"/>
                <w14:textFill>
                  <w14:solidFill>
                    <w14:schemeClr w14:val="tx1"/>
                  </w14:solidFill>
                </w14:textFill>
              </w:rPr>
              <w:t>、电磁辐射</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本项目不涉及电磁辐射设备，不进行电磁辐射影响评价</w:t>
            </w:r>
            <w:r>
              <w:rPr>
                <w:rFonts w:hint="eastAsia"/>
                <w:color w:val="000000" w:themeColor="text1"/>
                <w:sz w:val="24"/>
                <w14:textFill>
                  <w14:solidFill>
                    <w14:schemeClr w14:val="tx1"/>
                  </w14:solidFill>
                </w14:textFill>
              </w:rPr>
              <w:t>。</w:t>
            </w:r>
          </w:p>
          <w:p>
            <w:pPr>
              <w:adjustRightInd w:val="0"/>
              <w:snapToGrid w:val="0"/>
              <w:spacing w:line="360" w:lineRule="auto"/>
              <w:ind w:firstLine="440" w:firstLineChars="200"/>
              <w:rPr>
                <w:bCs/>
                <w:color w:val="000000" w:themeColor="text1"/>
                <w:spacing w:val="-10"/>
                <w:sz w:val="24"/>
                <w14:textFill>
                  <w14:solidFill>
                    <w14:schemeClr w14:val="tx1"/>
                  </w14:solidFill>
                </w14:textFill>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22"/>
        <w:jc w:val="center"/>
        <w:outlineLvl w:val="0"/>
        <w:rPr>
          <w:rFonts w:ascii="黑体" w:hAnsi="黑体" w:eastAsia="黑体"/>
          <w:snapToGrid w:val="0"/>
          <w:sz w:val="30"/>
          <w:szCs w:val="30"/>
        </w:rPr>
      </w:pPr>
      <w:bookmarkStart w:id="12" w:name="_Toc8809"/>
      <w:r>
        <w:rPr>
          <w:rFonts w:hint="eastAsia" w:ascii="黑体" w:hAnsi="黑体" w:eastAsia="黑体"/>
          <w:snapToGrid w:val="0"/>
          <w:sz w:val="30"/>
          <w:szCs w:val="30"/>
        </w:rPr>
        <w:t>五、</w:t>
      </w:r>
      <w:bookmarkStart w:id="13" w:name="_Hlk54167917"/>
      <w:r>
        <w:rPr>
          <w:rFonts w:hint="eastAsia" w:ascii="黑体" w:hAnsi="黑体" w:eastAsia="黑体"/>
          <w:snapToGrid w:val="0"/>
          <w:sz w:val="30"/>
          <w:szCs w:val="30"/>
        </w:rPr>
        <w:t>环境保护措施监督检查清单</w:t>
      </w:r>
      <w:bookmarkEnd w:id="12"/>
      <w:bookmarkEnd w:id="13"/>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color w:val="000000" w:themeColor="text1"/>
                <w:szCs w:val="21"/>
                <w14:textFill>
                  <w14:solidFill>
                    <w14:schemeClr w14:val="tx1"/>
                  </w14:solidFill>
                </w14:textFill>
              </w:rPr>
            </w:pPr>
            <w:r>
              <w:rPr>
                <w:color w:val="000000" w:themeColor="text1"/>
                <w:szCs w:val="21"/>
                <w14:textFill>
                  <w14:solidFill>
                    <w14:schemeClr w14:val="tx1"/>
                  </w14:solidFill>
                </w14:textFill>
              </w:rPr>
              <w:t>内容</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要素</w:t>
            </w:r>
          </w:p>
        </w:tc>
        <w:tc>
          <w:tcPr>
            <w:tcW w:w="1755"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排放口(编号、</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名称)/污染源</w:t>
            </w:r>
          </w:p>
        </w:tc>
        <w:tc>
          <w:tcPr>
            <w:tcW w:w="1755"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污染物项目</w:t>
            </w:r>
          </w:p>
        </w:tc>
        <w:tc>
          <w:tcPr>
            <w:tcW w:w="1755"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环境保护措施</w:t>
            </w:r>
          </w:p>
        </w:tc>
        <w:tc>
          <w:tcPr>
            <w:tcW w:w="175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制棒废气排气筒</w:t>
            </w:r>
            <w:r>
              <w:rPr>
                <w:color w:val="000000" w:themeColor="text1"/>
                <w:szCs w:val="21"/>
                <w:u w:val="single"/>
                <w14:textFill>
                  <w14:solidFill>
                    <w14:schemeClr w14:val="tx1"/>
                  </w14:solidFill>
                </w14:textFill>
              </w:rPr>
              <w:t>DA001</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颗粒物</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水喷淋+15m高排气筒</w:t>
            </w:r>
          </w:p>
        </w:tc>
        <w:tc>
          <w:tcPr>
            <w:tcW w:w="1757"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SO</w:t>
            </w:r>
            <w:r>
              <w:rPr>
                <w:rFonts w:hint="eastAsia"/>
                <w:color w:val="000000" w:themeColor="text1"/>
                <w:szCs w:val="21"/>
                <w:u w:val="single"/>
                <w:vertAlign w:val="subscript"/>
                <w14:textFill>
                  <w14:solidFill>
                    <w14:schemeClr w14:val="tx1"/>
                  </w14:solidFill>
                </w14:textFill>
              </w:rPr>
              <w:t>2、</w:t>
            </w:r>
            <w:r>
              <w:rPr>
                <w:rFonts w:hint="eastAsia"/>
                <w:color w:val="000000" w:themeColor="text1"/>
                <w:szCs w:val="21"/>
                <w:u w:val="single"/>
                <w14:textFill>
                  <w14:solidFill>
                    <w14:schemeClr w14:val="tx1"/>
                  </w14:solidFill>
                </w14:textFill>
              </w:rPr>
              <w:t>颗粒物：《工业炉窑大气污染物排放标准》GB9087-1996；NOx：《大气污染物综合排放标准》GB16297-1996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二次破碎废气、烘干、炭化废气（烘干机工作时）排气筒DA002</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颗粒物、SO</w:t>
            </w:r>
            <w:r>
              <w:rPr>
                <w:rFonts w:hint="eastAsia"/>
                <w:color w:val="000000" w:themeColor="text1"/>
                <w:szCs w:val="21"/>
                <w:u w:val="single"/>
                <w:vertAlign w:val="subscript"/>
                <w14:textFill>
                  <w14:solidFill>
                    <w14:schemeClr w14:val="tx1"/>
                  </w14:solidFill>
                </w14:textFill>
              </w:rPr>
              <w:t>2</w:t>
            </w:r>
            <w:r>
              <w:rPr>
                <w:rFonts w:hint="eastAsia"/>
                <w:color w:val="000000" w:themeColor="text1"/>
                <w:szCs w:val="21"/>
                <w:u w:val="single"/>
                <w14:textFill>
                  <w14:solidFill>
                    <w14:schemeClr w14:val="tx1"/>
                  </w14:solidFill>
                </w14:textFill>
              </w:rPr>
              <w:t>、NOx</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脉冲布袋除尘+15m高排气筒</w:t>
            </w:r>
          </w:p>
        </w:tc>
        <w:tc>
          <w:tcPr>
            <w:tcW w:w="1757"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炭化点火燃烧废气、炭化废气（烘干机未工作时）排气筒DA00</w:t>
            </w:r>
            <w:r>
              <w:rPr>
                <w:color w:val="000000" w:themeColor="text1"/>
                <w:szCs w:val="21"/>
                <w:u w:val="single"/>
                <w14:textFill>
                  <w14:solidFill>
                    <w14:schemeClr w14:val="tx1"/>
                  </w14:solidFill>
                </w14:textFill>
              </w:rPr>
              <w:t>3</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颗粒物、SO</w:t>
            </w:r>
            <w:r>
              <w:rPr>
                <w:rFonts w:hint="eastAsia"/>
                <w:color w:val="000000" w:themeColor="text1"/>
                <w:szCs w:val="21"/>
                <w:u w:val="single"/>
                <w:vertAlign w:val="subscript"/>
                <w14:textFill>
                  <w14:solidFill>
                    <w14:schemeClr w14:val="tx1"/>
                  </w14:solidFill>
                </w14:textFill>
              </w:rPr>
              <w:t>2</w:t>
            </w:r>
            <w:r>
              <w:rPr>
                <w:rFonts w:hint="eastAsia"/>
                <w:color w:val="000000" w:themeColor="text1"/>
                <w:szCs w:val="21"/>
                <w:u w:val="single"/>
                <w14:textFill>
                  <w14:solidFill>
                    <w14:schemeClr w14:val="tx1"/>
                  </w14:solidFill>
                </w14:textFill>
              </w:rPr>
              <w:t>、NOx</w:t>
            </w:r>
          </w:p>
        </w:tc>
        <w:tc>
          <w:tcPr>
            <w:tcW w:w="1755"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15m高排气筒</w:t>
            </w:r>
          </w:p>
        </w:tc>
        <w:tc>
          <w:tcPr>
            <w:tcW w:w="1757" w:type="dxa"/>
            <w:vAlign w:val="center"/>
          </w:tcPr>
          <w:p>
            <w:pPr>
              <w:adjustRightInd w:val="0"/>
              <w:snapToGrid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SO</w:t>
            </w:r>
            <w:r>
              <w:rPr>
                <w:rFonts w:hint="eastAsia"/>
                <w:color w:val="000000" w:themeColor="text1"/>
                <w:szCs w:val="21"/>
                <w:u w:val="single"/>
                <w:vertAlign w:val="subscript"/>
                <w14:textFill>
                  <w14:solidFill>
                    <w14:schemeClr w14:val="tx1"/>
                  </w14:solidFill>
                </w14:textFill>
              </w:rPr>
              <w:t>2、</w:t>
            </w:r>
            <w:r>
              <w:rPr>
                <w:rFonts w:hint="eastAsia"/>
                <w:color w:val="000000" w:themeColor="text1"/>
                <w:szCs w:val="21"/>
                <w:u w:val="single"/>
                <w14:textFill>
                  <w14:solidFill>
                    <w14:schemeClr w14:val="tx1"/>
                  </w14:solidFill>
                </w14:textFill>
              </w:rPr>
              <w:t>颗粒物：《工业炉窑大气污染物排放标准》GB9087-1996；NOx：《大气污染物综合排放标准》GB16297-1996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vAlign w:val="center"/>
          </w:tcPr>
          <w:p>
            <w:pPr>
              <w:adjustRightInd w:val="0"/>
              <w:snapToGrid w:val="0"/>
              <w:jc w:val="center"/>
              <w:rPr>
                <w:color w:val="000000" w:themeColor="text1"/>
                <w:szCs w:val="21"/>
                <w14:textFill>
                  <w14:solidFill>
                    <w14:schemeClr w14:val="tx1"/>
                  </w14:solidFill>
                </w14:textFill>
              </w:rPr>
            </w:pP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厂界</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加强车间通风</w:t>
            </w:r>
          </w:p>
        </w:tc>
        <w:tc>
          <w:tcPr>
            <w:tcW w:w="175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COD、BOD</w:t>
            </w:r>
            <w:r>
              <w:rPr>
                <w:rFonts w:hint="eastAsia"/>
                <w:color w:val="000000" w:themeColor="text1"/>
                <w:szCs w:val="21"/>
                <w:vertAlign w:val="subscript"/>
                <w14:textFill>
                  <w14:solidFill>
                    <w14:schemeClr w14:val="tx1"/>
                  </w14:solidFill>
                </w14:textFill>
              </w:rPr>
              <w:t>5</w:t>
            </w:r>
            <w:r>
              <w:rPr>
                <w:rFonts w:hint="eastAsia"/>
                <w:color w:val="000000" w:themeColor="text1"/>
                <w:szCs w:val="21"/>
                <w14:textFill>
                  <w14:solidFill>
                    <w14:schemeClr w14:val="tx1"/>
                  </w14:solidFill>
                </w14:textFill>
              </w:rPr>
              <w:t>、NH</w:t>
            </w:r>
            <w:r>
              <w:rPr>
                <w:rFonts w:hint="eastAsia"/>
                <w:color w:val="000000" w:themeColor="text1"/>
                <w:szCs w:val="21"/>
                <w:vertAlign w:val="subscript"/>
                <w14:textFill>
                  <w14:solidFill>
                    <w14:schemeClr w14:val="tx1"/>
                  </w14:solidFill>
                </w14:textFill>
              </w:rPr>
              <w:t>3</w:t>
            </w:r>
            <w:r>
              <w:rPr>
                <w:rFonts w:hint="eastAsia"/>
                <w:color w:val="000000" w:themeColor="text1"/>
                <w:szCs w:val="21"/>
                <w14:textFill>
                  <w14:solidFill>
                    <w14:schemeClr w14:val="tx1"/>
                  </w14:solidFill>
                </w14:textFill>
              </w:rPr>
              <w:t>-N、SS、动植物油</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化粪池</w:t>
            </w:r>
          </w:p>
        </w:tc>
        <w:tc>
          <w:tcPr>
            <w:tcW w:w="175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定期清掏用作农肥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生产设备</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设备噪声</w:t>
            </w:r>
          </w:p>
        </w:tc>
        <w:tc>
          <w:tcPr>
            <w:tcW w:w="1755" w:type="dxa"/>
            <w:vAlign w:val="center"/>
          </w:tcPr>
          <w:p>
            <w:pPr>
              <w:adjustRightInd w:val="0"/>
              <w:snapToGrid w:val="0"/>
              <w:jc w:val="center"/>
              <w:rPr>
                <w:color w:val="000000" w:themeColor="text1"/>
                <w:szCs w:val="21"/>
                <w14:textFill>
                  <w14:solidFill>
                    <w14:schemeClr w14:val="tx1"/>
                  </w14:solidFill>
                </w14:textFill>
              </w:rPr>
            </w:pPr>
            <w:r>
              <w:rPr>
                <w:color w:val="000000" w:themeColor="text1"/>
                <w14:textFill>
                  <w14:solidFill>
                    <w14:schemeClr w14:val="tx1"/>
                  </w14:solidFill>
                </w14:textFill>
              </w:rPr>
              <w:t>基础减震、建筑隔声</w:t>
            </w:r>
          </w:p>
        </w:tc>
        <w:tc>
          <w:tcPr>
            <w:tcW w:w="1757" w:type="dxa"/>
            <w:vAlign w:val="center"/>
          </w:tcPr>
          <w:p>
            <w:pPr>
              <w:adjustRightInd w:val="0"/>
              <w:snapToGrid w:val="0"/>
              <w:jc w:val="left"/>
              <w:rPr>
                <w:color w:val="000000" w:themeColor="text1"/>
                <w14:textFill>
                  <w14:solidFill>
                    <w14:schemeClr w14:val="tx1"/>
                  </w14:solidFill>
                </w14:textFill>
              </w:rPr>
            </w:pPr>
            <w:r>
              <w:rPr>
                <w:color w:val="000000" w:themeColor="text1"/>
                <w14:textFill>
                  <w14:solidFill>
                    <w14:schemeClr w14:val="tx1"/>
                  </w14:solidFill>
                </w14:textFill>
              </w:rPr>
              <w:t>《工业企业厂界环境噪声排放标准》GB12348-2008</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5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757"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7022" w:type="dxa"/>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生活垃圾设垃圾桶收集后交由环卫部门处理，水喷淋沉渣和粉尘收集后回用，炉渣、废包装袋收集后交由一般工业固废单位进行处理；不合格产品生产自用。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c>
          <w:tcPr>
            <w:tcW w:w="7022"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14:textFill>
                  <w14:solidFill>
                    <w14:schemeClr w14:val="tx1"/>
                  </w14:solidFill>
                </w14:textFill>
              </w:rPr>
              <w:t>本项目所在建筑建成后，需进行场地硬底化，不存在土壤、地下水的污染物途径。项目各功能区均采取“源头控制”、“分区控制”的防渗措施，一般工业固体废物暂时贮存场满足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一般工业固体废物贮存和填埋污染控制标准》（GB18599</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2020）要求</w:t>
            </w: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7022" w:type="dxa"/>
            <w:gridSpan w:val="4"/>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环境风险</w:t>
            </w:r>
          </w:p>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防范措施</w:t>
            </w:r>
          </w:p>
        </w:tc>
        <w:tc>
          <w:tcPr>
            <w:tcW w:w="7022" w:type="dxa"/>
            <w:gridSpan w:val="4"/>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1、在对煤气设施运行及停气检修时必须严格按照有关安全生产的规定进行。供气管道及木煤气燃烧设备的设计和施工中，应参照《工业企业煤气安全规程》（</w:t>
            </w:r>
            <w:r>
              <w:rPr>
                <w:color w:val="000000" w:themeColor="text1"/>
                <w14:textFill>
                  <w14:solidFill>
                    <w14:schemeClr w14:val="tx1"/>
                  </w14:solidFill>
                </w14:textFill>
              </w:rPr>
              <w:t>GB 6222-86</w:t>
            </w:r>
            <w:r>
              <w:rPr>
                <w:rFonts w:hint="eastAsia"/>
                <w:color w:val="000000" w:themeColor="text1"/>
                <w14:textFill>
                  <w14:solidFill>
                    <w14:schemeClr w14:val="tx1"/>
                  </w14:solidFill>
                </w14:textFill>
              </w:rPr>
              <w:t>）等安全生产的有关规定进行。</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项目危险物质仓库的防范措施： </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w:t>
            </w:r>
            <w:r>
              <w:rPr>
                <w:color w:val="000000" w:themeColor="text1"/>
                <w14:textFill>
                  <w14:solidFill>
                    <w14:schemeClr w14:val="tx1"/>
                  </w14:solidFill>
                </w14:textFill>
              </w:rPr>
              <w:t xml:space="preserve">项目危险废物定期更换后避免露天存放，需要使用密闭包装桶盛装； </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w:t>
            </w:r>
            <w:r>
              <w:rPr>
                <w:color w:val="000000" w:themeColor="text1"/>
                <w14:textFill>
                  <w14:solidFill>
                    <w14:schemeClr w14:val="tx1"/>
                  </w14:solidFill>
                </w14:textFill>
              </w:rPr>
              <w:t xml:space="preserve">堆放危险废物的高度应根据地面承载能力确定； </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color w:val="000000" w:themeColor="text1"/>
                <w14:textFill>
                  <w14:solidFill>
                    <w14:schemeClr w14:val="tx1"/>
                  </w14:solidFill>
                </w14:textFill>
              </w:rPr>
              <w:t xml:space="preserve">危险废物临时堆放场要做好防风、防雨、防晒； </w:t>
            </w:r>
          </w:p>
          <w:p>
            <w:pPr>
              <w:numPr>
                <w:ilvl w:val="0"/>
                <w:numId w:val="2"/>
              </w:numPr>
              <w:adjustRightInd w:val="0"/>
              <w:snapToGrid w:val="0"/>
              <w:jc w:val="left"/>
              <w:rPr>
                <w:color w:val="000000" w:themeColor="text1"/>
                <w14:textFill>
                  <w14:solidFill>
                    <w14:schemeClr w14:val="tx1"/>
                  </w14:solidFill>
                </w14:textFill>
              </w:rPr>
            </w:pPr>
            <w:r>
              <w:rPr>
                <w:color w:val="000000" w:themeColor="text1"/>
                <w14:textFill>
                  <w14:solidFill>
                    <w14:schemeClr w14:val="tx1"/>
                  </w14:solidFill>
                </w14:textFill>
              </w:rPr>
              <w:t xml:space="preserve">不相容的危险废物不能堆放在一起； </w:t>
            </w:r>
          </w:p>
          <w:p>
            <w:pPr>
              <w:numPr>
                <w:ilvl w:val="0"/>
                <w:numId w:val="2"/>
              </w:numPr>
              <w:adjustRightInd w:val="0"/>
              <w:snapToGrid w:val="0"/>
              <w:jc w:val="left"/>
              <w:rPr>
                <w:color w:val="000000" w:themeColor="text1"/>
                <w14:textFill>
                  <w14:solidFill>
                    <w14:schemeClr w14:val="tx1"/>
                  </w14:solidFill>
                </w14:textFill>
              </w:rPr>
            </w:pPr>
            <w:r>
              <w:rPr>
                <w:color w:val="000000" w:themeColor="text1"/>
                <w14:textFill>
                  <w14:solidFill>
                    <w14:schemeClr w14:val="tx1"/>
                  </w14:solidFill>
                </w14:textFill>
              </w:rPr>
              <w:t>危险废物</w:t>
            </w:r>
            <w:r>
              <w:rPr>
                <w:rFonts w:hint="eastAsia"/>
                <w:color w:val="000000" w:themeColor="text1"/>
                <w14:textFill>
                  <w14:solidFill>
                    <w14:schemeClr w14:val="tx1"/>
                  </w14:solidFill>
                </w14:textFill>
              </w:rPr>
              <w:t>暂存间</w:t>
            </w:r>
            <w:r>
              <w:rPr>
                <w:color w:val="000000" w:themeColor="text1"/>
                <w14:textFill>
                  <w14:solidFill>
                    <w14:schemeClr w14:val="tx1"/>
                  </w14:solidFill>
                </w14:textFill>
              </w:rPr>
              <w:t xml:space="preserve">地面做好防腐、防渗透处理。 </w:t>
            </w:r>
          </w:p>
          <w:p>
            <w:pPr>
              <w:pStyle w:val="52"/>
              <w:numPr>
                <w:ilvl w:val="0"/>
                <w:numId w:val="3"/>
              </w:numPr>
              <w:adjustRightInd w:val="0"/>
              <w:snapToGrid w:val="0"/>
              <w:ind w:firstLineChars="0"/>
              <w:jc w:val="left"/>
              <w:rPr>
                <w:color w:val="000000" w:themeColor="text1"/>
                <w14:textFill>
                  <w14:solidFill>
                    <w14:schemeClr w14:val="tx1"/>
                  </w14:solidFill>
                </w14:textFill>
              </w:rPr>
            </w:pPr>
            <w:r>
              <w:rPr>
                <w:color w:val="000000" w:themeColor="text1"/>
                <w14:textFill>
                  <w14:solidFill>
                    <w14:schemeClr w14:val="tx1"/>
                  </w14:solidFill>
                </w14:textFill>
              </w:rPr>
              <w:t xml:space="preserve">项目火灾事故防范措施： </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①</w:t>
            </w:r>
            <w:r>
              <w:rPr>
                <w:color w:val="000000" w:themeColor="text1"/>
                <w14:textFill>
                  <w14:solidFill>
                    <w14:schemeClr w14:val="tx1"/>
                  </w14:solidFill>
                </w14:textFill>
              </w:rPr>
              <w:t xml:space="preserve">在车间内设置“严禁烟火”的警示牌，尤其是在易燃品堆放的位置； </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②</w:t>
            </w:r>
            <w:r>
              <w:rPr>
                <w:color w:val="000000" w:themeColor="text1"/>
                <w14:textFill>
                  <w14:solidFill>
                    <w14:schemeClr w14:val="tx1"/>
                  </w14:solidFill>
                </w14:textFill>
              </w:rPr>
              <w:t>灭火器应布置在明显便于取用的地方，并定期维护检查，确保能正常使用；</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color w:val="000000" w:themeColor="text1"/>
                <w14:textFill>
                  <w14:solidFill>
                    <w14:schemeClr w14:val="tx1"/>
                  </w14:solidFill>
                </w14:textFill>
              </w:rPr>
              <w:t xml:space="preserve">制定和落实防火安全责任制及消防安全规章制度，除加强对员工的消防知识进行培训，对消防安全责任人及员工也定期进行消防知识培训，消防安全管理人员持证上岗； </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⑤</w:t>
            </w:r>
            <w:r>
              <w:rPr>
                <w:color w:val="000000" w:themeColor="text1"/>
                <w14:textFill>
                  <w14:solidFill>
                    <w14:schemeClr w14:val="tx1"/>
                  </w14:solidFill>
                </w14:textFill>
              </w:rPr>
              <w:t xml:space="preserve">自动消防系统应定期维护保养，保证消防设施正常运作； </w:t>
            </w:r>
          </w:p>
          <w:p>
            <w:pPr>
              <w:adjustRightInd w:val="0"/>
              <w:snapToGrid w:val="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⑥</w:t>
            </w:r>
            <w:r>
              <w:rPr>
                <w:color w:val="000000" w:themeColor="text1"/>
                <w14:textFill>
                  <w14:solidFill>
                    <w14:schemeClr w14:val="tx1"/>
                  </w14:solidFill>
                </w14:textFill>
              </w:rPr>
              <w:t>对电路定期予以检查，用电负荷与电路的设计要匹配；</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⑦</w:t>
            </w:r>
            <w:r>
              <w:rPr>
                <w:color w:val="000000" w:themeColor="text1"/>
                <w14:textFill>
                  <w14:solidFill>
                    <w14:schemeClr w14:val="tx1"/>
                  </w14:solidFill>
                </w14:textFill>
              </w:rPr>
              <w:t xml:space="preserve">制定灭火和应急疏散预案，同时设置安全疏散通道； </w:t>
            </w:r>
          </w:p>
          <w:p>
            <w:pPr>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⑧</w:t>
            </w:r>
            <w:r>
              <w:rPr>
                <w:color w:val="000000" w:themeColor="text1"/>
                <w14:textFill>
                  <w14:solidFill>
                    <w14:schemeClr w14:val="tx1"/>
                  </w14:solidFill>
                </w14:textFill>
              </w:rPr>
              <w:t>在仓库、车间设置门槛或</w:t>
            </w:r>
            <w:r>
              <w:rPr>
                <w:rFonts w:hint="eastAsia"/>
                <w:color w:val="000000" w:themeColor="text1"/>
                <w14:textFill>
                  <w14:solidFill>
                    <w14:schemeClr w14:val="tx1"/>
                  </w14:solidFill>
                </w14:textFill>
              </w:rPr>
              <w:t>漫</w:t>
            </w:r>
            <w:r>
              <w:rPr>
                <w:color w:val="000000" w:themeColor="text1"/>
                <w14:textFill>
                  <w14:solidFill>
                    <w14:schemeClr w14:val="tx1"/>
                  </w14:solidFill>
                </w14:textFill>
              </w:rPr>
              <w:t>坡，发生应急事故时产生的废水能截留在仓库或车间内，以免废水对周围环境造成二次污染</w:t>
            </w:r>
            <w:r>
              <w:rPr>
                <w:rFonts w:hint="eastAsia"/>
                <w:color w:val="000000" w:themeColor="text1"/>
                <w14:textFill>
                  <w14:solidFill>
                    <w14:schemeClr w14:val="tx1"/>
                  </w14:solidFill>
                </w14:textFill>
              </w:rPr>
              <w:t>。</w:t>
            </w:r>
          </w:p>
          <w:p>
            <w:pPr>
              <w:ind w:firstLine="420" w:firstLineChars="200"/>
              <w:jc w:val="left"/>
              <w:rPr>
                <w:color w:val="000000" w:themeColor="text1"/>
                <w14:textFill>
                  <w14:solidFill>
                    <w14:schemeClr w14:val="tx1"/>
                  </w14:solidFill>
                </w14:textFill>
              </w:rPr>
            </w:pPr>
          </w:p>
          <w:p>
            <w:pPr>
              <w:ind w:firstLine="420" w:firstLineChars="200"/>
              <w:jc w:val="lef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其他环境</w:t>
            </w:r>
          </w:p>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管理要求</w:t>
            </w:r>
          </w:p>
        </w:tc>
        <w:tc>
          <w:tcPr>
            <w:tcW w:w="7022" w:type="dxa"/>
            <w:gridSpan w:val="4"/>
            <w:vAlign w:val="center"/>
          </w:tcPr>
          <w:p>
            <w:pPr>
              <w:pStyle w:val="62"/>
              <w:adjustRightInd/>
              <w:snapToGrid/>
              <w:spacing w:before="0" w:after="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1、项目建成投产排污前，应办理排污许可证</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2、项目建成试运行，及时进行环保竣工验收</w:t>
            </w:r>
          </w:p>
        </w:tc>
      </w:tr>
    </w:tbl>
    <w:p>
      <w:pPr>
        <w:pStyle w:val="22"/>
        <w:jc w:val="center"/>
        <w:outlineLvl w:val="0"/>
        <w:rPr>
          <w:rFonts w:ascii="黑体" w:hAnsi="黑体" w:eastAsia="黑体"/>
          <w:snapToGrid w:val="0"/>
          <w:sz w:val="30"/>
          <w:szCs w:val="30"/>
        </w:rPr>
      </w:pPr>
      <w:r>
        <w:rPr>
          <w:snapToGrid w:val="0"/>
        </w:rPr>
        <w:br w:type="page"/>
      </w:r>
      <w:bookmarkStart w:id="14" w:name="_Toc14135"/>
      <w:r>
        <w:rPr>
          <w:rFonts w:hint="eastAsia" w:ascii="黑体" w:hAnsi="黑体" w:eastAsia="黑体"/>
          <w:snapToGrid w:val="0"/>
          <w:sz w:val="30"/>
          <w:szCs w:val="30"/>
        </w:rPr>
        <w:t>六、结论</w:t>
      </w:r>
      <w:bookmarkEnd w:id="14"/>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本</w:t>
            </w:r>
            <w:r>
              <w:rPr>
                <w:sz w:val="24"/>
              </w:rPr>
              <w:t>项目符合国家产业政策；项目选址符合相关要求，通过采取有效的环保措施可实现</w:t>
            </w:r>
            <w:r>
              <w:rPr>
                <w:rFonts w:hint="eastAsia"/>
                <w:sz w:val="24"/>
              </w:rPr>
              <w:t>废气、废水</w:t>
            </w:r>
            <w:r>
              <w:rPr>
                <w:sz w:val="24"/>
              </w:rPr>
              <w:t>达标排放，</w:t>
            </w:r>
            <w:r>
              <w:rPr>
                <w:rFonts w:hint="eastAsia"/>
                <w:sz w:val="24"/>
              </w:rPr>
              <w:t>固体废物妥善处置，</w:t>
            </w:r>
            <w:r>
              <w:rPr>
                <w:sz w:val="24"/>
              </w:rPr>
              <w:t>对周边环境的影响也能控制在可接受程度。因此，建设单位在严格执行环保“三同时”制度，严格落实本报告提出的各项环保措施后，项目建设对环境的影响是可接受的。</w:t>
            </w:r>
          </w:p>
          <w:p>
            <w:pPr>
              <w:spacing w:line="360" w:lineRule="auto"/>
              <w:ind w:firstLine="480" w:firstLineChars="200"/>
              <w:rPr>
                <w:rFonts w:ascii="宋体" w:cs="宋体"/>
                <w:sz w:val="24"/>
              </w:rPr>
            </w:pPr>
            <w:r>
              <w:rPr>
                <w:sz w:val="24"/>
              </w:rPr>
              <w:t>因此，从环保的角度分析，本项目的建设是可行的。</w:t>
            </w:r>
          </w:p>
        </w:tc>
      </w:tr>
    </w:tbl>
    <w:p>
      <w:pPr>
        <w:rPr>
          <w:rFonts w:ascii="宋体"/>
        </w:rPr>
        <w:sectPr>
          <w:pgSz w:w="11906" w:h="16838"/>
          <w:pgMar w:top="1701" w:right="1531" w:bottom="1701" w:left="1531" w:header="851" w:footer="851" w:gutter="0"/>
          <w:cols w:space="720" w:num="1"/>
          <w:docGrid w:linePitch="312" w:charSpace="0"/>
        </w:sectPr>
      </w:pPr>
    </w:p>
    <w:p>
      <w:pPr>
        <w:pStyle w:val="22"/>
        <w:adjustRightInd w:val="0"/>
        <w:snapToGrid w:val="0"/>
        <w:spacing w:before="0" w:beforeAutospacing="0" w:after="0" w:afterAutospacing="0"/>
        <w:outlineLvl w:val="0"/>
        <w:rPr>
          <w:rFonts w:ascii="黑体" w:hAnsi="黑体" w:eastAsia="黑体"/>
          <w:snapToGrid w:val="0"/>
          <w:sz w:val="32"/>
          <w:szCs w:val="32"/>
        </w:rPr>
      </w:pPr>
      <w:bookmarkStart w:id="15" w:name="_Toc5991"/>
      <w:r>
        <w:rPr>
          <w:rFonts w:hint="eastAsia" w:ascii="黑体" w:hAnsi="黑体" w:eastAsia="黑体"/>
          <w:snapToGrid w:val="0"/>
          <w:sz w:val="32"/>
          <w:szCs w:val="32"/>
        </w:rPr>
        <w:t>附表</w:t>
      </w:r>
      <w:bookmarkEnd w:id="15"/>
    </w:p>
    <w:p>
      <w:pPr>
        <w:pStyle w:val="22"/>
        <w:adjustRightInd w:val="0"/>
        <w:snapToGrid w:val="0"/>
        <w:spacing w:before="0" w:beforeAutospacing="0" w:after="0" w:afterAutospacing="0"/>
        <w:jc w:val="center"/>
        <w:outlineLvl w:val="0"/>
        <w:rPr>
          <w:rFonts w:ascii="方正小标宋_GBK" w:hAnsi="黑体" w:eastAsia="方正小标宋_GBK"/>
          <w:snapToGrid w:val="0"/>
          <w:sz w:val="38"/>
          <w:szCs w:val="38"/>
        </w:rPr>
      </w:pPr>
      <w:bookmarkStart w:id="16" w:name="_Toc8125"/>
      <w:r>
        <w:rPr>
          <w:rFonts w:hint="eastAsia" w:ascii="方正小标宋_GBK" w:hAnsi="黑体" w:eastAsia="方正小标宋_GBK"/>
          <w:snapToGrid w:val="0"/>
          <w:sz w:val="38"/>
          <w:szCs w:val="38"/>
        </w:rPr>
        <w:t>建设项目污染物排放量汇总表</w:t>
      </w:r>
      <w:bookmarkEnd w:id="16"/>
    </w:p>
    <w:tbl>
      <w:tblPr>
        <w:tblStyle w:val="24"/>
        <w:tblW w:w="0" w:type="auto"/>
        <w:tblInd w:w="-8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825"/>
        <w:gridCol w:w="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45"/>
              <w:spacing w:beforeLines="0" w:afterLines="0" w:line="240" w:lineRule="auto"/>
              <w:jc w:val="right"/>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项目</w:t>
            </w:r>
          </w:p>
          <w:p>
            <w:pPr>
              <w:pStyle w:val="45"/>
              <w:spacing w:beforeLines="0" w:afterLines="0" w:line="240" w:lineRule="auto"/>
              <w:jc w:val="left"/>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分类</w:t>
            </w:r>
          </w:p>
        </w:tc>
        <w:tc>
          <w:tcPr>
            <w:tcW w:w="1417"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污染物名称</w:t>
            </w:r>
          </w:p>
        </w:tc>
        <w:tc>
          <w:tcPr>
            <w:tcW w:w="1701"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现有工程</w:t>
            </w:r>
          </w:p>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排放量（固体废物产生量）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1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①</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276"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现有工程</w:t>
            </w:r>
          </w:p>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许可排放量</w:t>
            </w:r>
          </w:p>
          <w:p>
            <w:pPr>
              <w:pStyle w:val="45"/>
              <w:spacing w:beforeLines="0" w:afterLine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2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ascii="Times New Roman" w:eastAsia="黑体"/>
                <w:snapToGrid w:val="0"/>
                <w:color w:val="000000" w:themeColor="text1"/>
                <w:spacing w:val="-6"/>
                <w:kern w:val="21"/>
                <w:szCs w:val="21"/>
                <w14:textFill>
                  <w14:solidFill>
                    <w14:schemeClr w14:val="tx1"/>
                  </w14:solidFill>
                </w14:textFill>
              </w:rPr>
              <w:t>②</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701"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在建工程</w:t>
            </w:r>
          </w:p>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排放量（固体废物产生量）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3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③</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559"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本项目</w:t>
            </w:r>
          </w:p>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排放量（固体废物产生量）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4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④</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761"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以新带老削减量</w:t>
            </w:r>
          </w:p>
          <w:p>
            <w:pPr>
              <w:pStyle w:val="45"/>
              <w:spacing w:beforeLines="0" w:afterLines="0" w:line="240" w:lineRule="auto"/>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（新建项目不填）</w:t>
            </w:r>
            <w:r>
              <w:rPr>
                <w:rFonts w:ascii="Times New Roman" w:eastAsia="黑体"/>
                <w:snapToGrid w:val="0"/>
                <w:color w:val="000000" w:themeColor="text1"/>
                <w:spacing w:val="-16"/>
                <w:kern w:val="21"/>
                <w:szCs w:val="21"/>
                <w14:textFill>
                  <w14:solidFill>
                    <w14:schemeClr w14:val="tx1"/>
                  </w14:solidFill>
                </w14:textFill>
              </w:rPr>
              <w:fldChar w:fldCharType="begin"/>
            </w:r>
            <w:r>
              <w:rPr>
                <w:rFonts w:ascii="Times New Roman" w:eastAsia="黑体"/>
                <w:snapToGrid w:val="0"/>
                <w:color w:val="000000" w:themeColor="text1"/>
                <w:spacing w:val="-16"/>
                <w:kern w:val="21"/>
                <w:szCs w:val="21"/>
                <w14:textFill>
                  <w14:solidFill>
                    <w14:schemeClr w14:val="tx1"/>
                  </w14:solidFill>
                </w14:textFill>
              </w:rPr>
              <w:instrText xml:space="preserve"> = 5 \* GB3 \* MERGEFORMAT </w:instrText>
            </w:r>
            <w:r>
              <w:rPr>
                <w:rFonts w:ascii="Times New Roman" w:eastAsia="黑体"/>
                <w:snapToGrid w:val="0"/>
                <w:color w:val="000000" w:themeColor="text1"/>
                <w:spacing w:val="-1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⑤</w:t>
            </w:r>
            <w:r>
              <w:rPr>
                <w:rFonts w:ascii="Times New Roman" w:eastAsia="黑体"/>
                <w:snapToGrid w:val="0"/>
                <w:color w:val="000000" w:themeColor="text1"/>
                <w:spacing w:val="-16"/>
                <w:kern w:val="21"/>
                <w:szCs w:val="21"/>
                <w14:textFill>
                  <w14:solidFill>
                    <w14:schemeClr w14:val="tx1"/>
                  </w14:solidFill>
                </w14:textFill>
              </w:rPr>
              <w:fldChar w:fldCharType="end"/>
            </w:r>
          </w:p>
        </w:tc>
        <w:tc>
          <w:tcPr>
            <w:tcW w:w="1825"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本项目建成后</w:t>
            </w:r>
          </w:p>
          <w:p>
            <w:pPr>
              <w:pStyle w:val="45"/>
              <w:spacing w:beforeLines="0" w:afterLines="0" w:line="240" w:lineRule="auto"/>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全厂排放量（固体废物产生量）</w:t>
            </w:r>
            <w:r>
              <w:rPr>
                <w:rFonts w:ascii="Times New Roman" w:eastAsia="黑体"/>
                <w:snapToGrid w:val="0"/>
                <w:color w:val="000000" w:themeColor="text1"/>
                <w:spacing w:val="-16"/>
                <w:kern w:val="21"/>
                <w:szCs w:val="21"/>
                <w14:textFill>
                  <w14:solidFill>
                    <w14:schemeClr w14:val="tx1"/>
                  </w14:solidFill>
                </w14:textFill>
              </w:rPr>
              <w:fldChar w:fldCharType="begin"/>
            </w:r>
            <w:r>
              <w:rPr>
                <w:rFonts w:ascii="Times New Roman" w:eastAsia="黑体"/>
                <w:snapToGrid w:val="0"/>
                <w:color w:val="000000" w:themeColor="text1"/>
                <w:spacing w:val="-16"/>
                <w:kern w:val="21"/>
                <w:szCs w:val="21"/>
                <w14:textFill>
                  <w14:solidFill>
                    <w14:schemeClr w14:val="tx1"/>
                  </w14:solidFill>
                </w14:textFill>
              </w:rPr>
              <w:instrText xml:space="preserve"> = 6 \* GB3 \* MERGEFORMAT </w:instrText>
            </w:r>
            <w:r>
              <w:rPr>
                <w:rFonts w:ascii="Times New Roman" w:eastAsia="黑体"/>
                <w:snapToGrid w:val="0"/>
                <w:color w:val="000000" w:themeColor="text1"/>
                <w:spacing w:val="-1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⑥</w:t>
            </w:r>
            <w:r>
              <w:rPr>
                <w:rFonts w:ascii="Times New Roman" w:eastAsia="黑体"/>
                <w:snapToGrid w:val="0"/>
                <w:color w:val="000000" w:themeColor="text1"/>
                <w:spacing w:val="-16"/>
                <w:kern w:val="21"/>
                <w:szCs w:val="21"/>
                <w14:textFill>
                  <w14:solidFill>
                    <w14:schemeClr w14:val="tx1"/>
                  </w14:solidFill>
                </w14:textFill>
              </w:rPr>
              <w:fldChar w:fldCharType="end"/>
            </w:r>
          </w:p>
        </w:tc>
        <w:tc>
          <w:tcPr>
            <w:tcW w:w="960" w:type="dxa"/>
            <w:tcMar>
              <w:left w:w="28" w:type="dxa"/>
              <w:right w:w="28" w:type="dxa"/>
            </w:tcMar>
            <w:vAlign w:val="center"/>
          </w:tcPr>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变化量</w:t>
            </w:r>
          </w:p>
          <w:p>
            <w:pPr>
              <w:pStyle w:val="45"/>
              <w:spacing w:beforeLines="0" w:afterLines="0" w:line="240" w:lineRule="auto"/>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7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ascii="Times New Roman" w:eastAsia="黑体"/>
                <w:color w:val="000000" w:themeColor="text1"/>
                <w:kern w:val="2"/>
                <w:szCs w:val="21"/>
                <w14:textFill>
                  <w14:solidFill>
                    <w14:schemeClr w14:val="tx1"/>
                  </w14:solidFill>
                </w14:textFill>
              </w:rPr>
              <w:t>⑦</w:t>
            </w:r>
            <w:r>
              <w:rPr>
                <w:rFonts w:ascii="Times New Roman" w:eastAsia="黑体"/>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废气</w:t>
            </w: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颗粒物</w:t>
            </w:r>
          </w:p>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r>
              <w:rPr>
                <w:rFonts w:hint="eastAsia"/>
                <w:snapToGrid w:val="0"/>
                <w:color w:val="000000" w:themeColor="text1"/>
                <w:kern w:val="21"/>
                <w:szCs w:val="21"/>
                <w14:textFill>
                  <w14:solidFill>
                    <w14:schemeClr w14:val="tx1"/>
                  </w14:solidFill>
                </w14:textFill>
              </w:rPr>
              <w:t>有</w:t>
            </w:r>
            <w:r>
              <w:rPr>
                <w:snapToGrid w:val="0"/>
                <w:color w:val="000000" w:themeColor="text1"/>
                <w:kern w:val="21"/>
                <w:szCs w:val="21"/>
                <w14:textFill>
                  <w14:solidFill>
                    <w14:schemeClr w14:val="tx1"/>
                  </w14:solidFill>
                </w14:textFill>
              </w:rPr>
              <w:t>组织）</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pStyle w:val="45"/>
              <w:spacing w:beforeLines="0" w:afterLines="0" w:line="240" w:lineRule="auto"/>
              <w:rPr>
                <w:rFonts w:ascii="Times New Roman"/>
                <w:snapToGrid w:val="0"/>
                <w:color w:val="000000" w:themeColor="text1"/>
                <w:kern w:val="21"/>
                <w:szCs w:val="21"/>
                <w:u w:val="single"/>
                <w14:textFill>
                  <w14:solidFill>
                    <w14:schemeClr w14:val="tx1"/>
                  </w14:solidFill>
                </w14:textFill>
              </w:rPr>
            </w:pPr>
            <w:r>
              <w:rPr>
                <w:rFonts w:ascii="Times New Roman"/>
                <w:color w:val="000000" w:themeColor="text1"/>
                <w:szCs w:val="21"/>
                <w:u w:val="single"/>
                <w14:textFill>
                  <w14:solidFill>
                    <w14:schemeClr w14:val="tx1"/>
                  </w14:solidFill>
                </w14:textFill>
              </w:rPr>
              <w:t>1.111</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color w:val="000000" w:themeColor="text1"/>
                <w:szCs w:val="21"/>
                <w:u w:val="single"/>
                <w14:textFill>
                  <w14:solidFill>
                    <w14:schemeClr w14:val="tx1"/>
                  </w14:solidFill>
                </w14:textFill>
              </w:rPr>
              <w:t>1.111</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u w:val="single"/>
                <w14:textFill>
                  <w14:solidFill>
                    <w14:schemeClr w14:val="tx1"/>
                  </w14:solidFill>
                </w14:textFill>
              </w:rPr>
              <w:t>+1.111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vertAlign w:val="subscript"/>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SO</w:t>
            </w:r>
            <w:r>
              <w:rPr>
                <w:rFonts w:ascii="Times New Roman"/>
                <w:snapToGrid w:val="0"/>
                <w:color w:val="000000" w:themeColor="text1"/>
                <w:kern w:val="21"/>
                <w:szCs w:val="21"/>
                <w:vertAlign w:val="subscript"/>
                <w14:textFill>
                  <w14:solidFill>
                    <w14:schemeClr w14:val="tx1"/>
                  </w14:solidFill>
                </w14:textFill>
              </w:rPr>
              <w:t>2</w:t>
            </w:r>
          </w:p>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r>
              <w:rPr>
                <w:rFonts w:hint="eastAsia"/>
                <w:snapToGrid w:val="0"/>
                <w:color w:val="000000" w:themeColor="text1"/>
                <w:kern w:val="21"/>
                <w:szCs w:val="21"/>
                <w14:textFill>
                  <w14:solidFill>
                    <w14:schemeClr w14:val="tx1"/>
                  </w14:solidFill>
                </w14:textFill>
              </w:rPr>
              <w:t>有</w:t>
            </w:r>
            <w:r>
              <w:rPr>
                <w:snapToGrid w:val="0"/>
                <w:color w:val="000000" w:themeColor="text1"/>
                <w:kern w:val="21"/>
                <w:szCs w:val="21"/>
                <w14:textFill>
                  <w14:solidFill>
                    <w14:schemeClr w14:val="tx1"/>
                  </w14:solidFill>
                </w14:textFill>
              </w:rPr>
              <w:t>组织）</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pStyle w:val="45"/>
              <w:spacing w:beforeLines="0" w:afterLines="0" w:line="240" w:lineRule="auto"/>
              <w:rPr>
                <w:rFonts w:ascii="Times New Roman"/>
                <w:snapToGrid w:val="0"/>
                <w:color w:val="000000" w:themeColor="text1"/>
                <w:kern w:val="21"/>
                <w:szCs w:val="21"/>
                <w:u w:val="single"/>
                <w14:textFill>
                  <w14:solidFill>
                    <w14:schemeClr w14:val="tx1"/>
                  </w14:solidFill>
                </w14:textFill>
              </w:rPr>
            </w:pPr>
            <w:r>
              <w:rPr>
                <w:rFonts w:ascii="Times New Roman"/>
                <w:color w:val="000000" w:themeColor="text1"/>
                <w:szCs w:val="21"/>
                <w:u w:val="single"/>
                <w14:textFill>
                  <w14:solidFill>
                    <w14:schemeClr w14:val="tx1"/>
                  </w14:solidFill>
                </w14:textFill>
              </w:rPr>
              <w:t>0.311</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color w:val="000000" w:themeColor="text1"/>
                <w:szCs w:val="21"/>
                <w:u w:val="single"/>
                <w14:textFill>
                  <w14:solidFill>
                    <w14:schemeClr w14:val="tx1"/>
                  </w14:solidFill>
                </w14:textFill>
              </w:rPr>
              <w:t>0.311</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u w:val="single"/>
                <w14:textFill>
                  <w14:solidFill>
                    <w14:schemeClr w14:val="tx1"/>
                  </w14:solidFill>
                </w14:textFill>
              </w:rPr>
              <w:t>+0.311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NOx</w:t>
            </w:r>
          </w:p>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r>
              <w:rPr>
                <w:rFonts w:hint="eastAsia"/>
                <w:snapToGrid w:val="0"/>
                <w:color w:val="000000" w:themeColor="text1"/>
                <w:kern w:val="21"/>
                <w:szCs w:val="21"/>
                <w14:textFill>
                  <w14:solidFill>
                    <w14:schemeClr w14:val="tx1"/>
                  </w14:solidFill>
                </w14:textFill>
              </w:rPr>
              <w:t>有</w:t>
            </w:r>
            <w:r>
              <w:rPr>
                <w:snapToGrid w:val="0"/>
                <w:color w:val="000000" w:themeColor="text1"/>
                <w:kern w:val="21"/>
                <w:szCs w:val="21"/>
                <w14:textFill>
                  <w14:solidFill>
                    <w14:schemeClr w14:val="tx1"/>
                  </w14:solidFill>
                </w14:textFill>
              </w:rPr>
              <w:t>组织）</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pStyle w:val="45"/>
              <w:spacing w:beforeLines="0" w:afterLines="0" w:line="240" w:lineRule="auto"/>
              <w:rPr>
                <w:rFonts w:ascii="Times New Roman"/>
                <w:snapToGrid w:val="0"/>
                <w:color w:val="000000" w:themeColor="text1"/>
                <w:kern w:val="21"/>
                <w:szCs w:val="21"/>
                <w:u w:val="single"/>
                <w14:textFill>
                  <w14:solidFill>
                    <w14:schemeClr w14:val="tx1"/>
                  </w14:solidFill>
                </w14:textFill>
              </w:rPr>
            </w:pPr>
            <w:r>
              <w:rPr>
                <w:rFonts w:ascii="Times New Roman"/>
                <w:color w:val="000000" w:themeColor="text1"/>
                <w:szCs w:val="21"/>
                <w:u w:val="single"/>
                <w14:textFill>
                  <w14:solidFill>
                    <w14:schemeClr w14:val="tx1"/>
                  </w14:solidFill>
                </w14:textFill>
              </w:rPr>
              <w:t>1.004</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color w:val="000000" w:themeColor="text1"/>
                <w:szCs w:val="21"/>
                <w:u w:val="single"/>
                <w14:textFill>
                  <w14:solidFill>
                    <w14:schemeClr w14:val="tx1"/>
                  </w14:solidFill>
                </w14:textFill>
              </w:rPr>
              <w:t>1.004</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u w:val="single"/>
                <w14:textFill>
                  <w14:solidFill>
                    <w14:schemeClr w14:val="tx1"/>
                  </w14:solidFill>
                </w14:textFill>
              </w:rPr>
              <w:t>+1.004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颗粒物</w:t>
            </w:r>
          </w:p>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r>
              <w:rPr>
                <w:rFonts w:hint="eastAsia"/>
                <w:snapToGrid w:val="0"/>
                <w:color w:val="000000" w:themeColor="text1"/>
                <w:kern w:val="21"/>
                <w:szCs w:val="21"/>
                <w14:textFill>
                  <w14:solidFill>
                    <w14:schemeClr w14:val="tx1"/>
                  </w14:solidFill>
                </w14:textFill>
              </w:rPr>
              <w:t>无</w:t>
            </w:r>
            <w:r>
              <w:rPr>
                <w:snapToGrid w:val="0"/>
                <w:color w:val="000000" w:themeColor="text1"/>
                <w:kern w:val="21"/>
                <w:szCs w:val="21"/>
                <w14:textFill>
                  <w14:solidFill>
                    <w14:schemeClr w14:val="tx1"/>
                  </w14:solidFill>
                </w14:textFill>
              </w:rPr>
              <w:t>组织）</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pStyle w:val="45"/>
              <w:spacing w:beforeLines="0" w:afterLines="0" w:line="240" w:lineRule="auto"/>
              <w:rPr>
                <w:rFonts w:ascii="Times New Roman"/>
                <w:snapToGrid w:val="0"/>
                <w:color w:val="000000" w:themeColor="text1"/>
                <w:kern w:val="21"/>
                <w:szCs w:val="21"/>
                <w:u w:val="single"/>
                <w14:textFill>
                  <w14:solidFill>
                    <w14:schemeClr w14:val="tx1"/>
                  </w14:solidFill>
                </w14:textFill>
              </w:rPr>
            </w:pPr>
            <w:r>
              <w:rPr>
                <w:rFonts w:ascii="Times New Roman"/>
                <w:color w:val="000000" w:themeColor="text1"/>
                <w:szCs w:val="21"/>
                <w:u w:val="single"/>
                <w14:textFill>
                  <w14:solidFill>
                    <w14:schemeClr w14:val="tx1"/>
                  </w14:solidFill>
                </w14:textFill>
              </w:rPr>
              <w:t>1.05</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color w:val="000000" w:themeColor="text1"/>
                <w:szCs w:val="21"/>
                <w:u w:val="single"/>
                <w14:textFill>
                  <w14:solidFill>
                    <w14:schemeClr w14:val="tx1"/>
                  </w14:solidFill>
                </w14:textFill>
              </w:rPr>
              <w:t>1.05</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u w:val="single"/>
                <w14:textFill>
                  <w14:solidFill>
                    <w14:schemeClr w14:val="tx1"/>
                  </w14:solidFill>
                </w14:textFill>
              </w:rPr>
              <w:t>+1.05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废水</w:t>
            </w: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COD</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960"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BOD</w:t>
            </w:r>
            <w:r>
              <w:rPr>
                <w:rFonts w:hint="eastAsia" w:ascii="Times New Roman"/>
                <w:snapToGrid w:val="0"/>
                <w:color w:val="000000" w:themeColor="text1"/>
                <w:kern w:val="21"/>
                <w:szCs w:val="21"/>
                <w:vertAlign w:val="subscript"/>
                <w14:textFill>
                  <w14:solidFill>
                    <w14:schemeClr w14:val="tx1"/>
                  </w14:solidFill>
                </w14:textFill>
              </w:rPr>
              <w:t>5</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960"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NH</w:t>
            </w:r>
            <w:r>
              <w:rPr>
                <w:rFonts w:hint="eastAsia" w:ascii="Times New Roman"/>
                <w:snapToGrid w:val="0"/>
                <w:color w:val="000000" w:themeColor="text1"/>
                <w:kern w:val="21"/>
                <w:szCs w:val="21"/>
                <w:vertAlign w:val="subscript"/>
                <w14:textFill>
                  <w14:solidFill>
                    <w14:schemeClr w14:val="tx1"/>
                  </w14:solidFill>
                </w14:textFill>
              </w:rPr>
              <w:t>3</w:t>
            </w:r>
            <w:r>
              <w:rPr>
                <w:rFonts w:hint="eastAsia" w:ascii="Times New Roman"/>
                <w:snapToGrid w:val="0"/>
                <w:color w:val="000000" w:themeColor="text1"/>
                <w:kern w:val="21"/>
                <w:szCs w:val="21"/>
                <w14:textFill>
                  <w14:solidFill>
                    <w14:schemeClr w14:val="tx1"/>
                  </w14:solidFill>
                </w14:textFill>
              </w:rPr>
              <w:t>-N</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960"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SS</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960"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一般工业</w:t>
            </w:r>
          </w:p>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固体废物</w:t>
            </w:r>
          </w:p>
        </w:tc>
        <w:tc>
          <w:tcPr>
            <w:tcW w:w="1417"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炉渣</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4</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3</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水喷淋沉渣</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4</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2</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snapToGrid w:val="0"/>
                <w:color w:val="000000" w:themeColor="text1"/>
                <w:kern w:val="2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脉冲除尘器收集粉尘</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276"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559" w:type="dxa"/>
            <w:vAlign w:val="center"/>
          </w:tcPr>
          <w:p>
            <w:pPr>
              <w:jc w:val="center"/>
              <w:rPr>
                <w:snapToGrid w:val="0"/>
                <w:color w:val="000000" w:themeColor="text1"/>
                <w:kern w:val="21"/>
                <w:szCs w:val="21"/>
                <w:u w:val="single"/>
                <w14:textFill>
                  <w14:solidFill>
                    <w14:schemeClr w14:val="tx1"/>
                  </w14:solidFill>
                </w14:textFill>
              </w:rPr>
            </w:pPr>
            <w:r>
              <w:rPr>
                <w:color w:val="000000" w:themeColor="text1"/>
                <w:szCs w:val="21"/>
                <w:u w:val="single"/>
                <w14:textFill>
                  <w14:solidFill>
                    <w14:schemeClr w14:val="tx1"/>
                  </w14:solidFill>
                </w14:textFill>
              </w:rPr>
              <w:t>8.11</w:t>
            </w:r>
          </w:p>
        </w:tc>
        <w:tc>
          <w:tcPr>
            <w:tcW w:w="176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825" w:type="dxa"/>
            <w:vAlign w:val="center"/>
          </w:tcPr>
          <w:p>
            <w:pPr>
              <w:jc w:val="center"/>
              <w:rPr>
                <w:snapToGrid w:val="0"/>
                <w:color w:val="000000" w:themeColor="text1"/>
                <w:kern w:val="21"/>
                <w:szCs w:val="21"/>
                <w:u w:val="single"/>
                <w14:textFill>
                  <w14:solidFill>
                    <w14:schemeClr w14:val="tx1"/>
                  </w14:solidFill>
                </w14:textFill>
              </w:rPr>
            </w:pPr>
            <w:r>
              <w:rPr>
                <w:color w:val="000000" w:themeColor="text1"/>
                <w:szCs w:val="21"/>
                <w:u w:val="single"/>
                <w14:textFill>
                  <w14:solidFill>
                    <w14:schemeClr w14:val="tx1"/>
                  </w14:solidFill>
                </w14:textFill>
              </w:rPr>
              <w:t>8.11</w:t>
            </w:r>
          </w:p>
        </w:tc>
        <w:tc>
          <w:tcPr>
            <w:tcW w:w="960" w:type="dxa"/>
            <w:vAlign w:val="center"/>
          </w:tcPr>
          <w:p>
            <w:pPr>
              <w:jc w:val="center"/>
              <w:rPr>
                <w:snapToGrid w:val="0"/>
                <w:color w:val="000000" w:themeColor="text1"/>
                <w:kern w:val="21"/>
                <w:szCs w:val="21"/>
                <w:u w:val="single"/>
                <w14:textFill>
                  <w14:solidFill>
                    <w14:schemeClr w14:val="tx1"/>
                  </w14:solidFill>
                </w14:textFill>
              </w:rPr>
            </w:pPr>
            <w:r>
              <w:rPr>
                <w:color w:val="000000" w:themeColor="text1"/>
                <w:szCs w:val="21"/>
                <w:u w:val="single"/>
                <w14:textFill>
                  <w14:solidFill>
                    <w14:schemeClr w14:val="tx1"/>
                  </w14:solidFill>
                </w14:textFill>
              </w:rPr>
              <w:t>+8.11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钾钠长石烘干除尘器收集粉尘</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276"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559"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5.62</w:t>
            </w:r>
          </w:p>
        </w:tc>
        <w:tc>
          <w:tcPr>
            <w:tcW w:w="1761" w:type="dxa"/>
            <w:vAlign w:val="center"/>
          </w:tcPr>
          <w:p>
            <w:pPr>
              <w:jc w:val="center"/>
              <w:rPr>
                <w:snapToGrid w:val="0"/>
                <w:color w:val="000000" w:themeColor="text1"/>
                <w:kern w:val="21"/>
                <w:szCs w:val="21"/>
                <w:u w:val="single"/>
                <w14:textFill>
                  <w14:solidFill>
                    <w14:schemeClr w14:val="tx1"/>
                  </w14:solidFill>
                </w14:textFill>
              </w:rPr>
            </w:pPr>
          </w:p>
        </w:tc>
        <w:tc>
          <w:tcPr>
            <w:tcW w:w="1825"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5.62</w:t>
            </w:r>
          </w:p>
        </w:tc>
        <w:tc>
          <w:tcPr>
            <w:tcW w:w="960" w:type="dxa"/>
            <w:vAlign w:val="center"/>
          </w:tcPr>
          <w:p>
            <w:pPr>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w:t>
            </w:r>
            <w:r>
              <w:rPr>
                <w:rFonts w:hint="eastAsia"/>
                <w:color w:val="000000" w:themeColor="text1"/>
                <w:szCs w:val="21"/>
                <w:u w:val="single"/>
                <w14:textFill>
                  <w14:solidFill>
                    <w14:schemeClr w14:val="tx1"/>
                  </w14:solidFill>
                </w14:textFill>
              </w:rPr>
              <w:t>5.62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一破及筛分粉尘</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276"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701" w:type="dxa"/>
            <w:vAlign w:val="center"/>
          </w:tcPr>
          <w:p>
            <w:pPr>
              <w:jc w:val="center"/>
              <w:rPr>
                <w:snapToGrid w:val="0"/>
                <w:color w:val="000000" w:themeColor="text1"/>
                <w:kern w:val="21"/>
                <w:szCs w:val="21"/>
                <w:u w:val="single"/>
                <w14:textFill>
                  <w14:solidFill>
                    <w14:schemeClr w14:val="tx1"/>
                  </w14:solidFill>
                </w14:textFill>
              </w:rPr>
            </w:pPr>
            <w:r>
              <w:rPr>
                <w:rFonts w:hint="eastAsia"/>
                <w:snapToGrid w:val="0"/>
                <w:color w:val="000000" w:themeColor="text1"/>
                <w:kern w:val="21"/>
                <w:szCs w:val="21"/>
                <w:u w:val="single"/>
                <w14:textFill>
                  <w14:solidFill>
                    <w14:schemeClr w14:val="tx1"/>
                  </w14:solidFill>
                </w14:textFill>
              </w:rPr>
              <w:t>/</w:t>
            </w:r>
          </w:p>
        </w:tc>
        <w:tc>
          <w:tcPr>
            <w:tcW w:w="1559" w:type="dxa"/>
            <w:vAlign w:val="center"/>
          </w:tcPr>
          <w:p>
            <w:pPr>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1.37</w:t>
            </w:r>
          </w:p>
        </w:tc>
        <w:tc>
          <w:tcPr>
            <w:tcW w:w="1761" w:type="dxa"/>
            <w:vAlign w:val="center"/>
          </w:tcPr>
          <w:p>
            <w:pPr>
              <w:jc w:val="center"/>
              <w:rPr>
                <w:snapToGrid w:val="0"/>
                <w:color w:val="000000" w:themeColor="text1"/>
                <w:kern w:val="21"/>
                <w:szCs w:val="21"/>
                <w:u w:val="single"/>
                <w14:textFill>
                  <w14:solidFill>
                    <w14:schemeClr w14:val="tx1"/>
                  </w14:solidFill>
                </w14:textFill>
              </w:rPr>
            </w:pPr>
          </w:p>
        </w:tc>
        <w:tc>
          <w:tcPr>
            <w:tcW w:w="1825" w:type="dxa"/>
            <w:vAlign w:val="center"/>
          </w:tcPr>
          <w:p>
            <w:pPr>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1.37</w:t>
            </w:r>
          </w:p>
        </w:tc>
        <w:tc>
          <w:tcPr>
            <w:tcW w:w="960" w:type="dxa"/>
            <w:vAlign w:val="center"/>
          </w:tcPr>
          <w:p>
            <w:pPr>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+1.37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废包装材料</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0.1</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0.1</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45"/>
              <w:spacing w:beforeLines="0" w:afterLines="0" w:line="240" w:lineRule="auto"/>
              <w:rPr>
                <w:rFonts w:ascii="Times New Roman"/>
                <w:snapToGrid w:val="0"/>
                <w:color w:val="000000" w:themeColor="text1"/>
                <w:kern w:val="21"/>
                <w:szCs w:val="21"/>
                <w14:textFill>
                  <w14:solidFill>
                    <w14:schemeClr w14:val="tx1"/>
                  </w14:solidFill>
                </w14:textFill>
              </w:rPr>
            </w:pPr>
          </w:p>
        </w:tc>
        <w:tc>
          <w:tcPr>
            <w:tcW w:w="141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不合格产品</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276"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70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559"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1761" w:type="dxa"/>
            <w:vAlign w:val="center"/>
          </w:tcPr>
          <w:p>
            <w:pPr>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w:t>
            </w:r>
          </w:p>
        </w:tc>
        <w:tc>
          <w:tcPr>
            <w:tcW w:w="182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960" w:type="dxa"/>
            <w:vAlign w:val="center"/>
          </w:tcPr>
          <w:p>
            <w:pPr>
              <w:jc w:val="center"/>
              <w:rPr>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+1.8</w:t>
            </w:r>
          </w:p>
        </w:tc>
      </w:tr>
    </w:tbl>
    <w:p>
      <w:pPr>
        <w:pStyle w:val="45"/>
        <w:spacing w:before="192" w:beforeLines="80" w:after="24"/>
        <w:jc w:val="left"/>
        <w:rPr>
          <w:rFonts w:hAnsi="宋体"/>
          <w:snapToGrid w:val="0"/>
          <w:color w:val="000000"/>
          <w:spacing w:val="-6"/>
          <w:kern w:val="21"/>
          <w:szCs w:val="21"/>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
      <w:pPr>
        <w:sectPr>
          <w:footerReference r:id="rId7" w:type="default"/>
          <w:pgSz w:w="16838" w:h="11906" w:orient="landscape"/>
          <w:pgMar w:top="1701" w:right="1531" w:bottom="1701" w:left="1531" w:header="851" w:footer="851" w:gutter="0"/>
          <w:cols w:space="720" w:num="1"/>
          <w:docGrid w:linePitch="312" w:charSpace="0"/>
        </w:sectPr>
      </w:pPr>
    </w:p>
    <w:p>
      <w:pPr>
        <w:rPr>
          <w:rFonts w:ascii="宋体" w:hAnsi="宋体" w:eastAsia="黑体"/>
        </w:rPr>
      </w:pPr>
    </w:p>
    <w:sectPr>
      <w:footerReference r:id="rId8" w:type="default"/>
      <w:pgSz w:w="11906" w:h="16838"/>
      <w:pgMar w:top="1701" w:right="1531" w:bottom="1701"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3</w: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253400"/>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A59C5"/>
    <w:multiLevelType w:val="multilevel"/>
    <w:tmpl w:val="1E8A59C5"/>
    <w:lvl w:ilvl="0" w:tentative="0">
      <w:start w:val="3"/>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36A05D6F"/>
    <w:multiLevelType w:val="multilevel"/>
    <w:tmpl w:val="36A05D6F"/>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960B10"/>
    <w:multiLevelType w:val="multilevel"/>
    <w:tmpl w:val="52960B10"/>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U4ZTM4N2RlNzc5YWNhNDg0ZjQ5MTdhZDMxYjI4MjMifQ=="/>
  </w:docVars>
  <w:rsids>
    <w:rsidRoot w:val="00A14947"/>
    <w:rsid w:val="0000178C"/>
    <w:rsid w:val="00003392"/>
    <w:rsid w:val="00004F26"/>
    <w:rsid w:val="00005FA4"/>
    <w:rsid w:val="000060B3"/>
    <w:rsid w:val="00011D05"/>
    <w:rsid w:val="00013CF4"/>
    <w:rsid w:val="00014B43"/>
    <w:rsid w:val="000159BE"/>
    <w:rsid w:val="00022441"/>
    <w:rsid w:val="00025285"/>
    <w:rsid w:val="00030EF8"/>
    <w:rsid w:val="0003282C"/>
    <w:rsid w:val="00037167"/>
    <w:rsid w:val="000374A1"/>
    <w:rsid w:val="000379C9"/>
    <w:rsid w:val="00042ED1"/>
    <w:rsid w:val="0004364B"/>
    <w:rsid w:val="00043BFC"/>
    <w:rsid w:val="000445F4"/>
    <w:rsid w:val="000476BE"/>
    <w:rsid w:val="00047DFA"/>
    <w:rsid w:val="00047EEF"/>
    <w:rsid w:val="0005208F"/>
    <w:rsid w:val="00052184"/>
    <w:rsid w:val="000533D8"/>
    <w:rsid w:val="00054EAA"/>
    <w:rsid w:val="00057FF4"/>
    <w:rsid w:val="00061008"/>
    <w:rsid w:val="00061B1F"/>
    <w:rsid w:val="00062A1B"/>
    <w:rsid w:val="0007088D"/>
    <w:rsid w:val="0007137A"/>
    <w:rsid w:val="00071C53"/>
    <w:rsid w:val="00072CE9"/>
    <w:rsid w:val="000733C4"/>
    <w:rsid w:val="00073884"/>
    <w:rsid w:val="0007432F"/>
    <w:rsid w:val="00074783"/>
    <w:rsid w:val="000748E9"/>
    <w:rsid w:val="00074BC9"/>
    <w:rsid w:val="00075D8F"/>
    <w:rsid w:val="000778D5"/>
    <w:rsid w:val="00077A01"/>
    <w:rsid w:val="0008070B"/>
    <w:rsid w:val="00080FDF"/>
    <w:rsid w:val="000810AC"/>
    <w:rsid w:val="00081A02"/>
    <w:rsid w:val="00081CC5"/>
    <w:rsid w:val="00081F9E"/>
    <w:rsid w:val="00082231"/>
    <w:rsid w:val="0008583E"/>
    <w:rsid w:val="00091CED"/>
    <w:rsid w:val="000929A1"/>
    <w:rsid w:val="00092C23"/>
    <w:rsid w:val="00092D38"/>
    <w:rsid w:val="0009377B"/>
    <w:rsid w:val="00094900"/>
    <w:rsid w:val="000950DB"/>
    <w:rsid w:val="00095171"/>
    <w:rsid w:val="00097733"/>
    <w:rsid w:val="000978D9"/>
    <w:rsid w:val="000A0B80"/>
    <w:rsid w:val="000A20C9"/>
    <w:rsid w:val="000A2826"/>
    <w:rsid w:val="000A390A"/>
    <w:rsid w:val="000A4D53"/>
    <w:rsid w:val="000A66DA"/>
    <w:rsid w:val="000B0206"/>
    <w:rsid w:val="000B058F"/>
    <w:rsid w:val="000B11FC"/>
    <w:rsid w:val="000B1C54"/>
    <w:rsid w:val="000B1E92"/>
    <w:rsid w:val="000B1FDD"/>
    <w:rsid w:val="000B2564"/>
    <w:rsid w:val="000B3F76"/>
    <w:rsid w:val="000B4467"/>
    <w:rsid w:val="000B4DB9"/>
    <w:rsid w:val="000B5B11"/>
    <w:rsid w:val="000B5B79"/>
    <w:rsid w:val="000B5EA3"/>
    <w:rsid w:val="000B67C0"/>
    <w:rsid w:val="000C09AC"/>
    <w:rsid w:val="000C199D"/>
    <w:rsid w:val="000C1F48"/>
    <w:rsid w:val="000C5568"/>
    <w:rsid w:val="000C6D36"/>
    <w:rsid w:val="000C767F"/>
    <w:rsid w:val="000D04E7"/>
    <w:rsid w:val="000D0E42"/>
    <w:rsid w:val="000D26B6"/>
    <w:rsid w:val="000D2B91"/>
    <w:rsid w:val="000D5A44"/>
    <w:rsid w:val="000E0635"/>
    <w:rsid w:val="000E3ED2"/>
    <w:rsid w:val="000E4EC3"/>
    <w:rsid w:val="000F0232"/>
    <w:rsid w:val="000F5E98"/>
    <w:rsid w:val="001001DA"/>
    <w:rsid w:val="00102EE4"/>
    <w:rsid w:val="001066A1"/>
    <w:rsid w:val="001127FA"/>
    <w:rsid w:val="00114FE3"/>
    <w:rsid w:val="001218D6"/>
    <w:rsid w:val="00124549"/>
    <w:rsid w:val="0012588E"/>
    <w:rsid w:val="0013155E"/>
    <w:rsid w:val="00131DEF"/>
    <w:rsid w:val="00131F42"/>
    <w:rsid w:val="001337B7"/>
    <w:rsid w:val="00134D0E"/>
    <w:rsid w:val="00134E45"/>
    <w:rsid w:val="001357F1"/>
    <w:rsid w:val="00137E2C"/>
    <w:rsid w:val="00140A6A"/>
    <w:rsid w:val="00140FA8"/>
    <w:rsid w:val="00142281"/>
    <w:rsid w:val="00142FEB"/>
    <w:rsid w:val="00143A2D"/>
    <w:rsid w:val="00143AF3"/>
    <w:rsid w:val="00145A41"/>
    <w:rsid w:val="00145BCD"/>
    <w:rsid w:val="00146611"/>
    <w:rsid w:val="001468A2"/>
    <w:rsid w:val="00151675"/>
    <w:rsid w:val="00151753"/>
    <w:rsid w:val="0015175D"/>
    <w:rsid w:val="00154B61"/>
    <w:rsid w:val="001556AF"/>
    <w:rsid w:val="001557E6"/>
    <w:rsid w:val="0015739A"/>
    <w:rsid w:val="00157435"/>
    <w:rsid w:val="00160B99"/>
    <w:rsid w:val="00163EA3"/>
    <w:rsid w:val="00164202"/>
    <w:rsid w:val="001648AC"/>
    <w:rsid w:val="00164D8E"/>
    <w:rsid w:val="001705AA"/>
    <w:rsid w:val="00172AAE"/>
    <w:rsid w:val="001738FF"/>
    <w:rsid w:val="0017504D"/>
    <w:rsid w:val="00176099"/>
    <w:rsid w:val="0017671A"/>
    <w:rsid w:val="00177422"/>
    <w:rsid w:val="00181D37"/>
    <w:rsid w:val="001838CE"/>
    <w:rsid w:val="00183940"/>
    <w:rsid w:val="00184590"/>
    <w:rsid w:val="00185371"/>
    <w:rsid w:val="00185A37"/>
    <w:rsid w:val="001869CF"/>
    <w:rsid w:val="001870D1"/>
    <w:rsid w:val="0018781E"/>
    <w:rsid w:val="0019262D"/>
    <w:rsid w:val="001938A5"/>
    <w:rsid w:val="00194C15"/>
    <w:rsid w:val="001957BA"/>
    <w:rsid w:val="00195D1D"/>
    <w:rsid w:val="001A1B35"/>
    <w:rsid w:val="001A294B"/>
    <w:rsid w:val="001A3281"/>
    <w:rsid w:val="001A481D"/>
    <w:rsid w:val="001A48A2"/>
    <w:rsid w:val="001A6292"/>
    <w:rsid w:val="001A65A1"/>
    <w:rsid w:val="001A6F61"/>
    <w:rsid w:val="001A7022"/>
    <w:rsid w:val="001B5051"/>
    <w:rsid w:val="001B72B8"/>
    <w:rsid w:val="001B769A"/>
    <w:rsid w:val="001C29AD"/>
    <w:rsid w:val="001C5D78"/>
    <w:rsid w:val="001C69B3"/>
    <w:rsid w:val="001D016D"/>
    <w:rsid w:val="001D05E8"/>
    <w:rsid w:val="001D407A"/>
    <w:rsid w:val="001D51DA"/>
    <w:rsid w:val="001D5595"/>
    <w:rsid w:val="001D7874"/>
    <w:rsid w:val="001D7F22"/>
    <w:rsid w:val="001E1FE1"/>
    <w:rsid w:val="001E3C01"/>
    <w:rsid w:val="001E42B2"/>
    <w:rsid w:val="001E4EE2"/>
    <w:rsid w:val="001F0F17"/>
    <w:rsid w:val="001F1E08"/>
    <w:rsid w:val="001F3347"/>
    <w:rsid w:val="001F4032"/>
    <w:rsid w:val="001F52E0"/>
    <w:rsid w:val="001F6870"/>
    <w:rsid w:val="001F69E4"/>
    <w:rsid w:val="001F6EF2"/>
    <w:rsid w:val="001F6F52"/>
    <w:rsid w:val="00203E4D"/>
    <w:rsid w:val="00206B69"/>
    <w:rsid w:val="00207983"/>
    <w:rsid w:val="00210C80"/>
    <w:rsid w:val="002125B4"/>
    <w:rsid w:val="00214619"/>
    <w:rsid w:val="002155B8"/>
    <w:rsid w:val="00215A2B"/>
    <w:rsid w:val="00215C29"/>
    <w:rsid w:val="00217A46"/>
    <w:rsid w:val="002232C1"/>
    <w:rsid w:val="00224839"/>
    <w:rsid w:val="002249B2"/>
    <w:rsid w:val="002261AB"/>
    <w:rsid w:val="00226574"/>
    <w:rsid w:val="00226ECB"/>
    <w:rsid w:val="002278EC"/>
    <w:rsid w:val="00230859"/>
    <w:rsid w:val="0023280E"/>
    <w:rsid w:val="00232861"/>
    <w:rsid w:val="002341E5"/>
    <w:rsid w:val="00234748"/>
    <w:rsid w:val="00235287"/>
    <w:rsid w:val="0023570F"/>
    <w:rsid w:val="002377D1"/>
    <w:rsid w:val="00237994"/>
    <w:rsid w:val="002379AF"/>
    <w:rsid w:val="00242E9D"/>
    <w:rsid w:val="002433E2"/>
    <w:rsid w:val="00245EF8"/>
    <w:rsid w:val="00246D9B"/>
    <w:rsid w:val="002506BC"/>
    <w:rsid w:val="002517A0"/>
    <w:rsid w:val="00252FCE"/>
    <w:rsid w:val="00254345"/>
    <w:rsid w:val="00256C99"/>
    <w:rsid w:val="00257056"/>
    <w:rsid w:val="00257219"/>
    <w:rsid w:val="00260196"/>
    <w:rsid w:val="0026073E"/>
    <w:rsid w:val="00260F21"/>
    <w:rsid w:val="0026185D"/>
    <w:rsid w:val="002629E9"/>
    <w:rsid w:val="00264530"/>
    <w:rsid w:val="00264557"/>
    <w:rsid w:val="00264F21"/>
    <w:rsid w:val="002703FD"/>
    <w:rsid w:val="00270B01"/>
    <w:rsid w:val="00270B08"/>
    <w:rsid w:val="00273624"/>
    <w:rsid w:val="002744AE"/>
    <w:rsid w:val="00274FBD"/>
    <w:rsid w:val="002805AB"/>
    <w:rsid w:val="002813FC"/>
    <w:rsid w:val="00281889"/>
    <w:rsid w:val="00283924"/>
    <w:rsid w:val="00284204"/>
    <w:rsid w:val="002858C4"/>
    <w:rsid w:val="00287D39"/>
    <w:rsid w:val="00290C63"/>
    <w:rsid w:val="00290CBB"/>
    <w:rsid w:val="00291773"/>
    <w:rsid w:val="00291CEA"/>
    <w:rsid w:val="00293B68"/>
    <w:rsid w:val="002941FB"/>
    <w:rsid w:val="0029547F"/>
    <w:rsid w:val="0029671A"/>
    <w:rsid w:val="002A0681"/>
    <w:rsid w:val="002A168C"/>
    <w:rsid w:val="002A3127"/>
    <w:rsid w:val="002A3DC7"/>
    <w:rsid w:val="002A5C7A"/>
    <w:rsid w:val="002A6E62"/>
    <w:rsid w:val="002B1267"/>
    <w:rsid w:val="002B1BE8"/>
    <w:rsid w:val="002B318F"/>
    <w:rsid w:val="002B49E2"/>
    <w:rsid w:val="002B4D64"/>
    <w:rsid w:val="002B4E4C"/>
    <w:rsid w:val="002B7B00"/>
    <w:rsid w:val="002B7C44"/>
    <w:rsid w:val="002C2B17"/>
    <w:rsid w:val="002C2E6A"/>
    <w:rsid w:val="002C7B82"/>
    <w:rsid w:val="002D000E"/>
    <w:rsid w:val="002D189A"/>
    <w:rsid w:val="002D2A74"/>
    <w:rsid w:val="002D3DD0"/>
    <w:rsid w:val="002D45BC"/>
    <w:rsid w:val="002D4825"/>
    <w:rsid w:val="002D4D74"/>
    <w:rsid w:val="002E0674"/>
    <w:rsid w:val="002E1AFD"/>
    <w:rsid w:val="002E1F3A"/>
    <w:rsid w:val="002E2154"/>
    <w:rsid w:val="002E298A"/>
    <w:rsid w:val="002E405A"/>
    <w:rsid w:val="002E5664"/>
    <w:rsid w:val="002E572F"/>
    <w:rsid w:val="002E5BB5"/>
    <w:rsid w:val="002E6935"/>
    <w:rsid w:val="002E7578"/>
    <w:rsid w:val="002F33AD"/>
    <w:rsid w:val="002F74D6"/>
    <w:rsid w:val="00301978"/>
    <w:rsid w:val="00302F55"/>
    <w:rsid w:val="0030332C"/>
    <w:rsid w:val="00303B03"/>
    <w:rsid w:val="003051C2"/>
    <w:rsid w:val="00306907"/>
    <w:rsid w:val="00311715"/>
    <w:rsid w:val="00312296"/>
    <w:rsid w:val="0031487F"/>
    <w:rsid w:val="00314F0E"/>
    <w:rsid w:val="003167D1"/>
    <w:rsid w:val="00316A89"/>
    <w:rsid w:val="0031766E"/>
    <w:rsid w:val="0032045F"/>
    <w:rsid w:val="00321D8E"/>
    <w:rsid w:val="003221A3"/>
    <w:rsid w:val="00325928"/>
    <w:rsid w:val="00327445"/>
    <w:rsid w:val="00331C3A"/>
    <w:rsid w:val="00332863"/>
    <w:rsid w:val="003335B8"/>
    <w:rsid w:val="00334D40"/>
    <w:rsid w:val="00336146"/>
    <w:rsid w:val="0033684D"/>
    <w:rsid w:val="00337B42"/>
    <w:rsid w:val="00340231"/>
    <w:rsid w:val="00340BDC"/>
    <w:rsid w:val="003414F9"/>
    <w:rsid w:val="00341B42"/>
    <w:rsid w:val="003431D6"/>
    <w:rsid w:val="0034348F"/>
    <w:rsid w:val="00344AE5"/>
    <w:rsid w:val="00350B8F"/>
    <w:rsid w:val="00354B9D"/>
    <w:rsid w:val="00356653"/>
    <w:rsid w:val="0035743F"/>
    <w:rsid w:val="00357BE2"/>
    <w:rsid w:val="00357FA5"/>
    <w:rsid w:val="0036170C"/>
    <w:rsid w:val="00363F9E"/>
    <w:rsid w:val="00364538"/>
    <w:rsid w:val="003645AC"/>
    <w:rsid w:val="00364AE5"/>
    <w:rsid w:val="00365D28"/>
    <w:rsid w:val="00366E0F"/>
    <w:rsid w:val="0037134A"/>
    <w:rsid w:val="00372440"/>
    <w:rsid w:val="00372E8A"/>
    <w:rsid w:val="00375080"/>
    <w:rsid w:val="003756D4"/>
    <w:rsid w:val="003756E7"/>
    <w:rsid w:val="00380B9C"/>
    <w:rsid w:val="00381A72"/>
    <w:rsid w:val="00383509"/>
    <w:rsid w:val="00384676"/>
    <w:rsid w:val="00384844"/>
    <w:rsid w:val="00390857"/>
    <w:rsid w:val="00390A59"/>
    <w:rsid w:val="00393858"/>
    <w:rsid w:val="00393B3F"/>
    <w:rsid w:val="00397F03"/>
    <w:rsid w:val="003A01D6"/>
    <w:rsid w:val="003A3A91"/>
    <w:rsid w:val="003A4BF3"/>
    <w:rsid w:val="003A5603"/>
    <w:rsid w:val="003A59A8"/>
    <w:rsid w:val="003A5D1D"/>
    <w:rsid w:val="003A7549"/>
    <w:rsid w:val="003B1BB1"/>
    <w:rsid w:val="003B3331"/>
    <w:rsid w:val="003B420D"/>
    <w:rsid w:val="003B6C05"/>
    <w:rsid w:val="003B7B81"/>
    <w:rsid w:val="003C0D87"/>
    <w:rsid w:val="003C0DD3"/>
    <w:rsid w:val="003C133C"/>
    <w:rsid w:val="003C13F6"/>
    <w:rsid w:val="003C2D73"/>
    <w:rsid w:val="003C3C93"/>
    <w:rsid w:val="003C45CC"/>
    <w:rsid w:val="003C491E"/>
    <w:rsid w:val="003C5730"/>
    <w:rsid w:val="003C6C16"/>
    <w:rsid w:val="003D0A80"/>
    <w:rsid w:val="003D2AC1"/>
    <w:rsid w:val="003D3132"/>
    <w:rsid w:val="003D3182"/>
    <w:rsid w:val="003D4AE1"/>
    <w:rsid w:val="003D558A"/>
    <w:rsid w:val="003D5754"/>
    <w:rsid w:val="003D794D"/>
    <w:rsid w:val="003E3058"/>
    <w:rsid w:val="003E3119"/>
    <w:rsid w:val="003E4898"/>
    <w:rsid w:val="003E500B"/>
    <w:rsid w:val="003E5349"/>
    <w:rsid w:val="003E76A9"/>
    <w:rsid w:val="003F0809"/>
    <w:rsid w:val="003F0D83"/>
    <w:rsid w:val="003F2C96"/>
    <w:rsid w:val="003F6A8C"/>
    <w:rsid w:val="003F6CEA"/>
    <w:rsid w:val="003F6D05"/>
    <w:rsid w:val="003F6E7B"/>
    <w:rsid w:val="003F755C"/>
    <w:rsid w:val="00400BEA"/>
    <w:rsid w:val="00402896"/>
    <w:rsid w:val="00402BB4"/>
    <w:rsid w:val="004046EA"/>
    <w:rsid w:val="00404F88"/>
    <w:rsid w:val="0040555E"/>
    <w:rsid w:val="004064E3"/>
    <w:rsid w:val="00406CA7"/>
    <w:rsid w:val="00406F01"/>
    <w:rsid w:val="00411723"/>
    <w:rsid w:val="004136CB"/>
    <w:rsid w:val="00413AE4"/>
    <w:rsid w:val="00416D50"/>
    <w:rsid w:val="00416FD5"/>
    <w:rsid w:val="00417772"/>
    <w:rsid w:val="0041784A"/>
    <w:rsid w:val="00420E6A"/>
    <w:rsid w:val="00420E6B"/>
    <w:rsid w:val="00421083"/>
    <w:rsid w:val="00423249"/>
    <w:rsid w:val="0042473F"/>
    <w:rsid w:val="00425A9E"/>
    <w:rsid w:val="00426D6B"/>
    <w:rsid w:val="00431E6C"/>
    <w:rsid w:val="004334C5"/>
    <w:rsid w:val="00433CE7"/>
    <w:rsid w:val="00434E3C"/>
    <w:rsid w:val="004356F3"/>
    <w:rsid w:val="00436A0C"/>
    <w:rsid w:val="00437239"/>
    <w:rsid w:val="00445A00"/>
    <w:rsid w:val="00450D8A"/>
    <w:rsid w:val="00452738"/>
    <w:rsid w:val="00453362"/>
    <w:rsid w:val="00454457"/>
    <w:rsid w:val="00455455"/>
    <w:rsid w:val="00456091"/>
    <w:rsid w:val="0045653A"/>
    <w:rsid w:val="00456BB6"/>
    <w:rsid w:val="004574AB"/>
    <w:rsid w:val="00460972"/>
    <w:rsid w:val="00465594"/>
    <w:rsid w:val="00466321"/>
    <w:rsid w:val="004667FF"/>
    <w:rsid w:val="0047302D"/>
    <w:rsid w:val="00473D77"/>
    <w:rsid w:val="00474852"/>
    <w:rsid w:val="00474F32"/>
    <w:rsid w:val="00475B33"/>
    <w:rsid w:val="00477136"/>
    <w:rsid w:val="0048052E"/>
    <w:rsid w:val="00483219"/>
    <w:rsid w:val="00483FD3"/>
    <w:rsid w:val="00484244"/>
    <w:rsid w:val="004842A2"/>
    <w:rsid w:val="00484B9B"/>
    <w:rsid w:val="00484E68"/>
    <w:rsid w:val="004855F6"/>
    <w:rsid w:val="0048661E"/>
    <w:rsid w:val="00491012"/>
    <w:rsid w:val="004920F4"/>
    <w:rsid w:val="00492AC1"/>
    <w:rsid w:val="004930BD"/>
    <w:rsid w:val="00494670"/>
    <w:rsid w:val="00495965"/>
    <w:rsid w:val="004A144C"/>
    <w:rsid w:val="004A1EEC"/>
    <w:rsid w:val="004A29AA"/>
    <w:rsid w:val="004A2E5B"/>
    <w:rsid w:val="004A3823"/>
    <w:rsid w:val="004A4E42"/>
    <w:rsid w:val="004B2E79"/>
    <w:rsid w:val="004B3A9F"/>
    <w:rsid w:val="004B4D6C"/>
    <w:rsid w:val="004B7269"/>
    <w:rsid w:val="004B7D4E"/>
    <w:rsid w:val="004C0F85"/>
    <w:rsid w:val="004C36F7"/>
    <w:rsid w:val="004C3C5B"/>
    <w:rsid w:val="004C4E28"/>
    <w:rsid w:val="004C55D0"/>
    <w:rsid w:val="004C7B23"/>
    <w:rsid w:val="004D0740"/>
    <w:rsid w:val="004D26F2"/>
    <w:rsid w:val="004D64F0"/>
    <w:rsid w:val="004D64F1"/>
    <w:rsid w:val="004D6D6A"/>
    <w:rsid w:val="004D7F8B"/>
    <w:rsid w:val="004E1C0E"/>
    <w:rsid w:val="004E5C60"/>
    <w:rsid w:val="004E6946"/>
    <w:rsid w:val="004E7660"/>
    <w:rsid w:val="004E7DA0"/>
    <w:rsid w:val="004E7EE5"/>
    <w:rsid w:val="004F0385"/>
    <w:rsid w:val="004F1AD8"/>
    <w:rsid w:val="004F27A9"/>
    <w:rsid w:val="004F2880"/>
    <w:rsid w:val="004F2B78"/>
    <w:rsid w:val="004F3EC2"/>
    <w:rsid w:val="004F6D2D"/>
    <w:rsid w:val="004F6DF5"/>
    <w:rsid w:val="004F6DFB"/>
    <w:rsid w:val="0050044B"/>
    <w:rsid w:val="00502F08"/>
    <w:rsid w:val="005039CB"/>
    <w:rsid w:val="0050558F"/>
    <w:rsid w:val="0050586A"/>
    <w:rsid w:val="00506286"/>
    <w:rsid w:val="005073DE"/>
    <w:rsid w:val="00510813"/>
    <w:rsid w:val="00511077"/>
    <w:rsid w:val="00511990"/>
    <w:rsid w:val="00511DE0"/>
    <w:rsid w:val="00512423"/>
    <w:rsid w:val="00514686"/>
    <w:rsid w:val="0051472D"/>
    <w:rsid w:val="00514870"/>
    <w:rsid w:val="00514B9B"/>
    <w:rsid w:val="00515D49"/>
    <w:rsid w:val="005161C1"/>
    <w:rsid w:val="00517EA1"/>
    <w:rsid w:val="00517F02"/>
    <w:rsid w:val="0052094A"/>
    <w:rsid w:val="00521A88"/>
    <w:rsid w:val="00521ABC"/>
    <w:rsid w:val="00524303"/>
    <w:rsid w:val="005258A2"/>
    <w:rsid w:val="00525A84"/>
    <w:rsid w:val="005275B7"/>
    <w:rsid w:val="00527D44"/>
    <w:rsid w:val="00530C1E"/>
    <w:rsid w:val="00530DA7"/>
    <w:rsid w:val="00531C7F"/>
    <w:rsid w:val="00531F39"/>
    <w:rsid w:val="005341D4"/>
    <w:rsid w:val="00535DDA"/>
    <w:rsid w:val="00536797"/>
    <w:rsid w:val="00536D1F"/>
    <w:rsid w:val="00540024"/>
    <w:rsid w:val="005401AE"/>
    <w:rsid w:val="00540845"/>
    <w:rsid w:val="00542E07"/>
    <w:rsid w:val="00544014"/>
    <w:rsid w:val="00545424"/>
    <w:rsid w:val="005459EF"/>
    <w:rsid w:val="005475D2"/>
    <w:rsid w:val="0055264B"/>
    <w:rsid w:val="00554A7B"/>
    <w:rsid w:val="0055572C"/>
    <w:rsid w:val="0056106A"/>
    <w:rsid w:val="00563622"/>
    <w:rsid w:val="005666F0"/>
    <w:rsid w:val="005720AE"/>
    <w:rsid w:val="005728ED"/>
    <w:rsid w:val="00575EFB"/>
    <w:rsid w:val="00576982"/>
    <w:rsid w:val="005832DB"/>
    <w:rsid w:val="00583C51"/>
    <w:rsid w:val="0058455B"/>
    <w:rsid w:val="005900CD"/>
    <w:rsid w:val="00591FD3"/>
    <w:rsid w:val="00593C18"/>
    <w:rsid w:val="00593E77"/>
    <w:rsid w:val="00594D77"/>
    <w:rsid w:val="005969E4"/>
    <w:rsid w:val="005A06B7"/>
    <w:rsid w:val="005A1759"/>
    <w:rsid w:val="005A2401"/>
    <w:rsid w:val="005A2702"/>
    <w:rsid w:val="005A2884"/>
    <w:rsid w:val="005A2AC6"/>
    <w:rsid w:val="005A2AEB"/>
    <w:rsid w:val="005A3604"/>
    <w:rsid w:val="005A3A19"/>
    <w:rsid w:val="005A63D0"/>
    <w:rsid w:val="005A68A7"/>
    <w:rsid w:val="005B171C"/>
    <w:rsid w:val="005B41CD"/>
    <w:rsid w:val="005B4DA2"/>
    <w:rsid w:val="005B62FE"/>
    <w:rsid w:val="005C1387"/>
    <w:rsid w:val="005C4420"/>
    <w:rsid w:val="005C47DB"/>
    <w:rsid w:val="005C542E"/>
    <w:rsid w:val="005C651C"/>
    <w:rsid w:val="005D0538"/>
    <w:rsid w:val="005D08BA"/>
    <w:rsid w:val="005D0C70"/>
    <w:rsid w:val="005D36AB"/>
    <w:rsid w:val="005D4AB0"/>
    <w:rsid w:val="005D4E9F"/>
    <w:rsid w:val="005D6597"/>
    <w:rsid w:val="005E03EF"/>
    <w:rsid w:val="005E0D5D"/>
    <w:rsid w:val="005E594A"/>
    <w:rsid w:val="005E6AC7"/>
    <w:rsid w:val="005E7324"/>
    <w:rsid w:val="005E7518"/>
    <w:rsid w:val="005F084E"/>
    <w:rsid w:val="005F0EB0"/>
    <w:rsid w:val="005F2982"/>
    <w:rsid w:val="005F35D9"/>
    <w:rsid w:val="005F5904"/>
    <w:rsid w:val="005F687B"/>
    <w:rsid w:val="00600328"/>
    <w:rsid w:val="00602351"/>
    <w:rsid w:val="006038EB"/>
    <w:rsid w:val="00603E87"/>
    <w:rsid w:val="006066C3"/>
    <w:rsid w:val="00607CAD"/>
    <w:rsid w:val="00610CDC"/>
    <w:rsid w:val="00612541"/>
    <w:rsid w:val="00612929"/>
    <w:rsid w:val="00613BE0"/>
    <w:rsid w:val="00617433"/>
    <w:rsid w:val="00617CC3"/>
    <w:rsid w:val="00623154"/>
    <w:rsid w:val="00627799"/>
    <w:rsid w:val="006344C1"/>
    <w:rsid w:val="00634716"/>
    <w:rsid w:val="006377A6"/>
    <w:rsid w:val="00637A3D"/>
    <w:rsid w:val="006411EF"/>
    <w:rsid w:val="0064210A"/>
    <w:rsid w:val="00643569"/>
    <w:rsid w:val="00643A92"/>
    <w:rsid w:val="006440D5"/>
    <w:rsid w:val="00646F20"/>
    <w:rsid w:val="00650E42"/>
    <w:rsid w:val="0065124E"/>
    <w:rsid w:val="0065129B"/>
    <w:rsid w:val="006546D6"/>
    <w:rsid w:val="00660103"/>
    <w:rsid w:val="0066254C"/>
    <w:rsid w:val="00662703"/>
    <w:rsid w:val="00662E0E"/>
    <w:rsid w:val="0066382E"/>
    <w:rsid w:val="00666E4D"/>
    <w:rsid w:val="00672D5E"/>
    <w:rsid w:val="006748B8"/>
    <w:rsid w:val="00675DFA"/>
    <w:rsid w:val="006775C3"/>
    <w:rsid w:val="00677C71"/>
    <w:rsid w:val="00681D53"/>
    <w:rsid w:val="00683F97"/>
    <w:rsid w:val="006910E5"/>
    <w:rsid w:val="00691572"/>
    <w:rsid w:val="0069290A"/>
    <w:rsid w:val="00695E88"/>
    <w:rsid w:val="0069606A"/>
    <w:rsid w:val="00697363"/>
    <w:rsid w:val="006976CF"/>
    <w:rsid w:val="0069775A"/>
    <w:rsid w:val="00697813"/>
    <w:rsid w:val="006A084C"/>
    <w:rsid w:val="006A176D"/>
    <w:rsid w:val="006A37B0"/>
    <w:rsid w:val="006A3863"/>
    <w:rsid w:val="006A3EE8"/>
    <w:rsid w:val="006A5AC7"/>
    <w:rsid w:val="006A72BF"/>
    <w:rsid w:val="006B03F2"/>
    <w:rsid w:val="006B2251"/>
    <w:rsid w:val="006B2F73"/>
    <w:rsid w:val="006B37DC"/>
    <w:rsid w:val="006B3F87"/>
    <w:rsid w:val="006B4F68"/>
    <w:rsid w:val="006B5A8D"/>
    <w:rsid w:val="006C0592"/>
    <w:rsid w:val="006C272E"/>
    <w:rsid w:val="006C4EB9"/>
    <w:rsid w:val="006C5479"/>
    <w:rsid w:val="006C7C69"/>
    <w:rsid w:val="006D07E8"/>
    <w:rsid w:val="006D13B5"/>
    <w:rsid w:val="006D1617"/>
    <w:rsid w:val="006D5074"/>
    <w:rsid w:val="006D5779"/>
    <w:rsid w:val="006E0AE4"/>
    <w:rsid w:val="006E12FF"/>
    <w:rsid w:val="006E321B"/>
    <w:rsid w:val="006E607E"/>
    <w:rsid w:val="006E79C7"/>
    <w:rsid w:val="006F0310"/>
    <w:rsid w:val="006F1315"/>
    <w:rsid w:val="006F229F"/>
    <w:rsid w:val="006F46A8"/>
    <w:rsid w:val="006F7379"/>
    <w:rsid w:val="007047D0"/>
    <w:rsid w:val="007048FD"/>
    <w:rsid w:val="00706821"/>
    <w:rsid w:val="0070686C"/>
    <w:rsid w:val="00706C5D"/>
    <w:rsid w:val="00707EF8"/>
    <w:rsid w:val="0071035B"/>
    <w:rsid w:val="007107EE"/>
    <w:rsid w:val="00710C6E"/>
    <w:rsid w:val="00712E74"/>
    <w:rsid w:val="007139BA"/>
    <w:rsid w:val="00724957"/>
    <w:rsid w:val="007270A0"/>
    <w:rsid w:val="007279E9"/>
    <w:rsid w:val="00727AEE"/>
    <w:rsid w:val="00730064"/>
    <w:rsid w:val="00732922"/>
    <w:rsid w:val="0073370C"/>
    <w:rsid w:val="00734223"/>
    <w:rsid w:val="00736092"/>
    <w:rsid w:val="00736FA8"/>
    <w:rsid w:val="00737A13"/>
    <w:rsid w:val="00741846"/>
    <w:rsid w:val="0074303D"/>
    <w:rsid w:val="00743795"/>
    <w:rsid w:val="00746C15"/>
    <w:rsid w:val="0074730B"/>
    <w:rsid w:val="00750B47"/>
    <w:rsid w:val="0075162E"/>
    <w:rsid w:val="00752007"/>
    <w:rsid w:val="00753F40"/>
    <w:rsid w:val="00754034"/>
    <w:rsid w:val="00756020"/>
    <w:rsid w:val="00756556"/>
    <w:rsid w:val="00760B23"/>
    <w:rsid w:val="007618C4"/>
    <w:rsid w:val="00761ED3"/>
    <w:rsid w:val="007624AD"/>
    <w:rsid w:val="00763240"/>
    <w:rsid w:val="007637A9"/>
    <w:rsid w:val="007650A7"/>
    <w:rsid w:val="00767980"/>
    <w:rsid w:val="00767D53"/>
    <w:rsid w:val="00770B19"/>
    <w:rsid w:val="00772B1F"/>
    <w:rsid w:val="0077463F"/>
    <w:rsid w:val="007836EA"/>
    <w:rsid w:val="0078392E"/>
    <w:rsid w:val="00784CDA"/>
    <w:rsid w:val="007853FD"/>
    <w:rsid w:val="007858C1"/>
    <w:rsid w:val="00787150"/>
    <w:rsid w:val="007906C4"/>
    <w:rsid w:val="00790994"/>
    <w:rsid w:val="007940EA"/>
    <w:rsid w:val="0079606C"/>
    <w:rsid w:val="007967E8"/>
    <w:rsid w:val="007A05A3"/>
    <w:rsid w:val="007A2170"/>
    <w:rsid w:val="007A22BF"/>
    <w:rsid w:val="007A3323"/>
    <w:rsid w:val="007A5200"/>
    <w:rsid w:val="007A5BD9"/>
    <w:rsid w:val="007A5C54"/>
    <w:rsid w:val="007A62C4"/>
    <w:rsid w:val="007A63BD"/>
    <w:rsid w:val="007B0523"/>
    <w:rsid w:val="007B2443"/>
    <w:rsid w:val="007B494A"/>
    <w:rsid w:val="007B72B8"/>
    <w:rsid w:val="007B75B1"/>
    <w:rsid w:val="007B7A58"/>
    <w:rsid w:val="007C21B5"/>
    <w:rsid w:val="007C2D24"/>
    <w:rsid w:val="007C444C"/>
    <w:rsid w:val="007C4F50"/>
    <w:rsid w:val="007C6AA9"/>
    <w:rsid w:val="007D22C3"/>
    <w:rsid w:val="007D3BCD"/>
    <w:rsid w:val="007D6C5D"/>
    <w:rsid w:val="007D7370"/>
    <w:rsid w:val="007D7397"/>
    <w:rsid w:val="007E0B2F"/>
    <w:rsid w:val="007E4008"/>
    <w:rsid w:val="007E4BD2"/>
    <w:rsid w:val="007E6733"/>
    <w:rsid w:val="007E736B"/>
    <w:rsid w:val="007F1903"/>
    <w:rsid w:val="007F374B"/>
    <w:rsid w:val="00801393"/>
    <w:rsid w:val="00802E4A"/>
    <w:rsid w:val="00802F88"/>
    <w:rsid w:val="00803286"/>
    <w:rsid w:val="00803809"/>
    <w:rsid w:val="00803938"/>
    <w:rsid w:val="00804553"/>
    <w:rsid w:val="00804E24"/>
    <w:rsid w:val="00804F7C"/>
    <w:rsid w:val="0080517A"/>
    <w:rsid w:val="00811879"/>
    <w:rsid w:val="00812379"/>
    <w:rsid w:val="0081293E"/>
    <w:rsid w:val="00815465"/>
    <w:rsid w:val="00817505"/>
    <w:rsid w:val="00817E9A"/>
    <w:rsid w:val="00821F2F"/>
    <w:rsid w:val="00822B41"/>
    <w:rsid w:val="0082336D"/>
    <w:rsid w:val="0082751A"/>
    <w:rsid w:val="008306BD"/>
    <w:rsid w:val="008308AB"/>
    <w:rsid w:val="00831A80"/>
    <w:rsid w:val="00831C9A"/>
    <w:rsid w:val="00833742"/>
    <w:rsid w:val="00833743"/>
    <w:rsid w:val="008340A4"/>
    <w:rsid w:val="00836BA9"/>
    <w:rsid w:val="00837DDA"/>
    <w:rsid w:val="00840110"/>
    <w:rsid w:val="00840F3A"/>
    <w:rsid w:val="008413F9"/>
    <w:rsid w:val="0084239D"/>
    <w:rsid w:val="008439B6"/>
    <w:rsid w:val="00847E04"/>
    <w:rsid w:val="008505B2"/>
    <w:rsid w:val="00850929"/>
    <w:rsid w:val="00851994"/>
    <w:rsid w:val="008520A5"/>
    <w:rsid w:val="008528C2"/>
    <w:rsid w:val="00852917"/>
    <w:rsid w:val="00853879"/>
    <w:rsid w:val="008539FB"/>
    <w:rsid w:val="0085457A"/>
    <w:rsid w:val="00855B98"/>
    <w:rsid w:val="00855DD8"/>
    <w:rsid w:val="00855E51"/>
    <w:rsid w:val="008615B5"/>
    <w:rsid w:val="00861F49"/>
    <w:rsid w:val="00864859"/>
    <w:rsid w:val="008666EB"/>
    <w:rsid w:val="008709D0"/>
    <w:rsid w:val="0087135F"/>
    <w:rsid w:val="00872D94"/>
    <w:rsid w:val="0087728B"/>
    <w:rsid w:val="00880364"/>
    <w:rsid w:val="008807D3"/>
    <w:rsid w:val="0088412B"/>
    <w:rsid w:val="00887F0A"/>
    <w:rsid w:val="00891592"/>
    <w:rsid w:val="0089181D"/>
    <w:rsid w:val="00891DFE"/>
    <w:rsid w:val="00891E9E"/>
    <w:rsid w:val="008924E9"/>
    <w:rsid w:val="008945A2"/>
    <w:rsid w:val="00894C51"/>
    <w:rsid w:val="008A038F"/>
    <w:rsid w:val="008A2F68"/>
    <w:rsid w:val="008A3E2F"/>
    <w:rsid w:val="008B009D"/>
    <w:rsid w:val="008B0DD5"/>
    <w:rsid w:val="008B335D"/>
    <w:rsid w:val="008B45B8"/>
    <w:rsid w:val="008B45DF"/>
    <w:rsid w:val="008B4FA6"/>
    <w:rsid w:val="008B5282"/>
    <w:rsid w:val="008B7C17"/>
    <w:rsid w:val="008C2D01"/>
    <w:rsid w:val="008C2F6B"/>
    <w:rsid w:val="008C40E6"/>
    <w:rsid w:val="008C5063"/>
    <w:rsid w:val="008C6C87"/>
    <w:rsid w:val="008D0773"/>
    <w:rsid w:val="008D0B51"/>
    <w:rsid w:val="008D0F7A"/>
    <w:rsid w:val="008D2ED9"/>
    <w:rsid w:val="008D31C0"/>
    <w:rsid w:val="008D43EE"/>
    <w:rsid w:val="008D5014"/>
    <w:rsid w:val="008D5B3A"/>
    <w:rsid w:val="008D6389"/>
    <w:rsid w:val="008D68E4"/>
    <w:rsid w:val="008D6E46"/>
    <w:rsid w:val="008E0506"/>
    <w:rsid w:val="008E0CFF"/>
    <w:rsid w:val="008E29D7"/>
    <w:rsid w:val="008E3768"/>
    <w:rsid w:val="008E4C10"/>
    <w:rsid w:val="008E5D6B"/>
    <w:rsid w:val="008E6820"/>
    <w:rsid w:val="008E6B09"/>
    <w:rsid w:val="008E76F0"/>
    <w:rsid w:val="008F15FE"/>
    <w:rsid w:val="008F1791"/>
    <w:rsid w:val="008F1950"/>
    <w:rsid w:val="008F2D29"/>
    <w:rsid w:val="008F4383"/>
    <w:rsid w:val="008F5187"/>
    <w:rsid w:val="008F5F78"/>
    <w:rsid w:val="008F60D8"/>
    <w:rsid w:val="008F6307"/>
    <w:rsid w:val="00900230"/>
    <w:rsid w:val="0090062E"/>
    <w:rsid w:val="00900D4B"/>
    <w:rsid w:val="00902727"/>
    <w:rsid w:val="0090312B"/>
    <w:rsid w:val="00905170"/>
    <w:rsid w:val="00907146"/>
    <w:rsid w:val="009073CA"/>
    <w:rsid w:val="009074AF"/>
    <w:rsid w:val="00910CDA"/>
    <w:rsid w:val="00912C5E"/>
    <w:rsid w:val="00913B90"/>
    <w:rsid w:val="009154A2"/>
    <w:rsid w:val="0091564F"/>
    <w:rsid w:val="0091569A"/>
    <w:rsid w:val="0091736D"/>
    <w:rsid w:val="0092047A"/>
    <w:rsid w:val="009206E9"/>
    <w:rsid w:val="00920C3F"/>
    <w:rsid w:val="00922238"/>
    <w:rsid w:val="00925BAA"/>
    <w:rsid w:val="00927288"/>
    <w:rsid w:val="0093037A"/>
    <w:rsid w:val="009322C8"/>
    <w:rsid w:val="009329A1"/>
    <w:rsid w:val="00933A1E"/>
    <w:rsid w:val="00935664"/>
    <w:rsid w:val="009400F1"/>
    <w:rsid w:val="0094154D"/>
    <w:rsid w:val="00942750"/>
    <w:rsid w:val="009439ED"/>
    <w:rsid w:val="00945BE3"/>
    <w:rsid w:val="0095155F"/>
    <w:rsid w:val="00952C4A"/>
    <w:rsid w:val="00952DB7"/>
    <w:rsid w:val="00954429"/>
    <w:rsid w:val="00956236"/>
    <w:rsid w:val="009563CE"/>
    <w:rsid w:val="00957922"/>
    <w:rsid w:val="00957936"/>
    <w:rsid w:val="0096398F"/>
    <w:rsid w:val="0096593B"/>
    <w:rsid w:val="00966D3A"/>
    <w:rsid w:val="00970371"/>
    <w:rsid w:val="00973B93"/>
    <w:rsid w:val="00976328"/>
    <w:rsid w:val="0097680D"/>
    <w:rsid w:val="00981C4A"/>
    <w:rsid w:val="00982438"/>
    <w:rsid w:val="009832FF"/>
    <w:rsid w:val="00983FE2"/>
    <w:rsid w:val="0098404C"/>
    <w:rsid w:val="0098515E"/>
    <w:rsid w:val="00985283"/>
    <w:rsid w:val="009854D9"/>
    <w:rsid w:val="00990E7E"/>
    <w:rsid w:val="00993832"/>
    <w:rsid w:val="00995646"/>
    <w:rsid w:val="00995992"/>
    <w:rsid w:val="00997C2C"/>
    <w:rsid w:val="009A03E5"/>
    <w:rsid w:val="009A0EE8"/>
    <w:rsid w:val="009A0F3B"/>
    <w:rsid w:val="009A1BB4"/>
    <w:rsid w:val="009A2628"/>
    <w:rsid w:val="009A2720"/>
    <w:rsid w:val="009A285E"/>
    <w:rsid w:val="009A3200"/>
    <w:rsid w:val="009A4323"/>
    <w:rsid w:val="009A5B4E"/>
    <w:rsid w:val="009B0897"/>
    <w:rsid w:val="009B30AF"/>
    <w:rsid w:val="009B6B6F"/>
    <w:rsid w:val="009B7439"/>
    <w:rsid w:val="009B7650"/>
    <w:rsid w:val="009B7BD9"/>
    <w:rsid w:val="009C39AA"/>
    <w:rsid w:val="009C3F3E"/>
    <w:rsid w:val="009C7DD5"/>
    <w:rsid w:val="009D10A3"/>
    <w:rsid w:val="009D1BFB"/>
    <w:rsid w:val="009D3E61"/>
    <w:rsid w:val="009D4535"/>
    <w:rsid w:val="009D4B4B"/>
    <w:rsid w:val="009D4D7E"/>
    <w:rsid w:val="009D5D0E"/>
    <w:rsid w:val="009D67DA"/>
    <w:rsid w:val="009E08A2"/>
    <w:rsid w:val="009E227D"/>
    <w:rsid w:val="009E5019"/>
    <w:rsid w:val="009E5371"/>
    <w:rsid w:val="009E59C8"/>
    <w:rsid w:val="009E6D52"/>
    <w:rsid w:val="009F04EE"/>
    <w:rsid w:val="009F2D15"/>
    <w:rsid w:val="009F36BD"/>
    <w:rsid w:val="009F3A80"/>
    <w:rsid w:val="009F3BB7"/>
    <w:rsid w:val="009F3CA8"/>
    <w:rsid w:val="009F735E"/>
    <w:rsid w:val="009F753D"/>
    <w:rsid w:val="00A02E53"/>
    <w:rsid w:val="00A0337D"/>
    <w:rsid w:val="00A04F1B"/>
    <w:rsid w:val="00A0501B"/>
    <w:rsid w:val="00A06006"/>
    <w:rsid w:val="00A108D9"/>
    <w:rsid w:val="00A14947"/>
    <w:rsid w:val="00A155FE"/>
    <w:rsid w:val="00A16048"/>
    <w:rsid w:val="00A16184"/>
    <w:rsid w:val="00A2186E"/>
    <w:rsid w:val="00A2190E"/>
    <w:rsid w:val="00A21F98"/>
    <w:rsid w:val="00A22BA7"/>
    <w:rsid w:val="00A24980"/>
    <w:rsid w:val="00A24D6C"/>
    <w:rsid w:val="00A27A74"/>
    <w:rsid w:val="00A30143"/>
    <w:rsid w:val="00A320EE"/>
    <w:rsid w:val="00A32798"/>
    <w:rsid w:val="00A32A83"/>
    <w:rsid w:val="00A33B03"/>
    <w:rsid w:val="00A35CF5"/>
    <w:rsid w:val="00A36035"/>
    <w:rsid w:val="00A36865"/>
    <w:rsid w:val="00A368DB"/>
    <w:rsid w:val="00A36B25"/>
    <w:rsid w:val="00A373D8"/>
    <w:rsid w:val="00A407B5"/>
    <w:rsid w:val="00A40B21"/>
    <w:rsid w:val="00A423AA"/>
    <w:rsid w:val="00A5060F"/>
    <w:rsid w:val="00A5171B"/>
    <w:rsid w:val="00A53EC6"/>
    <w:rsid w:val="00A54A6D"/>
    <w:rsid w:val="00A55C0F"/>
    <w:rsid w:val="00A56070"/>
    <w:rsid w:val="00A56340"/>
    <w:rsid w:val="00A5660D"/>
    <w:rsid w:val="00A60847"/>
    <w:rsid w:val="00A6210E"/>
    <w:rsid w:val="00A64BC8"/>
    <w:rsid w:val="00A6502C"/>
    <w:rsid w:val="00A66237"/>
    <w:rsid w:val="00A66AC2"/>
    <w:rsid w:val="00A71BB2"/>
    <w:rsid w:val="00A72BD9"/>
    <w:rsid w:val="00A73428"/>
    <w:rsid w:val="00A7366D"/>
    <w:rsid w:val="00A75609"/>
    <w:rsid w:val="00A75ED7"/>
    <w:rsid w:val="00A76472"/>
    <w:rsid w:val="00A80615"/>
    <w:rsid w:val="00A80BB6"/>
    <w:rsid w:val="00A82ABC"/>
    <w:rsid w:val="00A835F2"/>
    <w:rsid w:val="00A86002"/>
    <w:rsid w:val="00A87127"/>
    <w:rsid w:val="00A8713F"/>
    <w:rsid w:val="00A87D67"/>
    <w:rsid w:val="00A87F79"/>
    <w:rsid w:val="00A90609"/>
    <w:rsid w:val="00A90BA1"/>
    <w:rsid w:val="00A93623"/>
    <w:rsid w:val="00A958BF"/>
    <w:rsid w:val="00A95BF5"/>
    <w:rsid w:val="00A967C0"/>
    <w:rsid w:val="00A96DA5"/>
    <w:rsid w:val="00A97233"/>
    <w:rsid w:val="00A97A9A"/>
    <w:rsid w:val="00AA0671"/>
    <w:rsid w:val="00AA2531"/>
    <w:rsid w:val="00AA4BCC"/>
    <w:rsid w:val="00AB12F5"/>
    <w:rsid w:val="00AB1E09"/>
    <w:rsid w:val="00AB3E13"/>
    <w:rsid w:val="00AB4FE9"/>
    <w:rsid w:val="00AB5330"/>
    <w:rsid w:val="00AB687F"/>
    <w:rsid w:val="00AB6A45"/>
    <w:rsid w:val="00AB7747"/>
    <w:rsid w:val="00AB77E5"/>
    <w:rsid w:val="00AC14CE"/>
    <w:rsid w:val="00AC2A56"/>
    <w:rsid w:val="00AC411C"/>
    <w:rsid w:val="00AC5A0F"/>
    <w:rsid w:val="00AC662D"/>
    <w:rsid w:val="00AD0017"/>
    <w:rsid w:val="00AD055E"/>
    <w:rsid w:val="00AD17B8"/>
    <w:rsid w:val="00AD2719"/>
    <w:rsid w:val="00AD37D3"/>
    <w:rsid w:val="00AD47A7"/>
    <w:rsid w:val="00AD4A8F"/>
    <w:rsid w:val="00AD60F2"/>
    <w:rsid w:val="00AD7E4E"/>
    <w:rsid w:val="00AE10F3"/>
    <w:rsid w:val="00AE13C3"/>
    <w:rsid w:val="00AE1759"/>
    <w:rsid w:val="00AE3FE4"/>
    <w:rsid w:val="00AE71C6"/>
    <w:rsid w:val="00AF0CBF"/>
    <w:rsid w:val="00AF257F"/>
    <w:rsid w:val="00AF33CF"/>
    <w:rsid w:val="00AF3779"/>
    <w:rsid w:val="00AF4D50"/>
    <w:rsid w:val="00AF5780"/>
    <w:rsid w:val="00AF6179"/>
    <w:rsid w:val="00AF626B"/>
    <w:rsid w:val="00AF7FBB"/>
    <w:rsid w:val="00B058F4"/>
    <w:rsid w:val="00B11D51"/>
    <w:rsid w:val="00B1295A"/>
    <w:rsid w:val="00B13DF9"/>
    <w:rsid w:val="00B20A45"/>
    <w:rsid w:val="00B21135"/>
    <w:rsid w:val="00B22C5C"/>
    <w:rsid w:val="00B247A3"/>
    <w:rsid w:val="00B24F30"/>
    <w:rsid w:val="00B255E5"/>
    <w:rsid w:val="00B264D1"/>
    <w:rsid w:val="00B265C1"/>
    <w:rsid w:val="00B273E8"/>
    <w:rsid w:val="00B31ABF"/>
    <w:rsid w:val="00B320F4"/>
    <w:rsid w:val="00B32DAB"/>
    <w:rsid w:val="00B33BE3"/>
    <w:rsid w:val="00B33C50"/>
    <w:rsid w:val="00B33F3D"/>
    <w:rsid w:val="00B35544"/>
    <w:rsid w:val="00B40A92"/>
    <w:rsid w:val="00B41664"/>
    <w:rsid w:val="00B427AE"/>
    <w:rsid w:val="00B44121"/>
    <w:rsid w:val="00B44859"/>
    <w:rsid w:val="00B474EE"/>
    <w:rsid w:val="00B506DA"/>
    <w:rsid w:val="00B52302"/>
    <w:rsid w:val="00B533DF"/>
    <w:rsid w:val="00B53B5D"/>
    <w:rsid w:val="00B55D76"/>
    <w:rsid w:val="00B57811"/>
    <w:rsid w:val="00B57EA4"/>
    <w:rsid w:val="00B6055E"/>
    <w:rsid w:val="00B609E5"/>
    <w:rsid w:val="00B6317D"/>
    <w:rsid w:val="00B643C9"/>
    <w:rsid w:val="00B644B1"/>
    <w:rsid w:val="00B65490"/>
    <w:rsid w:val="00B67394"/>
    <w:rsid w:val="00B709A9"/>
    <w:rsid w:val="00B70B9A"/>
    <w:rsid w:val="00B71658"/>
    <w:rsid w:val="00B71C60"/>
    <w:rsid w:val="00B71D58"/>
    <w:rsid w:val="00B71D5C"/>
    <w:rsid w:val="00B71E00"/>
    <w:rsid w:val="00B7277A"/>
    <w:rsid w:val="00B76D7A"/>
    <w:rsid w:val="00B77138"/>
    <w:rsid w:val="00B7723F"/>
    <w:rsid w:val="00B80534"/>
    <w:rsid w:val="00B80E12"/>
    <w:rsid w:val="00B815A3"/>
    <w:rsid w:val="00B81B90"/>
    <w:rsid w:val="00B82A17"/>
    <w:rsid w:val="00B8433C"/>
    <w:rsid w:val="00B86368"/>
    <w:rsid w:val="00B8637A"/>
    <w:rsid w:val="00B87491"/>
    <w:rsid w:val="00B87B83"/>
    <w:rsid w:val="00B905A7"/>
    <w:rsid w:val="00B94EDA"/>
    <w:rsid w:val="00B97E9F"/>
    <w:rsid w:val="00BA24D1"/>
    <w:rsid w:val="00BA29E9"/>
    <w:rsid w:val="00BA4191"/>
    <w:rsid w:val="00BA4C9D"/>
    <w:rsid w:val="00BA563E"/>
    <w:rsid w:val="00BA62BB"/>
    <w:rsid w:val="00BA63FE"/>
    <w:rsid w:val="00BA7142"/>
    <w:rsid w:val="00BB174A"/>
    <w:rsid w:val="00BB1E8B"/>
    <w:rsid w:val="00BB237C"/>
    <w:rsid w:val="00BB3074"/>
    <w:rsid w:val="00BB41A3"/>
    <w:rsid w:val="00BB4FB0"/>
    <w:rsid w:val="00BB5C6F"/>
    <w:rsid w:val="00BB5C85"/>
    <w:rsid w:val="00BC191E"/>
    <w:rsid w:val="00BC32DC"/>
    <w:rsid w:val="00BC35B6"/>
    <w:rsid w:val="00BC6CB5"/>
    <w:rsid w:val="00BC7E26"/>
    <w:rsid w:val="00BD1B51"/>
    <w:rsid w:val="00BD3FDF"/>
    <w:rsid w:val="00BD4596"/>
    <w:rsid w:val="00BD49AD"/>
    <w:rsid w:val="00BD5B58"/>
    <w:rsid w:val="00BD5CC4"/>
    <w:rsid w:val="00BD637E"/>
    <w:rsid w:val="00BE1405"/>
    <w:rsid w:val="00BE312D"/>
    <w:rsid w:val="00BE4682"/>
    <w:rsid w:val="00BE65C4"/>
    <w:rsid w:val="00BE7D53"/>
    <w:rsid w:val="00BF115B"/>
    <w:rsid w:val="00BF190A"/>
    <w:rsid w:val="00BF1C20"/>
    <w:rsid w:val="00BF1C64"/>
    <w:rsid w:val="00BF1D84"/>
    <w:rsid w:val="00BF31B7"/>
    <w:rsid w:val="00BF4F08"/>
    <w:rsid w:val="00C04C6F"/>
    <w:rsid w:val="00C061DC"/>
    <w:rsid w:val="00C10265"/>
    <w:rsid w:val="00C10578"/>
    <w:rsid w:val="00C1062A"/>
    <w:rsid w:val="00C10EF6"/>
    <w:rsid w:val="00C12708"/>
    <w:rsid w:val="00C135BC"/>
    <w:rsid w:val="00C144E8"/>
    <w:rsid w:val="00C15C95"/>
    <w:rsid w:val="00C16225"/>
    <w:rsid w:val="00C172E3"/>
    <w:rsid w:val="00C22550"/>
    <w:rsid w:val="00C24A08"/>
    <w:rsid w:val="00C24F02"/>
    <w:rsid w:val="00C25752"/>
    <w:rsid w:val="00C2596A"/>
    <w:rsid w:val="00C26EC9"/>
    <w:rsid w:val="00C27537"/>
    <w:rsid w:val="00C30193"/>
    <w:rsid w:val="00C31210"/>
    <w:rsid w:val="00C328FE"/>
    <w:rsid w:val="00C32F0C"/>
    <w:rsid w:val="00C333A9"/>
    <w:rsid w:val="00C33507"/>
    <w:rsid w:val="00C3565A"/>
    <w:rsid w:val="00C35F6E"/>
    <w:rsid w:val="00C40DAF"/>
    <w:rsid w:val="00C43863"/>
    <w:rsid w:val="00C4409D"/>
    <w:rsid w:val="00C444F8"/>
    <w:rsid w:val="00C44E72"/>
    <w:rsid w:val="00C44F2B"/>
    <w:rsid w:val="00C45A06"/>
    <w:rsid w:val="00C47E5B"/>
    <w:rsid w:val="00C47F92"/>
    <w:rsid w:val="00C503DD"/>
    <w:rsid w:val="00C5471B"/>
    <w:rsid w:val="00C56FD3"/>
    <w:rsid w:val="00C571F5"/>
    <w:rsid w:val="00C61E4B"/>
    <w:rsid w:val="00C61ED0"/>
    <w:rsid w:val="00C62A7D"/>
    <w:rsid w:val="00C640D6"/>
    <w:rsid w:val="00C640DF"/>
    <w:rsid w:val="00C64BFF"/>
    <w:rsid w:val="00C64DAF"/>
    <w:rsid w:val="00C704E9"/>
    <w:rsid w:val="00C72A60"/>
    <w:rsid w:val="00C74257"/>
    <w:rsid w:val="00C751F6"/>
    <w:rsid w:val="00C763C9"/>
    <w:rsid w:val="00C76900"/>
    <w:rsid w:val="00C80057"/>
    <w:rsid w:val="00C82232"/>
    <w:rsid w:val="00C82913"/>
    <w:rsid w:val="00C85867"/>
    <w:rsid w:val="00C859DC"/>
    <w:rsid w:val="00C87A42"/>
    <w:rsid w:val="00C921FA"/>
    <w:rsid w:val="00C9423E"/>
    <w:rsid w:val="00C958C5"/>
    <w:rsid w:val="00C972B1"/>
    <w:rsid w:val="00CA27A3"/>
    <w:rsid w:val="00CA29F9"/>
    <w:rsid w:val="00CA2CCE"/>
    <w:rsid w:val="00CA306D"/>
    <w:rsid w:val="00CA43FD"/>
    <w:rsid w:val="00CA512A"/>
    <w:rsid w:val="00CA7ADC"/>
    <w:rsid w:val="00CA7EF8"/>
    <w:rsid w:val="00CB009D"/>
    <w:rsid w:val="00CB3CE5"/>
    <w:rsid w:val="00CC058D"/>
    <w:rsid w:val="00CC0B5E"/>
    <w:rsid w:val="00CC1A19"/>
    <w:rsid w:val="00CC3FCE"/>
    <w:rsid w:val="00CC489B"/>
    <w:rsid w:val="00CC4EB0"/>
    <w:rsid w:val="00CC52F7"/>
    <w:rsid w:val="00CC553B"/>
    <w:rsid w:val="00CD0F09"/>
    <w:rsid w:val="00CD267C"/>
    <w:rsid w:val="00CD2BCD"/>
    <w:rsid w:val="00CD3A4C"/>
    <w:rsid w:val="00CD46C4"/>
    <w:rsid w:val="00CD74B2"/>
    <w:rsid w:val="00CD77A2"/>
    <w:rsid w:val="00CE025D"/>
    <w:rsid w:val="00CE10E9"/>
    <w:rsid w:val="00CE2910"/>
    <w:rsid w:val="00CE3B6F"/>
    <w:rsid w:val="00CE48EF"/>
    <w:rsid w:val="00CE5393"/>
    <w:rsid w:val="00CE539F"/>
    <w:rsid w:val="00CF36BE"/>
    <w:rsid w:val="00CF5C1E"/>
    <w:rsid w:val="00CF6000"/>
    <w:rsid w:val="00CF7788"/>
    <w:rsid w:val="00D003F3"/>
    <w:rsid w:val="00D0110E"/>
    <w:rsid w:val="00D0364F"/>
    <w:rsid w:val="00D03CB6"/>
    <w:rsid w:val="00D06834"/>
    <w:rsid w:val="00D06B11"/>
    <w:rsid w:val="00D06B9F"/>
    <w:rsid w:val="00D07C3C"/>
    <w:rsid w:val="00D11DAB"/>
    <w:rsid w:val="00D15060"/>
    <w:rsid w:val="00D1599B"/>
    <w:rsid w:val="00D15BBC"/>
    <w:rsid w:val="00D175A1"/>
    <w:rsid w:val="00D20E67"/>
    <w:rsid w:val="00D22BCF"/>
    <w:rsid w:val="00D23BA2"/>
    <w:rsid w:val="00D24452"/>
    <w:rsid w:val="00D2721E"/>
    <w:rsid w:val="00D27393"/>
    <w:rsid w:val="00D3084E"/>
    <w:rsid w:val="00D308ED"/>
    <w:rsid w:val="00D31861"/>
    <w:rsid w:val="00D36D86"/>
    <w:rsid w:val="00D417F1"/>
    <w:rsid w:val="00D41DC5"/>
    <w:rsid w:val="00D428AA"/>
    <w:rsid w:val="00D4438E"/>
    <w:rsid w:val="00D50A34"/>
    <w:rsid w:val="00D5103A"/>
    <w:rsid w:val="00D5144A"/>
    <w:rsid w:val="00D53EFA"/>
    <w:rsid w:val="00D547C6"/>
    <w:rsid w:val="00D56230"/>
    <w:rsid w:val="00D564A1"/>
    <w:rsid w:val="00D57E56"/>
    <w:rsid w:val="00D61E91"/>
    <w:rsid w:val="00D62DFB"/>
    <w:rsid w:val="00D64BDB"/>
    <w:rsid w:val="00D65C21"/>
    <w:rsid w:val="00D67367"/>
    <w:rsid w:val="00D71CF0"/>
    <w:rsid w:val="00D742CE"/>
    <w:rsid w:val="00D74E67"/>
    <w:rsid w:val="00D750BC"/>
    <w:rsid w:val="00D75CD0"/>
    <w:rsid w:val="00D80EE6"/>
    <w:rsid w:val="00D80EF6"/>
    <w:rsid w:val="00D81025"/>
    <w:rsid w:val="00D824DF"/>
    <w:rsid w:val="00D851D3"/>
    <w:rsid w:val="00D8607B"/>
    <w:rsid w:val="00D861A2"/>
    <w:rsid w:val="00D90368"/>
    <w:rsid w:val="00D91AD6"/>
    <w:rsid w:val="00D94A7C"/>
    <w:rsid w:val="00D95896"/>
    <w:rsid w:val="00D965C4"/>
    <w:rsid w:val="00D96EC3"/>
    <w:rsid w:val="00D97375"/>
    <w:rsid w:val="00D97595"/>
    <w:rsid w:val="00D97B8E"/>
    <w:rsid w:val="00DA0CB4"/>
    <w:rsid w:val="00DA2F2D"/>
    <w:rsid w:val="00DB26EB"/>
    <w:rsid w:val="00DB2983"/>
    <w:rsid w:val="00DB2C9A"/>
    <w:rsid w:val="00DB50B6"/>
    <w:rsid w:val="00DB5190"/>
    <w:rsid w:val="00DB6713"/>
    <w:rsid w:val="00DB69B1"/>
    <w:rsid w:val="00DB6E9D"/>
    <w:rsid w:val="00DB7649"/>
    <w:rsid w:val="00DB7EAD"/>
    <w:rsid w:val="00DC1257"/>
    <w:rsid w:val="00DC1691"/>
    <w:rsid w:val="00DC1DA5"/>
    <w:rsid w:val="00DC3BFD"/>
    <w:rsid w:val="00DC3DC0"/>
    <w:rsid w:val="00DC411E"/>
    <w:rsid w:val="00DC590E"/>
    <w:rsid w:val="00DC5B2B"/>
    <w:rsid w:val="00DC721A"/>
    <w:rsid w:val="00DD1994"/>
    <w:rsid w:val="00DD318D"/>
    <w:rsid w:val="00DD4B05"/>
    <w:rsid w:val="00DD6006"/>
    <w:rsid w:val="00DD789A"/>
    <w:rsid w:val="00DE050B"/>
    <w:rsid w:val="00DE0D12"/>
    <w:rsid w:val="00DE1183"/>
    <w:rsid w:val="00DE18E2"/>
    <w:rsid w:val="00DE1DA7"/>
    <w:rsid w:val="00DE3405"/>
    <w:rsid w:val="00DE4105"/>
    <w:rsid w:val="00DE776C"/>
    <w:rsid w:val="00DF1C2F"/>
    <w:rsid w:val="00DF1F14"/>
    <w:rsid w:val="00DF2E12"/>
    <w:rsid w:val="00DF38C7"/>
    <w:rsid w:val="00DF3963"/>
    <w:rsid w:val="00DF514A"/>
    <w:rsid w:val="00DF56C4"/>
    <w:rsid w:val="00DF6690"/>
    <w:rsid w:val="00DF6804"/>
    <w:rsid w:val="00DF68D6"/>
    <w:rsid w:val="00E013E1"/>
    <w:rsid w:val="00E01B3A"/>
    <w:rsid w:val="00E0358D"/>
    <w:rsid w:val="00E03A8D"/>
    <w:rsid w:val="00E040A2"/>
    <w:rsid w:val="00E04323"/>
    <w:rsid w:val="00E070A2"/>
    <w:rsid w:val="00E07EF3"/>
    <w:rsid w:val="00E10E4D"/>
    <w:rsid w:val="00E117E6"/>
    <w:rsid w:val="00E14AEB"/>
    <w:rsid w:val="00E14E00"/>
    <w:rsid w:val="00E17576"/>
    <w:rsid w:val="00E22280"/>
    <w:rsid w:val="00E24DF8"/>
    <w:rsid w:val="00E2656A"/>
    <w:rsid w:val="00E2667A"/>
    <w:rsid w:val="00E26EA5"/>
    <w:rsid w:val="00E26F7C"/>
    <w:rsid w:val="00E27295"/>
    <w:rsid w:val="00E27341"/>
    <w:rsid w:val="00E273EC"/>
    <w:rsid w:val="00E350D2"/>
    <w:rsid w:val="00E412D0"/>
    <w:rsid w:val="00E42B88"/>
    <w:rsid w:val="00E4471B"/>
    <w:rsid w:val="00E44D0F"/>
    <w:rsid w:val="00E450BE"/>
    <w:rsid w:val="00E45F50"/>
    <w:rsid w:val="00E55A2D"/>
    <w:rsid w:val="00E56322"/>
    <w:rsid w:val="00E56D56"/>
    <w:rsid w:val="00E5709C"/>
    <w:rsid w:val="00E60982"/>
    <w:rsid w:val="00E62C62"/>
    <w:rsid w:val="00E6355D"/>
    <w:rsid w:val="00E654C1"/>
    <w:rsid w:val="00E65D97"/>
    <w:rsid w:val="00E679BA"/>
    <w:rsid w:val="00E701AD"/>
    <w:rsid w:val="00E72397"/>
    <w:rsid w:val="00E72451"/>
    <w:rsid w:val="00E72A5A"/>
    <w:rsid w:val="00E73354"/>
    <w:rsid w:val="00E74D7A"/>
    <w:rsid w:val="00E75918"/>
    <w:rsid w:val="00E76029"/>
    <w:rsid w:val="00E76DA2"/>
    <w:rsid w:val="00E83AAE"/>
    <w:rsid w:val="00E864E8"/>
    <w:rsid w:val="00E87123"/>
    <w:rsid w:val="00E9069B"/>
    <w:rsid w:val="00E91E68"/>
    <w:rsid w:val="00E9242D"/>
    <w:rsid w:val="00E928AF"/>
    <w:rsid w:val="00E9364C"/>
    <w:rsid w:val="00EA3E86"/>
    <w:rsid w:val="00EA6BD6"/>
    <w:rsid w:val="00EB03F2"/>
    <w:rsid w:val="00EB5255"/>
    <w:rsid w:val="00EB5C47"/>
    <w:rsid w:val="00EB62E9"/>
    <w:rsid w:val="00EB756C"/>
    <w:rsid w:val="00EB7EE7"/>
    <w:rsid w:val="00EC3D39"/>
    <w:rsid w:val="00EC473D"/>
    <w:rsid w:val="00EC5FC0"/>
    <w:rsid w:val="00ED0639"/>
    <w:rsid w:val="00ED08DB"/>
    <w:rsid w:val="00ED0C9E"/>
    <w:rsid w:val="00ED1939"/>
    <w:rsid w:val="00ED1D22"/>
    <w:rsid w:val="00ED22B3"/>
    <w:rsid w:val="00EE02E0"/>
    <w:rsid w:val="00EE26B1"/>
    <w:rsid w:val="00EE4AEE"/>
    <w:rsid w:val="00EE5B88"/>
    <w:rsid w:val="00EE68C1"/>
    <w:rsid w:val="00EF023B"/>
    <w:rsid w:val="00EF1352"/>
    <w:rsid w:val="00EF3888"/>
    <w:rsid w:val="00EF3F91"/>
    <w:rsid w:val="00EF4755"/>
    <w:rsid w:val="00EF51F0"/>
    <w:rsid w:val="00EF7135"/>
    <w:rsid w:val="00F008A3"/>
    <w:rsid w:val="00F027DB"/>
    <w:rsid w:val="00F052C2"/>
    <w:rsid w:val="00F05DA7"/>
    <w:rsid w:val="00F07A16"/>
    <w:rsid w:val="00F07D0C"/>
    <w:rsid w:val="00F07E5E"/>
    <w:rsid w:val="00F100E7"/>
    <w:rsid w:val="00F10435"/>
    <w:rsid w:val="00F1096D"/>
    <w:rsid w:val="00F1465D"/>
    <w:rsid w:val="00F14A7A"/>
    <w:rsid w:val="00F22985"/>
    <w:rsid w:val="00F235C1"/>
    <w:rsid w:val="00F24F74"/>
    <w:rsid w:val="00F30DA5"/>
    <w:rsid w:val="00F32629"/>
    <w:rsid w:val="00F3383E"/>
    <w:rsid w:val="00F34E2D"/>
    <w:rsid w:val="00F35AF7"/>
    <w:rsid w:val="00F36968"/>
    <w:rsid w:val="00F402AE"/>
    <w:rsid w:val="00F465A7"/>
    <w:rsid w:val="00F50B7C"/>
    <w:rsid w:val="00F50F3A"/>
    <w:rsid w:val="00F51135"/>
    <w:rsid w:val="00F540E5"/>
    <w:rsid w:val="00F550E6"/>
    <w:rsid w:val="00F552EB"/>
    <w:rsid w:val="00F56098"/>
    <w:rsid w:val="00F6071B"/>
    <w:rsid w:val="00F63D79"/>
    <w:rsid w:val="00F6629A"/>
    <w:rsid w:val="00F67256"/>
    <w:rsid w:val="00F70355"/>
    <w:rsid w:val="00F70F06"/>
    <w:rsid w:val="00F713C1"/>
    <w:rsid w:val="00F71722"/>
    <w:rsid w:val="00F74345"/>
    <w:rsid w:val="00F74C04"/>
    <w:rsid w:val="00F74C98"/>
    <w:rsid w:val="00F75063"/>
    <w:rsid w:val="00F762C2"/>
    <w:rsid w:val="00F7643D"/>
    <w:rsid w:val="00F77738"/>
    <w:rsid w:val="00F77E51"/>
    <w:rsid w:val="00F80A0A"/>
    <w:rsid w:val="00F80F1B"/>
    <w:rsid w:val="00F82B19"/>
    <w:rsid w:val="00F837B2"/>
    <w:rsid w:val="00F84524"/>
    <w:rsid w:val="00F85204"/>
    <w:rsid w:val="00F8791D"/>
    <w:rsid w:val="00F90239"/>
    <w:rsid w:val="00F911F1"/>
    <w:rsid w:val="00F9212D"/>
    <w:rsid w:val="00F9599D"/>
    <w:rsid w:val="00F965DA"/>
    <w:rsid w:val="00FA0185"/>
    <w:rsid w:val="00FA0A99"/>
    <w:rsid w:val="00FA0C3C"/>
    <w:rsid w:val="00FA1694"/>
    <w:rsid w:val="00FA406A"/>
    <w:rsid w:val="00FA6F91"/>
    <w:rsid w:val="00FA7581"/>
    <w:rsid w:val="00FB06AF"/>
    <w:rsid w:val="00FB15AF"/>
    <w:rsid w:val="00FB4F02"/>
    <w:rsid w:val="00FB503A"/>
    <w:rsid w:val="00FB516C"/>
    <w:rsid w:val="00FB66EA"/>
    <w:rsid w:val="00FB6BB0"/>
    <w:rsid w:val="00FC16B4"/>
    <w:rsid w:val="00FC1BC2"/>
    <w:rsid w:val="00FC69CC"/>
    <w:rsid w:val="00FC6A88"/>
    <w:rsid w:val="00FC6ADD"/>
    <w:rsid w:val="00FC6B9E"/>
    <w:rsid w:val="00FD0236"/>
    <w:rsid w:val="00FD13EB"/>
    <w:rsid w:val="00FD18F4"/>
    <w:rsid w:val="00FD31AE"/>
    <w:rsid w:val="00FD39BA"/>
    <w:rsid w:val="00FD4958"/>
    <w:rsid w:val="00FD54DB"/>
    <w:rsid w:val="00FD5D76"/>
    <w:rsid w:val="00FD619F"/>
    <w:rsid w:val="00FD65E0"/>
    <w:rsid w:val="00FD6A94"/>
    <w:rsid w:val="00FD77C2"/>
    <w:rsid w:val="00FE0544"/>
    <w:rsid w:val="00FE43AC"/>
    <w:rsid w:val="00FE6067"/>
    <w:rsid w:val="00FE770A"/>
    <w:rsid w:val="00FF046B"/>
    <w:rsid w:val="00FF244A"/>
    <w:rsid w:val="00FF3D7C"/>
    <w:rsid w:val="00FF4AC3"/>
    <w:rsid w:val="01290F7E"/>
    <w:rsid w:val="015D1E09"/>
    <w:rsid w:val="015D5F2D"/>
    <w:rsid w:val="01936C47"/>
    <w:rsid w:val="020337FD"/>
    <w:rsid w:val="021E3E29"/>
    <w:rsid w:val="02564FD5"/>
    <w:rsid w:val="02697903"/>
    <w:rsid w:val="02A81442"/>
    <w:rsid w:val="02A951FA"/>
    <w:rsid w:val="02C12818"/>
    <w:rsid w:val="02CA41BA"/>
    <w:rsid w:val="02E14AF2"/>
    <w:rsid w:val="02F96569"/>
    <w:rsid w:val="03313BBA"/>
    <w:rsid w:val="037827D8"/>
    <w:rsid w:val="03D65A1C"/>
    <w:rsid w:val="03EA7B21"/>
    <w:rsid w:val="03F21924"/>
    <w:rsid w:val="040072B2"/>
    <w:rsid w:val="043529E0"/>
    <w:rsid w:val="045508BE"/>
    <w:rsid w:val="04A17E89"/>
    <w:rsid w:val="04FD06C6"/>
    <w:rsid w:val="05160534"/>
    <w:rsid w:val="056D4EBD"/>
    <w:rsid w:val="05A24EA8"/>
    <w:rsid w:val="05E308AF"/>
    <w:rsid w:val="05ED4B21"/>
    <w:rsid w:val="05F83EAE"/>
    <w:rsid w:val="063E7D85"/>
    <w:rsid w:val="06AB6847"/>
    <w:rsid w:val="06AD0C66"/>
    <w:rsid w:val="06AE12B7"/>
    <w:rsid w:val="06C257F4"/>
    <w:rsid w:val="06CC35FE"/>
    <w:rsid w:val="07293586"/>
    <w:rsid w:val="07295285"/>
    <w:rsid w:val="07636392"/>
    <w:rsid w:val="07770C56"/>
    <w:rsid w:val="078B3FEE"/>
    <w:rsid w:val="0864103F"/>
    <w:rsid w:val="088C7E80"/>
    <w:rsid w:val="08AB50F9"/>
    <w:rsid w:val="08F71C3B"/>
    <w:rsid w:val="090E304D"/>
    <w:rsid w:val="09163343"/>
    <w:rsid w:val="092217DD"/>
    <w:rsid w:val="092A51B9"/>
    <w:rsid w:val="0936159E"/>
    <w:rsid w:val="093A7294"/>
    <w:rsid w:val="094D63BF"/>
    <w:rsid w:val="099B7953"/>
    <w:rsid w:val="09AE14EA"/>
    <w:rsid w:val="0A1B667B"/>
    <w:rsid w:val="0A263993"/>
    <w:rsid w:val="0A2B5992"/>
    <w:rsid w:val="0A2D3AC2"/>
    <w:rsid w:val="0A395718"/>
    <w:rsid w:val="0A7C7F04"/>
    <w:rsid w:val="0AA5127F"/>
    <w:rsid w:val="0AA755DF"/>
    <w:rsid w:val="0B120D44"/>
    <w:rsid w:val="0B2B571F"/>
    <w:rsid w:val="0B5415DA"/>
    <w:rsid w:val="0B5F0746"/>
    <w:rsid w:val="0B7C4A6A"/>
    <w:rsid w:val="0B8E51BC"/>
    <w:rsid w:val="0BA2656B"/>
    <w:rsid w:val="0BAF6B47"/>
    <w:rsid w:val="0BD015AA"/>
    <w:rsid w:val="0BD27BF6"/>
    <w:rsid w:val="0BE83098"/>
    <w:rsid w:val="0BF71DAF"/>
    <w:rsid w:val="0C022D24"/>
    <w:rsid w:val="0C0A0C46"/>
    <w:rsid w:val="0C2236C2"/>
    <w:rsid w:val="0C3B3C7D"/>
    <w:rsid w:val="0C494AA6"/>
    <w:rsid w:val="0C6C2952"/>
    <w:rsid w:val="0C9B4BA8"/>
    <w:rsid w:val="0CAB2EAE"/>
    <w:rsid w:val="0CDA5987"/>
    <w:rsid w:val="0D066D1B"/>
    <w:rsid w:val="0D621C7D"/>
    <w:rsid w:val="0D7F062B"/>
    <w:rsid w:val="0D8D371C"/>
    <w:rsid w:val="0D921378"/>
    <w:rsid w:val="0DA66875"/>
    <w:rsid w:val="0E223FA6"/>
    <w:rsid w:val="0E296AEF"/>
    <w:rsid w:val="0E4C1F51"/>
    <w:rsid w:val="0E73034D"/>
    <w:rsid w:val="0E7F1381"/>
    <w:rsid w:val="0E9E25D2"/>
    <w:rsid w:val="0EB81D3A"/>
    <w:rsid w:val="0F13775A"/>
    <w:rsid w:val="0F4433A8"/>
    <w:rsid w:val="0F5F45FE"/>
    <w:rsid w:val="0F9A112B"/>
    <w:rsid w:val="0FD46539"/>
    <w:rsid w:val="10082DF1"/>
    <w:rsid w:val="100F0F39"/>
    <w:rsid w:val="10216AB2"/>
    <w:rsid w:val="10416171"/>
    <w:rsid w:val="10527DBE"/>
    <w:rsid w:val="105F4A60"/>
    <w:rsid w:val="10613DB1"/>
    <w:rsid w:val="10634589"/>
    <w:rsid w:val="106D2F64"/>
    <w:rsid w:val="10783C6D"/>
    <w:rsid w:val="107A0EFB"/>
    <w:rsid w:val="109A0A34"/>
    <w:rsid w:val="10B36C33"/>
    <w:rsid w:val="10B63710"/>
    <w:rsid w:val="10BB0EC9"/>
    <w:rsid w:val="10DE5F87"/>
    <w:rsid w:val="10F10820"/>
    <w:rsid w:val="110A6C99"/>
    <w:rsid w:val="111C2866"/>
    <w:rsid w:val="111C2F7A"/>
    <w:rsid w:val="112A2091"/>
    <w:rsid w:val="115B441C"/>
    <w:rsid w:val="11665CA1"/>
    <w:rsid w:val="11930A81"/>
    <w:rsid w:val="11B36C13"/>
    <w:rsid w:val="123927D9"/>
    <w:rsid w:val="1251627B"/>
    <w:rsid w:val="12650CAB"/>
    <w:rsid w:val="12755C89"/>
    <w:rsid w:val="12B258EC"/>
    <w:rsid w:val="12C813A7"/>
    <w:rsid w:val="13610660"/>
    <w:rsid w:val="13762662"/>
    <w:rsid w:val="13831F21"/>
    <w:rsid w:val="138F5172"/>
    <w:rsid w:val="13951726"/>
    <w:rsid w:val="13A34B0A"/>
    <w:rsid w:val="14024474"/>
    <w:rsid w:val="1413677C"/>
    <w:rsid w:val="1423494F"/>
    <w:rsid w:val="14396509"/>
    <w:rsid w:val="144548A0"/>
    <w:rsid w:val="144D0667"/>
    <w:rsid w:val="145B3582"/>
    <w:rsid w:val="148E2D53"/>
    <w:rsid w:val="14DD2C3C"/>
    <w:rsid w:val="14E7755B"/>
    <w:rsid w:val="14FD11F7"/>
    <w:rsid w:val="15016DDA"/>
    <w:rsid w:val="15253159"/>
    <w:rsid w:val="1535249A"/>
    <w:rsid w:val="15427F5D"/>
    <w:rsid w:val="1554303B"/>
    <w:rsid w:val="15773431"/>
    <w:rsid w:val="15903232"/>
    <w:rsid w:val="159F32BB"/>
    <w:rsid w:val="15A37D40"/>
    <w:rsid w:val="15A5792E"/>
    <w:rsid w:val="15BF7647"/>
    <w:rsid w:val="16087E1D"/>
    <w:rsid w:val="16194204"/>
    <w:rsid w:val="16295DF5"/>
    <w:rsid w:val="16396AA1"/>
    <w:rsid w:val="164B7F3D"/>
    <w:rsid w:val="164C1AC8"/>
    <w:rsid w:val="16D16AE3"/>
    <w:rsid w:val="17013326"/>
    <w:rsid w:val="17033ECD"/>
    <w:rsid w:val="170638C6"/>
    <w:rsid w:val="17184AC7"/>
    <w:rsid w:val="172C0815"/>
    <w:rsid w:val="173223B8"/>
    <w:rsid w:val="17521B72"/>
    <w:rsid w:val="17701D14"/>
    <w:rsid w:val="17735226"/>
    <w:rsid w:val="17884EC8"/>
    <w:rsid w:val="179F4971"/>
    <w:rsid w:val="17BA705B"/>
    <w:rsid w:val="18210B4C"/>
    <w:rsid w:val="183A5798"/>
    <w:rsid w:val="1870788F"/>
    <w:rsid w:val="18715284"/>
    <w:rsid w:val="187F19FD"/>
    <w:rsid w:val="18913D73"/>
    <w:rsid w:val="189D0495"/>
    <w:rsid w:val="189F624C"/>
    <w:rsid w:val="18AB2488"/>
    <w:rsid w:val="18B2596E"/>
    <w:rsid w:val="18D17427"/>
    <w:rsid w:val="18FB2B28"/>
    <w:rsid w:val="19934117"/>
    <w:rsid w:val="199B3BB7"/>
    <w:rsid w:val="19A37944"/>
    <w:rsid w:val="19CF4FD5"/>
    <w:rsid w:val="1A1C66C0"/>
    <w:rsid w:val="1A3D5939"/>
    <w:rsid w:val="1A4172D2"/>
    <w:rsid w:val="1A42393B"/>
    <w:rsid w:val="1A4A080A"/>
    <w:rsid w:val="1AAD45DE"/>
    <w:rsid w:val="1AB33AF2"/>
    <w:rsid w:val="1AE814A8"/>
    <w:rsid w:val="1AEE5F1D"/>
    <w:rsid w:val="1B046F80"/>
    <w:rsid w:val="1B05655B"/>
    <w:rsid w:val="1B1C62BB"/>
    <w:rsid w:val="1B3156EE"/>
    <w:rsid w:val="1B3267B5"/>
    <w:rsid w:val="1B40161D"/>
    <w:rsid w:val="1B441859"/>
    <w:rsid w:val="1B4521C0"/>
    <w:rsid w:val="1B5778A4"/>
    <w:rsid w:val="1B62768B"/>
    <w:rsid w:val="1B6606B1"/>
    <w:rsid w:val="1B753A8E"/>
    <w:rsid w:val="1B9575F6"/>
    <w:rsid w:val="1BA4747F"/>
    <w:rsid w:val="1BCC212B"/>
    <w:rsid w:val="1BD55EA4"/>
    <w:rsid w:val="1BD72C4B"/>
    <w:rsid w:val="1BE857ED"/>
    <w:rsid w:val="1BE8654A"/>
    <w:rsid w:val="1BF711F2"/>
    <w:rsid w:val="1C224766"/>
    <w:rsid w:val="1C362480"/>
    <w:rsid w:val="1C5E7925"/>
    <w:rsid w:val="1C635AF0"/>
    <w:rsid w:val="1C6F6FCC"/>
    <w:rsid w:val="1C7A6434"/>
    <w:rsid w:val="1C7F727A"/>
    <w:rsid w:val="1CD35D83"/>
    <w:rsid w:val="1CE43892"/>
    <w:rsid w:val="1CFD070F"/>
    <w:rsid w:val="1D3533A1"/>
    <w:rsid w:val="1D5F3D2D"/>
    <w:rsid w:val="1D5F6196"/>
    <w:rsid w:val="1D6132A5"/>
    <w:rsid w:val="1D622366"/>
    <w:rsid w:val="1D8208FE"/>
    <w:rsid w:val="1D84211C"/>
    <w:rsid w:val="1D8E56D5"/>
    <w:rsid w:val="1DC34FF6"/>
    <w:rsid w:val="1DF104C0"/>
    <w:rsid w:val="1E264BC0"/>
    <w:rsid w:val="1E325C04"/>
    <w:rsid w:val="1E3B5065"/>
    <w:rsid w:val="1E5C46C9"/>
    <w:rsid w:val="1E7A43DA"/>
    <w:rsid w:val="1E7E7ACB"/>
    <w:rsid w:val="1E9946ED"/>
    <w:rsid w:val="1EB84699"/>
    <w:rsid w:val="1F2A4C57"/>
    <w:rsid w:val="1F2F1CDE"/>
    <w:rsid w:val="1F744F49"/>
    <w:rsid w:val="1FE7539E"/>
    <w:rsid w:val="1FE95082"/>
    <w:rsid w:val="201340AD"/>
    <w:rsid w:val="20301205"/>
    <w:rsid w:val="2030279D"/>
    <w:rsid w:val="20671BE0"/>
    <w:rsid w:val="20804348"/>
    <w:rsid w:val="20963CB8"/>
    <w:rsid w:val="20A81A1B"/>
    <w:rsid w:val="20AD52D7"/>
    <w:rsid w:val="20B07FB6"/>
    <w:rsid w:val="20B646FB"/>
    <w:rsid w:val="20BC3DF8"/>
    <w:rsid w:val="20F2487C"/>
    <w:rsid w:val="210B2D1E"/>
    <w:rsid w:val="213B74B1"/>
    <w:rsid w:val="215A2310"/>
    <w:rsid w:val="2171202A"/>
    <w:rsid w:val="217B27D2"/>
    <w:rsid w:val="2187450F"/>
    <w:rsid w:val="218D12E5"/>
    <w:rsid w:val="21A6247F"/>
    <w:rsid w:val="21A62DA2"/>
    <w:rsid w:val="21B71FE3"/>
    <w:rsid w:val="21D85543"/>
    <w:rsid w:val="21DE318A"/>
    <w:rsid w:val="21EF5B80"/>
    <w:rsid w:val="21F726B1"/>
    <w:rsid w:val="21FE6B67"/>
    <w:rsid w:val="221243A5"/>
    <w:rsid w:val="22494FF3"/>
    <w:rsid w:val="22576990"/>
    <w:rsid w:val="22785192"/>
    <w:rsid w:val="229B15E4"/>
    <w:rsid w:val="22AB5C10"/>
    <w:rsid w:val="22B55A9A"/>
    <w:rsid w:val="22F47480"/>
    <w:rsid w:val="231E6249"/>
    <w:rsid w:val="232606A5"/>
    <w:rsid w:val="23600908"/>
    <w:rsid w:val="236045D7"/>
    <w:rsid w:val="236B50B0"/>
    <w:rsid w:val="23700D72"/>
    <w:rsid w:val="23890B88"/>
    <w:rsid w:val="23920FF6"/>
    <w:rsid w:val="23DE1C48"/>
    <w:rsid w:val="240210CD"/>
    <w:rsid w:val="242B2542"/>
    <w:rsid w:val="247034BA"/>
    <w:rsid w:val="24BF09F7"/>
    <w:rsid w:val="24C525F3"/>
    <w:rsid w:val="24CF05AA"/>
    <w:rsid w:val="24DB4DF1"/>
    <w:rsid w:val="24FE44FA"/>
    <w:rsid w:val="24FF19F8"/>
    <w:rsid w:val="252D53FE"/>
    <w:rsid w:val="25651337"/>
    <w:rsid w:val="258F19ED"/>
    <w:rsid w:val="2594333C"/>
    <w:rsid w:val="25C0343A"/>
    <w:rsid w:val="25D95C2E"/>
    <w:rsid w:val="25E638C7"/>
    <w:rsid w:val="25EC2D81"/>
    <w:rsid w:val="26696071"/>
    <w:rsid w:val="267D4D78"/>
    <w:rsid w:val="2702639F"/>
    <w:rsid w:val="271C7E64"/>
    <w:rsid w:val="273161A0"/>
    <w:rsid w:val="27447D74"/>
    <w:rsid w:val="276B05DA"/>
    <w:rsid w:val="277057A2"/>
    <w:rsid w:val="277D689D"/>
    <w:rsid w:val="277E7A16"/>
    <w:rsid w:val="27C5217C"/>
    <w:rsid w:val="280210FE"/>
    <w:rsid w:val="28114B4B"/>
    <w:rsid w:val="28275439"/>
    <w:rsid w:val="282E04AF"/>
    <w:rsid w:val="28477B68"/>
    <w:rsid w:val="284866D5"/>
    <w:rsid w:val="284C2D69"/>
    <w:rsid w:val="28562D16"/>
    <w:rsid w:val="28744C5A"/>
    <w:rsid w:val="288A5341"/>
    <w:rsid w:val="28C55917"/>
    <w:rsid w:val="28D45B13"/>
    <w:rsid w:val="28E3622E"/>
    <w:rsid w:val="29206EB8"/>
    <w:rsid w:val="29572195"/>
    <w:rsid w:val="29595666"/>
    <w:rsid w:val="29874881"/>
    <w:rsid w:val="29BF7E82"/>
    <w:rsid w:val="29C72EC6"/>
    <w:rsid w:val="29E325E0"/>
    <w:rsid w:val="2A452503"/>
    <w:rsid w:val="2AAA3748"/>
    <w:rsid w:val="2AAE5E0B"/>
    <w:rsid w:val="2AC43E1B"/>
    <w:rsid w:val="2ACE60D5"/>
    <w:rsid w:val="2AD97F04"/>
    <w:rsid w:val="2AE35C45"/>
    <w:rsid w:val="2AF2761D"/>
    <w:rsid w:val="2AF9250D"/>
    <w:rsid w:val="2BA936A8"/>
    <w:rsid w:val="2BBA3AEB"/>
    <w:rsid w:val="2BC23DE6"/>
    <w:rsid w:val="2C0D65DA"/>
    <w:rsid w:val="2C120F60"/>
    <w:rsid w:val="2C152E22"/>
    <w:rsid w:val="2C315A5A"/>
    <w:rsid w:val="2C456439"/>
    <w:rsid w:val="2C4B1C25"/>
    <w:rsid w:val="2C62095B"/>
    <w:rsid w:val="2C885982"/>
    <w:rsid w:val="2CA00B31"/>
    <w:rsid w:val="2CDF7FCA"/>
    <w:rsid w:val="2CF5247B"/>
    <w:rsid w:val="2D3E379E"/>
    <w:rsid w:val="2D823D83"/>
    <w:rsid w:val="2D9E56F5"/>
    <w:rsid w:val="2DBB28B7"/>
    <w:rsid w:val="2DE07AF6"/>
    <w:rsid w:val="2E3A6022"/>
    <w:rsid w:val="2E667F96"/>
    <w:rsid w:val="2E8226AB"/>
    <w:rsid w:val="2F384362"/>
    <w:rsid w:val="2F5E1510"/>
    <w:rsid w:val="2FD065E6"/>
    <w:rsid w:val="2FD96870"/>
    <w:rsid w:val="2FF430A1"/>
    <w:rsid w:val="3022475A"/>
    <w:rsid w:val="303C1C5F"/>
    <w:rsid w:val="30580BC9"/>
    <w:rsid w:val="30AD5471"/>
    <w:rsid w:val="30FE308A"/>
    <w:rsid w:val="311E2ED7"/>
    <w:rsid w:val="315619EE"/>
    <w:rsid w:val="315C449C"/>
    <w:rsid w:val="31A45BA3"/>
    <w:rsid w:val="31B82709"/>
    <w:rsid w:val="31D05482"/>
    <w:rsid w:val="323D4136"/>
    <w:rsid w:val="32400B34"/>
    <w:rsid w:val="324A33A9"/>
    <w:rsid w:val="328C4452"/>
    <w:rsid w:val="328D35E3"/>
    <w:rsid w:val="329E6876"/>
    <w:rsid w:val="32AA4E09"/>
    <w:rsid w:val="32CD1A93"/>
    <w:rsid w:val="32F463FF"/>
    <w:rsid w:val="33034376"/>
    <w:rsid w:val="332C18B3"/>
    <w:rsid w:val="333015F2"/>
    <w:rsid w:val="334B6320"/>
    <w:rsid w:val="334B66D0"/>
    <w:rsid w:val="33697489"/>
    <w:rsid w:val="33703368"/>
    <w:rsid w:val="33D934D4"/>
    <w:rsid w:val="33E03DD4"/>
    <w:rsid w:val="33FE2F6A"/>
    <w:rsid w:val="340E07E5"/>
    <w:rsid w:val="34235BF7"/>
    <w:rsid w:val="34EB36D8"/>
    <w:rsid w:val="34F04FA0"/>
    <w:rsid w:val="355A05E2"/>
    <w:rsid w:val="355B4C53"/>
    <w:rsid w:val="35736C76"/>
    <w:rsid w:val="357E033A"/>
    <w:rsid w:val="358C5FA8"/>
    <w:rsid w:val="35B91D00"/>
    <w:rsid w:val="35C15DF1"/>
    <w:rsid w:val="35EA1B59"/>
    <w:rsid w:val="35EE6E64"/>
    <w:rsid w:val="36074A7F"/>
    <w:rsid w:val="361F4F51"/>
    <w:rsid w:val="362F47A3"/>
    <w:rsid w:val="36637A16"/>
    <w:rsid w:val="36923549"/>
    <w:rsid w:val="36B75FBF"/>
    <w:rsid w:val="36BD0C45"/>
    <w:rsid w:val="36EE220B"/>
    <w:rsid w:val="37181F3B"/>
    <w:rsid w:val="37457F8D"/>
    <w:rsid w:val="37D86BDA"/>
    <w:rsid w:val="37E00298"/>
    <w:rsid w:val="381F2E88"/>
    <w:rsid w:val="38220ED3"/>
    <w:rsid w:val="388246C2"/>
    <w:rsid w:val="388F214A"/>
    <w:rsid w:val="38B236C9"/>
    <w:rsid w:val="38B302F9"/>
    <w:rsid w:val="38DF5CCA"/>
    <w:rsid w:val="38F12CD3"/>
    <w:rsid w:val="38F94775"/>
    <w:rsid w:val="392971ED"/>
    <w:rsid w:val="39325651"/>
    <w:rsid w:val="39501BFE"/>
    <w:rsid w:val="395C1552"/>
    <w:rsid w:val="39B84FC4"/>
    <w:rsid w:val="39C53E29"/>
    <w:rsid w:val="39D952F3"/>
    <w:rsid w:val="3A1C0270"/>
    <w:rsid w:val="3A4041AB"/>
    <w:rsid w:val="3A872856"/>
    <w:rsid w:val="3A8E6951"/>
    <w:rsid w:val="3A9D66C5"/>
    <w:rsid w:val="3AB53EA9"/>
    <w:rsid w:val="3ACD7139"/>
    <w:rsid w:val="3AE80D43"/>
    <w:rsid w:val="3B0576B6"/>
    <w:rsid w:val="3B156063"/>
    <w:rsid w:val="3B3763D1"/>
    <w:rsid w:val="3BE73686"/>
    <w:rsid w:val="3C2F6E1E"/>
    <w:rsid w:val="3C4F64BA"/>
    <w:rsid w:val="3C5938F5"/>
    <w:rsid w:val="3CDA245A"/>
    <w:rsid w:val="3CE53DCB"/>
    <w:rsid w:val="3CEA24B9"/>
    <w:rsid w:val="3CF31E3D"/>
    <w:rsid w:val="3D031447"/>
    <w:rsid w:val="3D1E06B7"/>
    <w:rsid w:val="3D62469C"/>
    <w:rsid w:val="3D8A5557"/>
    <w:rsid w:val="3DEE48EA"/>
    <w:rsid w:val="3DF47EE4"/>
    <w:rsid w:val="3E1C606B"/>
    <w:rsid w:val="3E69702F"/>
    <w:rsid w:val="3E886FFE"/>
    <w:rsid w:val="3E89169A"/>
    <w:rsid w:val="3EA124EB"/>
    <w:rsid w:val="3EDA0523"/>
    <w:rsid w:val="3F32451E"/>
    <w:rsid w:val="3F907726"/>
    <w:rsid w:val="4032413E"/>
    <w:rsid w:val="403B60B9"/>
    <w:rsid w:val="40636991"/>
    <w:rsid w:val="407133D3"/>
    <w:rsid w:val="407A6329"/>
    <w:rsid w:val="407A6407"/>
    <w:rsid w:val="40AE30EF"/>
    <w:rsid w:val="40BC02BE"/>
    <w:rsid w:val="40BF4F59"/>
    <w:rsid w:val="40EA1F17"/>
    <w:rsid w:val="414A4DBE"/>
    <w:rsid w:val="41707D47"/>
    <w:rsid w:val="419D432E"/>
    <w:rsid w:val="41A77661"/>
    <w:rsid w:val="41CA7960"/>
    <w:rsid w:val="41CF56E2"/>
    <w:rsid w:val="4200449D"/>
    <w:rsid w:val="42254FB3"/>
    <w:rsid w:val="423A3BCC"/>
    <w:rsid w:val="424A1F26"/>
    <w:rsid w:val="424E57D2"/>
    <w:rsid w:val="42A639F1"/>
    <w:rsid w:val="42A93777"/>
    <w:rsid w:val="42B26C49"/>
    <w:rsid w:val="43011463"/>
    <w:rsid w:val="430F1BEF"/>
    <w:rsid w:val="43377419"/>
    <w:rsid w:val="433A6FE6"/>
    <w:rsid w:val="43480868"/>
    <w:rsid w:val="4350713C"/>
    <w:rsid w:val="436653E0"/>
    <w:rsid w:val="436D1DC9"/>
    <w:rsid w:val="439858F9"/>
    <w:rsid w:val="43C4431A"/>
    <w:rsid w:val="43F4048C"/>
    <w:rsid w:val="44386F6D"/>
    <w:rsid w:val="443B020D"/>
    <w:rsid w:val="44A62960"/>
    <w:rsid w:val="44AD2FD5"/>
    <w:rsid w:val="44B951CC"/>
    <w:rsid w:val="44CD14E0"/>
    <w:rsid w:val="44D4251A"/>
    <w:rsid w:val="44D823A5"/>
    <w:rsid w:val="44E316D9"/>
    <w:rsid w:val="44EE5D4E"/>
    <w:rsid w:val="44F20B0B"/>
    <w:rsid w:val="44F27707"/>
    <w:rsid w:val="452764C6"/>
    <w:rsid w:val="452E5F4C"/>
    <w:rsid w:val="45612018"/>
    <w:rsid w:val="45796908"/>
    <w:rsid w:val="45892831"/>
    <w:rsid w:val="458946E9"/>
    <w:rsid w:val="45A47C0E"/>
    <w:rsid w:val="45B0307D"/>
    <w:rsid w:val="45C9287E"/>
    <w:rsid w:val="460F78F6"/>
    <w:rsid w:val="46577FD6"/>
    <w:rsid w:val="467A4F1B"/>
    <w:rsid w:val="46B21C2E"/>
    <w:rsid w:val="46D955A7"/>
    <w:rsid w:val="46DF6106"/>
    <w:rsid w:val="46F04A35"/>
    <w:rsid w:val="47133957"/>
    <w:rsid w:val="4743089E"/>
    <w:rsid w:val="4764399F"/>
    <w:rsid w:val="47667494"/>
    <w:rsid w:val="476A6321"/>
    <w:rsid w:val="477074B7"/>
    <w:rsid w:val="4785195A"/>
    <w:rsid w:val="478A1785"/>
    <w:rsid w:val="47A07E0C"/>
    <w:rsid w:val="47BF6D06"/>
    <w:rsid w:val="480E3A52"/>
    <w:rsid w:val="4814607F"/>
    <w:rsid w:val="484A4A39"/>
    <w:rsid w:val="484C77F7"/>
    <w:rsid w:val="48572661"/>
    <w:rsid w:val="4870272E"/>
    <w:rsid w:val="488D63CF"/>
    <w:rsid w:val="48BD54A3"/>
    <w:rsid w:val="48D665B1"/>
    <w:rsid w:val="495F6976"/>
    <w:rsid w:val="499F1E51"/>
    <w:rsid w:val="49DC7715"/>
    <w:rsid w:val="4A023139"/>
    <w:rsid w:val="4A1452E8"/>
    <w:rsid w:val="4A3F3BEF"/>
    <w:rsid w:val="4A7B576F"/>
    <w:rsid w:val="4A873D23"/>
    <w:rsid w:val="4A9323C3"/>
    <w:rsid w:val="4AA12859"/>
    <w:rsid w:val="4AB27B9F"/>
    <w:rsid w:val="4AB41401"/>
    <w:rsid w:val="4AF561A9"/>
    <w:rsid w:val="4AFF3F0C"/>
    <w:rsid w:val="4AFF6311"/>
    <w:rsid w:val="4B011AFE"/>
    <w:rsid w:val="4B4919D9"/>
    <w:rsid w:val="4B4C1780"/>
    <w:rsid w:val="4B4F545C"/>
    <w:rsid w:val="4B5D14B8"/>
    <w:rsid w:val="4BAF63DD"/>
    <w:rsid w:val="4C232806"/>
    <w:rsid w:val="4C397865"/>
    <w:rsid w:val="4C4A0649"/>
    <w:rsid w:val="4C5D688E"/>
    <w:rsid w:val="4C754796"/>
    <w:rsid w:val="4C7C5BCF"/>
    <w:rsid w:val="4C7E5ECA"/>
    <w:rsid w:val="4C85233E"/>
    <w:rsid w:val="4C876AA5"/>
    <w:rsid w:val="4CE310F2"/>
    <w:rsid w:val="4D0E00FB"/>
    <w:rsid w:val="4D176606"/>
    <w:rsid w:val="4D547A61"/>
    <w:rsid w:val="4D896C76"/>
    <w:rsid w:val="4DEC4FB0"/>
    <w:rsid w:val="4E075D8A"/>
    <w:rsid w:val="4E10624E"/>
    <w:rsid w:val="4E196D0D"/>
    <w:rsid w:val="4E1A1C05"/>
    <w:rsid w:val="4E310B63"/>
    <w:rsid w:val="4E5A2027"/>
    <w:rsid w:val="4E6C5A1E"/>
    <w:rsid w:val="4EC00FAD"/>
    <w:rsid w:val="4EC64B5A"/>
    <w:rsid w:val="4F346C9E"/>
    <w:rsid w:val="4F7A1909"/>
    <w:rsid w:val="4F894C8C"/>
    <w:rsid w:val="4F9843DC"/>
    <w:rsid w:val="4F993BE5"/>
    <w:rsid w:val="4FC62A8C"/>
    <w:rsid w:val="4FE20F0D"/>
    <w:rsid w:val="4FE51552"/>
    <w:rsid w:val="4FED6AF0"/>
    <w:rsid w:val="4FF87C75"/>
    <w:rsid w:val="4FFD18FB"/>
    <w:rsid w:val="50355819"/>
    <w:rsid w:val="50504C4B"/>
    <w:rsid w:val="505608DB"/>
    <w:rsid w:val="509C6E7C"/>
    <w:rsid w:val="50A124DF"/>
    <w:rsid w:val="50C4393B"/>
    <w:rsid w:val="50F056C7"/>
    <w:rsid w:val="51054FBD"/>
    <w:rsid w:val="51080090"/>
    <w:rsid w:val="51151591"/>
    <w:rsid w:val="5162104E"/>
    <w:rsid w:val="51655D2D"/>
    <w:rsid w:val="517E2526"/>
    <w:rsid w:val="51897C31"/>
    <w:rsid w:val="51B126F1"/>
    <w:rsid w:val="527D16C5"/>
    <w:rsid w:val="527F3497"/>
    <w:rsid w:val="527F6963"/>
    <w:rsid w:val="52B54061"/>
    <w:rsid w:val="53331D89"/>
    <w:rsid w:val="535E06C6"/>
    <w:rsid w:val="536A7D05"/>
    <w:rsid w:val="538C05FC"/>
    <w:rsid w:val="53901E9A"/>
    <w:rsid w:val="539D20A3"/>
    <w:rsid w:val="53A039CC"/>
    <w:rsid w:val="53A1505A"/>
    <w:rsid w:val="53BD7912"/>
    <w:rsid w:val="53F14935"/>
    <w:rsid w:val="54063E08"/>
    <w:rsid w:val="54107E5D"/>
    <w:rsid w:val="541E0085"/>
    <w:rsid w:val="542A6709"/>
    <w:rsid w:val="543437E8"/>
    <w:rsid w:val="54352AC1"/>
    <w:rsid w:val="54C8169F"/>
    <w:rsid w:val="54EA4272"/>
    <w:rsid w:val="54F73313"/>
    <w:rsid w:val="54F80955"/>
    <w:rsid w:val="55202344"/>
    <w:rsid w:val="554B6139"/>
    <w:rsid w:val="555170A7"/>
    <w:rsid w:val="5587536D"/>
    <w:rsid w:val="55977CE7"/>
    <w:rsid w:val="559B174B"/>
    <w:rsid w:val="55CE0CF4"/>
    <w:rsid w:val="55D84BEF"/>
    <w:rsid w:val="55D933BA"/>
    <w:rsid w:val="56114F1D"/>
    <w:rsid w:val="562331DA"/>
    <w:rsid w:val="56272368"/>
    <w:rsid w:val="562A18C2"/>
    <w:rsid w:val="563B6A15"/>
    <w:rsid w:val="56A67F87"/>
    <w:rsid w:val="56B22A9C"/>
    <w:rsid w:val="57193C9E"/>
    <w:rsid w:val="5722681B"/>
    <w:rsid w:val="57446DAD"/>
    <w:rsid w:val="574E7EC8"/>
    <w:rsid w:val="576E67CA"/>
    <w:rsid w:val="579F5077"/>
    <w:rsid w:val="57B72A76"/>
    <w:rsid w:val="57B74104"/>
    <w:rsid w:val="57C3426C"/>
    <w:rsid w:val="57CE1F93"/>
    <w:rsid w:val="58355B3C"/>
    <w:rsid w:val="58630B68"/>
    <w:rsid w:val="58750E05"/>
    <w:rsid w:val="588743D1"/>
    <w:rsid w:val="5887701A"/>
    <w:rsid w:val="58AD40D3"/>
    <w:rsid w:val="58B137D1"/>
    <w:rsid w:val="58B56CD8"/>
    <w:rsid w:val="58F52D3B"/>
    <w:rsid w:val="591B5098"/>
    <w:rsid w:val="5931079B"/>
    <w:rsid w:val="59694F6E"/>
    <w:rsid w:val="59856067"/>
    <w:rsid w:val="59BD44E4"/>
    <w:rsid w:val="59C0439F"/>
    <w:rsid w:val="59CE7261"/>
    <w:rsid w:val="59E430D2"/>
    <w:rsid w:val="5A2D1926"/>
    <w:rsid w:val="5A6B702F"/>
    <w:rsid w:val="5A753CCA"/>
    <w:rsid w:val="5ABE2233"/>
    <w:rsid w:val="5B0913DA"/>
    <w:rsid w:val="5B117127"/>
    <w:rsid w:val="5B1A3CB1"/>
    <w:rsid w:val="5B1B684C"/>
    <w:rsid w:val="5B89775C"/>
    <w:rsid w:val="5B9B06A7"/>
    <w:rsid w:val="5B9B09B4"/>
    <w:rsid w:val="5BAB63CF"/>
    <w:rsid w:val="5BB44616"/>
    <w:rsid w:val="5BDF5D95"/>
    <w:rsid w:val="5BFE7528"/>
    <w:rsid w:val="5C0607E2"/>
    <w:rsid w:val="5C2D3ED0"/>
    <w:rsid w:val="5C4F79BE"/>
    <w:rsid w:val="5C6C3ECD"/>
    <w:rsid w:val="5CA01B70"/>
    <w:rsid w:val="5CB43DD7"/>
    <w:rsid w:val="5CED3EA2"/>
    <w:rsid w:val="5CF96C0B"/>
    <w:rsid w:val="5D1F031D"/>
    <w:rsid w:val="5D5822A5"/>
    <w:rsid w:val="5D5F2696"/>
    <w:rsid w:val="5DA4378F"/>
    <w:rsid w:val="5DAD6E5B"/>
    <w:rsid w:val="5DBA3AB1"/>
    <w:rsid w:val="5DCD5826"/>
    <w:rsid w:val="5E2467F1"/>
    <w:rsid w:val="5E4360BC"/>
    <w:rsid w:val="5ED926B1"/>
    <w:rsid w:val="5F1A2B43"/>
    <w:rsid w:val="5F5D3118"/>
    <w:rsid w:val="5F6048C4"/>
    <w:rsid w:val="5F6C0D4F"/>
    <w:rsid w:val="5FB837BB"/>
    <w:rsid w:val="5FFA1C33"/>
    <w:rsid w:val="602705BE"/>
    <w:rsid w:val="60311107"/>
    <w:rsid w:val="60460A81"/>
    <w:rsid w:val="60C2035E"/>
    <w:rsid w:val="60CC405A"/>
    <w:rsid w:val="612B67C4"/>
    <w:rsid w:val="61387A9B"/>
    <w:rsid w:val="61455554"/>
    <w:rsid w:val="615D5E85"/>
    <w:rsid w:val="616D1DE5"/>
    <w:rsid w:val="61C16D0B"/>
    <w:rsid w:val="61E215D8"/>
    <w:rsid w:val="620D65F4"/>
    <w:rsid w:val="620E0BEC"/>
    <w:rsid w:val="621B3775"/>
    <w:rsid w:val="62233ED9"/>
    <w:rsid w:val="62364782"/>
    <w:rsid w:val="625260F1"/>
    <w:rsid w:val="6293285A"/>
    <w:rsid w:val="62A50CBD"/>
    <w:rsid w:val="62A77652"/>
    <w:rsid w:val="62EC6E00"/>
    <w:rsid w:val="633920F2"/>
    <w:rsid w:val="63633DE9"/>
    <w:rsid w:val="6394356A"/>
    <w:rsid w:val="63A95070"/>
    <w:rsid w:val="63C61B2C"/>
    <w:rsid w:val="63D40BE9"/>
    <w:rsid w:val="64102431"/>
    <w:rsid w:val="64175282"/>
    <w:rsid w:val="641E6E09"/>
    <w:rsid w:val="64501433"/>
    <w:rsid w:val="648D669A"/>
    <w:rsid w:val="649779E7"/>
    <w:rsid w:val="64A5243A"/>
    <w:rsid w:val="64F531DE"/>
    <w:rsid w:val="64F53E7D"/>
    <w:rsid w:val="652A3C12"/>
    <w:rsid w:val="65373578"/>
    <w:rsid w:val="65846BD5"/>
    <w:rsid w:val="65BC41EB"/>
    <w:rsid w:val="65F73F52"/>
    <w:rsid w:val="6603632F"/>
    <w:rsid w:val="66074973"/>
    <w:rsid w:val="66652ED8"/>
    <w:rsid w:val="66735589"/>
    <w:rsid w:val="667B0920"/>
    <w:rsid w:val="669D00E5"/>
    <w:rsid w:val="669F1A3F"/>
    <w:rsid w:val="66A5150B"/>
    <w:rsid w:val="66DD79B2"/>
    <w:rsid w:val="66EF100D"/>
    <w:rsid w:val="66F443E8"/>
    <w:rsid w:val="670E6A2F"/>
    <w:rsid w:val="670F0822"/>
    <w:rsid w:val="671F124A"/>
    <w:rsid w:val="67483879"/>
    <w:rsid w:val="677A33C6"/>
    <w:rsid w:val="67B01941"/>
    <w:rsid w:val="67BD2D0C"/>
    <w:rsid w:val="67DA0FC4"/>
    <w:rsid w:val="67F8635C"/>
    <w:rsid w:val="67FF6323"/>
    <w:rsid w:val="68040DA4"/>
    <w:rsid w:val="681F6961"/>
    <w:rsid w:val="6825333F"/>
    <w:rsid w:val="684311D7"/>
    <w:rsid w:val="68610A2F"/>
    <w:rsid w:val="687002AB"/>
    <w:rsid w:val="68805514"/>
    <w:rsid w:val="68C41D96"/>
    <w:rsid w:val="68E50B40"/>
    <w:rsid w:val="68F82459"/>
    <w:rsid w:val="69316E2F"/>
    <w:rsid w:val="694E2071"/>
    <w:rsid w:val="69766163"/>
    <w:rsid w:val="697A3B33"/>
    <w:rsid w:val="697F6816"/>
    <w:rsid w:val="69D44760"/>
    <w:rsid w:val="69E63468"/>
    <w:rsid w:val="6A17556E"/>
    <w:rsid w:val="6A1E4C1B"/>
    <w:rsid w:val="6A520EC7"/>
    <w:rsid w:val="6A785C48"/>
    <w:rsid w:val="6A822C5D"/>
    <w:rsid w:val="6A8350EB"/>
    <w:rsid w:val="6ADF2E10"/>
    <w:rsid w:val="6AF36CE3"/>
    <w:rsid w:val="6AF87E20"/>
    <w:rsid w:val="6AFE5CF0"/>
    <w:rsid w:val="6B182569"/>
    <w:rsid w:val="6B1D578F"/>
    <w:rsid w:val="6B322639"/>
    <w:rsid w:val="6B3E4238"/>
    <w:rsid w:val="6B44752C"/>
    <w:rsid w:val="6B553B12"/>
    <w:rsid w:val="6B630614"/>
    <w:rsid w:val="6B7B6D9B"/>
    <w:rsid w:val="6B9B35C9"/>
    <w:rsid w:val="6B9E780A"/>
    <w:rsid w:val="6BE14B35"/>
    <w:rsid w:val="6BED4A66"/>
    <w:rsid w:val="6BF37CAE"/>
    <w:rsid w:val="6BF5575A"/>
    <w:rsid w:val="6C0D733B"/>
    <w:rsid w:val="6C2F1B14"/>
    <w:rsid w:val="6C302162"/>
    <w:rsid w:val="6C636C38"/>
    <w:rsid w:val="6CB70C54"/>
    <w:rsid w:val="6CC74298"/>
    <w:rsid w:val="6CCB7EA9"/>
    <w:rsid w:val="6CDA3020"/>
    <w:rsid w:val="6CE02047"/>
    <w:rsid w:val="6CED6CF2"/>
    <w:rsid w:val="6CF16E49"/>
    <w:rsid w:val="6D490ED9"/>
    <w:rsid w:val="6D5B0D1C"/>
    <w:rsid w:val="6DB34098"/>
    <w:rsid w:val="6DB545B6"/>
    <w:rsid w:val="6DE02FB4"/>
    <w:rsid w:val="6E117757"/>
    <w:rsid w:val="6E1D7510"/>
    <w:rsid w:val="6E2B791C"/>
    <w:rsid w:val="6E38432D"/>
    <w:rsid w:val="6E514CED"/>
    <w:rsid w:val="6E6E62CE"/>
    <w:rsid w:val="6EA164AD"/>
    <w:rsid w:val="6EB563D5"/>
    <w:rsid w:val="6EB86AB0"/>
    <w:rsid w:val="6ECB3AAA"/>
    <w:rsid w:val="6ED92677"/>
    <w:rsid w:val="6F0809AD"/>
    <w:rsid w:val="6F204387"/>
    <w:rsid w:val="6F225983"/>
    <w:rsid w:val="6F225BCC"/>
    <w:rsid w:val="6F2748C1"/>
    <w:rsid w:val="6F8B1155"/>
    <w:rsid w:val="6FB712AF"/>
    <w:rsid w:val="6FBD3BBF"/>
    <w:rsid w:val="6FC57980"/>
    <w:rsid w:val="6FD77669"/>
    <w:rsid w:val="6FE95D22"/>
    <w:rsid w:val="6FFC5590"/>
    <w:rsid w:val="704804ED"/>
    <w:rsid w:val="706D1DD0"/>
    <w:rsid w:val="708055F5"/>
    <w:rsid w:val="70856B87"/>
    <w:rsid w:val="70D527EE"/>
    <w:rsid w:val="70D76262"/>
    <w:rsid w:val="70E17847"/>
    <w:rsid w:val="70F8360B"/>
    <w:rsid w:val="711B1096"/>
    <w:rsid w:val="711D1403"/>
    <w:rsid w:val="715B5300"/>
    <w:rsid w:val="71702B61"/>
    <w:rsid w:val="71871D85"/>
    <w:rsid w:val="71A23AA9"/>
    <w:rsid w:val="71A6174A"/>
    <w:rsid w:val="71A97262"/>
    <w:rsid w:val="71D27F8A"/>
    <w:rsid w:val="71D40BD2"/>
    <w:rsid w:val="72553024"/>
    <w:rsid w:val="725F77F4"/>
    <w:rsid w:val="728B234D"/>
    <w:rsid w:val="729C2192"/>
    <w:rsid w:val="729D5625"/>
    <w:rsid w:val="72B16FF1"/>
    <w:rsid w:val="73122968"/>
    <w:rsid w:val="731A1881"/>
    <w:rsid w:val="731F5D5E"/>
    <w:rsid w:val="735C6288"/>
    <w:rsid w:val="73952549"/>
    <w:rsid w:val="73A90E3E"/>
    <w:rsid w:val="73C410B8"/>
    <w:rsid w:val="73C51AD5"/>
    <w:rsid w:val="73E51E24"/>
    <w:rsid w:val="741E793C"/>
    <w:rsid w:val="74280F13"/>
    <w:rsid w:val="743B25F1"/>
    <w:rsid w:val="743B73C3"/>
    <w:rsid w:val="7443464E"/>
    <w:rsid w:val="745E3944"/>
    <w:rsid w:val="74E64FB6"/>
    <w:rsid w:val="75873AAA"/>
    <w:rsid w:val="75DE2703"/>
    <w:rsid w:val="75E03510"/>
    <w:rsid w:val="760953E4"/>
    <w:rsid w:val="7635099D"/>
    <w:rsid w:val="765F6319"/>
    <w:rsid w:val="76811EDF"/>
    <w:rsid w:val="769636F2"/>
    <w:rsid w:val="76993F54"/>
    <w:rsid w:val="76B86882"/>
    <w:rsid w:val="76C82905"/>
    <w:rsid w:val="76DC6DBA"/>
    <w:rsid w:val="76DE4659"/>
    <w:rsid w:val="77762421"/>
    <w:rsid w:val="77833FE0"/>
    <w:rsid w:val="77B56B1F"/>
    <w:rsid w:val="77F5327A"/>
    <w:rsid w:val="77F913DE"/>
    <w:rsid w:val="77FF7427"/>
    <w:rsid w:val="78083F86"/>
    <w:rsid w:val="780E7B90"/>
    <w:rsid w:val="780F09F4"/>
    <w:rsid w:val="780F1D8C"/>
    <w:rsid w:val="783B1B25"/>
    <w:rsid w:val="785E4BDC"/>
    <w:rsid w:val="787A6483"/>
    <w:rsid w:val="789336F8"/>
    <w:rsid w:val="78A90480"/>
    <w:rsid w:val="78AC2A23"/>
    <w:rsid w:val="78D5065B"/>
    <w:rsid w:val="794959B2"/>
    <w:rsid w:val="79F125C5"/>
    <w:rsid w:val="7A364017"/>
    <w:rsid w:val="7A601671"/>
    <w:rsid w:val="7A8265E1"/>
    <w:rsid w:val="7AB12745"/>
    <w:rsid w:val="7AD641FA"/>
    <w:rsid w:val="7ADB173A"/>
    <w:rsid w:val="7ADE2EF1"/>
    <w:rsid w:val="7AF108B6"/>
    <w:rsid w:val="7AF26851"/>
    <w:rsid w:val="7AFB6E00"/>
    <w:rsid w:val="7B575A97"/>
    <w:rsid w:val="7B686D42"/>
    <w:rsid w:val="7B841746"/>
    <w:rsid w:val="7C06353E"/>
    <w:rsid w:val="7C44444D"/>
    <w:rsid w:val="7C610AAD"/>
    <w:rsid w:val="7C684E66"/>
    <w:rsid w:val="7C694787"/>
    <w:rsid w:val="7C6C5AC7"/>
    <w:rsid w:val="7C741852"/>
    <w:rsid w:val="7C86358B"/>
    <w:rsid w:val="7CAA222C"/>
    <w:rsid w:val="7CC6544B"/>
    <w:rsid w:val="7CED7CBD"/>
    <w:rsid w:val="7D0239FF"/>
    <w:rsid w:val="7D0F3580"/>
    <w:rsid w:val="7D472D33"/>
    <w:rsid w:val="7D5E40CD"/>
    <w:rsid w:val="7DBE72ED"/>
    <w:rsid w:val="7DCD56F2"/>
    <w:rsid w:val="7DDD6C4A"/>
    <w:rsid w:val="7E0B6193"/>
    <w:rsid w:val="7E3868F1"/>
    <w:rsid w:val="7E402F74"/>
    <w:rsid w:val="7E4542BE"/>
    <w:rsid w:val="7E711635"/>
    <w:rsid w:val="7E797ED1"/>
    <w:rsid w:val="7EE81351"/>
    <w:rsid w:val="7F001CE7"/>
    <w:rsid w:val="7F2A6E09"/>
    <w:rsid w:val="7F2D232C"/>
    <w:rsid w:val="7F8073E3"/>
    <w:rsid w:val="7F831404"/>
    <w:rsid w:val="7F986258"/>
    <w:rsid w:val="7FD06A75"/>
    <w:rsid w:val="7FE224A5"/>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8"/>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6"/>
    <w:next w:val="1"/>
    <w:qFormat/>
    <w:locked/>
    <w:uiPriority w:val="0"/>
    <w:pPr>
      <w:keepNext/>
      <w:keepLines/>
      <w:spacing w:line="416" w:lineRule="auto"/>
      <w:outlineLvl w:val="1"/>
    </w:pPr>
    <w:rPr>
      <w:rFonts w:ascii="Arial" w:hAnsi="Arial"/>
      <w:b/>
      <w:bCs/>
      <w:sz w:val="32"/>
      <w:szCs w:val="32"/>
    </w:rPr>
  </w:style>
  <w:style w:type="paragraph" w:styleId="7">
    <w:name w:val="heading 4"/>
    <w:basedOn w:val="1"/>
    <w:next w:val="1"/>
    <w:link w:val="75"/>
    <w:autoRedefine/>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autoRedefine/>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autoRedefine/>
    <w:qFormat/>
    <w:locked/>
    <w:uiPriority w:val="0"/>
    <w:pPr>
      <w:spacing w:line="360" w:lineRule="auto"/>
      <w:ind w:firstLine="420" w:firstLineChars="200"/>
    </w:pPr>
  </w:style>
  <w:style w:type="paragraph" w:styleId="3">
    <w:name w:val="Body Text Indent"/>
    <w:basedOn w:val="1"/>
    <w:next w:val="2"/>
    <w:link w:val="32"/>
    <w:qFormat/>
    <w:uiPriority w:val="0"/>
    <w:pPr>
      <w:spacing w:after="120"/>
      <w:ind w:left="420" w:leftChars="200"/>
    </w:pPr>
    <w:rPr>
      <w:kern w:val="0"/>
      <w:sz w:val="24"/>
      <w:szCs w:val="20"/>
    </w:rPr>
  </w:style>
  <w:style w:type="paragraph" w:customStyle="1" w:styleId="6">
    <w:name w:val="一级条标题"/>
    <w:next w:val="1"/>
    <w:autoRedefine/>
    <w:qFormat/>
    <w:uiPriority w:val="0"/>
    <w:pPr>
      <w:outlineLvl w:val="2"/>
    </w:pPr>
    <w:rPr>
      <w:rFonts w:ascii="Times New Roman" w:hAnsi="Times New Roman" w:eastAsia="黑体" w:cs="Times New Roman"/>
      <w:sz w:val="21"/>
      <w:lang w:val="en-US" w:eastAsia="zh-CN" w:bidi="ar-SA"/>
    </w:rPr>
  </w:style>
  <w:style w:type="paragraph" w:styleId="8">
    <w:name w:val="Normal Indent"/>
    <w:basedOn w:val="1"/>
    <w:autoRedefine/>
    <w:unhideWhenUsed/>
    <w:qFormat/>
    <w:locked/>
    <w:uiPriority w:val="0"/>
    <w:pPr>
      <w:widowControl/>
      <w:ind w:firstLine="420"/>
      <w:jc w:val="left"/>
    </w:pPr>
    <w:rPr>
      <w:kern w:val="0"/>
      <w:sz w:val="20"/>
      <w:szCs w:val="20"/>
    </w:rPr>
  </w:style>
  <w:style w:type="paragraph" w:styleId="9">
    <w:name w:val="caption"/>
    <w:basedOn w:val="1"/>
    <w:next w:val="10"/>
    <w:autoRedefine/>
    <w:qFormat/>
    <w:locked/>
    <w:uiPriority w:val="0"/>
    <w:rPr>
      <w:rFonts w:ascii="Calibri Light" w:hAnsi="Calibri Light" w:eastAsia="黑体"/>
      <w:sz w:val="20"/>
      <w:szCs w:val="20"/>
    </w:rPr>
  </w:style>
  <w:style w:type="paragraph" w:styleId="10">
    <w:name w:val="Body Text First Indent"/>
    <w:basedOn w:val="11"/>
    <w:next w:val="1"/>
    <w:autoRedefine/>
    <w:qFormat/>
    <w:locked/>
    <w:uiPriority w:val="0"/>
    <w:pPr>
      <w:ind w:firstLine="420" w:firstLineChars="100"/>
    </w:pPr>
  </w:style>
  <w:style w:type="paragraph" w:styleId="11">
    <w:name w:val="Body Text"/>
    <w:basedOn w:val="1"/>
    <w:next w:val="1"/>
    <w:link w:val="33"/>
    <w:autoRedefine/>
    <w:qFormat/>
    <w:uiPriority w:val="0"/>
    <w:pPr>
      <w:widowControl/>
      <w:snapToGrid w:val="0"/>
      <w:spacing w:before="60" w:after="160" w:line="259" w:lineRule="auto"/>
      <w:ind w:right="113"/>
    </w:pPr>
    <w:rPr>
      <w:kern w:val="0"/>
      <w:sz w:val="18"/>
      <w:szCs w:val="20"/>
    </w:rPr>
  </w:style>
  <w:style w:type="paragraph" w:styleId="12">
    <w:name w:val="annotation text"/>
    <w:basedOn w:val="1"/>
    <w:link w:val="34"/>
    <w:autoRedefine/>
    <w:semiHidden/>
    <w:qFormat/>
    <w:uiPriority w:val="0"/>
    <w:pPr>
      <w:jc w:val="left"/>
    </w:pPr>
    <w:rPr>
      <w:kern w:val="0"/>
      <w:sz w:val="24"/>
      <w:szCs w:val="20"/>
    </w:rPr>
  </w:style>
  <w:style w:type="paragraph" w:styleId="13">
    <w:name w:val="Plain Text"/>
    <w:basedOn w:val="1"/>
    <w:next w:val="14"/>
    <w:autoRedefine/>
    <w:qFormat/>
    <w:locked/>
    <w:uiPriority w:val="0"/>
    <w:rPr>
      <w:rFonts w:ascii="宋体" w:hAnsi="Courier New"/>
    </w:rPr>
  </w:style>
  <w:style w:type="paragraph" w:customStyle="1" w:styleId="14">
    <w:name w:val="正本"/>
    <w:basedOn w:val="1"/>
    <w:autoRedefine/>
    <w:qFormat/>
    <w:uiPriority w:val="0"/>
    <w:pPr>
      <w:adjustRightInd w:val="0"/>
      <w:snapToGrid w:val="0"/>
      <w:spacing w:line="360" w:lineRule="auto"/>
      <w:ind w:firstLine="200" w:firstLineChars="200"/>
    </w:pPr>
    <w:rPr>
      <w:rFonts w:ascii="宋体"/>
      <w:sz w:val="24"/>
    </w:rPr>
  </w:style>
  <w:style w:type="paragraph" w:styleId="15">
    <w:name w:val="Date"/>
    <w:basedOn w:val="1"/>
    <w:next w:val="1"/>
    <w:link w:val="35"/>
    <w:autoRedefine/>
    <w:qFormat/>
    <w:uiPriority w:val="0"/>
    <w:pPr>
      <w:ind w:left="100" w:leftChars="2500"/>
    </w:pPr>
    <w:rPr>
      <w:kern w:val="0"/>
      <w:sz w:val="24"/>
      <w:szCs w:val="20"/>
    </w:rPr>
  </w:style>
  <w:style w:type="paragraph" w:styleId="16">
    <w:name w:val="Balloon Text"/>
    <w:basedOn w:val="1"/>
    <w:link w:val="36"/>
    <w:autoRedefine/>
    <w:semiHidden/>
    <w:qFormat/>
    <w:uiPriority w:val="0"/>
    <w:rPr>
      <w:kern w:val="0"/>
      <w:sz w:val="18"/>
      <w:szCs w:val="20"/>
    </w:rPr>
  </w:style>
  <w:style w:type="paragraph" w:styleId="17">
    <w:name w:val="footer"/>
    <w:basedOn w:val="1"/>
    <w:link w:val="37"/>
    <w:autoRedefine/>
    <w:qFormat/>
    <w:uiPriority w:val="99"/>
    <w:pPr>
      <w:tabs>
        <w:tab w:val="center" w:pos="4153"/>
        <w:tab w:val="right" w:pos="8306"/>
      </w:tabs>
      <w:snapToGrid w:val="0"/>
      <w:jc w:val="left"/>
    </w:pPr>
    <w:rPr>
      <w:kern w:val="0"/>
      <w:sz w:val="18"/>
      <w:szCs w:val="20"/>
    </w:rPr>
  </w:style>
  <w:style w:type="paragraph" w:styleId="18">
    <w:name w:val="header"/>
    <w:basedOn w:val="1"/>
    <w:next w:val="1"/>
    <w:link w:val="38"/>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9">
    <w:name w:val="List"/>
    <w:basedOn w:val="1"/>
    <w:next w:val="1"/>
    <w:autoRedefine/>
    <w:qFormat/>
    <w:locked/>
    <w:uiPriority w:val="0"/>
    <w:pPr>
      <w:ind w:left="200" w:hanging="200" w:hangingChars="200"/>
    </w:pPr>
  </w:style>
  <w:style w:type="paragraph" w:styleId="20">
    <w:name w:val="table of figures"/>
    <w:basedOn w:val="1"/>
    <w:next w:val="1"/>
    <w:autoRedefine/>
    <w:qFormat/>
    <w:locked/>
    <w:uiPriority w:val="0"/>
    <w:pPr>
      <w:ind w:left="1920" w:leftChars="200"/>
      <w:jc w:val="center"/>
    </w:pPr>
    <w:rPr>
      <w:b/>
      <w:kern w:val="0"/>
      <w:szCs w:val="20"/>
    </w:rPr>
  </w:style>
  <w:style w:type="paragraph" w:styleId="21">
    <w:name w:val="Body Text 2"/>
    <w:basedOn w:val="1"/>
    <w:autoRedefine/>
    <w:qFormat/>
    <w:locked/>
    <w:uiPriority w:val="0"/>
    <w:pPr>
      <w:spacing w:after="120" w:line="480" w:lineRule="auto"/>
    </w:pPr>
  </w:style>
  <w:style w:type="paragraph" w:styleId="22">
    <w:name w:val="Normal (Web)"/>
    <w:basedOn w:val="1"/>
    <w:link w:val="39"/>
    <w:autoRedefine/>
    <w:qFormat/>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12"/>
    <w:next w:val="12"/>
    <w:link w:val="40"/>
    <w:autoRedefine/>
    <w:semiHidden/>
    <w:qFormat/>
    <w:uiPriority w:val="0"/>
    <w:rPr>
      <w:b/>
      <w:kern w:val="2"/>
    </w:r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autoRedefine/>
    <w:qFormat/>
    <w:locked/>
    <w:uiPriority w:val="0"/>
  </w:style>
  <w:style w:type="character" w:styleId="28">
    <w:name w:val="Hyperlink"/>
    <w:basedOn w:val="26"/>
    <w:autoRedefine/>
    <w:unhideWhenUsed/>
    <w:qFormat/>
    <w:locked/>
    <w:uiPriority w:val="99"/>
    <w:rPr>
      <w:color w:val="0000FF"/>
      <w:u w:val="single"/>
    </w:rPr>
  </w:style>
  <w:style w:type="character" w:styleId="29">
    <w:name w:val="annotation reference"/>
    <w:autoRedefine/>
    <w:semiHidden/>
    <w:qFormat/>
    <w:uiPriority w:val="0"/>
    <w:rPr>
      <w:sz w:val="21"/>
    </w:rPr>
  </w:style>
  <w:style w:type="paragraph" w:customStyle="1" w:styleId="30">
    <w:name w:val="Default"/>
    <w:basedOn w:val="31"/>
    <w:next w:val="1"/>
    <w:link w:val="69"/>
    <w:autoRedefine/>
    <w:qFormat/>
    <w:uiPriority w:val="0"/>
    <w:pPr>
      <w:autoSpaceDE w:val="0"/>
      <w:autoSpaceDN w:val="0"/>
      <w:spacing w:line="360" w:lineRule="atLeast"/>
      <w:textAlignment w:val="baseline"/>
    </w:pPr>
    <w:rPr>
      <w:rFonts w:hAnsi="Times New Roman" w:cs="宋体"/>
      <w:color w:val="000000"/>
      <w:sz w:val="24"/>
      <w:szCs w:val="24"/>
    </w:rPr>
  </w:style>
  <w:style w:type="paragraph" w:customStyle="1" w:styleId="31">
    <w:name w:val="纯文本1"/>
    <w:basedOn w:val="1"/>
    <w:autoRedefine/>
    <w:qFormat/>
    <w:uiPriority w:val="0"/>
    <w:pPr>
      <w:adjustRightInd w:val="0"/>
    </w:pPr>
    <w:rPr>
      <w:rFonts w:ascii="宋体" w:hAnsi="Courier New"/>
      <w:szCs w:val="20"/>
    </w:rPr>
  </w:style>
  <w:style w:type="character" w:customStyle="1" w:styleId="32">
    <w:name w:val="正文文本缩进 字符"/>
    <w:link w:val="3"/>
    <w:autoRedefine/>
    <w:semiHidden/>
    <w:qFormat/>
    <w:locked/>
    <w:uiPriority w:val="0"/>
    <w:rPr>
      <w:rFonts w:ascii="Times New Roman" w:hAnsi="Times New Roman" w:eastAsia="宋体"/>
      <w:sz w:val="24"/>
    </w:rPr>
  </w:style>
  <w:style w:type="character" w:customStyle="1" w:styleId="33">
    <w:name w:val="正文文本 字符"/>
    <w:link w:val="11"/>
    <w:autoRedefine/>
    <w:qFormat/>
    <w:locked/>
    <w:uiPriority w:val="0"/>
    <w:rPr>
      <w:sz w:val="18"/>
    </w:rPr>
  </w:style>
  <w:style w:type="character" w:customStyle="1" w:styleId="34">
    <w:name w:val="批注文字 字符"/>
    <w:link w:val="12"/>
    <w:autoRedefine/>
    <w:qFormat/>
    <w:locked/>
    <w:uiPriority w:val="0"/>
    <w:rPr>
      <w:rFonts w:ascii="Times New Roman" w:hAnsi="Times New Roman" w:eastAsia="宋体"/>
      <w:sz w:val="24"/>
    </w:rPr>
  </w:style>
  <w:style w:type="character" w:customStyle="1" w:styleId="35">
    <w:name w:val="日期 字符1"/>
    <w:link w:val="15"/>
    <w:autoRedefine/>
    <w:qFormat/>
    <w:locked/>
    <w:uiPriority w:val="0"/>
    <w:rPr>
      <w:rFonts w:ascii="Times New Roman" w:hAnsi="Times New Roman" w:eastAsia="宋体"/>
      <w:sz w:val="24"/>
    </w:rPr>
  </w:style>
  <w:style w:type="character" w:customStyle="1" w:styleId="36">
    <w:name w:val="批注框文本 字符"/>
    <w:link w:val="16"/>
    <w:autoRedefine/>
    <w:semiHidden/>
    <w:qFormat/>
    <w:locked/>
    <w:uiPriority w:val="0"/>
    <w:rPr>
      <w:rFonts w:ascii="Times New Roman" w:hAnsi="Times New Roman" w:eastAsia="宋体"/>
      <w:sz w:val="18"/>
    </w:rPr>
  </w:style>
  <w:style w:type="character" w:customStyle="1" w:styleId="37">
    <w:name w:val="页脚 字符1"/>
    <w:link w:val="17"/>
    <w:autoRedefine/>
    <w:qFormat/>
    <w:locked/>
    <w:uiPriority w:val="99"/>
    <w:rPr>
      <w:sz w:val="18"/>
    </w:rPr>
  </w:style>
  <w:style w:type="character" w:customStyle="1" w:styleId="38">
    <w:name w:val="页眉 字符"/>
    <w:link w:val="18"/>
    <w:autoRedefine/>
    <w:qFormat/>
    <w:locked/>
    <w:uiPriority w:val="0"/>
    <w:rPr>
      <w:sz w:val="18"/>
    </w:rPr>
  </w:style>
  <w:style w:type="character" w:customStyle="1" w:styleId="39">
    <w:name w:val="普通(网站) 字符"/>
    <w:link w:val="22"/>
    <w:autoRedefine/>
    <w:qFormat/>
    <w:locked/>
    <w:uiPriority w:val="0"/>
    <w:rPr>
      <w:rFonts w:ascii="宋体" w:hAnsi="宋体" w:eastAsia="宋体"/>
      <w:sz w:val="24"/>
    </w:rPr>
  </w:style>
  <w:style w:type="character" w:customStyle="1" w:styleId="40">
    <w:name w:val="批注主题 字符"/>
    <w:link w:val="23"/>
    <w:autoRedefine/>
    <w:semiHidden/>
    <w:qFormat/>
    <w:locked/>
    <w:uiPriority w:val="0"/>
    <w:rPr>
      <w:rFonts w:ascii="Times New Roman" w:hAnsi="Times New Roman" w:eastAsia="宋体"/>
      <w:b/>
      <w:kern w:val="2"/>
      <w:sz w:val="24"/>
    </w:rPr>
  </w:style>
  <w:style w:type="character" w:customStyle="1" w:styleId="41">
    <w:name w:val="页脚 字符"/>
    <w:autoRedefine/>
    <w:qFormat/>
    <w:uiPriority w:val="99"/>
  </w:style>
  <w:style w:type="character" w:customStyle="1" w:styleId="42">
    <w:name w:val="批注文字 字符1"/>
    <w:autoRedefine/>
    <w:semiHidden/>
    <w:qFormat/>
    <w:uiPriority w:val="0"/>
    <w:rPr>
      <w:rFonts w:ascii="Times New Roman" w:hAnsi="Times New Roman" w:eastAsia="宋体"/>
      <w:sz w:val="24"/>
    </w:rPr>
  </w:style>
  <w:style w:type="character" w:customStyle="1" w:styleId="43">
    <w:name w:val="日期 字符"/>
    <w:autoRedefine/>
    <w:semiHidden/>
    <w:qFormat/>
    <w:uiPriority w:val="0"/>
    <w:rPr>
      <w:rFonts w:ascii="Times New Roman" w:hAnsi="Times New Roman" w:eastAsia="宋体"/>
      <w:sz w:val="24"/>
    </w:rPr>
  </w:style>
  <w:style w:type="character" w:customStyle="1" w:styleId="44">
    <w:name w:val="表格 Char"/>
    <w:link w:val="45"/>
    <w:autoRedefine/>
    <w:qFormat/>
    <w:locked/>
    <w:uiPriority w:val="0"/>
    <w:rPr>
      <w:rFonts w:ascii="宋体"/>
      <w:sz w:val="21"/>
    </w:rPr>
  </w:style>
  <w:style w:type="paragraph" w:customStyle="1" w:styleId="45">
    <w:name w:val="表格"/>
    <w:basedOn w:val="1"/>
    <w:next w:val="46"/>
    <w:link w:val="44"/>
    <w:autoRedefine/>
    <w:qFormat/>
    <w:uiPriority w:val="0"/>
    <w:pPr>
      <w:adjustRightInd w:val="0"/>
      <w:snapToGrid w:val="0"/>
      <w:spacing w:beforeLines="10" w:afterLines="10" w:line="259" w:lineRule="auto"/>
      <w:jc w:val="center"/>
    </w:pPr>
    <w:rPr>
      <w:rFonts w:ascii="宋体"/>
      <w:kern w:val="0"/>
      <w:szCs w:val="20"/>
    </w:rPr>
  </w:style>
  <w:style w:type="paragraph" w:customStyle="1" w:styleId="46">
    <w:name w:val="正文首行"/>
    <w:basedOn w:val="8"/>
    <w:autoRedefine/>
    <w:qFormat/>
    <w:uiPriority w:val="0"/>
    <w:pPr>
      <w:spacing w:line="480" w:lineRule="exact"/>
      <w:ind w:firstLine="200" w:firstLineChars="200"/>
    </w:pPr>
  </w:style>
  <w:style w:type="character" w:customStyle="1" w:styleId="47">
    <w:name w:val="正文文本 字符1"/>
    <w:autoRedefine/>
    <w:semiHidden/>
    <w:qFormat/>
    <w:uiPriority w:val="0"/>
    <w:rPr>
      <w:rFonts w:ascii="Times New Roman" w:hAnsi="Times New Roman" w:eastAsia="宋体"/>
      <w:sz w:val="24"/>
    </w:rPr>
  </w:style>
  <w:style w:type="paragraph" w:customStyle="1" w:styleId="48">
    <w:name w:val="表头"/>
    <w:basedOn w:val="1"/>
    <w:autoRedefine/>
    <w:qFormat/>
    <w:uiPriority w:val="0"/>
    <w:pPr>
      <w:adjustRightInd w:val="0"/>
      <w:snapToGrid w:val="0"/>
      <w:jc w:val="center"/>
    </w:pPr>
    <w:rPr>
      <w:b/>
      <w:color w:val="000000"/>
      <w:szCs w:val="20"/>
    </w:rPr>
  </w:style>
  <w:style w:type="paragraph" w:customStyle="1" w:styleId="49">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表文"/>
    <w:basedOn w:val="1"/>
    <w:autoRedefine/>
    <w:qFormat/>
    <w:uiPriority w:val="0"/>
    <w:pPr>
      <w:spacing w:line="240" w:lineRule="atLeast"/>
      <w:jc w:val="center"/>
    </w:pPr>
    <w:rPr>
      <w:szCs w:val="21"/>
    </w:rPr>
  </w:style>
  <w:style w:type="paragraph" w:customStyle="1" w:styleId="51">
    <w:name w:val="表格标题"/>
    <w:basedOn w:val="52"/>
    <w:next w:val="1"/>
    <w:autoRedefine/>
    <w:qFormat/>
    <w:uiPriority w:val="0"/>
    <w:pPr>
      <w:keepNext/>
      <w:widowControl/>
      <w:jc w:val="center"/>
    </w:pPr>
    <w:rPr>
      <w:b/>
      <w:kern w:val="0"/>
    </w:rPr>
  </w:style>
  <w:style w:type="paragraph" w:styleId="52">
    <w:name w:val="List Paragraph"/>
    <w:basedOn w:val="1"/>
    <w:autoRedefine/>
    <w:qFormat/>
    <w:uiPriority w:val="34"/>
    <w:pPr>
      <w:ind w:firstLine="420" w:firstLineChars="200"/>
    </w:pPr>
  </w:style>
  <w:style w:type="paragraph" w:customStyle="1" w:styleId="53">
    <w:name w:val="正文01"/>
    <w:basedOn w:val="1"/>
    <w:autoRedefine/>
    <w:qFormat/>
    <w:uiPriority w:val="0"/>
    <w:pPr>
      <w:spacing w:line="360" w:lineRule="auto"/>
      <w:ind w:firstLine="480"/>
    </w:pPr>
    <w:rPr>
      <w:sz w:val="24"/>
      <w:szCs w:val="20"/>
    </w:rPr>
  </w:style>
  <w:style w:type="paragraph" w:customStyle="1" w:styleId="54">
    <w:name w:val="文本正文"/>
    <w:basedOn w:val="1"/>
    <w:autoRedefine/>
    <w:qFormat/>
    <w:uiPriority w:val="0"/>
    <w:pPr>
      <w:spacing w:line="360" w:lineRule="auto"/>
      <w:ind w:firstLine="480" w:firstLineChars="200"/>
    </w:pPr>
    <w:rPr>
      <w:sz w:val="24"/>
    </w:rPr>
  </w:style>
  <w:style w:type="paragraph" w:customStyle="1" w:styleId="55">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56">
    <w:name w:val="图表标题"/>
    <w:basedOn w:val="20"/>
    <w:next w:val="45"/>
    <w:autoRedefine/>
    <w:qFormat/>
    <w:uiPriority w:val="0"/>
    <w:pPr>
      <w:ind w:left="0" w:leftChars="0"/>
      <w:outlineLvl w:val="4"/>
    </w:pPr>
    <w:rPr>
      <w:bCs/>
      <w:snapToGrid w:val="0"/>
    </w:rPr>
  </w:style>
  <w:style w:type="paragraph" w:customStyle="1" w:styleId="57">
    <w:name w:val="表格内容"/>
    <w:basedOn w:val="1"/>
    <w:autoRedefine/>
    <w:qFormat/>
    <w:uiPriority w:val="0"/>
    <w:pPr>
      <w:widowControl/>
      <w:autoSpaceDE w:val="0"/>
      <w:autoSpaceDN w:val="0"/>
      <w:adjustRightInd w:val="0"/>
      <w:snapToGrid w:val="0"/>
      <w:spacing w:line="240" w:lineRule="atLeast"/>
      <w:jc w:val="center"/>
      <w:textAlignment w:val="baseline"/>
    </w:pPr>
    <w:rPr>
      <w:kern w:val="24"/>
      <w:szCs w:val="21"/>
    </w:rPr>
  </w:style>
  <w:style w:type="paragraph" w:customStyle="1" w:styleId="58">
    <w:name w:val="报告表正文"/>
    <w:basedOn w:val="1"/>
    <w:autoRedefine/>
    <w:qFormat/>
    <w:uiPriority w:val="0"/>
    <w:rPr>
      <w:rFonts w:eastAsia="楷体_GB2312"/>
    </w:rPr>
  </w:style>
  <w:style w:type="paragraph" w:customStyle="1" w:styleId="59">
    <w:name w:val="S表名图名"/>
    <w:basedOn w:val="60"/>
    <w:autoRedefine/>
    <w:qFormat/>
    <w:uiPriority w:val="1"/>
    <w:pPr>
      <w:ind w:firstLine="0"/>
      <w:jc w:val="center"/>
    </w:pPr>
    <w:rPr>
      <w:b/>
      <w:szCs w:val="23"/>
    </w:rPr>
  </w:style>
  <w:style w:type="paragraph" w:customStyle="1" w:styleId="60">
    <w:name w:val="S报告正文"/>
    <w:basedOn w:val="1"/>
    <w:autoRedefine/>
    <w:qFormat/>
    <w:uiPriority w:val="0"/>
    <w:pPr>
      <w:adjustRightInd w:val="0"/>
      <w:snapToGrid w:val="0"/>
      <w:spacing w:line="480" w:lineRule="exact"/>
      <w:ind w:firstLine="510"/>
      <w:jc w:val="left"/>
    </w:pPr>
    <w:rPr>
      <w:sz w:val="24"/>
    </w:rPr>
  </w:style>
  <w:style w:type="paragraph" w:customStyle="1" w:styleId="61">
    <w:name w:val="0正文"/>
    <w:autoRedefine/>
    <w:unhideWhenUsed/>
    <w:qFormat/>
    <w:uiPriority w:val="0"/>
    <w:pPr>
      <w:spacing w:line="300" w:lineRule="auto"/>
      <w:ind w:firstLine="480" w:firstLineChars="200"/>
    </w:pPr>
    <w:rPr>
      <w:rFonts w:ascii="Times New Roman" w:hAnsi="Times New Roman" w:eastAsia="宋体" w:cs="Times New Roman"/>
      <w:sz w:val="24"/>
      <w:szCs w:val="22"/>
      <w:lang w:val="en-US" w:eastAsia="zh-CN" w:bidi="ar-SA"/>
    </w:rPr>
  </w:style>
  <w:style w:type="paragraph" w:customStyle="1" w:styleId="62">
    <w:name w:val="S表格文字"/>
    <w:basedOn w:val="10"/>
    <w:autoRedefine/>
    <w:qFormat/>
    <w:uiPriority w:val="0"/>
    <w:pPr>
      <w:adjustRightInd w:val="0"/>
      <w:spacing w:before="20" w:after="20"/>
      <w:ind w:firstLine="0" w:firstLineChars="0"/>
      <w:jc w:val="center"/>
    </w:pPr>
  </w:style>
  <w:style w:type="paragraph" w:customStyle="1" w:styleId="63">
    <w:name w:val="WPSOffice手动目录 1"/>
    <w:autoRedefine/>
    <w:qFormat/>
    <w:uiPriority w:val="0"/>
    <w:rPr>
      <w:rFonts w:ascii="Times New Roman" w:hAnsi="Times New Roman" w:eastAsia="宋体" w:cs="Times New Roman"/>
      <w:lang w:val="en-US" w:eastAsia="zh-CN" w:bidi="ar-SA"/>
    </w:rPr>
  </w:style>
  <w:style w:type="paragraph" w:customStyle="1" w:styleId="64">
    <w:name w:val="报告书正文"/>
    <w:basedOn w:val="1"/>
    <w:autoRedefine/>
    <w:qFormat/>
    <w:uiPriority w:val="0"/>
    <w:pPr>
      <w:spacing w:line="300" w:lineRule="auto"/>
    </w:pPr>
    <w:rPr>
      <w:szCs w:val="20"/>
    </w:rPr>
  </w:style>
  <w:style w:type="paragraph" w:customStyle="1" w:styleId="65">
    <w:name w:val="正文缩进1"/>
    <w:basedOn w:val="1"/>
    <w:autoRedefine/>
    <w:qFormat/>
    <w:uiPriority w:val="0"/>
    <w:pPr>
      <w:ind w:firstLine="420"/>
    </w:pPr>
    <w:rPr>
      <w:sz w:val="24"/>
    </w:rPr>
  </w:style>
  <w:style w:type="paragraph" w:customStyle="1" w:styleId="66">
    <w:name w:val="表格文字"/>
    <w:basedOn w:val="1"/>
    <w:autoRedefine/>
    <w:qFormat/>
    <w:uiPriority w:val="0"/>
    <w:pPr>
      <w:adjustRightInd w:val="0"/>
      <w:snapToGrid w:val="0"/>
      <w:jc w:val="center"/>
      <w:textAlignment w:val="center"/>
    </w:pPr>
    <w:rPr>
      <w:kern w:val="0"/>
      <w:sz w:val="20"/>
      <w:szCs w:val="18"/>
    </w:rPr>
  </w:style>
  <w:style w:type="paragraph" w:customStyle="1" w:styleId="67">
    <w:name w:val="正文样式"/>
    <w:basedOn w:val="1"/>
    <w:autoRedefine/>
    <w:qFormat/>
    <w:uiPriority w:val="0"/>
    <w:pPr>
      <w:spacing w:line="360" w:lineRule="auto"/>
      <w:ind w:firstLine="480" w:firstLineChars="200"/>
    </w:pPr>
    <w:rPr>
      <w:sz w:val="24"/>
    </w:rPr>
  </w:style>
  <w:style w:type="character" w:customStyle="1" w:styleId="68">
    <w:name w:val="标题 1 字符"/>
    <w:link w:val="4"/>
    <w:autoRedefine/>
    <w:qFormat/>
    <w:uiPriority w:val="99"/>
    <w:rPr>
      <w:rFonts w:eastAsia="黑体"/>
      <w:b/>
      <w:bCs/>
      <w:color w:val="000000"/>
      <w:kern w:val="44"/>
      <w:sz w:val="30"/>
      <w:szCs w:val="30"/>
    </w:rPr>
  </w:style>
  <w:style w:type="character" w:customStyle="1" w:styleId="69">
    <w:name w:val="Default Char"/>
    <w:link w:val="30"/>
    <w:autoRedefine/>
    <w:qFormat/>
    <w:uiPriority w:val="0"/>
    <w:rPr>
      <w:rFonts w:ascii="宋体" w:cs="宋体"/>
      <w:color w:val="000000"/>
      <w:kern w:val="2"/>
      <w:sz w:val="24"/>
      <w:szCs w:val="24"/>
    </w:rPr>
  </w:style>
  <w:style w:type="character" w:customStyle="1" w:styleId="70">
    <w:name w:val="报告 Char"/>
    <w:link w:val="71"/>
    <w:autoRedefine/>
    <w:qFormat/>
    <w:uiPriority w:val="0"/>
    <w:rPr>
      <w:sz w:val="24"/>
    </w:rPr>
  </w:style>
  <w:style w:type="paragraph" w:customStyle="1" w:styleId="71">
    <w:name w:val="报告"/>
    <w:basedOn w:val="1"/>
    <w:link w:val="70"/>
    <w:autoRedefine/>
    <w:qFormat/>
    <w:uiPriority w:val="0"/>
    <w:pPr>
      <w:overflowPunct w:val="0"/>
      <w:autoSpaceDE w:val="0"/>
      <w:autoSpaceDN w:val="0"/>
      <w:adjustRightInd w:val="0"/>
      <w:spacing w:beforeLines="30" w:afterLines="30" w:line="400" w:lineRule="atLeast"/>
      <w:ind w:left="200" w:leftChars="200" w:firstLine="200" w:firstLineChars="200"/>
      <w:textAlignment w:val="baseline"/>
    </w:pPr>
    <w:rPr>
      <w:kern w:val="0"/>
      <w:sz w:val="24"/>
      <w:szCs w:val="20"/>
    </w:rPr>
  </w:style>
  <w:style w:type="paragraph" w:customStyle="1" w:styleId="72">
    <w:name w:val="! 表中"/>
    <w:autoRedefine/>
    <w:qFormat/>
    <w:uiPriority w:val="0"/>
    <w:pPr>
      <w:overflowPunct w:val="0"/>
      <w:autoSpaceDE w:val="0"/>
      <w:autoSpaceDN w:val="0"/>
      <w:adjustRightInd w:val="0"/>
      <w:snapToGrid w:val="0"/>
      <w:jc w:val="center"/>
      <w:textAlignment w:val="baseline"/>
    </w:pPr>
    <w:rPr>
      <w:rFonts w:ascii="Times New Roman" w:hAnsi="Times New Roman" w:eastAsia="宋体" w:cs="Times New Roman"/>
      <w:sz w:val="18"/>
      <w:lang w:val="en-US" w:eastAsia="zh-CN" w:bidi="ar-SA"/>
    </w:rPr>
  </w:style>
  <w:style w:type="paragraph" w:customStyle="1" w:styleId="73">
    <w:name w:val="样式4"/>
    <w:basedOn w:val="11"/>
    <w:autoRedefine/>
    <w:qFormat/>
    <w:uiPriority w:val="0"/>
    <w:pPr>
      <w:spacing w:line="420" w:lineRule="exact"/>
      <w:ind w:firstLine="200" w:firstLineChars="200"/>
    </w:pPr>
    <w:rPr>
      <w:kern w:val="2"/>
      <w:szCs w:val="24"/>
    </w:rPr>
  </w:style>
  <w:style w:type="character" w:customStyle="1" w:styleId="74">
    <w:name w:val="apple-converted-space"/>
    <w:autoRedefine/>
    <w:qFormat/>
    <w:uiPriority w:val="0"/>
  </w:style>
  <w:style w:type="character" w:customStyle="1" w:styleId="75">
    <w:name w:val="标题 4 字符"/>
    <w:basedOn w:val="26"/>
    <w:link w:val="7"/>
    <w:autoRedefine/>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73</Pages>
  <Words>7027</Words>
  <Characters>40057</Characters>
  <Lines>333</Lines>
  <Paragraphs>93</Paragraphs>
  <TotalTime>9275</TotalTime>
  <ScaleCrop>false</ScaleCrop>
  <LinksUpToDate>false</LinksUpToDate>
  <CharactersWithSpaces>46991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2023-07-30T06:36:00Z</dcterms:created>
  <dc:creator>lhj</dc:creator>
  <cp:lastModifiedBy>9</cp:lastModifiedBy>
  <cp:lastPrinted>2024-03-22T01:15:41Z</cp:lastPrinted>
  <dcterms:modified xsi:type="dcterms:W3CDTF">2024-03-22T01:18:36Z</dcterms:modified>
  <dc:title>附件2</dc:title>
  <cp:revision>710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227467BFC69B4329B7CA8DAA5A079E10_13</vt:lpwstr>
  </property>
</Properties>
</file>