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lang w:val="en-US" w:eastAsia="zh-CN"/>
        </w:rPr>
        <w:t>衡山县开云镇人民政府</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hint="eastAsia" w:ascii="黑体" w:hAnsi="黑体" w:eastAsia="黑体"/>
          <w:sz w:val="32"/>
          <w:szCs w:val="32"/>
        </w:rPr>
      </w:pPr>
      <w:r>
        <w:rPr>
          <w:rFonts w:hint="eastAsia" w:ascii="宋体" w:hAnsi="宋体" w:eastAsia="宋体" w:cs="宋体"/>
          <w:kern w:val="2"/>
          <w:sz w:val="28"/>
          <w:szCs w:val="28"/>
          <w:lang w:val="en-US" w:eastAsia="zh-CN" w:bidi="ar-SA"/>
        </w:rPr>
        <w:t>根据《预算法》有关“各级政府、各部门、各单位应当对预算支出情况开展绩效评价”的规定及衡山县财政局《关于对202</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年度部门整体支出开展绩效自评有关事项的通知》文件精神，衡山县开云镇人民政府对政府整体支出及专项项目资金支出进行了绩效评价，现将自评有关情况报告如下：</w:t>
      </w:r>
    </w:p>
    <w:p>
      <w:pPr>
        <w:pStyle w:val="8"/>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部门、单位基本情况</w:t>
      </w:r>
    </w:p>
    <w:p>
      <w:pPr>
        <w:spacing w:line="560" w:lineRule="exact"/>
        <w:ind w:firstLine="542" w:firstLineChars="200"/>
        <w:rPr>
          <w:rFonts w:hint="eastAsia" w:ascii="宋体" w:hAnsi="宋体" w:cs="宋体"/>
          <w:sz w:val="28"/>
          <w:szCs w:val="28"/>
        </w:rPr>
      </w:pPr>
      <w:r>
        <w:rPr>
          <w:rFonts w:hint="eastAsia" w:ascii="宋体" w:hAnsi="宋体" w:cs="宋体"/>
          <w:sz w:val="28"/>
          <w:szCs w:val="28"/>
        </w:rPr>
        <w:t>开云镇政府是正科级全额拨款单位，内设党政综合办公室、经济发展办公室（农业农村和扶贫工作办公室）、社会事务办公室、自然资源和生态环境办公室（村镇建设管理办公室）、社会治理和应急管理办公室（信访室）、基层党建办公室6个机构，下辖开云镇社会事业综合服务中心、开云镇农业综合服务中心、开云镇政务服务中心、开云镇综合行政执法大队四个正股级事业单位，至20</w:t>
      </w:r>
      <w:r>
        <w:rPr>
          <w:rFonts w:hint="eastAsia" w:ascii="宋体" w:hAnsi="宋体" w:cs="宋体"/>
          <w:sz w:val="28"/>
          <w:szCs w:val="28"/>
          <w:lang w:val="en-US" w:eastAsia="zh-CN"/>
        </w:rPr>
        <w:t>21</w:t>
      </w:r>
      <w:r>
        <w:rPr>
          <w:rFonts w:hint="eastAsia" w:ascii="宋体" w:hAnsi="宋体" w:cs="宋体"/>
          <w:sz w:val="28"/>
          <w:szCs w:val="28"/>
        </w:rPr>
        <w:t>年12月份</w:t>
      </w:r>
      <w:r>
        <w:rPr>
          <w:rFonts w:hint="eastAsia" w:ascii="宋体" w:hAnsi="宋体" w:cs="宋体"/>
          <w:color w:val="auto"/>
          <w:sz w:val="28"/>
          <w:szCs w:val="28"/>
        </w:rPr>
        <w:t>，共有编制</w:t>
      </w:r>
      <w:r>
        <w:rPr>
          <w:rFonts w:hint="eastAsia" w:ascii="宋体" w:hAnsi="宋体" w:cs="宋体"/>
          <w:color w:val="auto"/>
          <w:sz w:val="28"/>
          <w:szCs w:val="28"/>
          <w:lang w:val="en-US" w:eastAsia="zh-CN"/>
        </w:rPr>
        <w:t>148</w:t>
      </w:r>
      <w:r>
        <w:rPr>
          <w:rFonts w:hint="eastAsia" w:ascii="宋体" w:hAnsi="宋体" w:cs="宋体"/>
          <w:color w:val="auto"/>
          <w:sz w:val="28"/>
          <w:szCs w:val="28"/>
        </w:rPr>
        <w:t>名，实有人数</w:t>
      </w:r>
      <w:r>
        <w:rPr>
          <w:rFonts w:hint="eastAsia" w:ascii="宋体" w:hAnsi="宋体" w:cs="宋体"/>
          <w:color w:val="auto"/>
          <w:sz w:val="28"/>
          <w:szCs w:val="28"/>
          <w:lang w:val="en-US" w:eastAsia="zh-CN"/>
        </w:rPr>
        <w:t>148</w:t>
      </w:r>
      <w:r>
        <w:rPr>
          <w:rFonts w:hint="eastAsia" w:ascii="宋体" w:hAnsi="宋体" w:cs="宋体"/>
          <w:color w:val="auto"/>
          <w:sz w:val="28"/>
          <w:szCs w:val="28"/>
        </w:rPr>
        <w:t>人，其中在职</w:t>
      </w:r>
      <w:r>
        <w:rPr>
          <w:rFonts w:hint="eastAsia" w:ascii="宋体" w:hAnsi="宋体" w:cs="宋体"/>
          <w:color w:val="auto"/>
          <w:sz w:val="28"/>
          <w:szCs w:val="28"/>
          <w:lang w:val="en-US" w:eastAsia="zh-CN"/>
        </w:rPr>
        <w:t>98</w:t>
      </w:r>
      <w:r>
        <w:rPr>
          <w:rFonts w:hint="eastAsia" w:ascii="宋体" w:hAnsi="宋体" w:cs="宋体"/>
          <w:color w:val="auto"/>
          <w:sz w:val="28"/>
          <w:szCs w:val="28"/>
        </w:rPr>
        <w:t>人、离退休</w:t>
      </w:r>
      <w:r>
        <w:rPr>
          <w:rFonts w:hint="eastAsia" w:ascii="宋体" w:hAnsi="宋体" w:cs="宋体"/>
          <w:color w:val="auto"/>
          <w:sz w:val="28"/>
          <w:szCs w:val="28"/>
          <w:lang w:val="en-US" w:eastAsia="zh-CN"/>
        </w:rPr>
        <w:t>50</w:t>
      </w:r>
      <w:r>
        <w:rPr>
          <w:rFonts w:hint="eastAsia" w:ascii="宋体" w:hAnsi="宋体" w:cs="宋体"/>
          <w:color w:val="auto"/>
          <w:sz w:val="28"/>
          <w:szCs w:val="28"/>
        </w:rPr>
        <w:t>人；公务用车定编</w:t>
      </w:r>
      <w:r>
        <w:rPr>
          <w:rFonts w:hint="eastAsia" w:ascii="宋体" w:hAnsi="宋体" w:cs="宋体"/>
          <w:color w:val="auto"/>
          <w:sz w:val="28"/>
          <w:szCs w:val="28"/>
          <w:lang w:val="en-US" w:eastAsia="zh-CN"/>
        </w:rPr>
        <w:t>1</w:t>
      </w:r>
      <w:r>
        <w:rPr>
          <w:rFonts w:hint="eastAsia" w:ascii="宋体" w:hAnsi="宋体" w:cs="宋体"/>
          <w:color w:val="auto"/>
          <w:sz w:val="28"/>
          <w:szCs w:val="28"/>
        </w:rPr>
        <w:t>台，</w:t>
      </w:r>
      <w:r>
        <w:rPr>
          <w:rFonts w:hint="eastAsia" w:ascii="宋体" w:hAnsi="宋体" w:cs="宋体"/>
          <w:color w:val="auto"/>
          <w:sz w:val="28"/>
          <w:szCs w:val="28"/>
          <w:lang w:val="en-US" w:eastAsia="zh-CN"/>
        </w:rPr>
        <w:t>应急消防用车1台，</w:t>
      </w:r>
      <w:r>
        <w:rPr>
          <w:rFonts w:hint="eastAsia" w:ascii="宋体" w:hAnsi="宋体" w:cs="宋体"/>
          <w:color w:val="auto"/>
          <w:sz w:val="28"/>
          <w:szCs w:val="28"/>
        </w:rPr>
        <w:t>现有车辆</w:t>
      </w:r>
      <w:r>
        <w:rPr>
          <w:rFonts w:hint="eastAsia" w:ascii="宋体" w:hAnsi="宋体" w:cs="宋体"/>
          <w:color w:val="auto"/>
          <w:sz w:val="28"/>
          <w:szCs w:val="28"/>
          <w:lang w:val="en-US" w:eastAsia="zh-CN"/>
        </w:rPr>
        <w:t>2</w:t>
      </w:r>
      <w:r>
        <w:rPr>
          <w:rFonts w:hint="eastAsia" w:ascii="宋体" w:hAnsi="宋体" w:cs="宋体"/>
          <w:color w:val="auto"/>
          <w:sz w:val="28"/>
          <w:szCs w:val="28"/>
        </w:rPr>
        <w:t>台。</w:t>
      </w:r>
    </w:p>
    <w:p>
      <w:pPr>
        <w:spacing w:line="560" w:lineRule="exact"/>
        <w:ind w:firstLine="542" w:firstLineChars="200"/>
        <w:rPr>
          <w:rFonts w:hint="eastAsia" w:ascii="黑体" w:hAnsi="黑体" w:eastAsia="黑体"/>
          <w:sz w:val="32"/>
          <w:szCs w:val="32"/>
        </w:rPr>
      </w:pPr>
      <w:r>
        <w:rPr>
          <w:rFonts w:hint="eastAsia" w:ascii="宋体" w:hAnsi="宋体" w:cs="宋体"/>
          <w:sz w:val="28"/>
          <w:szCs w:val="28"/>
        </w:rPr>
        <w:t>开云镇地处衡山县城，是我县政治、经济、文化中心，其行政区域面积138平方公里，全镇总人口12.61万，辖17个行政村，8个社区居委会，全镇现有基层党支部26个，党员2057名，非公经济党组织8个。</w:t>
      </w:r>
    </w:p>
    <w:p>
      <w:pPr>
        <w:pStyle w:val="8"/>
        <w:widowControl/>
        <w:numPr>
          <w:ilvl w:val="0"/>
          <w:numId w:val="1"/>
        </w:numPr>
        <w:spacing w:line="600" w:lineRule="exact"/>
        <w:ind w:left="0" w:leftChars="0" w:firstLine="622" w:firstLineChars="200"/>
        <w:rPr>
          <w:rFonts w:hint="eastAsia" w:ascii="黑体" w:hAnsi="黑体" w:eastAsia="黑体"/>
          <w:sz w:val="32"/>
          <w:szCs w:val="32"/>
        </w:rPr>
      </w:pPr>
      <w:r>
        <w:rPr>
          <w:rFonts w:hint="eastAsia" w:ascii="黑体" w:hAnsi="黑体" w:eastAsia="黑体"/>
          <w:sz w:val="32"/>
          <w:szCs w:val="32"/>
        </w:rPr>
        <w:t>基本支出情况</w:t>
      </w:r>
    </w:p>
    <w:p>
      <w:pPr>
        <w:pStyle w:val="8"/>
        <w:widowControl/>
        <w:numPr>
          <w:ilvl w:val="0"/>
          <w:numId w:val="0"/>
        </w:numPr>
        <w:spacing w:line="600" w:lineRule="exact"/>
        <w:ind w:leftChars="200"/>
        <w:rPr>
          <w:rFonts w:hint="eastAsia" w:ascii="黑体" w:hAnsi="黑体" w:eastAsia="黑体"/>
          <w:color w:val="auto"/>
          <w:sz w:val="32"/>
          <w:szCs w:val="32"/>
        </w:rPr>
      </w:pPr>
      <w:r>
        <w:rPr>
          <w:rFonts w:hint="eastAsia" w:ascii="宋体" w:hAnsi="宋体" w:cs="宋体"/>
          <w:color w:val="auto"/>
          <w:sz w:val="28"/>
          <w:szCs w:val="28"/>
          <w:lang w:val="en-US" w:eastAsia="zh-CN"/>
        </w:rPr>
        <w:t>2021</w:t>
      </w:r>
      <w:r>
        <w:rPr>
          <w:rFonts w:hint="eastAsia" w:ascii="宋体" w:hAnsi="宋体" w:cs="宋体"/>
          <w:color w:val="auto"/>
          <w:sz w:val="28"/>
          <w:szCs w:val="28"/>
        </w:rPr>
        <w:t>年度基本支出</w:t>
      </w:r>
      <w:r>
        <w:rPr>
          <w:rFonts w:hint="eastAsia" w:ascii="宋体" w:hAnsi="宋体" w:cs="宋体"/>
          <w:color w:val="auto"/>
          <w:sz w:val="28"/>
          <w:szCs w:val="28"/>
          <w:lang w:val="en-US" w:eastAsia="zh-CN"/>
        </w:rPr>
        <w:t>1376.75</w:t>
      </w:r>
      <w:r>
        <w:rPr>
          <w:rFonts w:hint="eastAsia" w:ascii="宋体" w:hAnsi="宋体" w:cs="宋体"/>
          <w:color w:val="auto"/>
          <w:sz w:val="28"/>
          <w:szCs w:val="28"/>
        </w:rPr>
        <w:t>万元，其中：人员经费支出</w:t>
      </w:r>
      <w:r>
        <w:rPr>
          <w:rFonts w:hint="eastAsia" w:ascii="宋体" w:hAnsi="宋体" w:cs="宋体"/>
          <w:color w:val="auto"/>
          <w:sz w:val="28"/>
          <w:szCs w:val="28"/>
          <w:lang w:val="en-US" w:eastAsia="zh-CN"/>
        </w:rPr>
        <w:t>1150.26</w:t>
      </w:r>
      <w:r>
        <w:rPr>
          <w:rFonts w:hint="eastAsia" w:ascii="宋体" w:hAnsi="宋体" w:cs="宋体"/>
          <w:color w:val="auto"/>
          <w:sz w:val="28"/>
          <w:szCs w:val="28"/>
        </w:rPr>
        <w:t>万元，日常公用经费支出</w:t>
      </w:r>
      <w:r>
        <w:rPr>
          <w:rFonts w:hint="eastAsia" w:ascii="宋体" w:hAnsi="宋体" w:cs="宋体"/>
          <w:color w:val="auto"/>
          <w:sz w:val="28"/>
          <w:szCs w:val="28"/>
          <w:lang w:val="en-US" w:eastAsia="zh-CN"/>
        </w:rPr>
        <w:t>226.49</w:t>
      </w:r>
      <w:r>
        <w:rPr>
          <w:rFonts w:hint="eastAsia" w:ascii="宋体" w:hAnsi="宋体" w:cs="宋体"/>
          <w:color w:val="auto"/>
          <w:sz w:val="28"/>
          <w:szCs w:val="28"/>
        </w:rPr>
        <w:t>万元。</w:t>
      </w:r>
    </w:p>
    <w:p>
      <w:pPr>
        <w:pStyle w:val="8"/>
        <w:widowControl/>
        <w:spacing w:line="600" w:lineRule="exact"/>
        <w:ind w:firstLine="620"/>
        <w:rPr>
          <w:rFonts w:ascii="黑体" w:hAnsi="黑体" w:eastAsia="黑体"/>
          <w:color w:val="auto"/>
          <w:sz w:val="32"/>
          <w:szCs w:val="32"/>
        </w:rPr>
      </w:pPr>
      <w:r>
        <w:rPr>
          <w:rFonts w:hint="eastAsia" w:ascii="黑体" w:hAnsi="黑体" w:eastAsia="黑体"/>
          <w:color w:val="auto"/>
          <w:sz w:val="32"/>
          <w:szCs w:val="32"/>
        </w:rPr>
        <w:t>三、项目支出情况</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lang w:val="en-US" w:eastAsia="zh-CN"/>
        </w:rPr>
        <w:t>2021</w:t>
      </w:r>
      <w:r>
        <w:rPr>
          <w:rFonts w:hint="eastAsia" w:ascii="宋体" w:hAnsi="宋体" w:cs="宋体"/>
          <w:color w:val="auto"/>
          <w:sz w:val="28"/>
          <w:szCs w:val="28"/>
        </w:rPr>
        <w:t>年度项目支出</w:t>
      </w:r>
      <w:r>
        <w:rPr>
          <w:rFonts w:hint="eastAsia" w:ascii="宋体" w:hAnsi="宋体" w:cs="宋体"/>
          <w:color w:val="auto"/>
          <w:sz w:val="28"/>
          <w:szCs w:val="28"/>
          <w:lang w:val="en-US" w:eastAsia="zh-CN"/>
        </w:rPr>
        <w:t>2587.42</w:t>
      </w:r>
      <w:r>
        <w:rPr>
          <w:rFonts w:hint="eastAsia" w:ascii="宋体" w:hAnsi="宋体" w:cs="宋体"/>
          <w:color w:val="auto"/>
          <w:sz w:val="28"/>
          <w:szCs w:val="28"/>
        </w:rPr>
        <w:t>万元，主要由以下几项组成：</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（1）村级运行经费</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17个行政村县本级财政共下达经费</w:t>
      </w:r>
      <w:r>
        <w:rPr>
          <w:rFonts w:hint="eastAsia" w:ascii="宋体" w:hAnsi="宋体" w:cs="宋体"/>
          <w:color w:val="auto"/>
          <w:sz w:val="28"/>
          <w:szCs w:val="28"/>
          <w:lang w:val="en-US" w:eastAsia="zh-CN"/>
        </w:rPr>
        <w:t>272.35</w:t>
      </w:r>
      <w:r>
        <w:rPr>
          <w:rFonts w:hint="eastAsia" w:ascii="宋体" w:hAnsi="宋体" w:cs="宋体"/>
          <w:color w:val="auto"/>
          <w:sz w:val="28"/>
          <w:szCs w:val="28"/>
        </w:rPr>
        <w:t>万，主要用于村级干部的人员经费及公用经费支出。</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（2）社区运行经费</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8个社区居委会县本级财政共下达经费</w:t>
      </w:r>
      <w:r>
        <w:rPr>
          <w:rFonts w:hint="eastAsia" w:ascii="宋体" w:hAnsi="宋体" w:cs="宋体"/>
          <w:color w:val="auto"/>
          <w:sz w:val="28"/>
          <w:szCs w:val="28"/>
          <w:lang w:val="en-US" w:eastAsia="zh-CN"/>
        </w:rPr>
        <w:t>186.14</w:t>
      </w:r>
      <w:r>
        <w:rPr>
          <w:rFonts w:hint="eastAsia" w:ascii="宋体" w:hAnsi="宋体" w:cs="宋体"/>
          <w:color w:val="auto"/>
          <w:sz w:val="28"/>
          <w:szCs w:val="28"/>
        </w:rPr>
        <w:t>万，主要用于社区居委会干部的人员经费及公用经费支出。</w:t>
      </w:r>
    </w:p>
    <w:p>
      <w:pPr>
        <w:pStyle w:val="8"/>
        <w:spacing w:line="600" w:lineRule="exact"/>
        <w:ind w:left="420" w:firstLine="0" w:firstLineChars="0"/>
        <w:rPr>
          <w:rFonts w:ascii="宋体" w:hAnsi="宋体" w:cs="宋体"/>
          <w:color w:val="auto"/>
          <w:sz w:val="28"/>
          <w:szCs w:val="28"/>
        </w:rPr>
      </w:pPr>
      <w:r>
        <w:rPr>
          <w:rFonts w:hint="eastAsia" w:ascii="宋体" w:hAnsi="宋体" w:cs="宋体"/>
          <w:color w:val="auto"/>
          <w:sz w:val="28"/>
          <w:szCs w:val="28"/>
        </w:rPr>
        <w:t>（一）单位整体基本支出绩效情况</w:t>
      </w:r>
    </w:p>
    <w:p>
      <w:pPr>
        <w:spacing w:line="600" w:lineRule="exact"/>
        <w:ind w:firstLine="542" w:firstLineChars="200"/>
        <w:rPr>
          <w:rFonts w:ascii="宋体" w:hAnsi="宋体" w:cs="宋体"/>
          <w:color w:val="auto"/>
          <w:sz w:val="28"/>
          <w:szCs w:val="28"/>
        </w:rPr>
      </w:pPr>
      <w:r>
        <w:rPr>
          <w:rFonts w:hint="eastAsia" w:ascii="宋体" w:hAnsi="宋体" w:cs="宋体"/>
          <w:color w:val="auto"/>
          <w:sz w:val="28"/>
          <w:szCs w:val="28"/>
          <w:highlight w:val="none"/>
        </w:rPr>
        <w:t>20</w:t>
      </w:r>
      <w:r>
        <w:rPr>
          <w:rFonts w:hint="eastAsia" w:ascii="宋体" w:hAnsi="宋体" w:cs="宋体"/>
          <w:color w:val="auto"/>
          <w:sz w:val="28"/>
          <w:szCs w:val="28"/>
          <w:highlight w:val="none"/>
          <w:lang w:val="en-US" w:eastAsia="zh-CN"/>
        </w:rPr>
        <w:t>21</w:t>
      </w:r>
      <w:r>
        <w:rPr>
          <w:rFonts w:hint="eastAsia" w:ascii="宋体" w:hAnsi="宋体" w:cs="宋体"/>
          <w:color w:val="auto"/>
          <w:sz w:val="28"/>
          <w:szCs w:val="28"/>
          <w:highlight w:val="none"/>
        </w:rPr>
        <w:t>年度运行经费为</w:t>
      </w:r>
      <w:r>
        <w:rPr>
          <w:rFonts w:hint="eastAsia" w:ascii="宋体" w:hAnsi="宋体" w:cs="宋体"/>
          <w:color w:val="auto"/>
          <w:sz w:val="28"/>
          <w:szCs w:val="28"/>
          <w:highlight w:val="none"/>
          <w:lang w:val="en-US" w:eastAsia="zh-CN"/>
        </w:rPr>
        <w:t>201.98</w:t>
      </w:r>
      <w:r>
        <w:rPr>
          <w:rFonts w:hint="eastAsia" w:ascii="宋体" w:hAnsi="宋体" w:cs="宋体"/>
          <w:color w:val="auto"/>
          <w:sz w:val="28"/>
          <w:szCs w:val="28"/>
          <w:highlight w:val="none"/>
        </w:rPr>
        <w:t>万元，比上年</w:t>
      </w:r>
      <w:r>
        <w:rPr>
          <w:rFonts w:hint="eastAsia" w:ascii="宋体" w:hAnsi="宋体" w:cs="宋体"/>
          <w:color w:val="auto"/>
          <w:sz w:val="28"/>
          <w:szCs w:val="28"/>
          <w:highlight w:val="none"/>
          <w:lang w:val="en-US" w:eastAsia="zh-CN"/>
        </w:rPr>
        <w:t>增加16.68</w:t>
      </w:r>
      <w:r>
        <w:rPr>
          <w:rFonts w:hint="eastAsia" w:ascii="宋体" w:hAnsi="宋体" w:cs="宋体"/>
          <w:color w:val="auto"/>
          <w:sz w:val="28"/>
          <w:szCs w:val="28"/>
          <w:highlight w:val="none"/>
        </w:rPr>
        <w:t>万元，</w:t>
      </w:r>
      <w:r>
        <w:rPr>
          <w:rFonts w:hint="eastAsia" w:ascii="宋体" w:hAnsi="宋体" w:cs="宋体"/>
          <w:color w:val="auto"/>
          <w:sz w:val="28"/>
          <w:szCs w:val="28"/>
        </w:rPr>
        <w:t>三公费用为</w:t>
      </w:r>
      <w:r>
        <w:rPr>
          <w:rFonts w:hint="eastAsia" w:ascii="宋体" w:hAnsi="宋体" w:cs="宋体"/>
          <w:color w:val="auto"/>
          <w:sz w:val="28"/>
          <w:szCs w:val="28"/>
          <w:lang w:val="en-US" w:eastAsia="zh-CN"/>
        </w:rPr>
        <w:t>3.6</w:t>
      </w:r>
      <w:r>
        <w:rPr>
          <w:rFonts w:hint="eastAsia" w:ascii="宋体" w:hAnsi="宋体" w:cs="宋体"/>
          <w:color w:val="auto"/>
          <w:sz w:val="28"/>
          <w:szCs w:val="28"/>
        </w:rPr>
        <w:t>万元，比上年减少</w:t>
      </w:r>
      <w:r>
        <w:rPr>
          <w:rFonts w:hint="eastAsia" w:ascii="宋体" w:hAnsi="宋体" w:cs="宋体"/>
          <w:color w:val="auto"/>
          <w:sz w:val="28"/>
          <w:szCs w:val="28"/>
          <w:lang w:val="en-US" w:eastAsia="zh-CN"/>
        </w:rPr>
        <w:t>0.93</w:t>
      </w:r>
      <w:r>
        <w:rPr>
          <w:rFonts w:hint="eastAsia" w:ascii="宋体" w:hAnsi="宋体" w:cs="宋体"/>
          <w:color w:val="auto"/>
          <w:sz w:val="28"/>
          <w:szCs w:val="28"/>
        </w:rPr>
        <w:t>万元，其中：</w:t>
      </w:r>
      <w:r>
        <w:rPr>
          <w:rFonts w:hint="eastAsia" w:ascii="宋体" w:hAnsi="宋体" w:cs="宋体"/>
          <w:color w:val="auto"/>
          <w:sz w:val="28"/>
          <w:szCs w:val="28"/>
          <w:lang w:val="en-US" w:eastAsia="zh-CN"/>
        </w:rPr>
        <w:t>公车运行维护增加1.11万元，主要是工作用车增加，公车的基本运行费用增加；</w:t>
      </w:r>
      <w:r>
        <w:rPr>
          <w:rFonts w:hint="eastAsia" w:ascii="宋体" w:hAnsi="宋体" w:cs="宋体"/>
          <w:color w:val="auto"/>
          <w:sz w:val="28"/>
          <w:szCs w:val="28"/>
        </w:rPr>
        <w:t>公务接待费</w:t>
      </w:r>
      <w:r>
        <w:rPr>
          <w:rFonts w:hint="eastAsia" w:ascii="宋体" w:hAnsi="宋体" w:cs="宋体"/>
          <w:color w:val="auto"/>
          <w:sz w:val="28"/>
          <w:szCs w:val="28"/>
          <w:lang w:val="en-US" w:eastAsia="zh-CN"/>
        </w:rPr>
        <w:t>减少6</w:t>
      </w:r>
      <w:r>
        <w:rPr>
          <w:rFonts w:hint="eastAsia" w:ascii="宋体" w:hAnsi="宋体" w:cs="宋体"/>
          <w:color w:val="auto"/>
          <w:sz w:val="28"/>
          <w:szCs w:val="28"/>
        </w:rPr>
        <w:t>万元，主要是接待</w:t>
      </w:r>
      <w:r>
        <w:rPr>
          <w:rFonts w:hint="eastAsia" w:ascii="宋体" w:hAnsi="宋体" w:cs="宋体"/>
          <w:color w:val="auto"/>
          <w:sz w:val="28"/>
          <w:szCs w:val="28"/>
          <w:lang w:val="en-US" w:eastAsia="zh-CN"/>
        </w:rPr>
        <w:t>减少。</w:t>
      </w:r>
    </w:p>
    <w:p>
      <w:pPr>
        <w:ind w:firstLine="542"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（二）专项绩效目标实施和完成情况</w:t>
      </w:r>
      <w:r>
        <w:rPr>
          <w:rFonts w:hint="eastAsia" w:ascii="宋体" w:hAnsi="宋体" w:cs="宋体"/>
          <w:color w:val="auto"/>
          <w:sz w:val="28"/>
          <w:szCs w:val="28"/>
          <w:lang w:val="en-US" w:eastAsia="zh-CN"/>
        </w:rPr>
        <w:t xml:space="preserve">    </w:t>
      </w:r>
    </w:p>
    <w:p>
      <w:pPr>
        <w:ind w:firstLine="542" w:firstLineChars="200"/>
        <w:rPr>
          <w:rFonts w:hint="eastAsia" w:ascii="宋体" w:hAnsi="宋体" w:cs="宋体"/>
          <w:color w:val="auto"/>
          <w:sz w:val="28"/>
          <w:szCs w:val="28"/>
        </w:rPr>
      </w:pPr>
      <w:r>
        <w:rPr>
          <w:rFonts w:hint="eastAsia" w:ascii="宋体" w:hAnsi="宋体" w:cs="宋体"/>
          <w:color w:val="auto"/>
          <w:sz w:val="28"/>
          <w:szCs w:val="28"/>
        </w:rPr>
        <w:t>项目建设推进顺利</w:t>
      </w:r>
    </w:p>
    <w:p>
      <w:pPr>
        <w:pStyle w:val="8"/>
        <w:numPr>
          <w:ilvl w:val="0"/>
          <w:numId w:val="2"/>
        </w:numPr>
        <w:ind w:firstLineChars="0"/>
        <w:rPr>
          <w:rFonts w:hint="eastAsia" w:ascii="宋体" w:hAnsi="宋体" w:cs="宋体"/>
          <w:color w:val="auto"/>
          <w:sz w:val="28"/>
          <w:szCs w:val="28"/>
        </w:rPr>
      </w:pPr>
      <w:r>
        <w:rPr>
          <w:rFonts w:hint="eastAsia" w:ascii="宋体" w:hAnsi="宋体" w:cs="宋体"/>
          <w:color w:val="auto"/>
          <w:sz w:val="28"/>
          <w:szCs w:val="28"/>
        </w:rPr>
        <w:t>村级及社区运行经费</w:t>
      </w:r>
    </w:p>
    <w:p>
      <w:pPr>
        <w:rPr>
          <w:rFonts w:hint="eastAsia" w:ascii="宋体" w:hAnsi="宋体" w:eastAsia="宋体" w:cs="宋体"/>
          <w:color w:val="auto"/>
          <w:sz w:val="28"/>
          <w:szCs w:val="28"/>
          <w:lang w:eastAsia="zh-CN"/>
        </w:rPr>
      </w:pPr>
      <w:r>
        <w:rPr>
          <w:rFonts w:hint="eastAsia" w:ascii="宋体" w:hAnsi="宋体" w:cs="宋体"/>
          <w:color w:val="auto"/>
          <w:sz w:val="28"/>
          <w:szCs w:val="28"/>
        </w:rPr>
        <w:t xml:space="preserve">   </w:t>
      </w:r>
      <w:r>
        <w:rPr>
          <w:rFonts w:hint="eastAsia" w:ascii="宋体" w:hAnsi="宋体" w:eastAsia="宋体" w:cs="宋体"/>
          <w:color w:val="auto"/>
          <w:sz w:val="28"/>
          <w:szCs w:val="28"/>
        </w:rPr>
        <w:t xml:space="preserve"> 开云镇下辖17个行政村、8个社区居委会，干部职数153人，各项工作稳步推进</w:t>
      </w:r>
      <w:r>
        <w:rPr>
          <w:rFonts w:hint="eastAsia" w:ascii="宋体" w:hAnsi="宋体" w:cs="宋体"/>
          <w:color w:val="auto"/>
          <w:sz w:val="28"/>
          <w:szCs w:val="28"/>
          <w:lang w:eastAsia="zh-CN"/>
        </w:rPr>
        <w:t>。</w:t>
      </w:r>
    </w:p>
    <w:p>
      <w:pPr>
        <w:ind w:firstLine="542" w:firstLineChars="200"/>
        <w:rPr>
          <w:rFonts w:ascii="宋体" w:hAnsi="宋体" w:cs="宋体"/>
          <w:color w:val="auto"/>
          <w:sz w:val="28"/>
          <w:szCs w:val="28"/>
        </w:rPr>
      </w:pPr>
      <w:r>
        <w:rPr>
          <w:rFonts w:hint="eastAsia" w:ascii="宋体" w:hAnsi="宋体" w:cs="宋体"/>
          <w:color w:val="auto"/>
          <w:sz w:val="28"/>
          <w:szCs w:val="28"/>
        </w:rPr>
        <w:t>（三）专项资金绩效情况</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一年来，开云镇财政资金严格按照预算管理要求和财经财务制度规定执行，县级安排的各项专项资金严格按照项目专项资金使用管理要求和相应项目实施方案加强管理，制定了相关资金管理制度，严格资金支出，资金使用规范，项目工作开展措施有力，工作稳步推进，且成效明显。项目专项资金到位和拨付及时，资金使用单位严格专项资金使用与管理，专账核算，专款专用，用到实处，没有出现项目资金被挤占、挪用、和严重偏离绩效目标的情况，确保了资金效果，项目专项资金产出效果比较明显，达到预期目标，发挥了财政专项资金效益和作用。</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年度部门预算执行整体收支平稳，各项工作开展顺畅，工作目标如期实现，重点工作突出，各项工作继续保持，资金投入准确到位，资金支出成效明显，整体效果好。</w:t>
      </w:r>
    </w:p>
    <w:p>
      <w:pPr>
        <w:spacing w:line="560" w:lineRule="exact"/>
        <w:rPr>
          <w:rFonts w:ascii="宋体" w:hAnsi="宋体" w:cs="宋体"/>
          <w:color w:val="auto"/>
          <w:sz w:val="28"/>
          <w:szCs w:val="28"/>
        </w:rPr>
      </w:pPr>
      <w:r>
        <w:rPr>
          <w:rFonts w:hint="eastAsia" w:ascii="宋体" w:hAnsi="宋体" w:cs="宋体"/>
          <w:color w:val="auto"/>
          <w:sz w:val="28"/>
          <w:szCs w:val="28"/>
        </w:rPr>
        <w:t>（四）财务制度建设及财务管理情况。</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根据《会计法》《预算法》《行政事业单位财务规则》等法律法规，财政部及省财政厅有关财务规章的规定，我镇加强了经费预算管理，对预算资金的使用，资产的配置、处置、项目资金的管理进一步规范，加大压缩“三公经费”以及办公费、会议费、差旅费、培训费、公务接待费等相关经费支出，加强内控系统完善，明确管理目标和要求，细化开支标准和开支范围，完善报账程序，审批权限等，资金得到进一步规范使用和管理，确保资金效益。</w:t>
      </w:r>
    </w:p>
    <w:p>
      <w:pPr>
        <w:spacing w:line="560" w:lineRule="exact"/>
        <w:rPr>
          <w:rFonts w:ascii="宋体" w:hAnsi="宋体" w:cs="宋体"/>
          <w:color w:val="auto"/>
          <w:sz w:val="28"/>
          <w:szCs w:val="28"/>
        </w:rPr>
      </w:pPr>
      <w:r>
        <w:rPr>
          <w:rFonts w:hint="eastAsia" w:ascii="宋体" w:hAnsi="宋体" w:cs="宋体"/>
          <w:color w:val="auto"/>
          <w:sz w:val="28"/>
          <w:szCs w:val="28"/>
        </w:rPr>
        <w:t>（五）专项资金管理制度、措施制定和实施情况</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开云镇人民政府严格按照专项资金管理要求认真落实专项资金专款专用、专项管理、绩效目标跟踪、资金使用效益评价管理要求，各项目制定了相关工作方案，成立资金使用管理、考核评价工作领导小组，对照项目专项资金使用、管理要求，加强了对专项资金的规范使用和效益管理，资金严格按照专项资金要求，加强预算、绩效目标、产出效益、使用监督管理，量化细化工作指标，强化考核，责任到人，发现资金使用出现偏离马上予以纠正，确保专项资金使用达实效，产出见效益。</w:t>
      </w:r>
    </w:p>
    <w:p>
      <w:pPr>
        <w:widowControl/>
        <w:spacing w:line="600" w:lineRule="exact"/>
        <w:ind w:firstLine="645"/>
        <w:jc w:val="left"/>
        <w:rPr>
          <w:rFonts w:ascii="黑体" w:hAnsi="黑体" w:eastAsia="黑体"/>
          <w:color w:val="auto"/>
          <w:sz w:val="32"/>
          <w:szCs w:val="32"/>
        </w:rPr>
      </w:pPr>
      <w:r>
        <w:rPr>
          <w:rFonts w:hint="eastAsia" w:ascii="黑体" w:hAnsi="黑体" w:eastAsia="黑体"/>
          <w:color w:val="auto"/>
          <w:sz w:val="32"/>
          <w:szCs w:val="32"/>
        </w:rPr>
        <w:t>五、存在的主要问题及下一步改进措施</w:t>
      </w:r>
    </w:p>
    <w:p>
      <w:pPr>
        <w:spacing w:line="58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主要表现在：</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（一）农业产业结构调整步伐较慢，生态休闲农业发展后劲不强；工业经济总量偏小，企业单体规模小，骨干企业少，高新技术型企业不多。</w:t>
      </w:r>
      <w:r>
        <w:rPr>
          <w:rFonts w:ascii="宋体" w:hAnsi="宋体" w:cs="宋体"/>
          <w:color w:val="auto"/>
          <w:sz w:val="28"/>
          <w:szCs w:val="28"/>
        </w:rPr>
        <w:t xml:space="preserve"> </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二）财政资金支出延缓。项目工作开展须有资金保障，近年来通过财政资金支出出现延缓，特别是项目资金不能确保按计划和进度实现付款，资金支出延缓甚至出现资金暂时支付不了的情况，势必造成项目进展不能达预期目标。</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（一）优化环境，强化招商，着力培育新的经济亮点。</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是切实加强项目推进。要转变工作观念，调整工作思路，明确工作责任，深入研透并严格执行土地征收政策，严守工作时限，破解工作瓶颈，确保严格按照时间节点落实征拆和安置工作任务，促进项目如期顺利推进。加快推进科技含量高、经济效益好、产业带动强的大项目、好项目，如工业园区、黄花新区、开云新区、八里片区等项目的打造；加快完善现有城市基础设施，拓展城市空间，加快推进紫巾山沿山路、黄花路、开云大道等重点工程项目的建设，年底实现紫巾沿山路、黄花路一二标段通车，开云大道全线贯通。</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是加大招商引资力度。整合招商资源，创新招商载体，开展招商选资，对符合开云发展思路的项目积极引进，积极实施规范招商行为，坚持老客户和新客户并举，强化服务意识，优化发展环境，不断提高招商质量和水平，力争年内引进上亿项目两个。</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是强化项目推进要素保障。加强城建、国土及规划管理，规范项目准入。启动县城周边乡村规划编制，完成镇区村规划编制工作，规范农村基础设施和公共服务设施建设，科学有序推进新农村建设。以新农村建设为抓手，加快改善人居环境步伐；进一步加大对违章建筑的整治力度，促使村民依法依规建房。</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（二）创新思路，拓展空间，深入挖掘经济发展潜力。</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一是在巩固传统农业的同时进一步促进农业结构的优化。按照农业供给侧结构</w:t>
      </w:r>
      <w:r>
        <w:rPr>
          <w:rFonts w:hint="eastAsia" w:ascii="宋体" w:hAnsi="宋体" w:cs="宋体"/>
          <w:color w:val="auto"/>
          <w:sz w:val="28"/>
          <w:szCs w:val="28"/>
          <w:lang w:val="en-US" w:eastAsia="zh-CN"/>
        </w:rPr>
        <w:t>性</w:t>
      </w:r>
      <w:bookmarkStart w:id="0" w:name="_GoBack"/>
      <w:bookmarkEnd w:id="0"/>
      <w:r>
        <w:rPr>
          <w:rFonts w:hint="eastAsia" w:ascii="宋体" w:hAnsi="宋体" w:cs="宋体"/>
          <w:color w:val="auto"/>
          <w:sz w:val="28"/>
          <w:szCs w:val="28"/>
        </w:rPr>
        <w:t>改革的要求，切实加快农村土地流转，把重点放到支持、培育新型农业经营主体上来。加快发展特色农业和农业龙头企业，将油茶、茶叶、早白薯、九龙李等农特支柱产业发展壮大起来；同时依托双全新村、青峰、跃进、世上等村优势资源，发展农业休闲旅游产业；完成新增油茶林1500亩以上，低改1000亩以上，打造连片300亩以上的油茶林4个以上。</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是加快新型工业化。继续加快园区建设，发挥园区核心增长极作用。全力配合园区落实“135”任务，全力推进弘山工业园建设，积极培育新的经济增长点，积极引进实体企业，培植中微企业，增加工业经济的发展规模，争取全年年园区征地3000亩，引进上亿元企业五家。</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是抓好乡村振兴工作。继续深化农村产权制度改革，激活乡村各类资源，积极探索乡村振兴发展有效实现路径。推广集体产权制度改革“三化”模式，推动集体资产股份有限公司实体化运营，盘活并管理经营好各类集体资产资源。引导新型农业经营主体和种养大户，推广特色农业产业。加快美丽乡村建设及精准扶贫工作力度，加快农村电商发展，搭建农村综合服务平台，振兴乡村经济。</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四是加快城镇化进程。抓住国家大力推进新型城镇化的机遇，把振兴乡村经济与美丽乡村建设结合起来；实施“五纵三横”战略，拓展城市骨架，提高城市品位；加强城市总体规划、土地利用规划和综合交通系统规划的对接融合；加快土地开发、储备和项目引进，推进沙泉片区和师古小城镇等项目的开发建设。</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五是加快旅游产业发展。主动对接南岳，融入南岳衡山大旅游圈，加快发展商贸、休闲、养老服务等生活性服务业和物流等生产性服务业；因地制宜发展区域旅游，加紧推进皇茶产业示范园和仙逸人间项目建设；加快紫巾山、勾头峰、鳌头山、何家岭、寨子山周边开发，打造星级休闲接待点。</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（三）聚焦民生，提升水平，切实为群众解决实际问题。</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一是拓宽农民就业渠道。搭建就业平台，畅通就业渠道，增加就业机会。创新就业方式，加快物流、餐饮服务业，提供就业岗位。加强就业培训，提升村民素质，培育实用人才。</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是加强社会保障。扎实做好各类社会救助和帮扶对象申报、审核、发放工作，规范城乡低保评审程序，严格城乡低保审查和资金管理使用，切实按政策落实低保待遇并实施动态管理。推进城乡居民医疗保险和社会养老保险工作扩面提质，提高社会保障能力。</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三是用好惠农资金。加大惠农资金的宣传力度，保障群众的知情权和监督权，及时将惠农补贴公开，强化对惠农资金的监督，确保拨付及时、专款专用。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54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四是改善农村人居环境。</w:t>
      </w:r>
      <w:r>
        <w:rPr>
          <w:rFonts w:hint="eastAsia" w:ascii="宋体" w:hAnsi="宋体" w:eastAsia="宋体" w:cs="宋体"/>
          <w:b w:val="0"/>
          <w:bCs w:val="0"/>
          <w:color w:val="auto"/>
          <w:spacing w:val="0"/>
          <w:kern w:val="11"/>
          <w:sz w:val="28"/>
          <w:szCs w:val="28"/>
          <w:lang w:eastAsia="zh-CN"/>
        </w:rPr>
        <w:t>狠抓文明创建，着力建设如诗如画的新家园，</w:t>
      </w:r>
      <w:r>
        <w:rPr>
          <w:rFonts w:hint="eastAsia" w:ascii="宋体" w:hAnsi="宋体" w:eastAsia="宋体" w:cs="宋体"/>
          <w:b w:val="0"/>
          <w:bCs w:val="0"/>
          <w:color w:val="auto"/>
          <w:sz w:val="28"/>
          <w:szCs w:val="28"/>
        </w:rPr>
        <w:t>着力开展农贸市场、小超市等经营秩序整顿，地毯式清理占道经营、乱停乱放、私搭乱建等现象，集中清理影响乡容村貌的庸俗、低俗广告和其他“牛皮癣”，打造整洁有序的街道环境。大力推进农村“厕所革命”，全面清零农村旱厕，有序推进无害化厕所改造，同步实施粪污治理，有效实现人畜粪污资源化利用。</w:t>
      </w:r>
      <w:r>
        <w:rPr>
          <w:rFonts w:hint="eastAsia" w:ascii="宋体" w:hAnsi="宋体" w:eastAsia="宋体" w:cs="宋体"/>
          <w:b w:val="0"/>
          <w:bCs w:val="0"/>
          <w:color w:val="auto"/>
          <w:sz w:val="28"/>
          <w:szCs w:val="28"/>
          <w:lang w:eastAsia="zh-CN"/>
        </w:rPr>
        <w:t>践行理念，保护绿水青山。</w:t>
      </w:r>
      <w:r>
        <w:rPr>
          <w:rFonts w:hint="eastAsia" w:ascii="宋体" w:hAnsi="宋体" w:eastAsia="宋体" w:cs="宋体"/>
          <w:b w:val="0"/>
          <w:bCs w:val="0"/>
          <w:color w:val="auto"/>
          <w:sz w:val="28"/>
          <w:szCs w:val="28"/>
        </w:rPr>
        <w:t>大力推进河长制，狠抓</w:t>
      </w:r>
      <w:r>
        <w:rPr>
          <w:rFonts w:hint="eastAsia" w:ascii="宋体" w:hAnsi="宋体" w:eastAsia="宋体" w:cs="宋体"/>
          <w:b w:val="0"/>
          <w:bCs w:val="0"/>
          <w:color w:val="auto"/>
          <w:sz w:val="28"/>
          <w:szCs w:val="28"/>
          <w:lang w:eastAsia="zh-CN"/>
        </w:rPr>
        <w:t>湘江流域</w:t>
      </w:r>
      <w:r>
        <w:rPr>
          <w:rFonts w:hint="eastAsia" w:ascii="宋体" w:hAnsi="宋体" w:eastAsia="宋体" w:cs="宋体"/>
          <w:b w:val="0"/>
          <w:bCs w:val="0"/>
          <w:color w:val="auto"/>
          <w:sz w:val="28"/>
          <w:szCs w:val="28"/>
        </w:rPr>
        <w:t>治理、垃圾清理和生态修复，切实改善</w:t>
      </w:r>
      <w:r>
        <w:rPr>
          <w:rFonts w:hint="eastAsia" w:ascii="宋体" w:hAnsi="宋体" w:eastAsia="宋体" w:cs="宋体"/>
          <w:b w:val="0"/>
          <w:bCs w:val="0"/>
          <w:color w:val="auto"/>
          <w:sz w:val="28"/>
          <w:szCs w:val="28"/>
          <w:lang w:eastAsia="zh-CN"/>
        </w:rPr>
        <w:t>湘江</w:t>
      </w:r>
      <w:r>
        <w:rPr>
          <w:rFonts w:hint="eastAsia" w:ascii="宋体" w:hAnsi="宋体" w:eastAsia="宋体" w:cs="宋体"/>
          <w:b w:val="0"/>
          <w:bCs w:val="0"/>
          <w:color w:val="auto"/>
          <w:sz w:val="28"/>
          <w:szCs w:val="28"/>
        </w:rPr>
        <w:t>流域的生态环境。严守生态红线，加强生态系统保护，严打非法采砂采石行为，规范开采非煤矿山资源。集中整治建筑垃圾、渣土车、秸秆焚烧等污染，推进化工等企业污染治理。实施“山长制”，明确山长职责，开展植树造林、森林防火，严厉打击违法采伐和滥砍滥伐。</w:t>
      </w:r>
      <w:r>
        <w:rPr>
          <w:rFonts w:hint="eastAsia" w:ascii="宋体" w:hAnsi="宋体" w:eastAsia="宋体" w:cs="宋体"/>
          <w:b w:val="0"/>
          <w:bCs w:val="0"/>
          <w:color w:val="auto"/>
          <w:sz w:val="28"/>
          <w:szCs w:val="28"/>
          <w:lang w:eastAsia="zh-CN"/>
        </w:rPr>
        <w:t>突出重点，推行禁炮殡改。充分利用“村村通”、流动宣传车、微信平台等手段，通过播放通告、发放资料、悬挂横幅、入户宣讲等多种形式进行广泛宣传，并加大正反典型的宣传报道，及时表彰先进、鞭策后进；各村（社区）必须要组建一支精干高效、敢于担当的工作队伍，形成主管领导亲自抓，网格员、信息员齐抓共管的格局，并构建长效机制，大力培育倡导文明新风，充分发挥先锋模范作用，充实完善网格管理内容，全面推进禁烟禁炮和殡葬改革工作。</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54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扎实开展农村人居环境综合整治三年行动，大力实施以“一拆二改三清四化”为重点的村庄清洁行动，打造好开云示范片。推进农村人居环境综合整治示范片工程，推进农村厕所革命，推进村组垃圾收集点建设和垃圾集中清运工作，推进乡镇污水处理厂建设，完善农村垃圾处理、污水处理体系。积极推进点亮乡村工程，引导和支持村庄主要出入口、主干道和公共活动空间合理设置路灯。加强集镇“五乱”治理，重点整治乱搭乱建、车辆乱停乱靠、电气线路私拉乱建、污水乱排、垃圾乱扔等现象。全面完成农村“空心房”清理和“大棚房”整治年度任务，依法依规拆除闲置房、危旧房、违建房。</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542" w:firstLineChars="200"/>
        <w:textAlignment w:val="auto"/>
        <w:rPr>
          <w:rFonts w:hint="eastAsia" w:ascii="宋体" w:hAnsi="宋体" w:eastAsia="宋体" w:cs="宋体"/>
          <w:b w:val="0"/>
          <w:bCs w:val="0"/>
          <w:color w:val="auto"/>
          <w:spacing w:val="0"/>
          <w:kern w:val="11"/>
          <w:sz w:val="28"/>
          <w:szCs w:val="28"/>
          <w:lang w:val="en-US" w:eastAsia="zh-CN"/>
        </w:rPr>
      </w:pPr>
      <w:r>
        <w:rPr>
          <w:rFonts w:hint="eastAsia" w:ascii="宋体" w:hAnsi="宋体" w:eastAsia="宋体" w:cs="宋体"/>
          <w:b w:val="0"/>
          <w:bCs w:val="0"/>
          <w:color w:val="auto"/>
          <w:sz w:val="28"/>
          <w:szCs w:val="28"/>
          <w:lang w:eastAsia="zh-CN"/>
        </w:rPr>
        <w:t>五是</w:t>
      </w:r>
      <w:r>
        <w:rPr>
          <w:rFonts w:hint="eastAsia" w:ascii="宋体" w:hAnsi="宋体" w:eastAsia="宋体" w:cs="宋体"/>
          <w:b w:val="0"/>
          <w:bCs w:val="0"/>
          <w:color w:val="auto"/>
          <w:spacing w:val="0"/>
          <w:kern w:val="11"/>
          <w:sz w:val="28"/>
          <w:szCs w:val="28"/>
          <w:lang w:val="en-US" w:eastAsia="zh-CN"/>
        </w:rPr>
        <w:t>巩固拓展脱贫攻坚成果同乡村振兴有效衔接。建立健全防止返贫长效机制，坚决落实“四个不摘”要求，确保各项政策帮扶总体力度不减并平稳过渡。健全动态监测和帮扶机制，继续加强产业帮扶，补上技术、设施、营销等短板，防止规模性返贫。持续强化易地搬迁后续帮扶工作，多渠道促进就业，加强配套基础设施和公共服务。</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rPr>
        <w:t>六、绩效自评结果拟应用和公开情况</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4"/>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90"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 xml:space="preserve">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 xml:space="preserve"> 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 xml:space="preserve">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nil"/>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 xml:space="preserve"> 6</w:t>
            </w:r>
          </w:p>
        </w:tc>
      </w:tr>
      <w:tr>
        <w:tblPrEx>
          <w:tblCellMar>
            <w:top w:w="0" w:type="dxa"/>
            <w:left w:w="108" w:type="dxa"/>
            <w:bottom w:w="0" w:type="dxa"/>
            <w:right w:w="108" w:type="dxa"/>
          </w:tblCellMar>
        </w:tblPrEx>
        <w:trPr>
          <w:trHeight w:val="1255" w:hRule="atLeast"/>
          <w:jc w:val="center"/>
        </w:trPr>
        <w:tc>
          <w:tcPr>
            <w:tcW w:w="709" w:type="dxa"/>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合计</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p>
        </w:tc>
        <w:tc>
          <w:tcPr>
            <w:tcW w:w="1117"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90</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4"/>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138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37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2.49</w:t>
            </w:r>
            <w:r>
              <w:rPr>
                <w:rFonts w:hint="eastAsia" w:eastAsia="仿宋_GB2312"/>
                <w:kern w:val="0"/>
                <w:szCs w:val="21"/>
              </w:rPr>
              <w:t xml:space="preserve">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2.49</w:t>
            </w:r>
            <w:r>
              <w:rPr>
                <w:rFonts w:hint="eastAsia" w:eastAsia="仿宋_GB2312"/>
                <w:kern w:val="0"/>
                <w:szCs w:val="21"/>
              </w:rPr>
              <w:t xml:space="preserve">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81"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3115.86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2587.42</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2587.42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color w:val="auto"/>
                <w:kern w:val="0"/>
                <w:szCs w:val="21"/>
                <w:highlight w:val="none"/>
                <w:lang w:val="en-US" w:eastAsia="zh-CN"/>
              </w:rPr>
            </w:pPr>
            <w:r>
              <w:rPr>
                <w:rFonts w:eastAsia="仿宋_GB2312"/>
                <w:color w:val="auto"/>
                <w:kern w:val="0"/>
                <w:szCs w:val="21"/>
                <w:highlight w:val="none"/>
              </w:rPr>
              <w:t xml:space="preserve">  </w:t>
            </w:r>
            <w:r>
              <w:rPr>
                <w:rFonts w:hint="eastAsia" w:eastAsia="仿宋_GB2312"/>
                <w:color w:val="auto"/>
                <w:kern w:val="0"/>
                <w:szCs w:val="21"/>
                <w:highlight w:val="none"/>
                <w:lang w:val="en-US" w:eastAsia="zh-CN"/>
              </w:rPr>
              <w:t>村级运行经费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eastAsia="仿宋_GB2312" w:cs="Times New Roman"/>
                <w:color w:val="auto"/>
                <w:kern w:val="0"/>
                <w:sz w:val="21"/>
                <w:szCs w:val="21"/>
                <w:highlight w:val="none"/>
                <w:lang w:val="en-US" w:eastAsia="zh-CN" w:bidi="ar-SA"/>
              </w:rPr>
              <w:t>268.68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272.35</w:t>
            </w: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272.35</w:t>
            </w: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01" w:firstLineChars="100"/>
              <w:jc w:val="both"/>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社区运行经费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eastAsia="仿宋_GB2312" w:cs="Times New Roman"/>
                <w:color w:val="auto"/>
                <w:kern w:val="0"/>
                <w:sz w:val="21"/>
                <w:szCs w:val="21"/>
                <w:highlight w:val="none"/>
                <w:lang w:val="en-US" w:eastAsia="zh-CN" w:bidi="ar-SA"/>
              </w:rPr>
              <w:t>178.56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186.14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186.14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239.65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226.48</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226.48</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24.33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35.53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35.53</w:t>
            </w:r>
            <w:r>
              <w:rPr>
                <w:rFonts w:hint="eastAsia" w:eastAsia="仿宋_GB2312"/>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9.32</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20.5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20.5</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33.8</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33.8</w:t>
            </w:r>
            <w:r>
              <w:rPr>
                <w:rFonts w:hint="eastAsia" w:eastAsia="仿宋_GB2312"/>
                <w:kern w:val="0"/>
                <w:szCs w:val="21"/>
              </w:rPr>
              <w:t>　</w:t>
            </w:r>
          </w:p>
        </w:tc>
      </w:tr>
      <w:tr>
        <w:tblPrEx>
          <w:tblCellMar>
            <w:top w:w="0" w:type="dxa"/>
            <w:left w:w="108" w:type="dxa"/>
            <w:bottom w:w="0" w:type="dxa"/>
            <w:right w:w="108" w:type="dxa"/>
          </w:tblCellMar>
        </w:tblPrEx>
        <w:trPr>
          <w:trHeight w:val="38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1532.94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1376.75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1376.75</w:t>
            </w: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hint="eastAsia"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widowControl/>
        <w:jc w:val="center"/>
        <w:rPr>
          <w:rFonts w:ascii="方正小标宋_GBK" w:hAnsi="宋体" w:eastAsia="方正小标宋_GBK" w:cs="宋体"/>
          <w:color w:val="FF0000"/>
          <w:kern w:val="0"/>
          <w:sz w:val="36"/>
          <w:szCs w:val="36"/>
        </w:rPr>
      </w:pPr>
      <w:r>
        <w:rPr>
          <w:rFonts w:ascii="方正小标宋_GBK" w:hAnsi="宋体" w:eastAsia="方正小标宋_GBK" w:cs="宋体"/>
          <w:color w:val="FF0000"/>
          <w:kern w:val="0"/>
          <w:sz w:val="36"/>
          <w:szCs w:val="36"/>
        </w:rPr>
        <w:t>20</w:t>
      </w:r>
      <w:r>
        <w:rPr>
          <w:rFonts w:hint="eastAsia" w:ascii="方正小标宋_GBK" w:hAnsi="宋体" w:eastAsia="方正小标宋_GBK" w:cs="宋体"/>
          <w:color w:val="FF0000"/>
          <w:kern w:val="0"/>
          <w:sz w:val="36"/>
          <w:szCs w:val="36"/>
          <w:lang w:val="en-US" w:eastAsia="zh-CN"/>
        </w:rPr>
        <w:t>21</w:t>
      </w:r>
      <w:r>
        <w:rPr>
          <w:rFonts w:hint="eastAsia" w:ascii="方正小标宋_GBK" w:hAnsi="宋体" w:eastAsia="方正小标宋_GBK" w:cs="宋体"/>
          <w:color w:val="FF0000"/>
          <w:kern w:val="0"/>
          <w:sz w:val="36"/>
          <w:szCs w:val="36"/>
        </w:rPr>
        <w:t>年度县级专项资金绩效目标自评表</w:t>
      </w:r>
    </w:p>
    <w:tbl>
      <w:tblPr>
        <w:tblStyle w:val="4"/>
        <w:tblpPr w:leftFromText="180" w:rightFromText="180" w:vertAnchor="text" w:horzAnchor="page" w:tblpX="1588" w:tblpY="300"/>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1021"/>
        <w:gridCol w:w="669"/>
        <w:gridCol w:w="1290"/>
        <w:gridCol w:w="888"/>
        <w:gridCol w:w="1787"/>
        <w:gridCol w:w="469"/>
        <w:gridCol w:w="119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7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专项资金名称</w:t>
            </w:r>
          </w:p>
        </w:tc>
        <w:tc>
          <w:tcPr>
            <w:tcW w:w="21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衡山县开云镇人民政府村级运行经费</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负责人</w:t>
            </w:r>
          </w:p>
        </w:tc>
        <w:tc>
          <w:tcPr>
            <w:tcW w:w="268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周晓丹13974789162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及电话</w:t>
            </w:r>
          </w:p>
        </w:tc>
        <w:tc>
          <w:tcPr>
            <w:tcW w:w="268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7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县级主管部门</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实施单位</w:t>
            </w:r>
          </w:p>
        </w:tc>
        <w:tc>
          <w:tcPr>
            <w:tcW w:w="26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7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项目资金（万元）</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全年预算数（A）</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全年执行数（B）</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年度资金总额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其中：中央、省、市补助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县级资金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其他资金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年度总体目标</w:t>
            </w:r>
          </w:p>
        </w:tc>
        <w:tc>
          <w:tcPr>
            <w:tcW w:w="38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年初设定目标　</w:t>
            </w:r>
          </w:p>
        </w:tc>
        <w:tc>
          <w:tcPr>
            <w:tcW w:w="4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38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落实村级运行经费，建立正常增长机制</w:t>
            </w:r>
          </w:p>
        </w:tc>
        <w:tc>
          <w:tcPr>
            <w:tcW w:w="4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保障人员经费、公用经费全部到位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  效    指  标</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21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三级指标</w:t>
            </w:r>
          </w:p>
        </w:tc>
        <w:tc>
          <w:tcPr>
            <w:tcW w:w="1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年度指标值</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未完成原因和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完成值</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   出   指   标</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行政村个数</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村干部工资发放人数</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村干部基本报酬</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≧人平收入2倍</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230.59万元</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村级办公经费</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办公经费一般每村每年不低于3万元，常住人口在3000人以上的村一般不低于4万元</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平均2.45万元</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人员工资</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230.59</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230.59万元</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公用经费</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41.76</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41.76万元</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人均工资发放到位</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完成时间</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6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行政村各项工作稳步挤进</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行政村各项工作稳步挤进</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行政村各项工作稳步挤进</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确保社会和谐稳定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c>
          <w:tcPr>
            <w:tcW w:w="833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4" w:hRule="atLeast"/>
        </w:trPr>
        <w:tc>
          <w:tcPr>
            <w:tcW w:w="9358" w:type="dxa"/>
            <w:gridSpan w:val="9"/>
            <w:tcBorders>
              <w:top w:val="nil"/>
              <w:left w:val="nil"/>
              <w:bottom w:val="nil"/>
              <w:right w:val="nil"/>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注：</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1、其他资金包括和中央、省、市补助、地方财政资金共同投入到同一项目的自有资金、社会资金，以及以前年度的结转结余资金等。 </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2、定量指标，资金使用单位填写本地区实际完成数。各部门汇总时，对绝对值直接累加计算，相对值按照资金额度加权平均计算。</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定性指标根据指标完成情况分为：全部或基本达成预期指标、部分达成预期指标并具有一定效果、未达成预期指标且效果较差三档，资金使用单位分别按照100％—80％（含）、80％—60％（含）、60％—0％合理填写完成比例。</w:t>
            </w:r>
          </w:p>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4、各主管部门及资金使用单位填写《自评表》并报送同级财政部门审核后，形成县级专项资金《自评表》</w:t>
            </w:r>
          </w:p>
        </w:tc>
      </w:tr>
    </w:tbl>
    <w:p>
      <w:pPr>
        <w:rPr>
          <w:rFonts w:eastAsia="仿宋_GB2312"/>
          <w:kern w:val="0"/>
          <w:sz w:val="22"/>
          <w:szCs w:val="22"/>
        </w:rPr>
      </w:pPr>
    </w:p>
    <w:tbl>
      <w:tblPr>
        <w:tblStyle w:val="4"/>
        <w:tblW w:w="9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0"/>
        <w:gridCol w:w="750"/>
        <w:gridCol w:w="889"/>
        <w:gridCol w:w="1148"/>
        <w:gridCol w:w="975"/>
        <w:gridCol w:w="1634"/>
        <w:gridCol w:w="971"/>
        <w:gridCol w:w="1027"/>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专项资金名称</w:t>
            </w:r>
          </w:p>
        </w:tc>
        <w:tc>
          <w:tcPr>
            <w:tcW w:w="21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衡山县开云镇人民政府社区运行经费</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负责人</w:t>
            </w:r>
          </w:p>
        </w:tc>
        <w:tc>
          <w:tcPr>
            <w:tcW w:w="29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周晓丹13974789162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及电话</w:t>
            </w:r>
          </w:p>
        </w:tc>
        <w:tc>
          <w:tcPr>
            <w:tcW w:w="29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县级主管部门</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实施单位</w:t>
            </w:r>
          </w:p>
        </w:tc>
        <w:tc>
          <w:tcPr>
            <w:tcW w:w="29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项目资金（万元）</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全年预算数（A）</w:t>
            </w: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全年执行数（B）</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其中：中央、省、市补助</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县级资金</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其他资金</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年度总体目标</w:t>
            </w:r>
          </w:p>
        </w:tc>
        <w:tc>
          <w:tcPr>
            <w:tcW w:w="37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年初设定目标　</w:t>
            </w:r>
          </w:p>
        </w:tc>
        <w:tc>
          <w:tcPr>
            <w:tcW w:w="46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37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落实社区运行经费，保障正常增长机制</w:t>
            </w:r>
          </w:p>
        </w:tc>
        <w:tc>
          <w:tcPr>
            <w:tcW w:w="46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保障人员经费、公用经费按标准全部到位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  效    指  标</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21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三级指标</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年度指标值</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未完成原因和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完成值</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   出   指   标</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社区居委会个数</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社区居委会干部工资发放人数</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社区居委会基本报酬</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≧人平收入2倍</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168.18</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社区居委会办公经费</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办公经费一般每村每年不低于3万元，常住人口在3000人以上的村一般不低于4万元</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平均3.87万元</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人员工资</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168.18</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168.18万元</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公用经费</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17.96</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17.96万元</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人均工资发放到位</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完成时间</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8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社区各项工作稳步挤进</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社区村各项工作稳步挤进</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社区村各项工作稳步挤进</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确保社会和谐稳定</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c>
          <w:tcPr>
            <w:tcW w:w="836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9338"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注：</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1、其他资金包括和中央、省、市补助、地方财政资金共同投入到同一项目的自有资金、社会资金，以及以前年度的结转结余资金等。 </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2、定量指标，资金使用单位填写本地区实际完成数。各部门汇总时，对绝对值直接累加计算，相对值按照资金额度加权平均计算。</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定性指标根据指标完成情况分为：全部或基本达成预期指标、部分达成预期指标并具有一定效果、未达成预期指标且效果较差三档，资金使用单位分别按照100％—80％（含）、80％—60％（含）、60％—0％合理填写完成比例。</w:t>
            </w:r>
          </w:p>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4、各主管部门及资金使用单位填写《自评表》并报送同级财政部门审核后，形成县级专项资金《自评表》</w:t>
            </w:r>
          </w:p>
        </w:tc>
      </w:tr>
    </w:tbl>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42FE7"/>
    <w:multiLevelType w:val="singleLevel"/>
    <w:tmpl w:val="83842FE7"/>
    <w:lvl w:ilvl="0" w:tentative="0">
      <w:start w:val="1"/>
      <w:numFmt w:val="chineseCounting"/>
      <w:suff w:val="nothing"/>
      <w:lvlText w:val="%1、"/>
      <w:lvlJc w:val="left"/>
      <w:rPr>
        <w:rFonts w:hint="eastAsia"/>
      </w:rPr>
    </w:lvl>
  </w:abstractNum>
  <w:abstractNum w:abstractNumId="1">
    <w:nsid w:val="460B5A7E"/>
    <w:multiLevelType w:val="multilevel"/>
    <w:tmpl w:val="460B5A7E"/>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1a6834cc-faf5-45d8-89d3-7058919505ed"/>
  </w:docVars>
  <w:rsids>
    <w:rsidRoot w:val="00000000"/>
    <w:rsid w:val="00BE32F3"/>
    <w:rsid w:val="02D92E40"/>
    <w:rsid w:val="03AB5383"/>
    <w:rsid w:val="05CF7D50"/>
    <w:rsid w:val="0664493D"/>
    <w:rsid w:val="06BC6527"/>
    <w:rsid w:val="07F1400C"/>
    <w:rsid w:val="082769D8"/>
    <w:rsid w:val="09322AD0"/>
    <w:rsid w:val="0AB614DF"/>
    <w:rsid w:val="0CF9341B"/>
    <w:rsid w:val="0D29243C"/>
    <w:rsid w:val="0D305579"/>
    <w:rsid w:val="0D3C216F"/>
    <w:rsid w:val="0D5A43A4"/>
    <w:rsid w:val="0DDD6D83"/>
    <w:rsid w:val="0FFE3950"/>
    <w:rsid w:val="10667503"/>
    <w:rsid w:val="11FA7F03"/>
    <w:rsid w:val="12C549B5"/>
    <w:rsid w:val="143F70C6"/>
    <w:rsid w:val="165878EE"/>
    <w:rsid w:val="16D370E2"/>
    <w:rsid w:val="16DA0303"/>
    <w:rsid w:val="17F378CF"/>
    <w:rsid w:val="18100480"/>
    <w:rsid w:val="184E0FA9"/>
    <w:rsid w:val="195C14A3"/>
    <w:rsid w:val="19AC41D9"/>
    <w:rsid w:val="1A042775"/>
    <w:rsid w:val="1A310B82"/>
    <w:rsid w:val="1B3F2E2B"/>
    <w:rsid w:val="1CF80842"/>
    <w:rsid w:val="1EB57C43"/>
    <w:rsid w:val="1EEF503D"/>
    <w:rsid w:val="21690C01"/>
    <w:rsid w:val="229909F6"/>
    <w:rsid w:val="23EB3B50"/>
    <w:rsid w:val="24E707BB"/>
    <w:rsid w:val="256B319A"/>
    <w:rsid w:val="26415CA9"/>
    <w:rsid w:val="26681488"/>
    <w:rsid w:val="271F4AC7"/>
    <w:rsid w:val="27994D8D"/>
    <w:rsid w:val="28285372"/>
    <w:rsid w:val="28A10C81"/>
    <w:rsid w:val="28C45FC0"/>
    <w:rsid w:val="2B065713"/>
    <w:rsid w:val="2B9B22FF"/>
    <w:rsid w:val="2BCE4483"/>
    <w:rsid w:val="2E4F2F2D"/>
    <w:rsid w:val="2EF064BE"/>
    <w:rsid w:val="2F5C7FF7"/>
    <w:rsid w:val="2FB43990"/>
    <w:rsid w:val="3244414A"/>
    <w:rsid w:val="328E2276"/>
    <w:rsid w:val="32CE4D68"/>
    <w:rsid w:val="32E12CEE"/>
    <w:rsid w:val="33541711"/>
    <w:rsid w:val="33FB7DDF"/>
    <w:rsid w:val="344E2744"/>
    <w:rsid w:val="35A818A1"/>
    <w:rsid w:val="35A973C7"/>
    <w:rsid w:val="35E93C67"/>
    <w:rsid w:val="36EC4528"/>
    <w:rsid w:val="395F2BBE"/>
    <w:rsid w:val="398C14D9"/>
    <w:rsid w:val="3B506C62"/>
    <w:rsid w:val="3C3976F6"/>
    <w:rsid w:val="3EA03A5D"/>
    <w:rsid w:val="40E02836"/>
    <w:rsid w:val="42DC0DDB"/>
    <w:rsid w:val="432D5ADB"/>
    <w:rsid w:val="4424010E"/>
    <w:rsid w:val="44F7014F"/>
    <w:rsid w:val="456F0914"/>
    <w:rsid w:val="463E60E7"/>
    <w:rsid w:val="46B34549"/>
    <w:rsid w:val="4743767B"/>
    <w:rsid w:val="493A2D00"/>
    <w:rsid w:val="4BDE5736"/>
    <w:rsid w:val="4C2C4B82"/>
    <w:rsid w:val="4D1F46E6"/>
    <w:rsid w:val="4D87761A"/>
    <w:rsid w:val="4DDC6134"/>
    <w:rsid w:val="4DE1374A"/>
    <w:rsid w:val="4E1B3100"/>
    <w:rsid w:val="520E0886"/>
    <w:rsid w:val="52147135"/>
    <w:rsid w:val="524B3888"/>
    <w:rsid w:val="55C51BA3"/>
    <w:rsid w:val="560C615E"/>
    <w:rsid w:val="5632548A"/>
    <w:rsid w:val="56761D56"/>
    <w:rsid w:val="56F73265"/>
    <w:rsid w:val="57B7551B"/>
    <w:rsid w:val="57CC0FC7"/>
    <w:rsid w:val="57CF6D09"/>
    <w:rsid w:val="592D1F39"/>
    <w:rsid w:val="593A38B1"/>
    <w:rsid w:val="599E4BE5"/>
    <w:rsid w:val="5AE42ACB"/>
    <w:rsid w:val="5BF6534F"/>
    <w:rsid w:val="5DAF5613"/>
    <w:rsid w:val="5E604B5F"/>
    <w:rsid w:val="5F942D12"/>
    <w:rsid w:val="5FE1582B"/>
    <w:rsid w:val="6042276E"/>
    <w:rsid w:val="60824919"/>
    <w:rsid w:val="625B18C5"/>
    <w:rsid w:val="627209BD"/>
    <w:rsid w:val="62F13FD7"/>
    <w:rsid w:val="63530851"/>
    <w:rsid w:val="63E8362C"/>
    <w:rsid w:val="645D553B"/>
    <w:rsid w:val="64793590"/>
    <w:rsid w:val="650049A6"/>
    <w:rsid w:val="676B07FC"/>
    <w:rsid w:val="688F051A"/>
    <w:rsid w:val="68AF296B"/>
    <w:rsid w:val="68E72104"/>
    <w:rsid w:val="6950757C"/>
    <w:rsid w:val="69C86DD5"/>
    <w:rsid w:val="6A667059"/>
    <w:rsid w:val="6ADE0E73"/>
    <w:rsid w:val="6BAC13E3"/>
    <w:rsid w:val="6C44161C"/>
    <w:rsid w:val="6C482581"/>
    <w:rsid w:val="6D6F091A"/>
    <w:rsid w:val="6DC347C2"/>
    <w:rsid w:val="6F3239AE"/>
    <w:rsid w:val="6F771D08"/>
    <w:rsid w:val="6FD42CB7"/>
    <w:rsid w:val="713F52B8"/>
    <w:rsid w:val="71B27028"/>
    <w:rsid w:val="71FE401B"/>
    <w:rsid w:val="721B697B"/>
    <w:rsid w:val="722C4E7D"/>
    <w:rsid w:val="74213FF1"/>
    <w:rsid w:val="753D4E5A"/>
    <w:rsid w:val="75812F99"/>
    <w:rsid w:val="75D67789"/>
    <w:rsid w:val="77CE623E"/>
    <w:rsid w:val="781C34BC"/>
    <w:rsid w:val="78414C61"/>
    <w:rsid w:val="784A7FBA"/>
    <w:rsid w:val="79144124"/>
    <w:rsid w:val="799539AD"/>
    <w:rsid w:val="7AAA2F92"/>
    <w:rsid w:val="7C80044E"/>
    <w:rsid w:val="7CF130FA"/>
    <w:rsid w:val="7D292894"/>
    <w:rsid w:val="7E5C45A3"/>
    <w:rsid w:val="7F8F2756"/>
    <w:rsid w:val="7FD20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99"/>
    <w:rPr>
      <w:sz w:val="32"/>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列出段落1"/>
    <w:basedOn w:val="1"/>
    <w:qFormat/>
    <w:uiPriority w:val="99"/>
    <w:pPr>
      <w:ind w:firstLine="420" w:firstLineChars="200"/>
    </w:p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7750</Words>
  <Characters>8333</Characters>
  <Lines>0</Lines>
  <Paragraphs>0</Paragraphs>
  <TotalTime>13</TotalTime>
  <ScaleCrop>false</ScaleCrop>
  <LinksUpToDate>false</LinksUpToDate>
  <CharactersWithSpaces>8772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蒋阔</cp:lastModifiedBy>
  <cp:lastPrinted>2022-07-15T03:05:00Z</cp:lastPrinted>
  <dcterms:modified xsi:type="dcterms:W3CDTF">2024-06-17T00:48:22Z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447B73FFA9C1421C9BFA5B722BF46505_13</vt:lpwstr>
  </property>
</Properties>
</file>