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E7460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3358CBF2">
      <w:pPr>
        <w:rPr>
          <w:rFonts w:ascii="黑体" w:eastAsia="黑体"/>
          <w:sz w:val="32"/>
          <w:szCs w:val="32"/>
        </w:rPr>
      </w:pPr>
    </w:p>
    <w:p w14:paraId="3AEB9C35"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/>
          <w:sz w:val="48"/>
          <w:szCs w:val="48"/>
        </w:rPr>
        <w:t>20</w:t>
      </w:r>
      <w:r>
        <w:rPr>
          <w:rFonts w:hint="eastAsia" w:ascii="方正小标宋_GBK" w:eastAsia="方正小标宋_GBK"/>
          <w:sz w:val="48"/>
          <w:szCs w:val="48"/>
        </w:rPr>
        <w:t>2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3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 w14:paraId="04DA8521">
      <w:pPr>
        <w:rPr>
          <w:rFonts w:ascii="楷体_GB2312" w:eastAsia="楷体_GB2312"/>
          <w:b/>
          <w:sz w:val="32"/>
          <w:szCs w:val="32"/>
        </w:rPr>
      </w:pPr>
    </w:p>
    <w:p w14:paraId="02AE89A0">
      <w:pPr>
        <w:jc w:val="center"/>
        <w:rPr>
          <w:rFonts w:ascii="黑体" w:eastAsia="黑体"/>
          <w:sz w:val="32"/>
          <w:szCs w:val="32"/>
        </w:rPr>
      </w:pPr>
    </w:p>
    <w:p w14:paraId="1F80AB8A">
      <w:pPr>
        <w:jc w:val="center"/>
        <w:rPr>
          <w:rFonts w:ascii="黑体" w:eastAsia="黑体"/>
          <w:sz w:val="32"/>
          <w:szCs w:val="32"/>
        </w:rPr>
      </w:pPr>
    </w:p>
    <w:p w14:paraId="6D3F6B38">
      <w:pPr>
        <w:jc w:val="center"/>
        <w:rPr>
          <w:rFonts w:ascii="黑体" w:eastAsia="黑体"/>
          <w:sz w:val="32"/>
          <w:szCs w:val="32"/>
        </w:rPr>
      </w:pPr>
    </w:p>
    <w:p w14:paraId="449E2236">
      <w:pPr>
        <w:jc w:val="center"/>
        <w:rPr>
          <w:rFonts w:ascii="黑体" w:eastAsia="黑体"/>
          <w:sz w:val="32"/>
          <w:szCs w:val="32"/>
        </w:rPr>
      </w:pPr>
    </w:p>
    <w:p w14:paraId="20E7CB50">
      <w:pPr>
        <w:jc w:val="center"/>
        <w:rPr>
          <w:rFonts w:ascii="黑体" w:eastAsia="黑体"/>
          <w:sz w:val="32"/>
          <w:szCs w:val="32"/>
        </w:rPr>
      </w:pPr>
    </w:p>
    <w:p w14:paraId="1FA77C18">
      <w:pPr>
        <w:jc w:val="center"/>
        <w:rPr>
          <w:rFonts w:ascii="黑体" w:eastAsia="黑体"/>
          <w:sz w:val="32"/>
          <w:szCs w:val="32"/>
        </w:rPr>
      </w:pPr>
    </w:p>
    <w:p w14:paraId="0DF9BAD7">
      <w:pPr>
        <w:jc w:val="center"/>
        <w:rPr>
          <w:rFonts w:ascii="黑体" w:eastAsia="黑体"/>
          <w:sz w:val="32"/>
          <w:szCs w:val="32"/>
        </w:rPr>
      </w:pPr>
    </w:p>
    <w:p w14:paraId="11F341E8">
      <w:pPr>
        <w:rPr>
          <w:rFonts w:ascii="黑体" w:eastAsia="黑体"/>
          <w:sz w:val="32"/>
          <w:szCs w:val="32"/>
        </w:rPr>
      </w:pPr>
    </w:p>
    <w:p w14:paraId="2DE85D1D">
      <w:pPr>
        <w:jc w:val="center"/>
        <w:rPr>
          <w:rFonts w:ascii="黑体" w:eastAsia="黑体"/>
          <w:sz w:val="32"/>
          <w:szCs w:val="32"/>
        </w:rPr>
      </w:pPr>
    </w:p>
    <w:p w14:paraId="31A61927"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eastAsia="宋体" w:cs="宋体"/>
          <w:b/>
          <w:color w:val="000000"/>
          <w:kern w:val="0"/>
          <w:sz w:val="44"/>
          <w:szCs w:val="44"/>
        </w:rPr>
        <w:t>衡山县花鼓戏剧团</w:t>
      </w:r>
    </w:p>
    <w:p w14:paraId="2DE7D119">
      <w:pPr>
        <w:jc w:val="center"/>
        <w:rPr>
          <w:rFonts w:ascii="黑体" w:eastAsia="黑体"/>
          <w:sz w:val="32"/>
          <w:szCs w:val="32"/>
        </w:rPr>
      </w:pPr>
    </w:p>
    <w:p w14:paraId="0FAEECBE">
      <w:pPr>
        <w:jc w:val="center"/>
        <w:rPr>
          <w:rFonts w:ascii="黑体" w:eastAsia="黑体"/>
          <w:sz w:val="32"/>
          <w:szCs w:val="32"/>
        </w:rPr>
      </w:pPr>
    </w:p>
    <w:p w14:paraId="4111330F">
      <w:pPr>
        <w:rPr>
          <w:rFonts w:ascii="黑体" w:eastAsia="黑体"/>
          <w:sz w:val="32"/>
          <w:szCs w:val="32"/>
        </w:rPr>
      </w:pPr>
    </w:p>
    <w:p w14:paraId="6E351CC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（此页为封面）</w:t>
      </w:r>
    </w:p>
    <w:p w14:paraId="7BC8526A"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 w14:paraId="7EBA707F"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 w14:paraId="71247E63"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 w14:paraId="1141D76F"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 w14:paraId="63AE9DE0">
      <w:pPr>
        <w:ind w:firstLine="582" w:firstLineChars="200"/>
        <w:rPr>
          <w:rFonts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一、部门、单位基本情况</w:t>
      </w:r>
    </w:p>
    <w:p w14:paraId="282A14E3"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（一）单位主要职责</w:t>
      </w:r>
    </w:p>
    <w:p w14:paraId="768435AC">
      <w:pPr>
        <w:spacing w:line="570" w:lineRule="atLeast"/>
        <w:ind w:firstLine="622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作生产多姿多彩的剧（节）目,丰富群众文化生活、陶冶观众情操、宣传国家文化方针政策和社会主义精神文明建设；参加全县社区、广场、企业、校园、乡村等各种文化下乡演出活动；传统花鼓灯艺术整理与保护艺术作品；普及戏曲艺术及推广艺术创作表演人才培养，传承戏曲文化；衡山剧院承接县委、县政府各种重要会议接待，承接各外团院校的各类演出工作。</w:t>
      </w:r>
      <w:bookmarkEnd w:id="0"/>
    </w:p>
    <w:p w14:paraId="554D9B09"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（二）机构设置及人员情况</w:t>
      </w:r>
    </w:p>
    <w:p w14:paraId="1C4C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2"/>
      <w:bookmarkStart w:id="2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衡山县花鼓戏剧团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为正股级公益类事业单位，差额拨款事业编制15名，设团长1名，副团长2名。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现有在职在岗在编职工</w:t>
      </w:r>
      <w:bookmarkStart w:id="3" w:name="JBQK_XYZGZBZG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人，离退休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聘人员7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人。</w:t>
      </w:r>
    </w:p>
    <w:p w14:paraId="77FC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58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  <w:t>预算支出及绩效情况</w:t>
      </w:r>
    </w:p>
    <w:p w14:paraId="00AC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一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部门预决算情况</w:t>
      </w:r>
    </w:p>
    <w:p w14:paraId="3EEF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1.部门预算情况</w:t>
      </w:r>
    </w:p>
    <w:p w14:paraId="34CB7692">
      <w:pPr>
        <w:widowControl/>
        <w:shd w:val="clear" w:color="auto" w:fill="FFFFFF"/>
        <w:spacing w:line="420" w:lineRule="atLeast"/>
        <w:ind w:firstLine="582" w:firstLineChars="200"/>
        <w:jc w:val="left"/>
        <w:textAlignment w:val="bottom"/>
        <w:rPr>
          <w:rFonts w:hint="eastAsia" w:ascii="仿宋" w:hAnsi="仿宋" w:eastAsia="仿宋" w:cs="Calibri"/>
          <w:color w:val="000000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衡山县花鼓戏剧团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部门202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3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年收入预算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万元，其中：一般公共预算财政拨款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万元，纳入预算管理的非税收入拨款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万元。全年支出预算总计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万元，其中基本支出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100.51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万元（工资福利支出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94.51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万元、一般商品和服务支出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万元、对个人和家庭的补助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6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万元）、项目支出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104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</w:t>
      </w:r>
    </w:p>
    <w:p w14:paraId="7C36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2.部门决算情况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含年中预算追加情况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）</w:t>
      </w:r>
    </w:p>
    <w:p w14:paraId="17D3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年决算总收入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322.23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万元，较预算增加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117.72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万元，总支出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322.23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万元，其中：基本支出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215.62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67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项目支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106.61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33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%。差异产生的主要原因是</w:t>
      </w:r>
      <w:r>
        <w:rPr>
          <w:rFonts w:hint="eastAsia" w:eastAsia="仿宋" w:cs="Times New Roman"/>
          <w:spacing w:val="0"/>
          <w:position w:val="0"/>
          <w:sz w:val="33"/>
          <w:szCs w:val="33"/>
          <w:lang w:eastAsia="zh-CN"/>
        </w:rPr>
        <w:t>年中增加项目预算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。</w:t>
      </w:r>
    </w:p>
    <w:p w14:paraId="0131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3.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经费执行情况</w:t>
      </w:r>
    </w:p>
    <w:p w14:paraId="6586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年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经费预算数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万元，公务用车购置及运行维护费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万元。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经费决算数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万元，公务用车运行维护费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</w:p>
    <w:p w14:paraId="1BEE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4.政府采购执行情况</w:t>
      </w:r>
    </w:p>
    <w:p w14:paraId="793D8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年度政府采购支出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114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万元，其中：货物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万元，工程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万元，服务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</w:p>
    <w:p w14:paraId="1F24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5.资产管理情况</w:t>
      </w:r>
    </w:p>
    <w:p w14:paraId="39F3D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年年末资产总额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万元，负债总额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万元，净资产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万元。截至202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年12月31日，固定资产账面原值170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68万元，在用资产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170.68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万元，资产使用率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%。</w:t>
      </w:r>
    </w:p>
    <w:p w14:paraId="2C5AA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二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资金使用及绩效情况</w:t>
      </w:r>
    </w:p>
    <w:p w14:paraId="7ED1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1.整体绩效目标完成情况</w:t>
      </w:r>
    </w:p>
    <w:p w14:paraId="687ED100">
      <w:pPr>
        <w:pStyle w:val="8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我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团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积极履职，强化管理，较好的完成了年度工作目标。通过加强预算收支管理，不断建立健全内部管理制度，梳理内部管理流程，部门整体支出管理水平得到提升。</w:t>
      </w:r>
    </w:p>
    <w:p w14:paraId="4B4E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02" w:firstLineChars="200"/>
        <w:jc w:val="both"/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2.项目绩效目标完成情况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仅对50万元以上的项目资金进行分项说明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</w:p>
    <w:p w14:paraId="6842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  <w:t>无</w:t>
      </w:r>
    </w:p>
    <w:p w14:paraId="35FFBF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存在的问题及改进措施</w:t>
      </w:r>
    </w:p>
    <w:p w14:paraId="692B825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1、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细化预算编制工作，认真做好预算的编制。进一步加强单位内部机构各股室的预算管理意识，严格按照预算编制的相关制度和要求进行预算编制。</w:t>
      </w:r>
    </w:p>
    <w:p w14:paraId="78C292F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14:paraId="3182DF4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3、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78786B1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。</w:t>
      </w:r>
    </w:p>
    <w:p w14:paraId="30C2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四、其他需要说明的情况</w:t>
      </w:r>
    </w:p>
    <w:p w14:paraId="2F6C7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2" w:firstLineChars="200"/>
        <w:jc w:val="both"/>
      </w:pPr>
      <w:r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  <w:t>无</w:t>
      </w: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425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0EC98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 w14:paraId="6B9F664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0FA07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BC4374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B2367"/>
    <w:multiLevelType w:val="singleLevel"/>
    <w:tmpl w:val="DD8B23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mI3NDg4NDM4OWZmODA3ZDYzMmE1YjlhYjg1MTAifQ=="/>
  </w:docVars>
  <w:rsids>
    <w:rsidRoot w:val="76CA2446"/>
    <w:rsid w:val="00022D25"/>
    <w:rsid w:val="00060F2F"/>
    <w:rsid w:val="0006737B"/>
    <w:rsid w:val="000A5542"/>
    <w:rsid w:val="000B4A69"/>
    <w:rsid w:val="000D3CE1"/>
    <w:rsid w:val="000E6B8C"/>
    <w:rsid w:val="00135F14"/>
    <w:rsid w:val="001651B7"/>
    <w:rsid w:val="001A03F7"/>
    <w:rsid w:val="001A627D"/>
    <w:rsid w:val="001C4444"/>
    <w:rsid w:val="00220759"/>
    <w:rsid w:val="00223DBD"/>
    <w:rsid w:val="0023676C"/>
    <w:rsid w:val="0027014E"/>
    <w:rsid w:val="00286A0E"/>
    <w:rsid w:val="00296904"/>
    <w:rsid w:val="00310C50"/>
    <w:rsid w:val="003872A3"/>
    <w:rsid w:val="003C48BD"/>
    <w:rsid w:val="00440310"/>
    <w:rsid w:val="00483CA9"/>
    <w:rsid w:val="004B21B2"/>
    <w:rsid w:val="004B56CB"/>
    <w:rsid w:val="004F1787"/>
    <w:rsid w:val="00524F6E"/>
    <w:rsid w:val="00527B92"/>
    <w:rsid w:val="00541081"/>
    <w:rsid w:val="0055589A"/>
    <w:rsid w:val="00566410"/>
    <w:rsid w:val="00580C0E"/>
    <w:rsid w:val="006004E5"/>
    <w:rsid w:val="0066181F"/>
    <w:rsid w:val="00667C76"/>
    <w:rsid w:val="00674811"/>
    <w:rsid w:val="007E05B3"/>
    <w:rsid w:val="008222BA"/>
    <w:rsid w:val="0083351F"/>
    <w:rsid w:val="00856095"/>
    <w:rsid w:val="008568EE"/>
    <w:rsid w:val="00860D04"/>
    <w:rsid w:val="00894F28"/>
    <w:rsid w:val="008B1005"/>
    <w:rsid w:val="008F51F5"/>
    <w:rsid w:val="00902C2A"/>
    <w:rsid w:val="0097553A"/>
    <w:rsid w:val="00982D8A"/>
    <w:rsid w:val="00A12869"/>
    <w:rsid w:val="00A424C4"/>
    <w:rsid w:val="00A5400C"/>
    <w:rsid w:val="00A86759"/>
    <w:rsid w:val="00A8716A"/>
    <w:rsid w:val="00B26D88"/>
    <w:rsid w:val="00B66E3E"/>
    <w:rsid w:val="00BA6B0F"/>
    <w:rsid w:val="00BC320E"/>
    <w:rsid w:val="00C26F20"/>
    <w:rsid w:val="00C27722"/>
    <w:rsid w:val="00C667B3"/>
    <w:rsid w:val="00C76C37"/>
    <w:rsid w:val="00CD4190"/>
    <w:rsid w:val="00CF7B2A"/>
    <w:rsid w:val="00DA054B"/>
    <w:rsid w:val="00E31312"/>
    <w:rsid w:val="00E90B7D"/>
    <w:rsid w:val="00EB4475"/>
    <w:rsid w:val="00ED6745"/>
    <w:rsid w:val="00F0408F"/>
    <w:rsid w:val="00F2616D"/>
    <w:rsid w:val="00F47AFE"/>
    <w:rsid w:val="00F63D80"/>
    <w:rsid w:val="00FD1F6B"/>
    <w:rsid w:val="09BC05EC"/>
    <w:rsid w:val="0D21776C"/>
    <w:rsid w:val="0F706BF2"/>
    <w:rsid w:val="193E6884"/>
    <w:rsid w:val="1CC63637"/>
    <w:rsid w:val="1DFD081B"/>
    <w:rsid w:val="1E6F53A1"/>
    <w:rsid w:val="2064408E"/>
    <w:rsid w:val="2B9E594C"/>
    <w:rsid w:val="2FAF5D60"/>
    <w:rsid w:val="3344327C"/>
    <w:rsid w:val="34A719CD"/>
    <w:rsid w:val="3D3710B0"/>
    <w:rsid w:val="3E295686"/>
    <w:rsid w:val="407F75B0"/>
    <w:rsid w:val="459C6ADE"/>
    <w:rsid w:val="4FD232EB"/>
    <w:rsid w:val="558D6683"/>
    <w:rsid w:val="593221FB"/>
    <w:rsid w:val="597D202A"/>
    <w:rsid w:val="5C9A6F33"/>
    <w:rsid w:val="5CB928FB"/>
    <w:rsid w:val="67CB360E"/>
    <w:rsid w:val="688C2F03"/>
    <w:rsid w:val="6BBA3B00"/>
    <w:rsid w:val="6BBB094C"/>
    <w:rsid w:val="70C04A87"/>
    <w:rsid w:val="750D60CF"/>
    <w:rsid w:val="76CA2446"/>
    <w:rsid w:val="7739614C"/>
    <w:rsid w:val="7B5B26D2"/>
    <w:rsid w:val="7B8C4D91"/>
    <w:rsid w:val="7CA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99"/>
    <w:pPr>
      <w:spacing w:after="120"/>
      <w:ind w:left="420"/>
    </w:p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4"/>
    </w:rPr>
  </w:style>
  <w:style w:type="paragraph" w:styleId="8">
    <w:name w:val="Body Text First Indent"/>
    <w:basedOn w:val="3"/>
    <w:next w:val="6"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1812</Words>
  <Characters>2036</Characters>
  <Lines>55</Lines>
  <Paragraphs>15</Paragraphs>
  <TotalTime>74</TotalTime>
  <ScaleCrop>false</ScaleCrop>
  <LinksUpToDate>false</LinksUpToDate>
  <CharactersWithSpaces>2142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2021-03-30T02:48:00Z</dcterms:created>
  <dc:creator>Administrator</dc:creator>
  <cp:lastModifiedBy>倩</cp:lastModifiedBy>
  <dcterms:modified xsi:type="dcterms:W3CDTF">2024-09-14T04:38:03Z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9991998691E540FD88F625E9CD5B1122_13</vt:lpwstr>
  </property>
</Properties>
</file>