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2.vsd" ContentType="application/vnd.visio"/>
  <Override PartName="/word/embeddings/Microsoft_Visio_2003-2010___6.vsd" ContentType="application/vnd.visio"/>
  <Override PartName="/word/embeddings/Microsoft_Visio___1.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bookmarkStart w:id="0" w:name="_Toc111712322"/>
      <w:r>
        <w:rPr>
          <w:rFonts w:hint="eastAsia" w:ascii="方正小标宋_GBK" w:eastAsia="方正小标宋_GBK"/>
          <w:bCs/>
          <w:sz w:val="72"/>
          <w:szCs w:val="72"/>
        </w:rPr>
        <w:t>建设项目环境影响报告表</w:t>
      </w:r>
      <w:bookmarkEnd w:id="0"/>
    </w:p>
    <w:p>
      <w:pPr>
        <w:adjustRightInd w:val="0"/>
        <w:snapToGrid w:val="0"/>
        <w:spacing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kern w:val="44"/>
          <w:sz w:val="44"/>
          <w:szCs w:val="44"/>
        </w:rPr>
      </w:pPr>
    </w:p>
    <w:p>
      <w:pPr>
        <w:jc w:val="center"/>
        <w:rPr>
          <w:rFonts w:eastAsia="仿宋"/>
          <w:sz w:val="52"/>
          <w:szCs w:val="52"/>
        </w:rPr>
      </w:pPr>
    </w:p>
    <w:p>
      <w:pPr>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1800" w:hanging="1800" w:hangingChars="500"/>
        <w:rPr>
          <w:rFonts w:asciiTheme="majorEastAsia" w:hAnsiTheme="majorEastAsia" w:eastAsiaTheme="majorEastAsia"/>
          <w:sz w:val="36"/>
          <w:szCs w:val="36"/>
          <w:u w:val="single"/>
        </w:rPr>
      </w:pPr>
      <w:bookmarkStart w:id="1" w:name="_Hlk57884087"/>
      <w:r>
        <w:rPr>
          <w:rFonts w:hint="eastAsia" w:asciiTheme="majorEastAsia" w:hAnsiTheme="majorEastAsia" w:eastAsiaTheme="majorEastAsia"/>
          <w:sz w:val="36"/>
          <w:szCs w:val="36"/>
        </w:rPr>
        <w:t>项目名称：</w:t>
      </w:r>
      <w:r>
        <w:rPr>
          <w:rFonts w:hint="eastAsia" w:asciiTheme="majorEastAsia" w:hAnsiTheme="majorEastAsia" w:eastAsiaTheme="majorEastAsia"/>
          <w:sz w:val="36"/>
          <w:szCs w:val="36"/>
          <w:u w:val="single"/>
        </w:rPr>
        <w:t xml:space="preserve"> 湖南鸿福实业有限公司新材料建设项目 </w:t>
      </w:r>
    </w:p>
    <w:p>
      <w:pPr>
        <w:adjustRightInd w:val="0"/>
        <w:snapToGrid w:val="0"/>
        <w:spacing w:line="288" w:lineRule="auto"/>
        <w:rPr>
          <w:rFonts w:asciiTheme="majorEastAsia" w:hAnsiTheme="majorEastAsia" w:eastAsiaTheme="majorEastAsia"/>
          <w:sz w:val="36"/>
          <w:szCs w:val="36"/>
        </w:rPr>
      </w:pPr>
      <w:r>
        <w:rPr>
          <w:rFonts w:hint="eastAsia" w:asciiTheme="majorEastAsia" w:hAnsiTheme="majorEastAsia" w:eastAsiaTheme="majorEastAsia"/>
          <w:sz w:val="36"/>
          <w:szCs w:val="36"/>
        </w:rPr>
        <w:t>建设单位（盖章）：</w:t>
      </w:r>
      <w:r>
        <w:rPr>
          <w:rFonts w:hint="eastAsia" w:asciiTheme="majorEastAsia" w:hAnsiTheme="majorEastAsia" w:eastAsiaTheme="majorEastAsia"/>
          <w:sz w:val="36"/>
          <w:szCs w:val="36"/>
          <w:u w:val="single"/>
        </w:rPr>
        <w:t xml:space="preserve">    湖南鸿福实业有限公司    </w:t>
      </w:r>
    </w:p>
    <w:p>
      <w:pPr>
        <w:adjustRightInd w:val="0"/>
        <w:snapToGrid w:val="0"/>
        <w:spacing w:line="288" w:lineRule="auto"/>
        <w:rPr>
          <w:rFonts w:ascii="仿宋_GB2312" w:eastAsiaTheme="majorEastAsia"/>
          <w:sz w:val="36"/>
          <w:szCs w:val="36"/>
        </w:rPr>
      </w:pPr>
      <w:r>
        <w:rPr>
          <w:rFonts w:hint="eastAsia" w:asciiTheme="majorEastAsia" w:hAnsiTheme="majorEastAsia" w:eastAsiaTheme="majorEastAsia"/>
          <w:sz w:val="36"/>
          <w:szCs w:val="36"/>
        </w:rPr>
        <w:t>编制日期：</w:t>
      </w:r>
      <w:r>
        <w:rPr>
          <w:rFonts w:hint="eastAsia" w:asciiTheme="majorEastAsia" w:hAnsiTheme="majorEastAsia" w:eastAsiaTheme="majorEastAsia"/>
          <w:sz w:val="36"/>
          <w:szCs w:val="36"/>
          <w:u w:val="single"/>
        </w:rPr>
        <w:t xml:space="preserve"> </w:t>
      </w:r>
      <w:r>
        <w:rPr>
          <w:rFonts w:asciiTheme="majorEastAsia" w:hAnsiTheme="majorEastAsia" w:eastAsiaTheme="majorEastAsia"/>
          <w:sz w:val="36"/>
          <w:szCs w:val="36"/>
          <w:u w:val="single"/>
        </w:rPr>
        <w:t xml:space="preserve">  </w:t>
      </w:r>
      <w:r>
        <w:rPr>
          <w:rFonts w:hint="eastAsia" w:asciiTheme="majorEastAsia" w:hAnsiTheme="majorEastAsia" w:eastAsiaTheme="majorEastAsia"/>
          <w:sz w:val="36"/>
          <w:szCs w:val="36"/>
          <w:u w:val="single"/>
        </w:rPr>
        <w:t xml:space="preserve">           2024年9月</w:t>
      </w:r>
      <w:r>
        <w:rPr>
          <w:rFonts w:asciiTheme="majorEastAsia" w:hAnsiTheme="majorEastAsia" w:eastAsiaTheme="majorEastAsia"/>
          <w:sz w:val="36"/>
          <w:szCs w:val="36"/>
          <w:u w:val="single"/>
        </w:rPr>
        <w:t xml:space="preserve">   </w:t>
      </w:r>
      <w:r>
        <w:rPr>
          <w:rFonts w:hint="eastAsia" w:asciiTheme="majorEastAsia" w:hAnsiTheme="majorEastAsia" w:eastAsiaTheme="majorEastAsia"/>
          <w:sz w:val="36"/>
          <w:szCs w:val="36"/>
          <w:u w:val="single"/>
        </w:rPr>
        <w:t xml:space="preserve">         </w:t>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1"/>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28"/>
        <w:jc w:val="center"/>
        <w:outlineLvl w:val="0"/>
        <w:rPr>
          <w:rFonts w:ascii="黑体" w:hAnsi="黑体" w:eastAsia="黑体"/>
          <w:snapToGrid w:val="0"/>
          <w:sz w:val="30"/>
          <w:szCs w:val="30"/>
        </w:rPr>
      </w:pPr>
      <w:bookmarkStart w:id="2" w:name="_Toc111712323"/>
      <w:bookmarkStart w:id="3" w:name="_Toc109898366"/>
      <w:r>
        <w:rPr>
          <w:rFonts w:hint="eastAsia" w:ascii="黑体" w:hAnsi="黑体" w:eastAsia="黑体"/>
          <w:snapToGrid w:val="0"/>
          <w:sz w:val="30"/>
          <w:szCs w:val="30"/>
        </w:rPr>
        <w:t>目  录</w:t>
      </w:r>
      <w:bookmarkEnd w:id="2"/>
      <w:bookmarkEnd w:id="3"/>
    </w:p>
    <w:p>
      <w:pPr>
        <w:pStyle w:val="20"/>
        <w:tabs>
          <w:tab w:val="right" w:leader="dot" w:pos="8834"/>
        </w:tabs>
        <w:spacing w:line="360" w:lineRule="auto"/>
        <w:rPr>
          <w:rFonts w:eastAsiaTheme="minorEastAsia"/>
          <w:sz w:val="24"/>
        </w:rPr>
      </w:pPr>
      <w:r>
        <w:rPr>
          <w:rFonts w:eastAsiaTheme="minorEastAsia"/>
          <w:snapToGrid w:val="0"/>
          <w:sz w:val="24"/>
        </w:rPr>
        <w:fldChar w:fldCharType="begin"/>
      </w:r>
      <w:r>
        <w:rPr>
          <w:rFonts w:eastAsiaTheme="minorEastAsia"/>
          <w:snapToGrid w:val="0"/>
          <w:sz w:val="24"/>
        </w:rPr>
        <w:instrText xml:space="preserve"> TOC \o "1-1" \h \z \u </w:instrText>
      </w:r>
      <w:r>
        <w:rPr>
          <w:rFonts w:eastAsiaTheme="minorEastAsia"/>
          <w:snapToGrid w:val="0"/>
          <w:sz w:val="24"/>
        </w:rPr>
        <w:fldChar w:fldCharType="separate"/>
      </w:r>
      <w:r>
        <w:fldChar w:fldCharType="begin"/>
      </w:r>
      <w:r>
        <w:instrText xml:space="preserve"> HYPERLINK \l "_Toc111712326" </w:instrText>
      </w:r>
      <w:r>
        <w:fldChar w:fldCharType="separate"/>
      </w:r>
      <w:r>
        <w:rPr>
          <w:rStyle w:val="37"/>
          <w:rFonts w:hAnsiTheme="minorEastAsia" w:eastAsiaTheme="minorEastAsia"/>
          <w:snapToGrid w:val="0"/>
          <w:color w:val="auto"/>
          <w:sz w:val="24"/>
          <w:u w:val="none"/>
        </w:rPr>
        <w:t>一、建设项目基本情况</w:t>
      </w:r>
      <w:r>
        <w:rPr>
          <w:rFonts w:eastAsiaTheme="minorEastAsia"/>
          <w:sz w:val="24"/>
        </w:rPr>
        <w:tab/>
      </w:r>
      <w:r>
        <w:rPr>
          <w:rFonts w:eastAsiaTheme="minorEastAsia"/>
          <w:sz w:val="24"/>
        </w:rPr>
        <w:fldChar w:fldCharType="begin"/>
      </w:r>
      <w:r>
        <w:rPr>
          <w:rFonts w:eastAsiaTheme="minorEastAsia"/>
          <w:sz w:val="24"/>
        </w:rPr>
        <w:instrText xml:space="preserve"> PAGEREF _Toc111712326 \h </w:instrText>
      </w:r>
      <w:r>
        <w:rPr>
          <w:rFonts w:eastAsiaTheme="minorEastAsia"/>
          <w:sz w:val="24"/>
        </w:rPr>
        <w:fldChar w:fldCharType="separate"/>
      </w:r>
      <w:r>
        <w:rPr>
          <w:rFonts w:eastAsiaTheme="minorEastAsia"/>
          <w:sz w:val="24"/>
        </w:rPr>
        <w:t>2</w:t>
      </w:r>
      <w:r>
        <w:rPr>
          <w:rFonts w:eastAsiaTheme="minorEastAsia"/>
          <w:sz w:val="24"/>
        </w:rPr>
        <w:fldChar w:fldCharType="end"/>
      </w:r>
      <w:r>
        <w:rPr>
          <w:rFonts w:eastAsiaTheme="minorEastAsia"/>
          <w:sz w:val="24"/>
        </w:rPr>
        <w:fldChar w:fldCharType="end"/>
      </w:r>
    </w:p>
    <w:p>
      <w:pPr>
        <w:pStyle w:val="20"/>
        <w:tabs>
          <w:tab w:val="right" w:leader="dot" w:pos="8834"/>
        </w:tabs>
        <w:spacing w:line="360" w:lineRule="auto"/>
        <w:rPr>
          <w:rFonts w:eastAsiaTheme="minorEastAsia"/>
          <w:sz w:val="24"/>
        </w:rPr>
      </w:pPr>
      <w:r>
        <w:fldChar w:fldCharType="begin"/>
      </w:r>
      <w:r>
        <w:instrText xml:space="preserve"> HYPERLINK \l "_Toc111712327" </w:instrText>
      </w:r>
      <w:r>
        <w:fldChar w:fldCharType="separate"/>
      </w:r>
      <w:r>
        <w:rPr>
          <w:rStyle w:val="37"/>
          <w:rFonts w:hAnsiTheme="minorEastAsia" w:eastAsiaTheme="minorEastAsia"/>
          <w:snapToGrid w:val="0"/>
          <w:color w:val="auto"/>
          <w:sz w:val="24"/>
          <w:u w:val="none"/>
        </w:rPr>
        <w:t>二、建设项目工程分析</w:t>
      </w:r>
      <w:r>
        <w:rPr>
          <w:rFonts w:eastAsiaTheme="minorEastAsia"/>
          <w:sz w:val="24"/>
        </w:rPr>
        <w:tab/>
      </w:r>
      <w:r>
        <w:rPr>
          <w:rFonts w:eastAsiaTheme="minorEastAsia"/>
          <w:sz w:val="24"/>
        </w:rPr>
        <w:fldChar w:fldCharType="begin"/>
      </w:r>
      <w:r>
        <w:rPr>
          <w:rFonts w:eastAsiaTheme="minorEastAsia"/>
          <w:sz w:val="24"/>
        </w:rPr>
        <w:instrText xml:space="preserve"> PAGEREF _Toc111712327 \h </w:instrText>
      </w:r>
      <w:r>
        <w:rPr>
          <w:rFonts w:eastAsiaTheme="minorEastAsia"/>
          <w:sz w:val="24"/>
        </w:rPr>
        <w:fldChar w:fldCharType="separate"/>
      </w:r>
      <w:r>
        <w:rPr>
          <w:rFonts w:eastAsiaTheme="minorEastAsia"/>
          <w:sz w:val="24"/>
        </w:rPr>
        <w:t>24</w:t>
      </w:r>
      <w:r>
        <w:rPr>
          <w:rFonts w:eastAsiaTheme="minorEastAsia"/>
          <w:sz w:val="24"/>
        </w:rPr>
        <w:fldChar w:fldCharType="end"/>
      </w:r>
      <w:r>
        <w:rPr>
          <w:rFonts w:eastAsiaTheme="minorEastAsia"/>
          <w:sz w:val="24"/>
        </w:rPr>
        <w:fldChar w:fldCharType="end"/>
      </w:r>
    </w:p>
    <w:p>
      <w:pPr>
        <w:pStyle w:val="20"/>
        <w:tabs>
          <w:tab w:val="right" w:leader="dot" w:pos="8834"/>
        </w:tabs>
        <w:spacing w:line="360" w:lineRule="auto"/>
        <w:rPr>
          <w:rFonts w:eastAsiaTheme="minorEastAsia"/>
          <w:sz w:val="24"/>
        </w:rPr>
      </w:pPr>
      <w:r>
        <w:fldChar w:fldCharType="begin"/>
      </w:r>
      <w:r>
        <w:instrText xml:space="preserve"> HYPERLINK \l "_Toc111712328" </w:instrText>
      </w:r>
      <w:r>
        <w:fldChar w:fldCharType="separate"/>
      </w:r>
      <w:r>
        <w:rPr>
          <w:rStyle w:val="37"/>
          <w:rFonts w:hAnsiTheme="minorEastAsia" w:eastAsiaTheme="minorEastAsia"/>
          <w:snapToGrid w:val="0"/>
          <w:color w:val="auto"/>
          <w:sz w:val="24"/>
          <w:u w:val="none"/>
        </w:rPr>
        <w:t>三、区域环境质量现状、环境保护目标及评价标准</w:t>
      </w:r>
      <w:r>
        <w:rPr>
          <w:rFonts w:eastAsiaTheme="minorEastAsia"/>
          <w:sz w:val="24"/>
        </w:rPr>
        <w:tab/>
      </w:r>
      <w:r>
        <w:rPr>
          <w:rFonts w:eastAsiaTheme="minorEastAsia"/>
          <w:sz w:val="24"/>
        </w:rPr>
        <w:fldChar w:fldCharType="begin"/>
      </w:r>
      <w:r>
        <w:rPr>
          <w:rFonts w:eastAsiaTheme="minorEastAsia"/>
          <w:sz w:val="24"/>
        </w:rPr>
        <w:instrText xml:space="preserve"> PAGEREF _Toc111712328 \h </w:instrText>
      </w:r>
      <w:r>
        <w:rPr>
          <w:rFonts w:eastAsiaTheme="minorEastAsia"/>
          <w:sz w:val="24"/>
        </w:rPr>
        <w:fldChar w:fldCharType="separate"/>
      </w:r>
      <w:r>
        <w:rPr>
          <w:rFonts w:eastAsiaTheme="minorEastAsia"/>
          <w:sz w:val="24"/>
        </w:rPr>
        <w:t>43</w:t>
      </w:r>
      <w:r>
        <w:rPr>
          <w:rFonts w:eastAsiaTheme="minorEastAsia"/>
          <w:sz w:val="24"/>
        </w:rPr>
        <w:fldChar w:fldCharType="end"/>
      </w:r>
      <w:r>
        <w:rPr>
          <w:rFonts w:eastAsiaTheme="minorEastAsia"/>
          <w:sz w:val="24"/>
        </w:rPr>
        <w:fldChar w:fldCharType="end"/>
      </w:r>
    </w:p>
    <w:p>
      <w:pPr>
        <w:pStyle w:val="20"/>
        <w:tabs>
          <w:tab w:val="right" w:leader="dot" w:pos="8834"/>
        </w:tabs>
        <w:spacing w:line="360" w:lineRule="auto"/>
        <w:rPr>
          <w:rFonts w:eastAsiaTheme="minorEastAsia"/>
          <w:sz w:val="24"/>
        </w:rPr>
      </w:pPr>
      <w:r>
        <w:fldChar w:fldCharType="begin"/>
      </w:r>
      <w:r>
        <w:instrText xml:space="preserve"> HYPERLINK \l "_Toc111712329" </w:instrText>
      </w:r>
      <w:r>
        <w:fldChar w:fldCharType="separate"/>
      </w:r>
      <w:r>
        <w:rPr>
          <w:rStyle w:val="37"/>
          <w:rFonts w:hAnsiTheme="minorEastAsia" w:eastAsiaTheme="minorEastAsia"/>
          <w:snapToGrid w:val="0"/>
          <w:color w:val="auto"/>
          <w:sz w:val="24"/>
          <w:u w:val="none"/>
        </w:rPr>
        <w:t>四、主要环境影响和保护措施</w:t>
      </w:r>
      <w:r>
        <w:rPr>
          <w:rFonts w:eastAsiaTheme="minorEastAsia"/>
          <w:sz w:val="24"/>
        </w:rPr>
        <w:tab/>
      </w:r>
      <w:r>
        <w:rPr>
          <w:rFonts w:eastAsiaTheme="minorEastAsia"/>
          <w:sz w:val="24"/>
        </w:rPr>
        <w:fldChar w:fldCharType="begin"/>
      </w:r>
      <w:r>
        <w:rPr>
          <w:rFonts w:eastAsiaTheme="minorEastAsia"/>
          <w:sz w:val="24"/>
        </w:rPr>
        <w:instrText xml:space="preserve"> PAGEREF _Toc111712329 \h </w:instrText>
      </w:r>
      <w:r>
        <w:rPr>
          <w:rFonts w:eastAsiaTheme="minorEastAsia"/>
          <w:sz w:val="24"/>
        </w:rPr>
        <w:fldChar w:fldCharType="separate"/>
      </w:r>
      <w:r>
        <w:rPr>
          <w:rFonts w:eastAsiaTheme="minorEastAsia"/>
          <w:sz w:val="24"/>
        </w:rPr>
        <w:t>50</w:t>
      </w:r>
      <w:r>
        <w:rPr>
          <w:rFonts w:eastAsiaTheme="minorEastAsia"/>
          <w:sz w:val="24"/>
        </w:rPr>
        <w:fldChar w:fldCharType="end"/>
      </w:r>
      <w:r>
        <w:rPr>
          <w:rFonts w:eastAsiaTheme="minorEastAsia"/>
          <w:sz w:val="24"/>
        </w:rPr>
        <w:fldChar w:fldCharType="end"/>
      </w:r>
    </w:p>
    <w:p>
      <w:pPr>
        <w:pStyle w:val="20"/>
        <w:tabs>
          <w:tab w:val="right" w:leader="dot" w:pos="8834"/>
        </w:tabs>
        <w:spacing w:line="360" w:lineRule="auto"/>
        <w:rPr>
          <w:rFonts w:eastAsiaTheme="minorEastAsia"/>
          <w:sz w:val="24"/>
        </w:rPr>
      </w:pPr>
      <w:r>
        <w:fldChar w:fldCharType="begin"/>
      </w:r>
      <w:r>
        <w:instrText xml:space="preserve"> HYPERLINK \l "_Toc111712330" </w:instrText>
      </w:r>
      <w:r>
        <w:fldChar w:fldCharType="separate"/>
      </w:r>
      <w:r>
        <w:rPr>
          <w:rStyle w:val="37"/>
          <w:rFonts w:hAnsiTheme="minorEastAsia" w:eastAsiaTheme="minorEastAsia"/>
          <w:snapToGrid w:val="0"/>
          <w:color w:val="auto"/>
          <w:sz w:val="24"/>
          <w:u w:val="none"/>
        </w:rPr>
        <w:t>五、环境保护措施监督检查清单</w:t>
      </w:r>
      <w:r>
        <w:rPr>
          <w:rFonts w:eastAsiaTheme="minorEastAsia"/>
          <w:sz w:val="24"/>
        </w:rPr>
        <w:tab/>
      </w:r>
      <w:r>
        <w:rPr>
          <w:rFonts w:eastAsiaTheme="minorEastAsia"/>
          <w:sz w:val="24"/>
        </w:rPr>
        <w:fldChar w:fldCharType="begin"/>
      </w:r>
      <w:r>
        <w:rPr>
          <w:rFonts w:eastAsiaTheme="minorEastAsia"/>
          <w:sz w:val="24"/>
        </w:rPr>
        <w:instrText xml:space="preserve"> PAGEREF _Toc111712330 \h </w:instrText>
      </w:r>
      <w:r>
        <w:rPr>
          <w:rFonts w:eastAsiaTheme="minorEastAsia"/>
          <w:sz w:val="24"/>
        </w:rPr>
        <w:fldChar w:fldCharType="separate"/>
      </w:r>
      <w:r>
        <w:rPr>
          <w:rFonts w:eastAsiaTheme="minorEastAsia"/>
          <w:sz w:val="24"/>
        </w:rPr>
        <w:t>90</w:t>
      </w:r>
      <w:r>
        <w:rPr>
          <w:rFonts w:eastAsiaTheme="minorEastAsia"/>
          <w:sz w:val="24"/>
        </w:rPr>
        <w:fldChar w:fldCharType="end"/>
      </w:r>
      <w:r>
        <w:rPr>
          <w:rFonts w:eastAsiaTheme="minorEastAsia"/>
          <w:sz w:val="24"/>
        </w:rPr>
        <w:fldChar w:fldCharType="end"/>
      </w:r>
    </w:p>
    <w:p>
      <w:pPr>
        <w:pStyle w:val="20"/>
        <w:tabs>
          <w:tab w:val="right" w:leader="dot" w:pos="8834"/>
        </w:tabs>
        <w:spacing w:line="360" w:lineRule="auto"/>
        <w:rPr>
          <w:rFonts w:eastAsiaTheme="minorEastAsia"/>
          <w:sz w:val="24"/>
        </w:rPr>
      </w:pPr>
      <w:r>
        <w:fldChar w:fldCharType="begin"/>
      </w:r>
      <w:r>
        <w:instrText xml:space="preserve"> HYPERLINK \l "_Toc111712331" </w:instrText>
      </w:r>
      <w:r>
        <w:fldChar w:fldCharType="separate"/>
      </w:r>
      <w:r>
        <w:rPr>
          <w:rStyle w:val="37"/>
          <w:rFonts w:hAnsiTheme="minorEastAsia" w:eastAsiaTheme="minorEastAsia"/>
          <w:snapToGrid w:val="0"/>
          <w:color w:val="auto"/>
          <w:sz w:val="24"/>
          <w:u w:val="none"/>
        </w:rPr>
        <w:t>六、结论</w:t>
      </w:r>
      <w:r>
        <w:rPr>
          <w:rFonts w:eastAsiaTheme="minorEastAsia"/>
          <w:sz w:val="24"/>
        </w:rPr>
        <w:tab/>
      </w:r>
      <w:r>
        <w:rPr>
          <w:rFonts w:eastAsiaTheme="minorEastAsia"/>
          <w:sz w:val="24"/>
        </w:rPr>
        <w:fldChar w:fldCharType="begin"/>
      </w:r>
      <w:r>
        <w:rPr>
          <w:rFonts w:eastAsiaTheme="minorEastAsia"/>
          <w:sz w:val="24"/>
        </w:rPr>
        <w:instrText xml:space="preserve"> PAGEREF _Toc111712331 \h </w:instrText>
      </w:r>
      <w:r>
        <w:rPr>
          <w:rFonts w:eastAsiaTheme="minorEastAsia"/>
          <w:sz w:val="24"/>
        </w:rPr>
        <w:fldChar w:fldCharType="separate"/>
      </w:r>
      <w:r>
        <w:rPr>
          <w:rFonts w:eastAsiaTheme="minorEastAsia"/>
          <w:sz w:val="24"/>
        </w:rPr>
        <w:t>92</w:t>
      </w:r>
      <w:r>
        <w:rPr>
          <w:rFonts w:eastAsiaTheme="minorEastAsia"/>
          <w:sz w:val="24"/>
        </w:rPr>
        <w:fldChar w:fldCharType="end"/>
      </w:r>
      <w:r>
        <w:rPr>
          <w:rFonts w:eastAsiaTheme="minorEastAsia"/>
          <w:sz w:val="24"/>
        </w:rPr>
        <w:fldChar w:fldCharType="end"/>
      </w:r>
    </w:p>
    <w:p>
      <w:pPr>
        <w:pStyle w:val="28"/>
        <w:spacing w:line="360" w:lineRule="auto"/>
        <w:outlineLvl w:val="0"/>
        <w:rPr>
          <w:rFonts w:ascii="黑体" w:hAnsi="黑体" w:eastAsia="黑体"/>
          <w:snapToGrid w:val="0"/>
          <w:sz w:val="30"/>
          <w:szCs w:val="30"/>
        </w:rPr>
      </w:pPr>
      <w:r>
        <w:rPr>
          <w:rFonts w:ascii="Times New Roman" w:hAnsi="Times New Roman" w:eastAsiaTheme="minorEastAsia"/>
          <w:snapToGrid w:val="0"/>
          <w:szCs w:val="24"/>
        </w:rPr>
        <w:fldChar w:fldCharType="end"/>
      </w:r>
      <w:bookmarkStart w:id="4" w:name="_Toc111712324"/>
      <w:r>
        <w:rPr>
          <w:rFonts w:hint="eastAsia" w:ascii="黑体" w:hAnsi="黑体" w:eastAsia="黑体"/>
          <w:snapToGrid w:val="0"/>
          <w:sz w:val="32"/>
          <w:szCs w:val="32"/>
        </w:rPr>
        <w:t>附图</w:t>
      </w:r>
      <w:bookmarkEnd w:id="4"/>
    </w:p>
    <w:p>
      <w:pPr>
        <w:spacing w:line="360" w:lineRule="auto"/>
        <w:ind w:firstLine="480" w:firstLineChars="200"/>
        <w:rPr>
          <w:sz w:val="24"/>
          <w:szCs w:val="28"/>
        </w:rPr>
      </w:pPr>
      <w:r>
        <w:rPr>
          <w:rFonts w:hint="eastAsia"/>
          <w:sz w:val="24"/>
          <w:szCs w:val="28"/>
        </w:rPr>
        <w:t>附图</w:t>
      </w:r>
      <w:r>
        <w:rPr>
          <w:sz w:val="24"/>
          <w:szCs w:val="28"/>
        </w:rPr>
        <w:t xml:space="preserve">1  </w:t>
      </w:r>
      <w:r>
        <w:rPr>
          <w:rFonts w:hint="eastAsia"/>
          <w:sz w:val="24"/>
          <w:szCs w:val="28"/>
        </w:rPr>
        <w:t>项目地理位置示意图</w:t>
      </w:r>
    </w:p>
    <w:p>
      <w:pPr>
        <w:spacing w:line="360" w:lineRule="auto"/>
        <w:ind w:firstLine="480" w:firstLineChars="200"/>
        <w:rPr>
          <w:sz w:val="24"/>
          <w:szCs w:val="28"/>
        </w:rPr>
      </w:pPr>
      <w:r>
        <w:rPr>
          <w:rFonts w:hint="eastAsia"/>
          <w:sz w:val="24"/>
          <w:szCs w:val="28"/>
        </w:rPr>
        <w:t>附图</w:t>
      </w:r>
      <w:r>
        <w:rPr>
          <w:sz w:val="24"/>
          <w:szCs w:val="28"/>
        </w:rPr>
        <w:t xml:space="preserve">2  </w:t>
      </w:r>
      <w:r>
        <w:rPr>
          <w:rFonts w:hint="eastAsia"/>
          <w:sz w:val="24"/>
          <w:szCs w:val="28"/>
        </w:rPr>
        <w:t>项目环境保护目标示意</w:t>
      </w:r>
      <w:r>
        <w:rPr>
          <w:sz w:val="24"/>
          <w:szCs w:val="28"/>
        </w:rPr>
        <w:t>图</w:t>
      </w:r>
    </w:p>
    <w:p>
      <w:pPr>
        <w:spacing w:line="360" w:lineRule="auto"/>
        <w:ind w:firstLine="480" w:firstLineChars="200"/>
        <w:rPr>
          <w:sz w:val="24"/>
          <w:szCs w:val="28"/>
        </w:rPr>
      </w:pPr>
      <w:r>
        <w:rPr>
          <w:rFonts w:hint="eastAsia"/>
          <w:sz w:val="24"/>
          <w:szCs w:val="28"/>
        </w:rPr>
        <w:t>附图3</w:t>
      </w:r>
      <w:r>
        <w:rPr>
          <w:sz w:val="24"/>
          <w:szCs w:val="28"/>
        </w:rPr>
        <w:t xml:space="preserve">  </w:t>
      </w:r>
      <w:r>
        <w:rPr>
          <w:rFonts w:hint="eastAsia"/>
          <w:sz w:val="24"/>
          <w:szCs w:val="28"/>
        </w:rPr>
        <w:t>项目区域水系图</w:t>
      </w:r>
    </w:p>
    <w:p>
      <w:pPr>
        <w:spacing w:line="360" w:lineRule="auto"/>
        <w:ind w:firstLine="480" w:firstLineChars="200"/>
        <w:rPr>
          <w:sz w:val="24"/>
          <w:szCs w:val="28"/>
        </w:rPr>
      </w:pPr>
      <w:r>
        <w:rPr>
          <w:rFonts w:hint="eastAsia"/>
          <w:sz w:val="24"/>
          <w:szCs w:val="28"/>
        </w:rPr>
        <w:t>附图4</w:t>
      </w:r>
      <w:r>
        <w:rPr>
          <w:sz w:val="24"/>
          <w:szCs w:val="28"/>
        </w:rPr>
        <w:t xml:space="preserve">  </w:t>
      </w:r>
      <w:r>
        <w:rPr>
          <w:rFonts w:hint="eastAsia"/>
          <w:sz w:val="24"/>
          <w:szCs w:val="28"/>
        </w:rPr>
        <w:t>项目规划总平面布置图</w:t>
      </w:r>
    </w:p>
    <w:p>
      <w:pPr>
        <w:spacing w:line="360" w:lineRule="auto"/>
        <w:ind w:firstLine="480" w:firstLineChars="200"/>
        <w:rPr>
          <w:sz w:val="24"/>
          <w:szCs w:val="28"/>
        </w:rPr>
      </w:pPr>
      <w:r>
        <w:rPr>
          <w:rFonts w:hint="eastAsia"/>
          <w:sz w:val="24"/>
          <w:szCs w:val="28"/>
        </w:rPr>
        <w:t>附图5</w:t>
      </w:r>
      <w:r>
        <w:rPr>
          <w:sz w:val="24"/>
          <w:szCs w:val="28"/>
        </w:rPr>
        <w:t xml:space="preserve">  </w:t>
      </w:r>
      <w:r>
        <w:rPr>
          <w:rFonts w:hint="eastAsia"/>
          <w:sz w:val="24"/>
          <w:szCs w:val="28"/>
        </w:rPr>
        <w:t>项目环保设施示意图</w:t>
      </w:r>
    </w:p>
    <w:p>
      <w:pPr>
        <w:spacing w:line="360" w:lineRule="auto"/>
        <w:ind w:firstLine="480" w:firstLineChars="200"/>
        <w:rPr>
          <w:sz w:val="24"/>
          <w:szCs w:val="28"/>
        </w:rPr>
      </w:pPr>
      <w:r>
        <w:rPr>
          <w:rFonts w:hint="eastAsia"/>
          <w:sz w:val="24"/>
          <w:szCs w:val="28"/>
        </w:rPr>
        <w:t>附图6</w:t>
      </w:r>
      <w:r>
        <w:rPr>
          <w:sz w:val="24"/>
          <w:szCs w:val="28"/>
        </w:rPr>
        <w:t xml:space="preserve">  </w:t>
      </w:r>
      <w:r>
        <w:rPr>
          <w:rFonts w:hAnsiTheme="minorEastAsia" w:eastAsiaTheme="minorEastAsia"/>
          <w:sz w:val="24"/>
        </w:rPr>
        <w:t>项目雨水管网规划</w:t>
      </w:r>
    </w:p>
    <w:p>
      <w:pPr>
        <w:spacing w:line="360" w:lineRule="auto"/>
        <w:ind w:firstLine="480" w:firstLineChars="200"/>
        <w:rPr>
          <w:sz w:val="24"/>
          <w:szCs w:val="28"/>
        </w:rPr>
      </w:pPr>
      <w:r>
        <w:rPr>
          <w:rFonts w:hint="eastAsia"/>
          <w:sz w:val="24"/>
          <w:szCs w:val="28"/>
        </w:rPr>
        <w:t>附图7</w:t>
      </w:r>
      <w:r>
        <w:rPr>
          <w:sz w:val="24"/>
          <w:szCs w:val="28"/>
        </w:rPr>
        <w:t xml:space="preserve">  </w:t>
      </w:r>
      <w:r>
        <w:rPr>
          <w:rFonts w:hAnsiTheme="minorEastAsia" w:eastAsiaTheme="minorEastAsia"/>
          <w:sz w:val="24"/>
        </w:rPr>
        <w:t>项目污水管网规划</w:t>
      </w:r>
    </w:p>
    <w:p>
      <w:pPr>
        <w:spacing w:line="360" w:lineRule="auto"/>
        <w:ind w:firstLine="480" w:firstLineChars="200"/>
        <w:rPr>
          <w:sz w:val="24"/>
          <w:szCs w:val="28"/>
        </w:rPr>
      </w:pPr>
      <w:r>
        <w:rPr>
          <w:rFonts w:hint="eastAsia"/>
          <w:sz w:val="24"/>
          <w:szCs w:val="28"/>
        </w:rPr>
        <w:t>附图8</w:t>
      </w:r>
      <w:r>
        <w:rPr>
          <w:sz w:val="24"/>
          <w:szCs w:val="28"/>
        </w:rPr>
        <w:t xml:space="preserve">  </w:t>
      </w:r>
      <w:r>
        <w:rPr>
          <w:rFonts w:hint="eastAsia"/>
          <w:sz w:val="24"/>
          <w:szCs w:val="28"/>
        </w:rPr>
        <w:t>衡山县城用地性质规划图</w:t>
      </w:r>
    </w:p>
    <w:p>
      <w:pPr>
        <w:pStyle w:val="28"/>
        <w:outlineLvl w:val="0"/>
        <w:rPr>
          <w:rFonts w:ascii="黑体" w:hAnsi="黑体" w:eastAsia="黑体"/>
          <w:snapToGrid w:val="0"/>
          <w:sz w:val="30"/>
          <w:szCs w:val="30"/>
        </w:rPr>
      </w:pPr>
      <w:bookmarkStart w:id="5" w:name="_Toc111712325"/>
      <w:r>
        <w:rPr>
          <w:rFonts w:hint="eastAsia" w:ascii="黑体" w:hAnsi="黑体" w:eastAsia="黑体"/>
          <w:snapToGrid w:val="0"/>
          <w:sz w:val="32"/>
          <w:szCs w:val="32"/>
        </w:rPr>
        <w:t>附件</w:t>
      </w:r>
      <w:bookmarkEnd w:id="5"/>
    </w:p>
    <w:p>
      <w:pPr>
        <w:spacing w:line="360" w:lineRule="auto"/>
        <w:ind w:firstLine="480" w:firstLineChars="200"/>
        <w:rPr>
          <w:sz w:val="24"/>
          <w:szCs w:val="28"/>
        </w:rPr>
      </w:pPr>
      <w:r>
        <w:rPr>
          <w:sz w:val="24"/>
          <w:szCs w:val="28"/>
        </w:rPr>
        <w:t>附件1  环评委托书</w:t>
      </w:r>
    </w:p>
    <w:p>
      <w:pPr>
        <w:spacing w:line="360" w:lineRule="auto"/>
        <w:ind w:firstLine="480" w:firstLineChars="200"/>
        <w:rPr>
          <w:sz w:val="24"/>
        </w:rPr>
      </w:pPr>
      <w:r>
        <w:rPr>
          <w:sz w:val="24"/>
          <w:szCs w:val="28"/>
        </w:rPr>
        <w:t>附件</w:t>
      </w:r>
      <w:r>
        <w:rPr>
          <w:rFonts w:hint="eastAsia"/>
          <w:sz w:val="24"/>
          <w:szCs w:val="28"/>
        </w:rPr>
        <w:t>2</w:t>
      </w:r>
      <w:r>
        <w:rPr>
          <w:sz w:val="24"/>
          <w:szCs w:val="28"/>
        </w:rPr>
        <w:t xml:space="preserve">  </w:t>
      </w:r>
      <w:r>
        <w:rPr>
          <w:rFonts w:hint="eastAsia"/>
          <w:sz w:val="24"/>
        </w:rPr>
        <w:t>营业执照</w:t>
      </w:r>
    </w:p>
    <w:p>
      <w:pPr>
        <w:spacing w:line="360" w:lineRule="auto"/>
        <w:ind w:firstLine="480" w:firstLineChars="200"/>
        <w:rPr>
          <w:sz w:val="24"/>
          <w:szCs w:val="28"/>
        </w:rPr>
      </w:pPr>
      <w:r>
        <w:rPr>
          <w:rFonts w:hint="eastAsia"/>
          <w:sz w:val="24"/>
        </w:rPr>
        <w:t>附件3  发改备案证明</w:t>
      </w:r>
    </w:p>
    <w:p>
      <w:pPr>
        <w:spacing w:line="360" w:lineRule="auto"/>
        <w:ind w:firstLine="480" w:firstLineChars="200"/>
        <w:rPr>
          <w:sz w:val="24"/>
          <w:szCs w:val="28"/>
        </w:rPr>
      </w:pPr>
      <w:r>
        <w:rPr>
          <w:sz w:val="24"/>
          <w:szCs w:val="28"/>
        </w:rPr>
        <w:t>附件</w:t>
      </w:r>
      <w:r>
        <w:rPr>
          <w:rFonts w:hint="eastAsia"/>
          <w:sz w:val="24"/>
          <w:szCs w:val="28"/>
        </w:rPr>
        <w:t xml:space="preserve">4  </w:t>
      </w:r>
      <w:r>
        <w:rPr>
          <w:rFonts w:hint="eastAsia"/>
          <w:sz w:val="24"/>
        </w:rPr>
        <w:t>园区规划环评评审意见</w:t>
      </w:r>
    </w:p>
    <w:p>
      <w:pPr>
        <w:spacing w:line="360" w:lineRule="auto"/>
        <w:ind w:firstLine="480" w:firstLineChars="200"/>
        <w:rPr>
          <w:sz w:val="24"/>
          <w:szCs w:val="28"/>
        </w:rPr>
      </w:pPr>
      <w:r>
        <w:rPr>
          <w:sz w:val="24"/>
          <w:szCs w:val="28"/>
        </w:rPr>
        <w:t>附件</w:t>
      </w:r>
      <w:r>
        <w:rPr>
          <w:rFonts w:hint="eastAsia"/>
          <w:sz w:val="24"/>
          <w:szCs w:val="28"/>
        </w:rPr>
        <w:t xml:space="preserve">5  </w:t>
      </w:r>
      <w:r>
        <w:rPr>
          <w:rFonts w:hint="eastAsia"/>
          <w:sz w:val="24"/>
        </w:rPr>
        <w:t>入园协议书</w:t>
      </w:r>
    </w:p>
    <w:p>
      <w:pPr>
        <w:spacing w:line="360" w:lineRule="auto"/>
        <w:ind w:firstLine="480" w:firstLineChars="200"/>
        <w:rPr>
          <w:sz w:val="24"/>
          <w:szCs w:val="28"/>
        </w:rPr>
      </w:pPr>
      <w:r>
        <w:rPr>
          <w:sz w:val="24"/>
          <w:szCs w:val="28"/>
        </w:rPr>
        <w:t>附件</w:t>
      </w:r>
      <w:r>
        <w:rPr>
          <w:rFonts w:hint="eastAsia"/>
          <w:sz w:val="24"/>
          <w:szCs w:val="28"/>
        </w:rPr>
        <w:t>6  项目用地规划条件书</w:t>
      </w:r>
    </w:p>
    <w:p>
      <w:pPr>
        <w:spacing w:line="360" w:lineRule="auto"/>
        <w:ind w:firstLine="480" w:firstLineChars="200"/>
        <w:rPr>
          <w:sz w:val="24"/>
          <w:szCs w:val="28"/>
        </w:rPr>
      </w:pPr>
      <w:r>
        <w:rPr>
          <w:sz w:val="24"/>
          <w:szCs w:val="28"/>
        </w:rPr>
        <w:br w:type="page"/>
      </w:r>
    </w:p>
    <w:p>
      <w:pPr>
        <w:pStyle w:val="28"/>
        <w:jc w:val="center"/>
        <w:outlineLvl w:val="0"/>
        <w:rPr>
          <w:rFonts w:ascii="黑体" w:hAnsi="黑体" w:eastAsia="黑体"/>
          <w:snapToGrid w:val="0"/>
          <w:sz w:val="30"/>
          <w:szCs w:val="30"/>
        </w:rPr>
      </w:pPr>
      <w:bookmarkStart w:id="6" w:name="_Toc111712326"/>
      <w:r>
        <w:rPr>
          <w:rFonts w:hint="eastAsia" w:ascii="黑体" w:hAnsi="黑体" w:eastAsia="黑体"/>
          <w:snapToGrid w:val="0"/>
          <w:sz w:val="30"/>
          <w:szCs w:val="30"/>
        </w:rPr>
        <w:t>一、建设项目基本情况</w:t>
      </w:r>
      <w:bookmarkEnd w:id="6"/>
    </w:p>
    <w:tbl>
      <w:tblPr>
        <w:tblStyle w:val="31"/>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23"/>
        <w:gridCol w:w="1476"/>
        <w:gridCol w:w="2325"/>
        <w:gridCol w:w="2544"/>
        <w:gridCol w:w="30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建设项目名称</w:t>
            </w:r>
          </w:p>
        </w:tc>
        <w:tc>
          <w:tcPr>
            <w:tcW w:w="7907" w:type="dxa"/>
            <w:gridSpan w:val="3"/>
            <w:vAlign w:val="center"/>
          </w:tcPr>
          <w:p>
            <w:pPr>
              <w:adjustRightInd w:val="0"/>
              <w:snapToGrid w:val="0"/>
              <w:jc w:val="center"/>
              <w:rPr>
                <w:sz w:val="24"/>
              </w:rPr>
            </w:pPr>
            <w:r>
              <w:rPr>
                <w:rFonts w:hint="eastAsia"/>
                <w:sz w:val="24"/>
              </w:rPr>
              <w:t>湖南鸿福实业有限公司新材料建设项目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项目代码</w:t>
            </w:r>
          </w:p>
        </w:tc>
        <w:tc>
          <w:tcPr>
            <w:tcW w:w="7907" w:type="dxa"/>
            <w:gridSpan w:val="3"/>
            <w:vAlign w:val="center"/>
          </w:tcPr>
          <w:p>
            <w:pPr>
              <w:adjustRightInd w:val="0"/>
              <w:snapToGrid w:val="0"/>
              <w:jc w:val="center"/>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建设单位联系人</w:t>
            </w:r>
          </w:p>
        </w:tc>
        <w:tc>
          <w:tcPr>
            <w:tcW w:w="2325" w:type="dxa"/>
            <w:vAlign w:val="center"/>
          </w:tcPr>
          <w:p>
            <w:pPr>
              <w:adjustRightInd w:val="0"/>
              <w:snapToGrid w:val="0"/>
              <w:jc w:val="center"/>
              <w:rPr>
                <w:sz w:val="24"/>
              </w:rPr>
            </w:pPr>
            <w:r>
              <w:rPr>
                <w:rFonts w:hint="eastAsia"/>
                <w:sz w:val="24"/>
              </w:rPr>
              <w:t>刘蓓</w:t>
            </w:r>
          </w:p>
        </w:tc>
        <w:tc>
          <w:tcPr>
            <w:tcW w:w="2544" w:type="dxa"/>
            <w:vAlign w:val="center"/>
          </w:tcPr>
          <w:p>
            <w:pPr>
              <w:adjustRightInd w:val="0"/>
              <w:snapToGrid w:val="0"/>
              <w:jc w:val="center"/>
              <w:rPr>
                <w:sz w:val="24"/>
              </w:rPr>
            </w:pPr>
            <w:r>
              <w:rPr>
                <w:rFonts w:hint="eastAsia"/>
                <w:b/>
                <w:bCs/>
                <w:sz w:val="24"/>
              </w:rPr>
              <w:t>联系方式</w:t>
            </w:r>
          </w:p>
        </w:tc>
        <w:tc>
          <w:tcPr>
            <w:tcW w:w="3038" w:type="dxa"/>
            <w:vAlign w:val="center"/>
          </w:tcPr>
          <w:p>
            <w:pPr>
              <w:adjustRightInd w:val="0"/>
              <w:snapToGrid w:val="0"/>
              <w:jc w:val="center"/>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建设地点</w:t>
            </w:r>
          </w:p>
        </w:tc>
        <w:tc>
          <w:tcPr>
            <w:tcW w:w="7907" w:type="dxa"/>
            <w:gridSpan w:val="3"/>
            <w:vAlign w:val="center"/>
          </w:tcPr>
          <w:p>
            <w:pPr>
              <w:adjustRightInd w:val="0"/>
              <w:snapToGrid w:val="0"/>
              <w:jc w:val="center"/>
              <w:rPr>
                <w:sz w:val="24"/>
              </w:rPr>
            </w:pPr>
            <w:r>
              <w:rPr>
                <w:sz w:val="24"/>
              </w:rPr>
              <w:t>衡山高新技术产业开发区</w:t>
            </w:r>
            <w:r>
              <w:rPr>
                <w:rFonts w:hint="eastAsia"/>
                <w:sz w:val="24"/>
              </w:rPr>
              <w:t>坪青路旁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地理坐标</w:t>
            </w:r>
          </w:p>
        </w:tc>
        <w:tc>
          <w:tcPr>
            <w:tcW w:w="7907" w:type="dxa"/>
            <w:gridSpan w:val="3"/>
            <w:vAlign w:val="center"/>
          </w:tcPr>
          <w:p>
            <w:pPr>
              <w:jc w:val="center"/>
              <w:rPr>
                <w:sz w:val="24"/>
              </w:rPr>
            </w:pPr>
            <w:r>
              <w:rPr>
                <w:sz w:val="24"/>
              </w:rPr>
              <w:t>（</w:t>
            </w:r>
            <w:r>
              <w:rPr>
                <w:rFonts w:hint="eastAsia"/>
                <w:sz w:val="24"/>
              </w:rPr>
              <w:t xml:space="preserve"> </w:t>
            </w:r>
            <w:r>
              <w:rPr>
                <w:sz w:val="24"/>
              </w:rPr>
              <w:t xml:space="preserve"> </w:t>
            </w:r>
            <w:r>
              <w:rPr>
                <w:rFonts w:hint="eastAsia"/>
                <w:sz w:val="24"/>
              </w:rPr>
              <w:t xml:space="preserve">112  </w:t>
            </w:r>
            <w:r>
              <w:rPr>
                <w:sz w:val="24"/>
              </w:rPr>
              <w:t xml:space="preserve">度  </w:t>
            </w:r>
            <w:r>
              <w:rPr>
                <w:rFonts w:hint="eastAsia"/>
                <w:sz w:val="24"/>
              </w:rPr>
              <w:t xml:space="preserve">52 </w:t>
            </w:r>
            <w:r>
              <w:rPr>
                <w:sz w:val="24"/>
              </w:rPr>
              <w:t xml:space="preserve"> 分 </w:t>
            </w:r>
            <w:r>
              <w:rPr>
                <w:rFonts w:hint="eastAsia"/>
                <w:sz w:val="24"/>
              </w:rPr>
              <w:t xml:space="preserve"> 51.293</w:t>
            </w:r>
            <w:r>
              <w:rPr>
                <w:sz w:val="24"/>
              </w:rPr>
              <w:t xml:space="preserve"> 秒， </w:t>
            </w:r>
            <w:r>
              <w:rPr>
                <w:rFonts w:hint="eastAsia"/>
                <w:sz w:val="24"/>
              </w:rPr>
              <w:t xml:space="preserve"> 27</w:t>
            </w:r>
            <w:r>
              <w:rPr>
                <w:sz w:val="24"/>
              </w:rPr>
              <w:t xml:space="preserve">  度  </w:t>
            </w:r>
            <w:r>
              <w:rPr>
                <w:rFonts w:hint="eastAsia"/>
                <w:sz w:val="24"/>
              </w:rPr>
              <w:t xml:space="preserve">16  </w:t>
            </w:r>
            <w:r>
              <w:rPr>
                <w:sz w:val="24"/>
              </w:rPr>
              <w:t xml:space="preserve">分 </w:t>
            </w:r>
            <w:r>
              <w:rPr>
                <w:rFonts w:hint="eastAsia"/>
                <w:sz w:val="24"/>
              </w:rPr>
              <w:t xml:space="preserve"> 51.416  </w:t>
            </w:r>
            <w:r>
              <w:rPr>
                <w:sz w:val="24"/>
              </w:rPr>
              <w:t>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国民经济</w:t>
            </w:r>
          </w:p>
          <w:p>
            <w:pPr>
              <w:adjustRightInd w:val="0"/>
              <w:snapToGrid w:val="0"/>
              <w:jc w:val="center"/>
              <w:rPr>
                <w:b/>
                <w:sz w:val="24"/>
              </w:rPr>
            </w:pPr>
            <w:r>
              <w:rPr>
                <w:b/>
                <w:sz w:val="24"/>
              </w:rPr>
              <w:t>行业类别</w:t>
            </w:r>
          </w:p>
        </w:tc>
        <w:tc>
          <w:tcPr>
            <w:tcW w:w="2325" w:type="dxa"/>
            <w:vAlign w:val="center"/>
          </w:tcPr>
          <w:p>
            <w:pPr>
              <w:adjustRightInd w:val="0"/>
              <w:snapToGrid w:val="0"/>
              <w:jc w:val="center"/>
              <w:rPr>
                <w:sz w:val="24"/>
              </w:rPr>
            </w:pPr>
            <w:r>
              <w:rPr>
                <w:rFonts w:hint="eastAsia"/>
                <w:sz w:val="24"/>
              </w:rPr>
              <w:t>C2511 原油加工及石油制品制造和、C2681 肥皂及洗涤剂制造、C2662 专用化学用品制造</w:t>
            </w:r>
          </w:p>
        </w:tc>
        <w:tc>
          <w:tcPr>
            <w:tcW w:w="2544" w:type="dxa"/>
            <w:vAlign w:val="center"/>
          </w:tcPr>
          <w:p>
            <w:pPr>
              <w:adjustRightInd w:val="0"/>
              <w:snapToGrid w:val="0"/>
              <w:jc w:val="center"/>
              <w:rPr>
                <w:b/>
                <w:sz w:val="24"/>
              </w:rPr>
            </w:pPr>
            <w:bookmarkStart w:id="7" w:name="_Hlk49843745"/>
            <w:r>
              <w:rPr>
                <w:b/>
                <w:sz w:val="24"/>
              </w:rPr>
              <w:t>建设项目</w:t>
            </w:r>
          </w:p>
          <w:p>
            <w:pPr>
              <w:adjustRightInd w:val="0"/>
              <w:snapToGrid w:val="0"/>
              <w:jc w:val="center"/>
              <w:rPr>
                <w:b/>
                <w:sz w:val="24"/>
              </w:rPr>
            </w:pPr>
            <w:r>
              <w:rPr>
                <w:b/>
                <w:sz w:val="24"/>
              </w:rPr>
              <w:t>行业类别</w:t>
            </w:r>
            <w:bookmarkEnd w:id="7"/>
          </w:p>
        </w:tc>
        <w:tc>
          <w:tcPr>
            <w:tcW w:w="3038" w:type="dxa"/>
            <w:vAlign w:val="center"/>
          </w:tcPr>
          <w:p>
            <w:pPr>
              <w:adjustRightInd w:val="0"/>
              <w:snapToGrid w:val="0"/>
              <w:jc w:val="center"/>
            </w:pPr>
            <w:r>
              <w:rPr>
                <w:rFonts w:hint="eastAsia"/>
                <w:sz w:val="24"/>
              </w:rPr>
              <w:t>二十二、石油、煤炭及其他燃料加工业 25 单纯物理分离、物理提纯、混合、分装的；二十三、化学原料和化学制品制造业中专用化学产品制造 266—单纯物理分离、物理提纯、混合、分装的（不产生废水或挥发性有机物的除外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建设性质</w:t>
            </w:r>
          </w:p>
        </w:tc>
        <w:tc>
          <w:tcPr>
            <w:tcW w:w="2325" w:type="dxa"/>
            <w:vAlign w:val="center"/>
          </w:tcPr>
          <w:p>
            <w:pPr>
              <w:jc w:val="left"/>
              <w:rPr>
                <w:rFonts w:ascii="宋体" w:hAnsi="宋体"/>
                <w:sz w:val="24"/>
              </w:rPr>
            </w:pPr>
            <w:r>
              <w:rPr>
                <w:rFonts w:hint="eastAsia" w:ascii="宋体" w:hAnsi="宋体" w:cs="宋体"/>
                <w:sz w:val="24"/>
              </w:rPr>
              <w:sym w:font="Wingdings 2" w:char="0052"/>
            </w:r>
            <w:r>
              <w:rPr>
                <w:rFonts w:ascii="宋体" w:hAnsi="宋体"/>
                <w:sz w:val="24"/>
              </w:rPr>
              <w:t>新建（迁建）</w:t>
            </w:r>
          </w:p>
          <w:p>
            <w:pPr>
              <w:jc w:val="left"/>
              <w:rPr>
                <w:rFonts w:ascii="宋体" w:hAnsi="宋体"/>
                <w:sz w:val="24"/>
              </w:rPr>
            </w:pPr>
            <w:r>
              <w:rPr>
                <w:rFonts w:ascii="宋体" w:hAnsi="宋体"/>
                <w:sz w:val="24"/>
              </w:rPr>
              <w:t>□改建</w:t>
            </w:r>
          </w:p>
          <w:p>
            <w:pPr>
              <w:jc w:val="left"/>
              <w:rPr>
                <w:rFonts w:ascii="宋体" w:hAnsi="宋体"/>
                <w:sz w:val="24"/>
              </w:rPr>
            </w:pPr>
            <w:r>
              <w:rPr>
                <w:rFonts w:ascii="宋体" w:hAnsi="宋体"/>
                <w:sz w:val="24"/>
              </w:rPr>
              <w:t>□扩建</w:t>
            </w:r>
          </w:p>
          <w:p>
            <w:pPr>
              <w:jc w:val="left"/>
              <w:rPr>
                <w:rFonts w:ascii="宋体" w:hAnsi="宋体"/>
                <w:sz w:val="24"/>
              </w:rPr>
            </w:pPr>
            <w:r>
              <w:rPr>
                <w:rFonts w:ascii="宋体" w:hAnsi="宋体"/>
                <w:sz w:val="24"/>
              </w:rPr>
              <w:t>□技术改造</w:t>
            </w:r>
          </w:p>
        </w:tc>
        <w:tc>
          <w:tcPr>
            <w:tcW w:w="2544" w:type="dxa"/>
            <w:vAlign w:val="center"/>
          </w:tcPr>
          <w:p>
            <w:pPr>
              <w:adjustRightInd w:val="0"/>
              <w:snapToGrid w:val="0"/>
              <w:jc w:val="center"/>
              <w:rPr>
                <w:rFonts w:ascii="宋体" w:hAnsi="宋体"/>
                <w:b/>
                <w:sz w:val="24"/>
              </w:rPr>
            </w:pPr>
            <w:r>
              <w:rPr>
                <w:rFonts w:ascii="宋体" w:hAnsi="宋体"/>
                <w:b/>
                <w:sz w:val="24"/>
              </w:rPr>
              <w:t>建设项目</w:t>
            </w:r>
          </w:p>
          <w:p>
            <w:pPr>
              <w:adjustRightInd w:val="0"/>
              <w:snapToGrid w:val="0"/>
              <w:jc w:val="center"/>
              <w:rPr>
                <w:rFonts w:ascii="宋体" w:hAnsi="宋体"/>
                <w:b/>
                <w:sz w:val="24"/>
              </w:rPr>
            </w:pPr>
            <w:r>
              <w:rPr>
                <w:rFonts w:ascii="宋体" w:hAnsi="宋体"/>
                <w:b/>
                <w:sz w:val="24"/>
              </w:rPr>
              <w:t>申报情形</w:t>
            </w:r>
          </w:p>
        </w:tc>
        <w:tc>
          <w:tcPr>
            <w:tcW w:w="3038" w:type="dxa"/>
            <w:vAlign w:val="center"/>
          </w:tcPr>
          <w:p>
            <w:pPr>
              <w:jc w:val="left"/>
              <w:rPr>
                <w:rFonts w:ascii="宋体" w:hAnsi="宋体"/>
                <w:sz w:val="24"/>
              </w:rPr>
            </w:pPr>
            <w:r>
              <w:rPr>
                <w:rFonts w:hint="eastAsia" w:ascii="宋体" w:hAnsi="宋体" w:cs="宋体"/>
                <w:sz w:val="24"/>
              </w:rPr>
              <w:sym w:font="Wingdings 2" w:char="0052"/>
            </w:r>
            <w:r>
              <w:rPr>
                <w:rFonts w:ascii="宋体" w:hAnsi="宋体"/>
                <w:sz w:val="24"/>
              </w:rPr>
              <w:t xml:space="preserve">首次申报项目             </w:t>
            </w:r>
          </w:p>
          <w:p>
            <w:pPr>
              <w:jc w:val="left"/>
              <w:rPr>
                <w:rFonts w:ascii="宋体" w:hAnsi="宋体"/>
                <w:sz w:val="24"/>
              </w:rPr>
            </w:pPr>
            <w:r>
              <w:rPr>
                <w:rFonts w:ascii="宋体" w:hAnsi="宋体"/>
                <w:sz w:val="24"/>
              </w:rPr>
              <w:t>□不予批准后再次申报项目</w:t>
            </w:r>
          </w:p>
          <w:p>
            <w:pPr>
              <w:jc w:val="left"/>
              <w:rPr>
                <w:rFonts w:ascii="宋体" w:hAnsi="宋体"/>
                <w:sz w:val="24"/>
              </w:rPr>
            </w:pPr>
            <w:r>
              <w:rPr>
                <w:rFonts w:ascii="宋体" w:hAnsi="宋体"/>
                <w:sz w:val="24"/>
              </w:rPr>
              <w:sym w:font="Wingdings 2" w:char="00A3"/>
            </w:r>
            <w:r>
              <w:rPr>
                <w:rFonts w:ascii="宋体" w:hAnsi="宋体"/>
                <w:sz w:val="24"/>
              </w:rPr>
              <w:t xml:space="preserve">超五年重新审核项目     </w:t>
            </w:r>
          </w:p>
          <w:p>
            <w:pPr>
              <w:jc w:val="left"/>
              <w:rPr>
                <w:rFonts w:ascii="宋体" w:hAnsi="宋体"/>
                <w:sz w:val="24"/>
              </w:rPr>
            </w:pPr>
            <w:r>
              <w:rPr>
                <w:rFonts w:ascii="宋体" w:hAnsi="宋体"/>
                <w:sz w:val="24"/>
              </w:rPr>
              <w:sym w:font="Wingdings 2" w:char="00A3"/>
            </w:r>
            <w:r>
              <w:rPr>
                <w:rFonts w:ascii="宋体" w:hAnsi="宋体"/>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项目审批（核准/</w:t>
            </w:r>
          </w:p>
          <w:p>
            <w:pPr>
              <w:adjustRightInd w:val="0"/>
              <w:snapToGrid w:val="0"/>
              <w:jc w:val="center"/>
              <w:rPr>
                <w:b/>
                <w:sz w:val="24"/>
              </w:rPr>
            </w:pPr>
            <w:r>
              <w:rPr>
                <w:b/>
                <w:sz w:val="24"/>
              </w:rPr>
              <w:t>备案）部门（选填）</w:t>
            </w:r>
          </w:p>
        </w:tc>
        <w:tc>
          <w:tcPr>
            <w:tcW w:w="2325" w:type="dxa"/>
            <w:vAlign w:val="center"/>
          </w:tcPr>
          <w:p>
            <w:pPr>
              <w:adjustRightInd w:val="0"/>
              <w:snapToGrid w:val="0"/>
              <w:jc w:val="center"/>
              <w:rPr>
                <w:sz w:val="24"/>
              </w:rPr>
            </w:pPr>
            <w:r>
              <w:rPr>
                <w:rFonts w:hint="eastAsia"/>
                <w:sz w:val="24"/>
              </w:rPr>
              <w:t>/</w:t>
            </w:r>
          </w:p>
        </w:tc>
        <w:tc>
          <w:tcPr>
            <w:tcW w:w="2544" w:type="dxa"/>
            <w:vAlign w:val="center"/>
          </w:tcPr>
          <w:p>
            <w:pPr>
              <w:adjustRightInd w:val="0"/>
              <w:snapToGrid w:val="0"/>
              <w:jc w:val="center"/>
              <w:rPr>
                <w:b/>
                <w:bCs/>
                <w:sz w:val="24"/>
              </w:rPr>
            </w:pPr>
            <w:r>
              <w:rPr>
                <w:rFonts w:hint="eastAsia"/>
                <w:b/>
                <w:bCs/>
                <w:sz w:val="24"/>
              </w:rPr>
              <w:t>项目审批（核准/</w:t>
            </w:r>
          </w:p>
          <w:p>
            <w:pPr>
              <w:adjustRightInd w:val="0"/>
              <w:snapToGrid w:val="0"/>
              <w:jc w:val="center"/>
              <w:rPr>
                <w:sz w:val="24"/>
              </w:rPr>
            </w:pPr>
            <w:r>
              <w:rPr>
                <w:rFonts w:hint="eastAsia"/>
                <w:b/>
                <w:bCs/>
                <w:sz w:val="24"/>
              </w:rPr>
              <w:t>备案）文号（选填）</w:t>
            </w:r>
          </w:p>
        </w:tc>
        <w:tc>
          <w:tcPr>
            <w:tcW w:w="3038" w:type="dxa"/>
            <w:vAlign w:val="center"/>
          </w:tcPr>
          <w:p>
            <w:pPr>
              <w:adjustRightInd w:val="0"/>
              <w:snapToGrid w:val="0"/>
              <w:jc w:val="center"/>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总投资（万元）</w:t>
            </w:r>
          </w:p>
        </w:tc>
        <w:tc>
          <w:tcPr>
            <w:tcW w:w="2325" w:type="dxa"/>
            <w:vAlign w:val="center"/>
          </w:tcPr>
          <w:p>
            <w:pPr>
              <w:adjustRightInd w:val="0"/>
              <w:snapToGrid w:val="0"/>
              <w:jc w:val="center"/>
              <w:rPr>
                <w:sz w:val="24"/>
              </w:rPr>
            </w:pPr>
            <w:r>
              <w:rPr>
                <w:rFonts w:hint="eastAsia"/>
                <w:sz w:val="24"/>
              </w:rPr>
              <w:t>32000</w:t>
            </w:r>
          </w:p>
        </w:tc>
        <w:tc>
          <w:tcPr>
            <w:tcW w:w="2544" w:type="dxa"/>
            <w:tcMar>
              <w:top w:w="16" w:type="dxa"/>
              <w:left w:w="16" w:type="dxa"/>
              <w:right w:w="16" w:type="dxa"/>
            </w:tcMar>
            <w:vAlign w:val="center"/>
          </w:tcPr>
          <w:p>
            <w:pPr>
              <w:adjustRightInd w:val="0"/>
              <w:snapToGrid w:val="0"/>
              <w:jc w:val="center"/>
              <w:rPr>
                <w:b/>
                <w:sz w:val="24"/>
              </w:rPr>
            </w:pPr>
            <w:r>
              <w:rPr>
                <w:b/>
                <w:sz w:val="24"/>
              </w:rPr>
              <w:t>环保投资（万元）</w:t>
            </w:r>
          </w:p>
        </w:tc>
        <w:tc>
          <w:tcPr>
            <w:tcW w:w="3038" w:type="dxa"/>
            <w:vAlign w:val="center"/>
          </w:tcPr>
          <w:p>
            <w:pPr>
              <w:adjustRightInd w:val="0"/>
              <w:snapToGrid w:val="0"/>
              <w:jc w:val="center"/>
              <w:rPr>
                <w:sz w:val="24"/>
              </w:rPr>
            </w:pPr>
            <w:r>
              <w:rPr>
                <w:rFonts w:hint="eastAsia"/>
                <w:sz w:val="24"/>
              </w:rPr>
              <w:t>320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环保投资占比（%）</w:t>
            </w:r>
          </w:p>
        </w:tc>
        <w:tc>
          <w:tcPr>
            <w:tcW w:w="2325" w:type="dxa"/>
            <w:vAlign w:val="center"/>
          </w:tcPr>
          <w:p>
            <w:pPr>
              <w:adjustRightInd w:val="0"/>
              <w:snapToGrid w:val="0"/>
              <w:jc w:val="center"/>
              <w:rPr>
                <w:sz w:val="24"/>
              </w:rPr>
            </w:pPr>
            <w:r>
              <w:rPr>
                <w:rFonts w:hint="eastAsia"/>
                <w:sz w:val="24"/>
              </w:rPr>
              <w:t>1</w:t>
            </w:r>
          </w:p>
        </w:tc>
        <w:tc>
          <w:tcPr>
            <w:tcW w:w="2544" w:type="dxa"/>
            <w:tcMar>
              <w:top w:w="16" w:type="dxa"/>
              <w:left w:w="16" w:type="dxa"/>
              <w:right w:w="16" w:type="dxa"/>
            </w:tcMar>
            <w:vAlign w:val="center"/>
          </w:tcPr>
          <w:p>
            <w:pPr>
              <w:adjustRightInd w:val="0"/>
              <w:snapToGrid w:val="0"/>
              <w:jc w:val="center"/>
              <w:rPr>
                <w:b/>
                <w:sz w:val="24"/>
              </w:rPr>
            </w:pPr>
            <w:r>
              <w:rPr>
                <w:b/>
                <w:sz w:val="24"/>
              </w:rPr>
              <w:t>施工工期</w:t>
            </w:r>
          </w:p>
        </w:tc>
        <w:tc>
          <w:tcPr>
            <w:tcW w:w="3038" w:type="dxa"/>
            <w:vAlign w:val="center"/>
          </w:tcPr>
          <w:p>
            <w:pPr>
              <w:adjustRightInd w:val="0"/>
              <w:snapToGrid w:val="0"/>
              <w:jc w:val="center"/>
              <w:rPr>
                <w:sz w:val="24"/>
              </w:rPr>
            </w:pPr>
            <w:r>
              <w:rPr>
                <w:rFonts w:hint="eastAsia"/>
                <w:sz w:val="24"/>
              </w:rPr>
              <w:t>12个月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pPr>
              <w:adjustRightInd w:val="0"/>
              <w:snapToGrid w:val="0"/>
              <w:jc w:val="center"/>
              <w:rPr>
                <w:b/>
                <w:sz w:val="24"/>
              </w:rPr>
            </w:pPr>
            <w:r>
              <w:rPr>
                <w:b/>
                <w:sz w:val="24"/>
              </w:rPr>
              <w:t>是否开工建设</w:t>
            </w:r>
          </w:p>
        </w:tc>
        <w:tc>
          <w:tcPr>
            <w:tcW w:w="2325" w:type="dxa"/>
            <w:vAlign w:val="center"/>
          </w:tcPr>
          <w:p>
            <w:pPr>
              <w:adjustRightInd w:val="0"/>
              <w:snapToGrid w:val="0"/>
              <w:rPr>
                <w:sz w:val="24"/>
              </w:rPr>
            </w:pPr>
            <w:r>
              <w:rPr>
                <w:sz w:val="24"/>
              </w:rPr>
              <w:sym w:font="Wingdings 2" w:char="0052"/>
            </w:r>
            <w:r>
              <w:rPr>
                <w:sz w:val="24"/>
              </w:rPr>
              <w:t>否</w:t>
            </w:r>
          </w:p>
          <w:p>
            <w:pPr>
              <w:adjustRightInd w:val="0"/>
              <w:snapToGrid w:val="0"/>
              <w:rPr>
                <w:sz w:val="24"/>
              </w:rPr>
            </w:pPr>
            <w:r>
              <w:rPr>
                <w:rFonts w:hint="eastAsia" w:ascii="宋体" w:hAnsi="宋体" w:cs="宋体"/>
                <w:sz w:val="24"/>
              </w:rPr>
              <w:sym w:font="Wingdings 2" w:char="00A3"/>
            </w:r>
            <w:r>
              <w:rPr>
                <w:sz w:val="24"/>
              </w:rPr>
              <w:t>是：</w:t>
            </w:r>
            <w:r>
              <w:rPr>
                <w:rFonts w:hint="eastAsia"/>
                <w:sz w:val="24"/>
              </w:rPr>
              <w:t xml:space="preserve">        </w:t>
            </w:r>
          </w:p>
        </w:tc>
        <w:tc>
          <w:tcPr>
            <w:tcW w:w="2544" w:type="dxa"/>
            <w:tcMar>
              <w:top w:w="16" w:type="dxa"/>
              <w:left w:w="16" w:type="dxa"/>
              <w:right w:w="16" w:type="dxa"/>
            </w:tcMar>
            <w:vAlign w:val="center"/>
          </w:tcPr>
          <w:p>
            <w:pPr>
              <w:adjustRightInd w:val="0"/>
              <w:snapToGrid w:val="0"/>
              <w:jc w:val="center"/>
              <w:rPr>
                <w:b/>
                <w:spacing w:val="-6"/>
                <w:sz w:val="24"/>
              </w:rPr>
            </w:pPr>
            <w:r>
              <w:rPr>
                <w:b/>
                <w:spacing w:val="-6"/>
                <w:sz w:val="24"/>
              </w:rPr>
              <w:t>用地（用海）</w:t>
            </w:r>
          </w:p>
          <w:p>
            <w:pPr>
              <w:adjustRightInd w:val="0"/>
              <w:snapToGrid w:val="0"/>
              <w:jc w:val="center"/>
              <w:rPr>
                <w:b/>
                <w:sz w:val="24"/>
              </w:rPr>
            </w:pPr>
            <w:r>
              <w:rPr>
                <w:b/>
                <w:spacing w:val="-6"/>
                <w:sz w:val="24"/>
              </w:rPr>
              <w:t>面积（m</w:t>
            </w:r>
            <w:r>
              <w:rPr>
                <w:b/>
                <w:spacing w:val="-6"/>
                <w:sz w:val="24"/>
                <w:vertAlign w:val="superscript"/>
              </w:rPr>
              <w:t>2</w:t>
            </w:r>
            <w:r>
              <w:rPr>
                <w:b/>
                <w:spacing w:val="-6"/>
                <w:sz w:val="24"/>
              </w:rPr>
              <w:t>）</w:t>
            </w:r>
          </w:p>
        </w:tc>
        <w:tc>
          <w:tcPr>
            <w:tcW w:w="3038" w:type="dxa"/>
            <w:vAlign w:val="center"/>
          </w:tcPr>
          <w:p>
            <w:pPr>
              <w:adjustRightInd w:val="0"/>
              <w:snapToGrid w:val="0"/>
              <w:jc w:val="center"/>
              <w:rPr>
                <w:sz w:val="24"/>
              </w:rPr>
            </w:pPr>
            <w:r>
              <w:rPr>
                <w:rFonts w:hint="eastAsia"/>
                <w:kern w:val="0"/>
                <w:sz w:val="24"/>
              </w:rPr>
              <w:t>41085.11</w:t>
            </w:r>
            <w:r>
              <w:rPr>
                <w:sz w:val="24"/>
              </w:rPr>
              <w:t>m</w:t>
            </w:r>
            <w:r>
              <w:rPr>
                <w:sz w:val="24"/>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pPr>
              <w:autoSpaceDE w:val="0"/>
              <w:autoSpaceDN w:val="0"/>
              <w:adjustRightInd w:val="0"/>
              <w:snapToGrid w:val="0"/>
              <w:jc w:val="center"/>
              <w:rPr>
                <w:b/>
                <w:kern w:val="0"/>
                <w:sz w:val="24"/>
              </w:rPr>
            </w:pPr>
            <w:r>
              <w:rPr>
                <w:b/>
                <w:kern w:val="0"/>
                <w:sz w:val="24"/>
              </w:rPr>
              <w:t>专项评价设置情况</w:t>
            </w:r>
          </w:p>
        </w:tc>
        <w:tc>
          <w:tcPr>
            <w:tcW w:w="9383" w:type="dxa"/>
            <w:gridSpan w:val="4"/>
            <w:vAlign w:val="center"/>
          </w:tcPr>
          <w:p>
            <w:pPr>
              <w:autoSpaceDE w:val="0"/>
              <w:autoSpaceDN w:val="0"/>
              <w:adjustRightInd w:val="0"/>
              <w:snapToGrid w:val="0"/>
              <w:spacing w:beforeLines="50"/>
              <w:jc w:val="center"/>
              <w:rPr>
                <w:b/>
                <w:bCs/>
              </w:rPr>
            </w:pPr>
            <w:r>
              <w:rPr>
                <w:b/>
              </w:rPr>
              <w:t>表</w:t>
            </w:r>
            <w:r>
              <w:rPr>
                <w:rFonts w:hint="eastAsia"/>
                <w:b/>
              </w:rPr>
              <w:t xml:space="preserve">1-1  </w:t>
            </w:r>
            <w:r>
              <w:rPr>
                <w:rFonts w:hint="eastAsia"/>
                <w:b/>
                <w:bCs/>
              </w:rPr>
              <w:t>专项评价设置原则</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62"/>
              <w:gridCol w:w="4101"/>
              <w:gridCol w:w="3061"/>
              <w:gridCol w:w="8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pPr>
                    <w:autoSpaceDE w:val="0"/>
                    <w:autoSpaceDN w:val="0"/>
                    <w:adjustRightInd w:val="0"/>
                    <w:snapToGrid w:val="0"/>
                    <w:jc w:val="center"/>
                    <w:rPr>
                      <w:rFonts w:eastAsiaTheme="minorEastAsia"/>
                      <w:b/>
                      <w:bCs/>
                    </w:rPr>
                  </w:pPr>
                  <w:r>
                    <w:rPr>
                      <w:rFonts w:hAnsiTheme="minorEastAsia" w:eastAsiaTheme="minorEastAsia"/>
                      <w:b/>
                      <w:bCs/>
                    </w:rPr>
                    <w:t>专项评价类别</w:t>
                  </w:r>
                </w:p>
              </w:tc>
              <w:tc>
                <w:tcPr>
                  <w:tcW w:w="2244" w:type="pct"/>
                  <w:vAlign w:val="center"/>
                </w:tcPr>
                <w:p>
                  <w:pPr>
                    <w:autoSpaceDE w:val="0"/>
                    <w:autoSpaceDN w:val="0"/>
                    <w:adjustRightInd w:val="0"/>
                    <w:snapToGrid w:val="0"/>
                    <w:jc w:val="center"/>
                    <w:rPr>
                      <w:rFonts w:eastAsiaTheme="minorEastAsia"/>
                      <w:b/>
                      <w:bCs/>
                    </w:rPr>
                  </w:pPr>
                  <w:r>
                    <w:rPr>
                      <w:rFonts w:hAnsiTheme="minorEastAsia" w:eastAsiaTheme="minorEastAsia"/>
                      <w:b/>
                      <w:bCs/>
                    </w:rPr>
                    <w:t>设置原则</w:t>
                  </w:r>
                </w:p>
              </w:tc>
              <w:tc>
                <w:tcPr>
                  <w:tcW w:w="1675" w:type="pct"/>
                  <w:vAlign w:val="center"/>
                </w:tcPr>
                <w:p>
                  <w:pPr>
                    <w:autoSpaceDE w:val="0"/>
                    <w:autoSpaceDN w:val="0"/>
                    <w:adjustRightInd w:val="0"/>
                    <w:snapToGrid w:val="0"/>
                    <w:jc w:val="center"/>
                    <w:rPr>
                      <w:rFonts w:eastAsiaTheme="minorEastAsia"/>
                      <w:b/>
                      <w:bCs/>
                    </w:rPr>
                  </w:pPr>
                  <w:r>
                    <w:rPr>
                      <w:rFonts w:hAnsiTheme="minorEastAsia" w:eastAsiaTheme="minorEastAsia"/>
                      <w:b/>
                      <w:bCs/>
                    </w:rPr>
                    <w:t>项目情况</w:t>
                  </w:r>
                </w:p>
              </w:tc>
              <w:tc>
                <w:tcPr>
                  <w:tcW w:w="445" w:type="pct"/>
                  <w:vAlign w:val="center"/>
                </w:tcPr>
                <w:p>
                  <w:pPr>
                    <w:autoSpaceDE w:val="0"/>
                    <w:autoSpaceDN w:val="0"/>
                    <w:adjustRightInd w:val="0"/>
                    <w:snapToGrid w:val="0"/>
                    <w:jc w:val="center"/>
                    <w:rPr>
                      <w:rFonts w:eastAsiaTheme="minorEastAsia"/>
                      <w:b/>
                      <w:bCs/>
                    </w:rPr>
                  </w:pPr>
                  <w:r>
                    <w:rPr>
                      <w:rFonts w:hAnsiTheme="minorEastAsia" w:eastAsiaTheme="minorEastAsia"/>
                      <w:b/>
                      <w:bCs/>
                    </w:rPr>
                    <w:t>判定结果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pPr>
                    <w:autoSpaceDE w:val="0"/>
                    <w:autoSpaceDN w:val="0"/>
                    <w:adjustRightInd w:val="0"/>
                    <w:snapToGrid w:val="0"/>
                    <w:jc w:val="center"/>
                    <w:rPr>
                      <w:rFonts w:eastAsiaTheme="minorEastAsia"/>
                      <w:bCs/>
                    </w:rPr>
                  </w:pPr>
                  <w:r>
                    <w:rPr>
                      <w:rFonts w:hAnsiTheme="minorEastAsia" w:eastAsiaTheme="minorEastAsia"/>
                      <w:bCs/>
                    </w:rPr>
                    <w:t>大气</w:t>
                  </w:r>
                </w:p>
              </w:tc>
              <w:tc>
                <w:tcPr>
                  <w:tcW w:w="2244" w:type="pct"/>
                  <w:vAlign w:val="center"/>
                </w:tcPr>
                <w:p>
                  <w:pPr>
                    <w:autoSpaceDE w:val="0"/>
                    <w:autoSpaceDN w:val="0"/>
                    <w:adjustRightInd w:val="0"/>
                    <w:snapToGrid w:val="0"/>
                    <w:jc w:val="center"/>
                    <w:rPr>
                      <w:rFonts w:eastAsiaTheme="minorEastAsia"/>
                      <w:bCs/>
                    </w:rPr>
                  </w:pPr>
                  <w:r>
                    <w:rPr>
                      <w:rFonts w:hAnsiTheme="minorEastAsia" w:eastAsiaTheme="minorEastAsia"/>
                      <w:bCs/>
                    </w:rPr>
                    <w:t>排放废气含有毒有害污染物、二噁英、苯并</w:t>
                  </w:r>
                  <w:r>
                    <w:rPr>
                      <w:rFonts w:eastAsiaTheme="minorEastAsia"/>
                      <w:bCs/>
                    </w:rPr>
                    <w:t>[a]</w:t>
                  </w:r>
                  <w:r>
                    <w:rPr>
                      <w:rFonts w:hAnsiTheme="minorEastAsia" w:eastAsiaTheme="minorEastAsia"/>
                      <w:bCs/>
                    </w:rPr>
                    <w:t>芘、氰化物、氯气且厂界外</w:t>
                  </w:r>
                  <w:r>
                    <w:rPr>
                      <w:rFonts w:eastAsiaTheme="minorEastAsia"/>
                      <w:bCs/>
                    </w:rPr>
                    <w:t>500</w:t>
                  </w:r>
                  <w:r>
                    <w:rPr>
                      <w:rFonts w:hAnsiTheme="minorEastAsia" w:eastAsiaTheme="minorEastAsia"/>
                      <w:bCs/>
                    </w:rPr>
                    <w:t>米范围内有环境空气保护目标的建设项目</w:t>
                  </w:r>
                </w:p>
              </w:tc>
              <w:tc>
                <w:tcPr>
                  <w:tcW w:w="1675" w:type="pct"/>
                  <w:vAlign w:val="center"/>
                </w:tcPr>
                <w:p>
                  <w:pPr>
                    <w:autoSpaceDE w:val="0"/>
                    <w:autoSpaceDN w:val="0"/>
                    <w:adjustRightInd w:val="0"/>
                    <w:snapToGrid w:val="0"/>
                    <w:jc w:val="center"/>
                    <w:rPr>
                      <w:rFonts w:eastAsiaTheme="minorEastAsia"/>
                      <w:bCs/>
                    </w:rPr>
                  </w:pPr>
                  <w:r>
                    <w:rPr>
                      <w:rFonts w:hAnsiTheme="minorEastAsia" w:eastAsiaTheme="minorEastAsia"/>
                      <w:bCs/>
                    </w:rPr>
                    <w:t>排放的大气污染物不含有毒有害污染物、二噁英、苯并</w:t>
                  </w:r>
                  <w:r>
                    <w:rPr>
                      <w:rFonts w:eastAsiaTheme="minorEastAsia"/>
                      <w:bCs/>
                    </w:rPr>
                    <w:t>[a]</w:t>
                  </w:r>
                  <w:r>
                    <w:rPr>
                      <w:rFonts w:hAnsiTheme="minorEastAsia" w:eastAsiaTheme="minorEastAsia"/>
                      <w:bCs/>
                    </w:rPr>
                    <w:t>芘、氰化物、氯气等物质</w:t>
                  </w:r>
                </w:p>
              </w:tc>
              <w:tc>
                <w:tcPr>
                  <w:tcW w:w="445" w:type="pct"/>
                  <w:vAlign w:val="center"/>
                </w:tcPr>
                <w:p>
                  <w:pPr>
                    <w:autoSpaceDE w:val="0"/>
                    <w:autoSpaceDN w:val="0"/>
                    <w:adjustRightInd w:val="0"/>
                    <w:snapToGrid w:val="0"/>
                    <w:jc w:val="center"/>
                    <w:rPr>
                      <w:rFonts w:eastAsiaTheme="minorEastAsia"/>
                      <w:bCs/>
                    </w:rPr>
                  </w:pPr>
                  <w:r>
                    <w:rPr>
                      <w:rFonts w:hAnsiTheme="minorEastAsia" w:eastAsiaTheme="minorEastAsia"/>
                      <w:bCs/>
                    </w:rPr>
                    <w:t>无需设置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pPr>
                    <w:autoSpaceDE w:val="0"/>
                    <w:autoSpaceDN w:val="0"/>
                    <w:adjustRightInd w:val="0"/>
                    <w:snapToGrid w:val="0"/>
                    <w:jc w:val="center"/>
                    <w:rPr>
                      <w:rFonts w:eastAsiaTheme="minorEastAsia"/>
                      <w:bCs/>
                    </w:rPr>
                  </w:pPr>
                  <w:r>
                    <w:rPr>
                      <w:rFonts w:hAnsiTheme="minorEastAsia" w:eastAsiaTheme="minorEastAsia"/>
                      <w:bCs/>
                    </w:rPr>
                    <w:t>地表水</w:t>
                  </w:r>
                </w:p>
              </w:tc>
              <w:tc>
                <w:tcPr>
                  <w:tcW w:w="2244" w:type="pct"/>
                  <w:vAlign w:val="center"/>
                </w:tcPr>
                <w:p>
                  <w:pPr>
                    <w:autoSpaceDE w:val="0"/>
                    <w:autoSpaceDN w:val="0"/>
                    <w:adjustRightInd w:val="0"/>
                    <w:snapToGrid w:val="0"/>
                    <w:jc w:val="center"/>
                    <w:rPr>
                      <w:rFonts w:eastAsiaTheme="minorEastAsia"/>
                      <w:bCs/>
                    </w:rPr>
                  </w:pPr>
                  <w:r>
                    <w:rPr>
                      <w:rFonts w:hAnsiTheme="minorEastAsia" w:eastAsiaTheme="minorEastAsia"/>
                      <w:bCs/>
                    </w:rPr>
                    <w:t>新增工业废水直接排放建设项目（槽罐车外送至污水处理厂的除外）；新增废水直排的污水集中处理厂</w:t>
                  </w:r>
                </w:p>
              </w:tc>
              <w:tc>
                <w:tcPr>
                  <w:tcW w:w="1675" w:type="pct"/>
                  <w:vAlign w:val="center"/>
                </w:tcPr>
                <w:p>
                  <w:pPr>
                    <w:autoSpaceDE w:val="0"/>
                    <w:autoSpaceDN w:val="0"/>
                    <w:adjustRightInd w:val="0"/>
                    <w:snapToGrid w:val="0"/>
                    <w:jc w:val="center"/>
                    <w:rPr>
                      <w:rFonts w:eastAsiaTheme="minorEastAsia"/>
                      <w:bCs/>
                    </w:rPr>
                  </w:pPr>
                  <w:r>
                    <w:rPr>
                      <w:rFonts w:hAnsiTheme="minorEastAsia" w:eastAsiaTheme="minorEastAsia"/>
                      <w:bCs/>
                    </w:rPr>
                    <w:t>不涉及工业废水直接排放</w:t>
                  </w:r>
                </w:p>
              </w:tc>
              <w:tc>
                <w:tcPr>
                  <w:tcW w:w="445" w:type="pct"/>
                  <w:vAlign w:val="center"/>
                </w:tcPr>
                <w:p>
                  <w:pPr>
                    <w:autoSpaceDE w:val="0"/>
                    <w:autoSpaceDN w:val="0"/>
                    <w:adjustRightInd w:val="0"/>
                    <w:snapToGrid w:val="0"/>
                    <w:jc w:val="center"/>
                    <w:rPr>
                      <w:rFonts w:eastAsiaTheme="minorEastAsia"/>
                      <w:bCs/>
                    </w:rPr>
                  </w:pPr>
                  <w:r>
                    <w:rPr>
                      <w:rFonts w:hAnsiTheme="minorEastAsia" w:eastAsiaTheme="minorEastAsia"/>
                      <w:bCs/>
                    </w:rPr>
                    <w:t>无需设置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pPr>
                    <w:autoSpaceDE w:val="0"/>
                    <w:autoSpaceDN w:val="0"/>
                    <w:adjustRightInd w:val="0"/>
                    <w:snapToGrid w:val="0"/>
                    <w:jc w:val="center"/>
                    <w:rPr>
                      <w:rFonts w:eastAsiaTheme="minorEastAsia"/>
                      <w:bCs/>
                    </w:rPr>
                  </w:pPr>
                  <w:r>
                    <w:rPr>
                      <w:rFonts w:hAnsiTheme="minorEastAsia" w:eastAsiaTheme="minorEastAsia"/>
                      <w:bCs/>
                    </w:rPr>
                    <w:t>环境风险</w:t>
                  </w:r>
                </w:p>
              </w:tc>
              <w:tc>
                <w:tcPr>
                  <w:tcW w:w="2244" w:type="pct"/>
                  <w:vAlign w:val="center"/>
                </w:tcPr>
                <w:p>
                  <w:pPr>
                    <w:autoSpaceDE w:val="0"/>
                    <w:autoSpaceDN w:val="0"/>
                    <w:adjustRightInd w:val="0"/>
                    <w:snapToGrid w:val="0"/>
                    <w:jc w:val="center"/>
                    <w:rPr>
                      <w:rFonts w:eastAsiaTheme="minorEastAsia"/>
                      <w:bCs/>
                    </w:rPr>
                  </w:pPr>
                  <w:r>
                    <w:rPr>
                      <w:rFonts w:hAnsiTheme="minorEastAsia" w:eastAsiaTheme="minorEastAsia"/>
                      <w:bCs/>
                    </w:rPr>
                    <w:t>有毒有害和易燃易爆危险物质存储量超过临界量的建设项目</w:t>
                  </w:r>
                </w:p>
              </w:tc>
              <w:tc>
                <w:tcPr>
                  <w:tcW w:w="1675" w:type="pct"/>
                  <w:vAlign w:val="center"/>
                </w:tcPr>
                <w:p>
                  <w:pPr>
                    <w:autoSpaceDE w:val="0"/>
                    <w:autoSpaceDN w:val="0"/>
                    <w:adjustRightInd w:val="0"/>
                    <w:snapToGrid w:val="0"/>
                    <w:jc w:val="center"/>
                    <w:rPr>
                      <w:rFonts w:eastAsiaTheme="minorEastAsia"/>
                      <w:bCs/>
                    </w:rPr>
                  </w:pPr>
                  <w:r>
                    <w:rPr>
                      <w:rFonts w:hAnsiTheme="minorEastAsia" w:eastAsiaTheme="minorEastAsia"/>
                      <w:bCs/>
                    </w:rPr>
                    <w:t>危险物质存储量未超过临界量</w:t>
                  </w:r>
                </w:p>
              </w:tc>
              <w:tc>
                <w:tcPr>
                  <w:tcW w:w="445" w:type="pct"/>
                  <w:vAlign w:val="center"/>
                </w:tcPr>
                <w:p>
                  <w:pPr>
                    <w:autoSpaceDE w:val="0"/>
                    <w:autoSpaceDN w:val="0"/>
                    <w:adjustRightInd w:val="0"/>
                    <w:snapToGrid w:val="0"/>
                    <w:jc w:val="center"/>
                    <w:rPr>
                      <w:rFonts w:eastAsiaTheme="minorEastAsia"/>
                      <w:bCs/>
                    </w:rPr>
                  </w:pPr>
                  <w:r>
                    <w:rPr>
                      <w:rFonts w:hAnsiTheme="minorEastAsia" w:eastAsiaTheme="minorEastAsia"/>
                      <w:bCs/>
                    </w:rPr>
                    <w:t>无需设置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pPr>
                    <w:autoSpaceDE w:val="0"/>
                    <w:autoSpaceDN w:val="0"/>
                    <w:adjustRightInd w:val="0"/>
                    <w:snapToGrid w:val="0"/>
                    <w:jc w:val="center"/>
                    <w:rPr>
                      <w:rFonts w:eastAsiaTheme="minorEastAsia"/>
                      <w:bCs/>
                    </w:rPr>
                  </w:pPr>
                  <w:r>
                    <w:rPr>
                      <w:rFonts w:hAnsiTheme="minorEastAsia" w:eastAsiaTheme="minorEastAsia"/>
                      <w:bCs/>
                    </w:rPr>
                    <w:t>生态</w:t>
                  </w:r>
                </w:p>
              </w:tc>
              <w:tc>
                <w:tcPr>
                  <w:tcW w:w="2244" w:type="pct"/>
                  <w:vAlign w:val="center"/>
                </w:tcPr>
                <w:p>
                  <w:pPr>
                    <w:autoSpaceDE w:val="0"/>
                    <w:autoSpaceDN w:val="0"/>
                    <w:adjustRightInd w:val="0"/>
                    <w:snapToGrid w:val="0"/>
                    <w:jc w:val="center"/>
                    <w:rPr>
                      <w:rFonts w:eastAsiaTheme="minorEastAsia"/>
                      <w:bCs/>
                    </w:rPr>
                  </w:pPr>
                  <w:r>
                    <w:rPr>
                      <w:rFonts w:hAnsiTheme="minorEastAsia" w:eastAsiaTheme="minorEastAsia"/>
                      <w:bCs/>
                    </w:rPr>
                    <w:t>取水口下游</w:t>
                  </w:r>
                  <w:r>
                    <w:rPr>
                      <w:rFonts w:eastAsiaTheme="minorEastAsia"/>
                      <w:bCs/>
                    </w:rPr>
                    <w:t>500</w:t>
                  </w:r>
                  <w:r>
                    <w:rPr>
                      <w:rFonts w:hAnsiTheme="minorEastAsia" w:eastAsiaTheme="minorEastAsia"/>
                      <w:bCs/>
                    </w:rPr>
                    <w:t>米范围内有重要水生生物的自然产卵场、索饵场、越冬场和洄游通道的新增河道取水的污染类建设项目</w:t>
                  </w:r>
                </w:p>
              </w:tc>
              <w:tc>
                <w:tcPr>
                  <w:tcW w:w="1675" w:type="pct"/>
                  <w:vAlign w:val="center"/>
                </w:tcPr>
                <w:p>
                  <w:pPr>
                    <w:autoSpaceDE w:val="0"/>
                    <w:autoSpaceDN w:val="0"/>
                    <w:adjustRightInd w:val="0"/>
                    <w:snapToGrid w:val="0"/>
                    <w:jc w:val="center"/>
                    <w:rPr>
                      <w:rFonts w:eastAsiaTheme="minorEastAsia"/>
                      <w:bCs/>
                    </w:rPr>
                  </w:pPr>
                  <w:r>
                    <w:rPr>
                      <w:rFonts w:hAnsiTheme="minorEastAsia" w:eastAsiaTheme="minorEastAsia"/>
                    </w:rPr>
                    <w:t>不涉及取水口</w:t>
                  </w:r>
                </w:p>
              </w:tc>
              <w:tc>
                <w:tcPr>
                  <w:tcW w:w="445" w:type="pct"/>
                  <w:vAlign w:val="center"/>
                </w:tcPr>
                <w:p>
                  <w:pPr>
                    <w:autoSpaceDE w:val="0"/>
                    <w:autoSpaceDN w:val="0"/>
                    <w:adjustRightInd w:val="0"/>
                    <w:snapToGrid w:val="0"/>
                    <w:jc w:val="center"/>
                    <w:rPr>
                      <w:rFonts w:eastAsiaTheme="minorEastAsia"/>
                    </w:rPr>
                  </w:pPr>
                  <w:r>
                    <w:rPr>
                      <w:rFonts w:hAnsiTheme="minorEastAsia" w:eastAsiaTheme="minorEastAsia"/>
                      <w:bCs/>
                    </w:rPr>
                    <w:t>无需设置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vAlign w:val="center"/>
                </w:tcPr>
                <w:p>
                  <w:pPr>
                    <w:autoSpaceDE w:val="0"/>
                    <w:autoSpaceDN w:val="0"/>
                    <w:adjustRightInd w:val="0"/>
                    <w:snapToGrid w:val="0"/>
                    <w:jc w:val="center"/>
                    <w:rPr>
                      <w:rFonts w:eastAsiaTheme="minorEastAsia"/>
                      <w:bCs/>
                    </w:rPr>
                  </w:pPr>
                  <w:r>
                    <w:rPr>
                      <w:rFonts w:hAnsiTheme="minorEastAsia" w:eastAsiaTheme="minorEastAsia"/>
                      <w:bCs/>
                    </w:rPr>
                    <w:t>海洋</w:t>
                  </w:r>
                </w:p>
              </w:tc>
              <w:tc>
                <w:tcPr>
                  <w:tcW w:w="2244" w:type="pct"/>
                  <w:vAlign w:val="center"/>
                </w:tcPr>
                <w:p>
                  <w:pPr>
                    <w:autoSpaceDE w:val="0"/>
                    <w:autoSpaceDN w:val="0"/>
                    <w:adjustRightInd w:val="0"/>
                    <w:snapToGrid w:val="0"/>
                    <w:jc w:val="center"/>
                    <w:rPr>
                      <w:rFonts w:eastAsiaTheme="minorEastAsia"/>
                      <w:bCs/>
                    </w:rPr>
                  </w:pPr>
                  <w:r>
                    <w:rPr>
                      <w:rFonts w:hAnsiTheme="minorEastAsia" w:eastAsiaTheme="minorEastAsia"/>
                      <w:bCs/>
                    </w:rPr>
                    <w:t>直接向海排放污染物的海洋工程建设项目</w:t>
                  </w:r>
                </w:p>
              </w:tc>
              <w:tc>
                <w:tcPr>
                  <w:tcW w:w="1675" w:type="pct"/>
                  <w:vAlign w:val="center"/>
                </w:tcPr>
                <w:p>
                  <w:pPr>
                    <w:autoSpaceDE w:val="0"/>
                    <w:autoSpaceDN w:val="0"/>
                    <w:adjustRightInd w:val="0"/>
                    <w:snapToGrid w:val="0"/>
                    <w:jc w:val="center"/>
                    <w:rPr>
                      <w:rFonts w:eastAsiaTheme="minorEastAsia"/>
                      <w:bCs/>
                    </w:rPr>
                  </w:pPr>
                  <w:r>
                    <w:rPr>
                      <w:rFonts w:hAnsiTheme="minorEastAsia" w:eastAsiaTheme="minorEastAsia"/>
                    </w:rPr>
                    <w:t>不涉及向海洋排放污染物</w:t>
                  </w:r>
                </w:p>
              </w:tc>
              <w:tc>
                <w:tcPr>
                  <w:tcW w:w="445" w:type="pct"/>
                  <w:vAlign w:val="center"/>
                </w:tcPr>
                <w:p>
                  <w:pPr>
                    <w:autoSpaceDE w:val="0"/>
                    <w:autoSpaceDN w:val="0"/>
                    <w:adjustRightInd w:val="0"/>
                    <w:snapToGrid w:val="0"/>
                    <w:jc w:val="center"/>
                    <w:rPr>
                      <w:rFonts w:eastAsiaTheme="minorEastAsia"/>
                    </w:rPr>
                  </w:pPr>
                  <w:r>
                    <w:rPr>
                      <w:rFonts w:hAnsiTheme="minorEastAsia" w:eastAsiaTheme="minorEastAsia"/>
                      <w:bCs/>
                    </w:rPr>
                    <w:t>无需设置</w:t>
                  </w:r>
                </w:p>
              </w:tc>
            </w:tr>
          </w:tbl>
          <w:p>
            <w:pPr>
              <w:autoSpaceDE w:val="0"/>
              <w:autoSpaceDN w:val="0"/>
              <w:adjustRightInd w:val="0"/>
              <w:snapToGrid w:val="0"/>
              <w:jc w:val="center"/>
              <w:rPr>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pPr>
              <w:autoSpaceDE w:val="0"/>
              <w:autoSpaceDN w:val="0"/>
              <w:adjustRightInd w:val="0"/>
              <w:snapToGrid w:val="0"/>
              <w:jc w:val="center"/>
              <w:rPr>
                <w:b/>
                <w:kern w:val="0"/>
                <w:sz w:val="24"/>
              </w:rPr>
            </w:pPr>
            <w:r>
              <w:rPr>
                <w:b/>
                <w:sz w:val="24"/>
              </w:rPr>
              <w:t>规划情况</w:t>
            </w:r>
          </w:p>
        </w:tc>
        <w:tc>
          <w:tcPr>
            <w:tcW w:w="9383" w:type="dxa"/>
            <w:gridSpan w:val="4"/>
            <w:vAlign w:val="center"/>
          </w:tcPr>
          <w:p>
            <w:pPr>
              <w:autoSpaceDE w:val="0"/>
              <w:autoSpaceDN w:val="0"/>
              <w:adjustRightInd w:val="0"/>
              <w:snapToGrid w:val="0"/>
              <w:spacing w:line="360" w:lineRule="auto"/>
              <w:jc w:val="left"/>
              <w:rPr>
                <w:spacing w:val="-2"/>
                <w:sz w:val="24"/>
              </w:rPr>
            </w:pPr>
            <w:r>
              <w:rPr>
                <w:rFonts w:hint="eastAsia"/>
                <w:spacing w:val="-2"/>
                <w:sz w:val="24"/>
              </w:rPr>
              <w:t>（1）《衡山经济开发区总体规划（2006-2020）》（2013年修订）；</w:t>
            </w:r>
          </w:p>
          <w:p>
            <w:pPr>
              <w:autoSpaceDE w:val="0"/>
              <w:autoSpaceDN w:val="0"/>
              <w:adjustRightInd w:val="0"/>
              <w:snapToGrid w:val="0"/>
              <w:spacing w:line="360" w:lineRule="auto"/>
              <w:jc w:val="left"/>
              <w:rPr>
                <w:spacing w:val="-2"/>
                <w:sz w:val="24"/>
              </w:rPr>
            </w:pPr>
            <w:r>
              <w:rPr>
                <w:spacing w:val="-2"/>
                <w:sz w:val="24"/>
              </w:rPr>
              <w:t>（</w:t>
            </w:r>
            <w:r>
              <w:rPr>
                <w:rFonts w:hint="eastAsia"/>
                <w:spacing w:val="-2"/>
                <w:sz w:val="24"/>
              </w:rPr>
              <w:t>2</w:t>
            </w:r>
            <w:r>
              <w:rPr>
                <w:spacing w:val="-2"/>
                <w:sz w:val="24"/>
              </w:rPr>
              <w:t>）</w:t>
            </w:r>
            <w:r>
              <w:rPr>
                <w:rFonts w:hint="eastAsia"/>
                <w:spacing w:val="-2"/>
                <w:sz w:val="24"/>
              </w:rPr>
              <w:t>规划名称：《湖南衡山高新技术产业开发区控制性详细规划》；</w:t>
            </w:r>
          </w:p>
          <w:p>
            <w:pPr>
              <w:autoSpaceDE w:val="0"/>
              <w:autoSpaceDN w:val="0"/>
              <w:adjustRightInd w:val="0"/>
              <w:snapToGrid w:val="0"/>
              <w:spacing w:line="360" w:lineRule="auto"/>
              <w:jc w:val="left"/>
              <w:rPr>
                <w:spacing w:val="-2"/>
                <w:sz w:val="24"/>
              </w:rPr>
            </w:pPr>
            <w:r>
              <w:rPr>
                <w:rFonts w:hint="eastAsia"/>
                <w:spacing w:val="-2"/>
                <w:sz w:val="24"/>
              </w:rPr>
              <w:t>规划审批机关：湖南省人民政府；</w:t>
            </w:r>
          </w:p>
          <w:p>
            <w:pPr>
              <w:autoSpaceDE w:val="0"/>
              <w:autoSpaceDN w:val="0"/>
              <w:adjustRightInd w:val="0"/>
              <w:snapToGrid w:val="0"/>
              <w:spacing w:line="360" w:lineRule="auto"/>
              <w:jc w:val="left"/>
              <w:rPr>
                <w:spacing w:val="-2"/>
                <w:sz w:val="24"/>
              </w:rPr>
            </w:pPr>
            <w:r>
              <w:rPr>
                <w:rFonts w:hint="eastAsia"/>
                <w:spacing w:val="-2"/>
                <w:sz w:val="24"/>
              </w:rPr>
              <w:t>规划审批文件名称及文号：《湖南省人民政府关于设立岳麓高新技术产业开发区等9个高新技术产业开发区的批复》（湘政函[2018]12号）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pPr>
              <w:adjustRightInd w:val="0"/>
              <w:snapToGrid w:val="0"/>
              <w:jc w:val="center"/>
              <w:rPr>
                <w:b/>
                <w:sz w:val="24"/>
              </w:rPr>
            </w:pPr>
            <w:r>
              <w:rPr>
                <w:b/>
                <w:sz w:val="24"/>
              </w:rPr>
              <w:t>规划环境影响评价情况</w:t>
            </w:r>
          </w:p>
        </w:tc>
        <w:tc>
          <w:tcPr>
            <w:tcW w:w="9383" w:type="dxa"/>
            <w:gridSpan w:val="4"/>
            <w:vAlign w:val="center"/>
          </w:tcPr>
          <w:p>
            <w:pPr>
              <w:autoSpaceDE w:val="0"/>
              <w:autoSpaceDN w:val="0"/>
              <w:adjustRightInd w:val="0"/>
              <w:snapToGrid w:val="0"/>
              <w:spacing w:line="360" w:lineRule="auto"/>
              <w:ind w:firstLine="472" w:firstLineChars="200"/>
              <w:rPr>
                <w:spacing w:val="-2"/>
                <w:sz w:val="24"/>
              </w:rPr>
            </w:pPr>
            <w:r>
              <w:rPr>
                <w:spacing w:val="-2"/>
                <w:sz w:val="24"/>
              </w:rPr>
              <w:t>文件名称：《</w:t>
            </w:r>
            <w:r>
              <w:rPr>
                <w:rFonts w:hint="eastAsia"/>
                <w:spacing w:val="-2"/>
                <w:sz w:val="24"/>
              </w:rPr>
              <w:t>湖南衡山经济开发区环境影响报告书</w:t>
            </w:r>
            <w:r>
              <w:rPr>
                <w:spacing w:val="-2"/>
                <w:sz w:val="24"/>
              </w:rPr>
              <w:t>》</w:t>
            </w:r>
            <w:r>
              <w:rPr>
                <w:color w:val="000000" w:themeColor="text1"/>
                <w:spacing w:val="9"/>
                <w:sz w:val="24"/>
              </w:rPr>
              <w:t>《湖南衡山经济开发区环境影响报告书》（2012年，长沙环境保护职业技术学院）和《衡山高新技术产业开发区环境影响跟踪评价报告书》（2022年，湖南天瑶环境技术有限公司）</w:t>
            </w:r>
            <w:r>
              <w:rPr>
                <w:spacing w:val="-2"/>
                <w:sz w:val="24"/>
              </w:rPr>
              <w:t>；</w:t>
            </w:r>
          </w:p>
          <w:p>
            <w:pPr>
              <w:autoSpaceDE w:val="0"/>
              <w:autoSpaceDN w:val="0"/>
              <w:adjustRightInd w:val="0"/>
              <w:snapToGrid w:val="0"/>
              <w:spacing w:line="360" w:lineRule="auto"/>
              <w:ind w:firstLine="472" w:firstLineChars="200"/>
              <w:rPr>
                <w:spacing w:val="-2"/>
                <w:sz w:val="24"/>
              </w:rPr>
            </w:pPr>
            <w:r>
              <w:rPr>
                <w:rFonts w:hint="eastAsia"/>
                <w:spacing w:val="-2"/>
                <w:sz w:val="24"/>
              </w:rPr>
              <w:t>召集审查机关：湖南省生态环境厅（原湖南省环境保护厅）；</w:t>
            </w:r>
          </w:p>
          <w:p>
            <w:pPr>
              <w:autoSpaceDE w:val="0"/>
              <w:autoSpaceDN w:val="0"/>
              <w:adjustRightInd w:val="0"/>
              <w:snapToGrid w:val="0"/>
              <w:spacing w:line="360" w:lineRule="auto"/>
              <w:ind w:firstLine="472" w:firstLineChars="200"/>
              <w:rPr>
                <w:spacing w:val="-2"/>
                <w:sz w:val="24"/>
              </w:rPr>
            </w:pPr>
            <w:r>
              <w:rPr>
                <w:rFonts w:hint="eastAsia"/>
                <w:spacing w:val="-2"/>
                <w:sz w:val="24"/>
              </w:rPr>
              <w:t>审查文件名称及文号：</w:t>
            </w:r>
            <w:r>
              <w:rPr>
                <w:spacing w:val="-2"/>
                <w:sz w:val="24"/>
              </w:rPr>
              <w:t>关于《</w:t>
            </w:r>
            <w:r>
              <w:rPr>
                <w:rFonts w:hint="eastAsia"/>
                <w:spacing w:val="-2"/>
                <w:sz w:val="24"/>
              </w:rPr>
              <w:t>湖南衡山经济开发区环境影响报告书</w:t>
            </w:r>
            <w:r>
              <w:rPr>
                <w:spacing w:val="-2"/>
                <w:sz w:val="24"/>
              </w:rPr>
              <w:t>》审查意见的函（</w:t>
            </w:r>
            <w:r>
              <w:rPr>
                <w:rFonts w:hint="eastAsia"/>
                <w:spacing w:val="-2"/>
                <w:sz w:val="24"/>
              </w:rPr>
              <w:t>湘环评〔2012〕306号</w:t>
            </w:r>
            <w:r>
              <w:rPr>
                <w:spacing w:val="-2"/>
                <w:sz w:val="24"/>
              </w:rPr>
              <w:t>）</w:t>
            </w:r>
            <w:r>
              <w:rPr>
                <w:color w:val="000000" w:themeColor="text1"/>
                <w:spacing w:val="9"/>
                <w:sz w:val="24"/>
              </w:rPr>
              <w:t>和《湖南省生态环境厅关于衡山高新技术产业开发区环境影响跟踪评价工作意见的函》（湘环评函 [2023]27号）</w:t>
            </w:r>
            <w:r>
              <w:rPr>
                <w:rFonts w:hint="eastAsia"/>
                <w:spacing w:val="-2"/>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pPr>
              <w:autoSpaceDE w:val="0"/>
              <w:autoSpaceDN w:val="0"/>
              <w:adjustRightInd w:val="0"/>
              <w:snapToGrid w:val="0"/>
              <w:jc w:val="center"/>
              <w:rPr>
                <w:b/>
                <w:kern w:val="0"/>
                <w:sz w:val="24"/>
              </w:rPr>
            </w:pPr>
            <w:r>
              <w:rPr>
                <w:b/>
                <w:kern w:val="0"/>
                <w:sz w:val="24"/>
              </w:rPr>
              <w:t>规划及规划环境影响评价符合性分析</w:t>
            </w:r>
          </w:p>
        </w:tc>
        <w:tc>
          <w:tcPr>
            <w:tcW w:w="9383" w:type="dxa"/>
            <w:gridSpan w:val="4"/>
            <w:vAlign w:val="center"/>
          </w:tcPr>
          <w:p>
            <w:pPr>
              <w:autoSpaceDE w:val="0"/>
              <w:autoSpaceDN w:val="0"/>
              <w:adjustRightInd w:val="0"/>
              <w:snapToGrid w:val="0"/>
              <w:spacing w:line="360" w:lineRule="auto"/>
              <w:ind w:firstLine="482" w:firstLineChars="200"/>
              <w:rPr>
                <w:rFonts w:hAnsiTheme="minorEastAsia" w:eastAsiaTheme="minorEastAsia"/>
                <w:b/>
                <w:sz w:val="24"/>
                <w:szCs w:val="22"/>
              </w:rPr>
            </w:pPr>
            <w:r>
              <w:rPr>
                <w:rFonts w:hint="eastAsia" w:hAnsiTheme="minorEastAsia" w:eastAsiaTheme="minorEastAsia"/>
                <w:b/>
                <w:sz w:val="24"/>
                <w:szCs w:val="22"/>
              </w:rPr>
              <w:t>1、规划相符性</w:t>
            </w:r>
          </w:p>
          <w:p>
            <w:pPr>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衡山高新技术产业开发区坐落于中南重镇——衡阳市衡山县，是2006年经国家发改委核准并予以公告的省级经济开发区。衡山经济开发区于2012年4月委托长沙环境保护职业技术学院编制了《湖南衡山经济开发区环境影响报告书》，并于2012年9月6日取得了湖南省环境保护厅关于该报告书的批复意见（湘环评[2012]306号）。</w:t>
            </w:r>
          </w:p>
          <w:p>
            <w:pPr>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根据《衡山经济开发区总体规划》（2006-2020年），衡山高新技术产业开发区远景规划14.68平方公里，现近期规划9平方公里。</w:t>
            </w:r>
          </w:p>
          <w:p>
            <w:pPr>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总体空间布局：工业园的空间布局采用“一心两区”的空间结构。一心即开发区生态绿心。两区即坪塘工业集聚区、金龙工业集聚区。（其中金龙工业集聚区大部分用地为已建成区、坪塘工业集聚区为新增用地）。</w:t>
            </w:r>
          </w:p>
          <w:p>
            <w:pPr>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产业定位：机械制造、轻工服装、农副产品加工、高科技产业，并保留区内现有化工企业。</w:t>
            </w:r>
          </w:p>
          <w:p>
            <w:pPr>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产业用地规划：规划工业用地面积为295.01ha，其中一类工业用地为54.56ha、二类工业用地为232.30ha、三类工业用地为8.15ha。</w:t>
            </w:r>
          </w:p>
          <w:p>
            <w:pPr>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其他用地：其他用地为道路用地、公用设施用地、公园绿地、生态防护绿地等，总用地面积为108.17ha。</w:t>
            </w:r>
          </w:p>
          <w:p>
            <w:pPr>
              <w:autoSpaceDE w:val="0"/>
              <w:autoSpaceDN w:val="0"/>
              <w:adjustRightInd w:val="0"/>
              <w:snapToGrid w:val="0"/>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开发区以交通运输设备制造业、非金属矿物制品业、造纸业、建材化工业四大产业立区，优先发展能够体现衡山资源优势和特色的矿产品深加工、农产品食品加工、机械制造、陶瓷、造纸建材、化工、服装、物流等产业，同时引进新兴产业，规划兴建高新技术产业和配套建设休闲娱乐设施，打造具备衡山特色的现代化的产业发展洼地。</w:t>
            </w:r>
          </w:p>
          <w:p>
            <w:pPr>
              <w:autoSpaceDE w:val="0"/>
              <w:autoSpaceDN w:val="0"/>
              <w:adjustRightInd w:val="0"/>
              <w:snapToGrid w:val="0"/>
              <w:spacing w:line="360" w:lineRule="auto"/>
              <w:ind w:firstLine="480" w:firstLineChars="200"/>
              <w:rPr>
                <w:b/>
                <w:bCs/>
                <w:kern w:val="0"/>
                <w:sz w:val="24"/>
              </w:rPr>
            </w:pPr>
            <w:r>
              <w:rPr>
                <w:rFonts w:hint="eastAsia" w:hAnsiTheme="minorEastAsia" w:eastAsiaTheme="minorEastAsia"/>
                <w:sz w:val="24"/>
                <w:szCs w:val="22"/>
              </w:rPr>
              <w:t>企业准入制度：入园项目性质及选址必须符合经开区总体发展规划、用地规划、环保规划及主导产业定位要求，不得引进国家明令淘汰和禁止发展的能耗物耗高、环境污染严重，不符合产业政策的建设项目，限制引进重气型污染源和重水型污染源企业，禁止涉重金属企业</w:t>
            </w:r>
            <w:r>
              <w:rPr>
                <w:rFonts w:hint="eastAsia"/>
                <w:bCs/>
                <w:kern w:val="0"/>
                <w:sz w:val="24"/>
              </w:rPr>
              <w:t>入园。</w:t>
            </w:r>
          </w:p>
          <w:p>
            <w:pPr>
              <w:autoSpaceDE w:val="0"/>
              <w:autoSpaceDN w:val="0"/>
              <w:adjustRightInd w:val="0"/>
              <w:snapToGrid w:val="0"/>
              <w:spacing w:line="360" w:lineRule="auto"/>
              <w:ind w:firstLine="480" w:firstLineChars="200"/>
              <w:rPr>
                <w:rFonts w:ascii="宋体" w:hAnsi="宋体" w:cs="宋体" w:eastAsiaTheme="minorEastAsia"/>
                <w:color w:val="000000"/>
                <w:kern w:val="0"/>
                <w:sz w:val="24"/>
              </w:rPr>
            </w:pPr>
            <w:r>
              <w:rPr>
                <w:rFonts w:hint="eastAsia" w:hAnsiTheme="minorEastAsia" w:eastAsiaTheme="minorEastAsia"/>
                <w:sz w:val="24"/>
                <w:szCs w:val="22"/>
              </w:rPr>
              <w:t>符合性分析：本项目位于衡山高新技术产业开发区坪青路旁，属于工业园区，用地性质为二类工业用地，企业主要从事</w:t>
            </w:r>
            <w:r>
              <w:rPr>
                <w:rFonts w:hint="eastAsia" w:ascii="宋体" w:hAnsi="宋体" w:cs="宋体"/>
                <w:color w:val="000000"/>
                <w:kern w:val="0"/>
                <w:sz w:val="24"/>
              </w:rPr>
              <w:t>水基清洗剂、水性切削液、润滑油及环保碳氢清洗剂的复配生产（不涉及化学反应），产品广泛用于机电、汽摩、装备制造业，属区域主导产业延伸链产业，因此项目符合</w:t>
            </w:r>
            <w:r>
              <w:rPr>
                <w:rFonts w:hint="eastAsia" w:hAnsiTheme="minorEastAsia" w:eastAsiaTheme="minorEastAsia"/>
                <w:sz w:val="24"/>
                <w:szCs w:val="22"/>
              </w:rPr>
              <w:t>《衡山经济开发区总体规划》相关要求。</w:t>
            </w:r>
          </w:p>
          <w:p>
            <w:pPr>
              <w:autoSpaceDE w:val="0"/>
              <w:autoSpaceDN w:val="0"/>
              <w:adjustRightInd w:val="0"/>
              <w:snapToGrid w:val="0"/>
              <w:spacing w:line="360" w:lineRule="auto"/>
              <w:ind w:firstLine="482" w:firstLineChars="200"/>
              <w:rPr>
                <w:rFonts w:hAnsiTheme="minorEastAsia" w:eastAsiaTheme="minorEastAsia"/>
                <w:b/>
                <w:sz w:val="24"/>
                <w:szCs w:val="22"/>
              </w:rPr>
            </w:pPr>
            <w:r>
              <w:rPr>
                <w:rFonts w:hint="eastAsia" w:hAnsiTheme="minorEastAsia" w:eastAsiaTheme="minorEastAsia"/>
                <w:b/>
                <w:sz w:val="24"/>
                <w:szCs w:val="22"/>
              </w:rPr>
              <w:t>2、规划环境影响评价批复符合性</w:t>
            </w:r>
          </w:p>
          <w:p>
            <w:pPr>
              <w:autoSpaceDE w:val="0"/>
              <w:autoSpaceDN w:val="0"/>
              <w:adjustRightInd w:val="0"/>
              <w:snapToGrid w:val="0"/>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根据湖南省环境保护厅关于《湖南衡山经济开发区环境影响报告书》的批复（湘环评[2012]306号）</w:t>
            </w:r>
            <w:r>
              <w:rPr>
                <w:color w:val="000000" w:themeColor="text1"/>
                <w:spacing w:val="9"/>
                <w:sz w:val="24"/>
              </w:rPr>
              <w:t>和《湖南省生态环境厅关于衡山高新技术产业开发区环境影响跟踪评价工作意见的函》（湘环评函[2023]27号）</w:t>
            </w:r>
            <w:r>
              <w:rPr>
                <w:rFonts w:hint="eastAsia" w:hAnsiTheme="minorEastAsia" w:eastAsiaTheme="minorEastAsia"/>
                <w:sz w:val="24"/>
                <w:szCs w:val="22"/>
              </w:rPr>
              <w:t>，本项目与其的相符性具体分析如下：</w:t>
            </w:r>
          </w:p>
          <w:p>
            <w:pPr>
              <w:widowControl/>
              <w:adjustRightInd w:val="0"/>
              <w:snapToGrid w:val="0"/>
              <w:spacing w:beforeLines="50"/>
              <w:jc w:val="center"/>
              <w:rPr>
                <w:rFonts w:eastAsiaTheme="minorEastAsia"/>
                <w:b/>
                <w:kern w:val="0"/>
                <w:szCs w:val="21"/>
              </w:rPr>
            </w:pPr>
            <w:r>
              <w:rPr>
                <w:rFonts w:hint="eastAsia" w:eastAsiaTheme="minorEastAsia"/>
                <w:b/>
                <w:kern w:val="0"/>
                <w:szCs w:val="21"/>
              </w:rPr>
              <w:t>表1-2  本项目与园区规划环评相符性分析</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839"/>
              <w:gridCol w:w="3368"/>
              <w:gridCol w:w="3470"/>
              <w:gridCol w:w="8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b/>
                      <w:bCs/>
                      <w:sz w:val="21"/>
                      <w:szCs w:val="21"/>
                    </w:rPr>
                  </w:pPr>
                  <w:r>
                    <w:rPr>
                      <w:rFonts w:ascii="Times New Roman" w:hAnsi="Times New Roman" w:cs="Times New Roman"/>
                      <w:b/>
                      <w:bCs/>
                      <w:sz w:val="21"/>
                      <w:szCs w:val="21"/>
                    </w:rPr>
                    <w:t>序号</w:t>
                  </w:r>
                </w:p>
              </w:tc>
              <w:tc>
                <w:tcPr>
                  <w:tcW w:w="459" w:type="pct"/>
                  <w:tcBorders>
                    <w:tl2br w:val="nil"/>
                    <w:tr2bl w:val="nil"/>
                  </w:tcBorders>
                  <w:vAlign w:val="center"/>
                </w:tcPr>
                <w:p>
                  <w:pPr>
                    <w:pStyle w:val="102"/>
                    <w:rPr>
                      <w:rFonts w:ascii="Times New Roman" w:hAnsi="Times New Roman" w:cs="Times New Roman"/>
                      <w:b/>
                      <w:bCs/>
                      <w:sz w:val="21"/>
                      <w:szCs w:val="21"/>
                    </w:rPr>
                  </w:pPr>
                  <w:r>
                    <w:rPr>
                      <w:rFonts w:ascii="Times New Roman" w:hAnsi="Times New Roman" w:cs="Times New Roman"/>
                      <w:b/>
                      <w:bCs/>
                      <w:sz w:val="21"/>
                      <w:szCs w:val="21"/>
                    </w:rPr>
                    <w:t>类别</w:t>
                  </w:r>
                </w:p>
              </w:tc>
              <w:tc>
                <w:tcPr>
                  <w:tcW w:w="1843" w:type="pct"/>
                  <w:tcBorders>
                    <w:tl2br w:val="nil"/>
                    <w:tr2bl w:val="nil"/>
                  </w:tcBorders>
                  <w:vAlign w:val="center"/>
                </w:tcPr>
                <w:p>
                  <w:pPr>
                    <w:pStyle w:val="102"/>
                    <w:rPr>
                      <w:rFonts w:ascii="Times New Roman" w:hAnsi="Times New Roman" w:cs="Times New Roman"/>
                      <w:b/>
                      <w:bCs/>
                      <w:sz w:val="21"/>
                      <w:szCs w:val="21"/>
                    </w:rPr>
                  </w:pPr>
                  <w:r>
                    <w:rPr>
                      <w:rFonts w:ascii="Times New Roman" w:hAnsi="Times New Roman" w:cs="Times New Roman"/>
                      <w:b/>
                      <w:bCs/>
                      <w:sz w:val="21"/>
                      <w:szCs w:val="21"/>
                    </w:rPr>
                    <w:t>园区环保要求</w:t>
                  </w:r>
                </w:p>
              </w:tc>
              <w:tc>
                <w:tcPr>
                  <w:tcW w:w="1899" w:type="pct"/>
                  <w:tcBorders>
                    <w:tl2br w:val="nil"/>
                    <w:tr2bl w:val="nil"/>
                  </w:tcBorders>
                  <w:vAlign w:val="center"/>
                </w:tcPr>
                <w:p>
                  <w:pPr>
                    <w:pStyle w:val="102"/>
                    <w:rPr>
                      <w:rFonts w:ascii="Times New Roman" w:hAnsi="Times New Roman" w:cs="Times New Roman"/>
                      <w:b/>
                      <w:bCs/>
                      <w:sz w:val="21"/>
                      <w:szCs w:val="21"/>
                    </w:rPr>
                  </w:pPr>
                  <w:r>
                    <w:rPr>
                      <w:rFonts w:ascii="Times New Roman" w:hAnsi="Times New Roman" w:cs="Times New Roman"/>
                      <w:b/>
                      <w:bCs/>
                      <w:sz w:val="21"/>
                      <w:szCs w:val="21"/>
                    </w:rPr>
                    <w:t>本项目情况</w:t>
                  </w:r>
                </w:p>
              </w:tc>
              <w:tc>
                <w:tcPr>
                  <w:tcW w:w="445" w:type="pct"/>
                  <w:tcBorders>
                    <w:tl2br w:val="nil"/>
                    <w:tr2bl w:val="nil"/>
                  </w:tcBorders>
                  <w:vAlign w:val="center"/>
                </w:tcPr>
                <w:p>
                  <w:pPr>
                    <w:pStyle w:val="102"/>
                    <w:rPr>
                      <w:rFonts w:ascii="Times New Roman" w:hAnsi="Times New Roman" w:cs="Times New Roman"/>
                      <w:b/>
                      <w:bCs/>
                      <w:sz w:val="21"/>
                      <w:szCs w:val="21"/>
                    </w:rPr>
                  </w:pPr>
                  <w:r>
                    <w:rPr>
                      <w:rFonts w:ascii="Times New Roman" w:hAnsi="Times New Roman" w:cs="Times New Roman"/>
                      <w:b/>
                      <w:bCs/>
                      <w:sz w:val="21"/>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pStyle w:val="102"/>
                    <w:rPr>
                      <w:rFonts w:ascii="Times New Roman" w:hAnsi="Times New Roman" w:cs="Times New Roman"/>
                      <w:b/>
                      <w:bCs/>
                      <w:sz w:val="21"/>
                      <w:szCs w:val="21"/>
                    </w:rPr>
                  </w:pPr>
                  <w:r>
                    <w:rPr>
                      <w:rFonts w:hint="eastAsia" w:ascii="Times New Roman" w:hAnsi="Times New Roman" w:cs="Times New Roman"/>
                      <w:b/>
                      <w:bCs/>
                      <w:sz w:val="21"/>
                      <w:szCs w:val="21"/>
                    </w:rPr>
                    <w:t>《湖南衡山经济开发区环境影响报告书》的批复（湘环评[2012]306号）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1</w:t>
                  </w:r>
                </w:p>
              </w:tc>
              <w:tc>
                <w:tcPr>
                  <w:tcW w:w="45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产业定位和企业准入</w:t>
                  </w:r>
                </w:p>
              </w:tc>
              <w:tc>
                <w:tcPr>
                  <w:tcW w:w="1843"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园区产业定位为机械制造、轻工服装、农副产品加工、高科技产业，并保留区内现有的化工企业；关于园区企业准入制度要求：“入园项目性质及选址必须符合经开区总体发展规划、用地规划、环保规划及主导产业定位要求，不得引进国家明令淘汰和禁止发展的能耗高、环境污染严重、不符合产业政策的建设项目，限制引进重气型污染源和重水型污染源企业，禁止涉重金属企业入园。经开区不得新增三类工业工地和三类工业企业，区内不再引进化工企业和化工生产项目”</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本项目主要从事水基清洗剂、水性切削液、润滑油及环保碳氢清洗剂的复配生产（不涉及化学反应），产品广泛用于机电、汽摩、装备制造业，属区域主导产业延伸链产业，与园区的产业定位相符；项目不属于重水型污染源企业和涉重金属企业，大气污染物排放量小，不属于国家明令淘汰和禁止发展的能耗高、环境污染严重、不符合产业政策的建设项目；项目清洗剂虽属于专用化学品制造，但生产过程仅为简单物理混合分装，不涉及化学反应，项目建设不违背湘政办函[2023]27）相关要求</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2</w:t>
                  </w:r>
                </w:p>
              </w:tc>
              <w:tc>
                <w:tcPr>
                  <w:tcW w:w="459"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水污染防治</w:t>
                  </w:r>
                </w:p>
              </w:tc>
              <w:tc>
                <w:tcPr>
                  <w:tcW w:w="1843"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经开区排水实施雨污分流，</w:t>
                  </w:r>
                  <w:r>
                    <w:rPr>
                      <w:rFonts w:hint="eastAsia" w:asciiTheme="majorEastAsia" w:hAnsiTheme="majorEastAsia" w:eastAsiaTheme="majorEastAsia" w:cstheme="majorEastAsia"/>
                      <w:sz w:val="21"/>
                      <w:szCs w:val="21"/>
                    </w:rPr>
                    <w:t>...</w:t>
                  </w:r>
                  <w:r>
                    <w:rPr>
                      <w:rFonts w:ascii="Times New Roman" w:hAnsi="Times New Roman" w:cs="Times New Roman"/>
                      <w:sz w:val="21"/>
                      <w:szCs w:val="21"/>
                    </w:rPr>
                    <w:t>限制引进水型污染企业，企业生产生活废水经预处理达到《污水综合排放标准》（GB8978-1996）三级标准后由管网排入集中污水处理厂</w:t>
                  </w:r>
                  <w:r>
                    <w:rPr>
                      <w:rFonts w:hint="eastAsia" w:asciiTheme="majorEastAsia" w:hAnsiTheme="majorEastAsia" w:eastAsiaTheme="majorEastAsia" w:cstheme="majorEastAsia"/>
                      <w:sz w:val="21"/>
                      <w:szCs w:val="21"/>
                    </w:rPr>
                    <w:t>...</w:t>
                  </w:r>
                  <w:r>
                    <w:rPr>
                      <w:rFonts w:ascii="Times New Roman" w:hAnsi="Times New Roman" w:cs="Times New Roman"/>
                      <w:sz w:val="21"/>
                      <w:szCs w:val="21"/>
                    </w:rPr>
                    <w:t>严格园区现有涉重企业监管，确保含一类重金属废水车间排口达标</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本项目实行雨污分流，楼顶雨水收集后排至市政雨水管网，外排废水包括生活污水、车间地面保洁废水及纯水制备浓水，不属于重污染企业，不涉及重金属废水排放</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3</w:t>
                  </w:r>
                </w:p>
              </w:tc>
              <w:tc>
                <w:tcPr>
                  <w:tcW w:w="459"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大气污染防治</w:t>
                  </w:r>
                </w:p>
              </w:tc>
              <w:tc>
                <w:tcPr>
                  <w:tcW w:w="1843"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经开区内禁止燃用中、高硫燃煤，4t/h以下锅炉不得燃煤；减少经开区工艺废气的无组织排放，入园企业各生产装置排放的废气须经处理达到相应的行业排放标准和《大气污染物综合排放标准》二级标准要求</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项目使用电等清洁能源，本项目各类生产废气均采取严格的收集和处理措施，满足相关排放标准要求</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4</w:t>
                  </w:r>
                </w:p>
              </w:tc>
              <w:tc>
                <w:tcPr>
                  <w:tcW w:w="459"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固体废物污染防治</w:t>
                  </w:r>
                </w:p>
              </w:tc>
              <w:tc>
                <w:tcPr>
                  <w:tcW w:w="1843"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做好经开区内工业固体废物和生活垃圾的分类收集、转运和无害化处理，...规范固体废物处理措施，对工业企业产生固体废物特别是危险固废应按国家有关规定综合利用或妥善处置，严防二次污染</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项目各类固体废物和生活垃圾均分类收集、贮存和转运，均有规范的处理措施和明确的去向，对危险固废严格按国家规定综合利用或妥善处置，二次污染风险低</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5</w:t>
                  </w:r>
                </w:p>
              </w:tc>
              <w:tc>
                <w:tcPr>
                  <w:tcW w:w="459"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总量控制</w:t>
                  </w:r>
                </w:p>
              </w:tc>
              <w:tc>
                <w:tcPr>
                  <w:tcW w:w="1843"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污染物总量控制（远期2020年）SO</w:t>
                  </w:r>
                  <w:r>
                    <w:rPr>
                      <w:rFonts w:ascii="Times New Roman" w:hAnsi="Times New Roman" w:cs="Times New Roman"/>
                      <w:sz w:val="21"/>
                      <w:szCs w:val="21"/>
                      <w:vertAlign w:val="subscript"/>
                    </w:rPr>
                    <w:t>2</w:t>
                  </w:r>
                  <w:r>
                    <w:rPr>
                      <w:rFonts w:ascii="Times New Roman" w:hAnsi="Times New Roman" w:cs="Times New Roman"/>
                      <w:sz w:val="21"/>
                      <w:szCs w:val="21"/>
                    </w:rPr>
                    <w:t>≤1456t/a，NOx≤2164t/a，COD≤735t/a，氨氮≤98t/a。</w:t>
                  </w:r>
                </w:p>
              </w:tc>
              <w:tc>
                <w:tcPr>
                  <w:tcW w:w="1899"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本项目不涉及SO</w:t>
                  </w:r>
                  <w:r>
                    <w:rPr>
                      <w:rFonts w:ascii="Times New Roman" w:hAnsi="Times New Roman" w:cs="Times New Roman"/>
                      <w:sz w:val="21"/>
                      <w:szCs w:val="21"/>
                      <w:vertAlign w:val="subscript"/>
                    </w:rPr>
                    <w:t>2</w:t>
                  </w:r>
                  <w:r>
                    <w:rPr>
                      <w:rFonts w:ascii="Times New Roman" w:hAnsi="Times New Roman" w:cs="Times New Roman"/>
                      <w:sz w:val="21"/>
                      <w:szCs w:val="21"/>
                    </w:rPr>
                    <w:t>、NO</w:t>
                  </w:r>
                  <w:r>
                    <w:rPr>
                      <w:rFonts w:ascii="Times New Roman" w:hAnsi="Times New Roman" w:cs="Times New Roman"/>
                      <w:sz w:val="21"/>
                      <w:szCs w:val="21"/>
                      <w:vertAlign w:val="subscript"/>
                    </w:rPr>
                    <w:t>X</w:t>
                  </w:r>
                  <w:r>
                    <w:rPr>
                      <w:rFonts w:ascii="Times New Roman" w:hAnsi="Times New Roman" w:cs="Times New Roman"/>
                      <w:sz w:val="21"/>
                      <w:szCs w:val="21"/>
                    </w:rPr>
                    <w:t>的排放。</w:t>
                  </w:r>
                  <w:r>
                    <w:rPr>
                      <w:rFonts w:hint="eastAsia" w:ascii="Times New Roman" w:hAnsi="Times New Roman" w:cs="Times New Roman"/>
                      <w:sz w:val="21"/>
                      <w:szCs w:val="21"/>
                    </w:rPr>
                    <w:t>车间地面保洁废水及</w:t>
                  </w:r>
                  <w:r>
                    <w:rPr>
                      <w:rFonts w:ascii="Times New Roman" w:hAnsi="Times New Roman" w:cs="Times New Roman"/>
                      <w:sz w:val="21"/>
                      <w:szCs w:val="21"/>
                    </w:rPr>
                    <w:t>生活污水经化粪池预处理后纳入衡山高新区综合污水处理厂处理，不另外</w:t>
                  </w:r>
                  <w:r>
                    <w:rPr>
                      <w:rFonts w:hint="eastAsia" w:ascii="Times New Roman" w:hAnsi="Times New Roman" w:cs="Times New Roman"/>
                      <w:sz w:val="21"/>
                      <w:szCs w:val="21"/>
                    </w:rPr>
                    <w:t>申请</w:t>
                  </w:r>
                  <w:r>
                    <w:rPr>
                      <w:rFonts w:ascii="Times New Roman" w:hAnsi="Times New Roman" w:cs="Times New Roman"/>
                      <w:sz w:val="21"/>
                      <w:szCs w:val="21"/>
                    </w:rPr>
                    <w:t>COD和氨氮的总量指标</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pStyle w:val="102"/>
                    <w:rPr>
                      <w:rFonts w:ascii="Times New Roman" w:hAnsi="Times New Roman" w:cs="Times New Roman"/>
                      <w:b/>
                      <w:sz w:val="21"/>
                      <w:szCs w:val="21"/>
                    </w:rPr>
                  </w:pPr>
                  <w:r>
                    <w:rPr>
                      <w:rFonts w:hint="eastAsia" w:ascii="Times New Roman" w:hAnsi="Times New Roman" w:cs="Times New Roman"/>
                      <w:b/>
                      <w:sz w:val="21"/>
                      <w:szCs w:val="21"/>
                    </w:rPr>
                    <w:t>《湖南省生态环境厅关于衡山高新技术产业开发区环境影响跟踪评价工作意见的函》（湘环评函[2023]27号）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1</w:t>
                  </w:r>
                </w:p>
              </w:tc>
              <w:tc>
                <w:tcPr>
                  <w:tcW w:w="2302" w:type="pct"/>
                  <w:gridSpan w:val="2"/>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按程序做好园区规划调整。园区应基于发展实际做好规划的调整工作，从生态环境相容性角度统筹考虑区域功能布局，以减小工业开发对城市居住及社会服务功能的影响。园区内存在竹山园安置区，集中居住区周边应限制新引入噪声大、气型污染为主的工业企业，并加强对已有气型污染企业的污染控制。</w:t>
                  </w:r>
                </w:p>
              </w:tc>
              <w:tc>
                <w:tcPr>
                  <w:tcW w:w="1899"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本项目距离园区内的竹山园安置区约1000米，且之间有厂房、道路和绿花带隔开</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2</w:t>
                  </w:r>
                </w:p>
              </w:tc>
              <w:tc>
                <w:tcPr>
                  <w:tcW w:w="2302" w:type="pct"/>
                  <w:gridSpan w:val="2"/>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进一步严格产业环境准入。园区后续发展与项目引进须符合“三线一单”环境准入要求，对于《长江经济带发展负面清单指南(试行)》、《湖南省湘江保护条例》提出的相关禁止性、限制性要求，应严格予以落实，对不符合园区用地规划、产业定位的现有污染排放企业，应按《报告书》建议强化污染防治措施，严格限制新增污染物排放量。</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本项目符合“三线一单”环境准入要求，且不在《长江经济带发展负面清单指南（试行）》、《湖南省湘江保护条例》提出的相关禁止性、限制性的范围内</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3</w:t>
                  </w:r>
                </w:p>
              </w:tc>
              <w:tc>
                <w:tcPr>
                  <w:tcW w:w="2302" w:type="pct"/>
                  <w:gridSpan w:val="2"/>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进一步落实园区污染管控措施。加强园区雨污分流系统、污水收集管网的建设、管理和维护，确保园区生产、生活废水应收尽收，全部送至污水处理厂集中处理，加强对污水处理厂运行维护，确保稳定达标排放。衡山高新区涉重金属污水处理厂存在超负荷运行问题，后续禁止相关企业超污水处理厂处理能力排放涉重废水，督促相关企业就违反建设项目环评擅自改变生产工艺和规模结构造成违规排放的问题做好整改。衡山高新区综合污水处理厂接近满负荷运行，应加快实施扩容提质工程并优化尾水排放路径，其尾水不再排入衡山县城污水处理厂重复处理，完善园区污水处理厂入河排污口手续。加强园区大气污染防治，重点推动园区企业加强对VOCs 排放的治理，加大对园区内重点排污单位废气治理措施运行情况及废气无组织排放的监管力度，确保废气收集与处理净化装置正常运行并达标排放。做好工业固体废物和生活垃圾的分类收集、转运、综合利用和无害化处理，建立完善的固废管理体系。对危险废物应严格按照国家有关规定综合利用或妥善处置，对危险废物产生企业，应强化日常环境监管。严格落实排污许可制度和污染物排放总量控制，减少污染物的排放量。园区应落实第三方环境治理工作相关政策要求，强化对重点产排污企业的监管与服务。</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1）项目运营期车间地面保洁废水及生活污水经化粪池预处理后汇入污水管网，经衡山高新区综合污水处理厂进一步处理。（2）项目产生的有机废气收集后经二级活性炭处理达标排放。（3）项目固废均合理处置，不会产生二次污染</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4</w:t>
                  </w:r>
                </w:p>
              </w:tc>
              <w:tc>
                <w:tcPr>
                  <w:tcW w:w="2302" w:type="pct"/>
                  <w:gridSpan w:val="2"/>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完善园区环境监测体系。园区应严格落实跟踪评价提出的监测方案，结合园区规划的功能分区、产业布局、重点企业分布、特征污染物的排放种类和状况等，建立健全区域环境空气、地表水、地下水、土壤等环境要素的监控体系。加强对园区重点排放单位及园区污水处理厂的监督性监测和日常监管，防止其偷排漏排或不按要求启用污染治理设施和干扰自动监测设施正常运行。</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w:t>
                  </w:r>
                </w:p>
              </w:tc>
              <w:tc>
                <w:tcPr>
                  <w:tcW w:w="445"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5</w:t>
                  </w:r>
                </w:p>
              </w:tc>
              <w:tc>
                <w:tcPr>
                  <w:tcW w:w="2302" w:type="pct"/>
                  <w:gridSpan w:val="2"/>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健全园区环境风险防控体系。加强园区重要环境风险源管控，落实环境风险防控措施和应急响应联动机制，确保区域环境安全。</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w:t>
                  </w:r>
                </w:p>
              </w:tc>
              <w:tc>
                <w:tcPr>
                  <w:tcW w:w="445"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6</w:t>
                  </w:r>
                </w:p>
              </w:tc>
              <w:tc>
                <w:tcPr>
                  <w:tcW w:w="2302" w:type="pct"/>
                  <w:gridSpan w:val="2"/>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加强对环境敏感点的保护。严格做好控规，杜绝在规划的工业用地上新增环境敏感目标、建设居民区，防止发生居民再次安置和次生环境问题，对于具体项目环评设置环境防护距离和搬迁要求的，要予以落实。</w:t>
                  </w:r>
                </w:p>
              </w:tc>
              <w:tc>
                <w:tcPr>
                  <w:tcW w:w="1899"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w:t>
                  </w:r>
                </w:p>
              </w:tc>
              <w:tc>
                <w:tcPr>
                  <w:tcW w:w="445"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7</w:t>
                  </w:r>
                </w:p>
              </w:tc>
              <w:tc>
                <w:tcPr>
                  <w:tcW w:w="2302" w:type="pct"/>
                  <w:gridSpan w:val="2"/>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做好园区后续开发过程中生态环境保护。园区开发过程中对土石方开挖、堆存及回填要实施围挡、护坡等措施，裸露地及时恢复植被，防止开发建设中的扬尘污染和水土流失。</w:t>
                  </w:r>
                </w:p>
              </w:tc>
              <w:tc>
                <w:tcPr>
                  <w:tcW w:w="1899"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经调查，项目施工过程中</w:t>
                  </w:r>
                  <w:r>
                    <w:rPr>
                      <w:rFonts w:hint="eastAsia" w:ascii="Times New Roman" w:hAnsi="Times New Roman" w:cs="Times New Roman"/>
                      <w:sz w:val="21"/>
                      <w:szCs w:val="21"/>
                    </w:rPr>
                    <w:t>按要求对土石方开挖、堆存及回填采取了围挡、护坡等措施，裸露地及时恢复植被，已做好扬尘污染和水土流失防治工作</w:t>
                  </w:r>
                </w:p>
              </w:tc>
              <w:tc>
                <w:tcPr>
                  <w:tcW w:w="445"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相符</w:t>
                  </w:r>
                </w:p>
              </w:tc>
            </w:tr>
          </w:tbl>
          <w:p>
            <w:pPr>
              <w:pStyle w:val="10"/>
              <w:spacing w:before="0" w:after="0" w:line="360" w:lineRule="auto"/>
              <w:ind w:firstLine="480" w:firstLineChars="200"/>
              <w:rPr>
                <w:rFonts w:hAnsiTheme="minorEastAsia" w:eastAsiaTheme="minorEastAsia"/>
                <w:b w:val="0"/>
                <w:bCs w:val="0"/>
                <w:kern w:val="2"/>
                <w:sz w:val="24"/>
                <w:szCs w:val="22"/>
              </w:rPr>
            </w:pPr>
            <w:r>
              <w:rPr>
                <w:rFonts w:hint="eastAsia" w:hAnsiTheme="minorEastAsia" w:eastAsiaTheme="minorEastAsia"/>
                <w:b w:val="0"/>
                <w:bCs w:val="0"/>
                <w:kern w:val="2"/>
                <w:sz w:val="24"/>
                <w:szCs w:val="22"/>
              </w:rPr>
              <w:t>综上所述，本项目符合《关于湖南衡山经济开发区环境影响报告书的批复》（湘环评[2012]306号）和《湖南省生态环境厅关于衡山高新技术产业开发区环境影响跟踪评价工作意见的函》（湘环评函[2023]27号）中所提出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pPr>
              <w:autoSpaceDE w:val="0"/>
              <w:autoSpaceDN w:val="0"/>
              <w:adjustRightInd w:val="0"/>
              <w:snapToGrid w:val="0"/>
              <w:jc w:val="center"/>
              <w:rPr>
                <w:b/>
                <w:kern w:val="0"/>
                <w:sz w:val="24"/>
              </w:rPr>
            </w:pPr>
            <w:r>
              <w:rPr>
                <w:b/>
                <w:kern w:val="0"/>
                <w:sz w:val="24"/>
              </w:rPr>
              <w:t>其他符合性分析</w:t>
            </w:r>
          </w:p>
        </w:tc>
        <w:tc>
          <w:tcPr>
            <w:tcW w:w="9383" w:type="dxa"/>
            <w:gridSpan w:val="4"/>
            <w:vAlign w:val="center"/>
          </w:tcPr>
          <w:p>
            <w:pPr>
              <w:autoSpaceDE w:val="0"/>
              <w:autoSpaceDN w:val="0"/>
              <w:adjustRightInd w:val="0"/>
              <w:snapToGrid w:val="0"/>
              <w:spacing w:line="360" w:lineRule="auto"/>
              <w:ind w:firstLine="482" w:firstLineChars="200"/>
              <w:rPr>
                <w:rFonts w:hAnsiTheme="minorEastAsia" w:eastAsiaTheme="minorEastAsia"/>
                <w:b/>
                <w:sz w:val="24"/>
                <w:szCs w:val="22"/>
              </w:rPr>
            </w:pPr>
            <w:r>
              <w:rPr>
                <w:rFonts w:hint="eastAsia" w:hAnsiTheme="minorEastAsia" w:eastAsiaTheme="minorEastAsia"/>
                <w:b/>
                <w:sz w:val="24"/>
                <w:szCs w:val="22"/>
              </w:rPr>
              <w:t>1、</w:t>
            </w:r>
            <w:r>
              <w:rPr>
                <w:rFonts w:hAnsiTheme="minorEastAsia" w:eastAsiaTheme="minorEastAsia"/>
                <w:b/>
                <w:sz w:val="24"/>
                <w:szCs w:val="22"/>
              </w:rPr>
              <w:t>产业政策合理性分析</w:t>
            </w:r>
          </w:p>
          <w:p>
            <w:pPr>
              <w:adjustRightInd w:val="0"/>
              <w:snapToGrid w:val="0"/>
              <w:spacing w:line="360" w:lineRule="auto"/>
              <w:ind w:firstLine="480" w:firstLineChars="200"/>
              <w:rPr>
                <w:sz w:val="24"/>
              </w:rPr>
            </w:pPr>
            <w:r>
              <w:rPr>
                <w:rFonts w:hint="eastAsia"/>
                <w:sz w:val="24"/>
              </w:rPr>
              <w:t>（1）本项目为水基清洗剂、水性切削液、润滑油及环保碳氢清洗剂生产加工项目，只，不属于《产业结构调整指导目录（2024年本）》中“鼓励类、限制类、淘汰类”项目，为允许类。项目建设符合国家的产业政策。</w:t>
            </w:r>
          </w:p>
          <w:p>
            <w:pPr>
              <w:adjustRightInd w:val="0"/>
              <w:snapToGrid w:val="0"/>
              <w:spacing w:line="360" w:lineRule="auto"/>
              <w:ind w:firstLine="480" w:firstLineChars="200"/>
              <w:rPr>
                <w:sz w:val="24"/>
              </w:rPr>
            </w:pPr>
            <w:r>
              <w:rPr>
                <w:rFonts w:hint="eastAsia"/>
                <w:sz w:val="24"/>
              </w:rPr>
              <w:t>（2）根据《市场准入负面清单（2022年版）》，本项目不属于其规定的“禁止准入类”和“许可准入类”项目，本项目属于允许建设类，符合要求。</w:t>
            </w:r>
          </w:p>
          <w:p>
            <w:pPr>
              <w:pStyle w:val="56"/>
              <w:spacing w:line="360" w:lineRule="auto"/>
              <w:ind w:firstLine="480" w:firstLineChars="200"/>
              <w:rPr>
                <w:rFonts w:hAnsiTheme="minorEastAsia" w:eastAsiaTheme="minorEastAsia"/>
                <w:color w:val="auto"/>
              </w:rPr>
            </w:pPr>
            <w:r>
              <w:rPr>
                <w:rFonts w:hint="eastAsia" w:hAnsiTheme="minorEastAsia" w:eastAsiaTheme="minorEastAsia"/>
                <w:color w:val="auto"/>
              </w:rPr>
              <w:t>（3）本项目已经取得衡山县发展和改革局的备案（项目代码：</w:t>
            </w:r>
            <w:r>
              <w:rPr>
                <w:rFonts w:hAnsiTheme="minorEastAsia" w:eastAsiaTheme="minorEastAsia"/>
                <w:color w:val="auto"/>
              </w:rPr>
              <w:t>2103-430423-04-05-141001</w:t>
            </w:r>
            <w:r>
              <w:rPr>
                <w:rFonts w:hint="eastAsia" w:hAnsiTheme="minorEastAsia" w:eastAsiaTheme="minorEastAsia"/>
                <w:color w:val="auto"/>
              </w:rPr>
              <w:t>）。</w:t>
            </w:r>
          </w:p>
          <w:p>
            <w:pPr>
              <w:adjustRightInd w:val="0"/>
              <w:snapToGrid w:val="0"/>
              <w:spacing w:line="360" w:lineRule="auto"/>
              <w:ind w:firstLine="480" w:firstLineChars="200"/>
              <w:rPr>
                <w:sz w:val="24"/>
              </w:rPr>
            </w:pPr>
            <w:r>
              <w:rPr>
                <w:rFonts w:hint="eastAsia"/>
                <w:sz w:val="24"/>
              </w:rPr>
              <w:t>（4）</w:t>
            </w:r>
            <w:r>
              <w:rPr>
                <w:sz w:val="24"/>
              </w:rPr>
              <w:t>项目所选用机械设备未列入《部分工业行业淘汰落后生产工艺装备和产品指导目录（2010年本）》（工产业（2010）第122号）中，无淘汰、落后设备</w:t>
            </w:r>
            <w:r>
              <w:rPr>
                <w:rFonts w:hint="eastAsia"/>
                <w:sz w:val="24"/>
              </w:rPr>
              <w:t>。</w:t>
            </w:r>
          </w:p>
          <w:p>
            <w:pPr>
              <w:adjustRightInd w:val="0"/>
              <w:snapToGrid w:val="0"/>
              <w:spacing w:line="360" w:lineRule="auto"/>
              <w:ind w:firstLine="480" w:firstLineChars="200"/>
              <w:rPr>
                <w:sz w:val="24"/>
              </w:rPr>
            </w:pPr>
            <w:r>
              <w:rPr>
                <w:rFonts w:hint="eastAsia"/>
                <w:sz w:val="24"/>
              </w:rPr>
              <w:t>综合所述，本项目符合国家和地方产业政策</w:t>
            </w:r>
            <w:r>
              <w:rPr>
                <w:sz w:val="24"/>
              </w:rPr>
              <w:t>。</w:t>
            </w:r>
          </w:p>
          <w:p>
            <w:pPr>
              <w:autoSpaceDE w:val="0"/>
              <w:autoSpaceDN w:val="0"/>
              <w:adjustRightInd w:val="0"/>
              <w:snapToGrid w:val="0"/>
              <w:spacing w:line="360" w:lineRule="auto"/>
              <w:ind w:firstLine="482" w:firstLineChars="200"/>
              <w:jc w:val="left"/>
              <w:rPr>
                <w:b/>
                <w:sz w:val="24"/>
              </w:rPr>
            </w:pPr>
            <w:r>
              <w:rPr>
                <w:rFonts w:hint="eastAsia"/>
                <w:b/>
                <w:sz w:val="24"/>
              </w:rPr>
              <w:t>2、项目选址</w:t>
            </w:r>
            <w:r>
              <w:rPr>
                <w:b/>
                <w:sz w:val="24"/>
              </w:rPr>
              <w:t>符合性分析</w:t>
            </w:r>
          </w:p>
          <w:p>
            <w:pPr>
              <w:adjustRightInd w:val="0"/>
              <w:snapToGrid w:val="0"/>
              <w:spacing w:line="360" w:lineRule="auto"/>
              <w:ind w:firstLine="480" w:firstLineChars="200"/>
              <w:rPr>
                <w:sz w:val="24"/>
              </w:rPr>
            </w:pPr>
            <w:r>
              <w:rPr>
                <w:rFonts w:hint="eastAsia"/>
                <w:sz w:val="24"/>
              </w:rPr>
              <w:t>项目位于衡阳市衡山县衡山高新技术产业开发区坪青路旁，衡山高新技术产业开发区内，项目用地为二类工业用地。根据分析，项目营运过程中产生的废气、废水、固体废物、噪声等经有效处理后均可达标排放或妥善处置。项目周边的企业主要为家具加工、化学原料和化学制品制造企业，属于工业生产型企业，不涉及医药、食品等环境敏感型企业，因此项目的建设与周边企业相容。</w:t>
            </w:r>
          </w:p>
          <w:p>
            <w:pPr>
              <w:adjustRightInd w:val="0"/>
              <w:snapToGrid w:val="0"/>
              <w:spacing w:line="360" w:lineRule="auto"/>
              <w:ind w:firstLine="480" w:firstLineChars="200"/>
              <w:rPr>
                <w:sz w:val="24"/>
              </w:rPr>
            </w:pPr>
            <w:r>
              <w:rPr>
                <w:rFonts w:hint="eastAsia"/>
                <w:sz w:val="24"/>
              </w:rPr>
              <w:t>项目周边无自然保护区、风景名胜区、森林公园、饮用水水源保护区、重要湖泊周边、文物古迹所在地、地质遗迹保护区、基本农田保护区等环境敏感区域。</w:t>
            </w:r>
          </w:p>
          <w:p>
            <w:pPr>
              <w:spacing w:line="360" w:lineRule="auto"/>
              <w:ind w:firstLine="480" w:firstLineChars="200"/>
              <w:rPr>
                <w:sz w:val="24"/>
              </w:rPr>
            </w:pPr>
            <w:r>
              <w:rPr>
                <w:rFonts w:hint="eastAsia"/>
                <w:sz w:val="24"/>
              </w:rPr>
              <w:t>项目地区域环境质量较好，在采取本报告表提出的污染防治措施后，污染物均可做到达标排放，对周围环境的污染影响较小。项目卫生防护距离范围内无居民点、医院和学校等敏感点，无环保拆迁，满足卫生防护距离要求</w:t>
            </w:r>
            <w:r>
              <w:rPr>
                <w:sz w:val="24"/>
              </w:rPr>
              <w:t>。</w:t>
            </w:r>
          </w:p>
          <w:p>
            <w:pPr>
              <w:spacing w:line="360" w:lineRule="auto"/>
              <w:ind w:firstLine="480" w:firstLineChars="200"/>
              <w:rPr>
                <w:sz w:val="24"/>
              </w:rPr>
            </w:pPr>
            <w:r>
              <w:rPr>
                <w:rFonts w:hint="eastAsia"/>
                <w:sz w:val="24"/>
              </w:rPr>
              <w:t>根据省工业和信息化厅的回复材料（具体见图1-1），湘政办函[2023]27号提出的“新建危险化学品（详见《危险化学品目录（2015版）》生产项目必须进入一般或较低安全风险的化工园区（与其他行业生产装置配套建设的项目除外）”是指非危险化学品生产项目，可以不强制进入一般或者较低安全风险的化工园区。</w:t>
            </w:r>
          </w:p>
          <w:p>
            <w:pPr>
              <w:spacing w:line="360" w:lineRule="auto"/>
              <w:ind w:firstLine="480" w:firstLineChars="200"/>
            </w:pPr>
            <w:r>
              <w:rPr>
                <w:rFonts w:hint="eastAsia"/>
                <w:sz w:val="24"/>
              </w:rPr>
              <w:t>项目生产的水基清洗剂、水性切削液、润滑油及环保碳氢清洗剂均不属于《危险化学品目录（2015版）》中的危险化学品，故可在化工园区外建设，项目用地符合用地性质</w:t>
            </w:r>
            <w:r>
              <w:rPr>
                <w:rFonts w:hint="eastAsia"/>
              </w:rPr>
              <w:t>。</w:t>
            </w:r>
          </w:p>
          <w:p>
            <w:pPr>
              <w:spacing w:line="360" w:lineRule="auto"/>
              <w:jc w:val="center"/>
            </w:pPr>
            <w:r>
              <w:rPr>
                <w:rFonts w:hint="eastAsia"/>
              </w:rPr>
              <w:drawing>
                <wp:inline distT="0" distB="0" distL="114300" distR="114300">
                  <wp:extent cx="4276725" cy="4598035"/>
                  <wp:effectExtent l="19050" t="0" r="9525" b="0"/>
                  <wp:docPr id="1" name="图片 11" descr="工业信息答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工业信息答复"/>
                          <pic:cNvPicPr>
                            <a:picLocks noChangeAspect="1"/>
                          </pic:cNvPicPr>
                        </pic:nvPicPr>
                        <pic:blipFill>
                          <a:blip r:embed="rId8" cstate="print"/>
                          <a:stretch>
                            <a:fillRect/>
                          </a:stretch>
                        </pic:blipFill>
                        <pic:spPr>
                          <a:xfrm>
                            <a:off x="0" y="0"/>
                            <a:ext cx="4276725" cy="4598485"/>
                          </a:xfrm>
                          <a:prstGeom prst="rect">
                            <a:avLst/>
                          </a:prstGeom>
                          <a:noFill/>
                          <a:ln>
                            <a:noFill/>
                          </a:ln>
                        </pic:spPr>
                      </pic:pic>
                    </a:graphicData>
                  </a:graphic>
                </wp:inline>
              </w:drawing>
            </w:r>
          </w:p>
          <w:p>
            <w:pPr>
              <w:spacing w:afterLines="50" w:line="360" w:lineRule="auto"/>
              <w:jc w:val="center"/>
              <w:rPr>
                <w:b/>
              </w:rPr>
            </w:pPr>
            <w:r>
              <w:rPr>
                <w:rFonts w:hint="eastAsia"/>
                <w:b/>
              </w:rPr>
              <w:t>图1-1  关于化工项目是否必须入化工园区的回复</w:t>
            </w:r>
          </w:p>
          <w:p>
            <w:pPr>
              <w:adjustRightInd w:val="0"/>
              <w:spacing w:line="360" w:lineRule="auto"/>
              <w:ind w:firstLine="480" w:firstLineChars="200"/>
              <w:rPr>
                <w:sz w:val="24"/>
              </w:rPr>
            </w:pPr>
            <w:r>
              <w:rPr>
                <w:rFonts w:hint="eastAsia"/>
                <w:sz w:val="24"/>
              </w:rPr>
              <w:t>综上可知，本项目选址合理</w:t>
            </w:r>
            <w:r>
              <w:rPr>
                <w:sz w:val="24"/>
              </w:rPr>
              <w:t>。</w:t>
            </w:r>
          </w:p>
          <w:p>
            <w:pPr>
              <w:autoSpaceDE w:val="0"/>
              <w:autoSpaceDN w:val="0"/>
              <w:adjustRightInd w:val="0"/>
              <w:snapToGrid w:val="0"/>
              <w:spacing w:line="360" w:lineRule="auto"/>
              <w:ind w:firstLine="482" w:firstLineChars="200"/>
              <w:jc w:val="left"/>
              <w:rPr>
                <w:b/>
                <w:sz w:val="24"/>
              </w:rPr>
            </w:pPr>
            <w:r>
              <w:rPr>
                <w:rFonts w:hint="eastAsia"/>
                <w:b/>
                <w:sz w:val="24"/>
              </w:rPr>
              <w:t>3、“</w:t>
            </w:r>
            <w:r>
              <w:rPr>
                <w:b/>
                <w:sz w:val="24"/>
              </w:rPr>
              <w:t>三线一单”控制要求的符合性分析</w:t>
            </w:r>
          </w:p>
          <w:p>
            <w:pPr>
              <w:adjustRightInd w:val="0"/>
              <w:spacing w:line="360" w:lineRule="auto"/>
              <w:ind w:firstLine="480" w:firstLineChars="200"/>
              <w:rPr>
                <w:sz w:val="24"/>
              </w:rPr>
            </w:pPr>
            <w:r>
              <w:rPr>
                <w:rFonts w:hint="eastAsia"/>
                <w:sz w:val="24"/>
              </w:rPr>
              <w:t>（1）生态保护红线</w:t>
            </w:r>
          </w:p>
          <w:p>
            <w:pPr>
              <w:adjustRightInd w:val="0"/>
              <w:snapToGrid w:val="0"/>
              <w:spacing w:line="360" w:lineRule="auto"/>
              <w:ind w:firstLine="480" w:firstLineChars="200"/>
              <w:rPr>
                <w:sz w:val="24"/>
              </w:rPr>
            </w:pPr>
            <w:r>
              <w:rPr>
                <w:rFonts w:hint="eastAsia"/>
                <w:sz w:val="24"/>
              </w:rPr>
              <w:t>“生态保护红线”是生态空间范围内具有特殊重要生态功能必须实行强制性严格保护的区域。</w:t>
            </w:r>
          </w:p>
          <w:p>
            <w:pPr>
              <w:adjustRightInd w:val="0"/>
              <w:spacing w:line="360" w:lineRule="auto"/>
              <w:ind w:firstLine="480" w:firstLineChars="200"/>
              <w:rPr>
                <w:sz w:val="24"/>
              </w:rPr>
            </w:pPr>
            <w:r>
              <w:rPr>
                <w:rFonts w:hint="eastAsia"/>
                <w:sz w:val="24"/>
              </w:rPr>
              <w:t>本项目位于衡山高新技术产业开发区坪青路旁，根据衡阳市生态保护红线区划图，项目不在生态保护红线划定范围内，与衡阳市生态保护红线相符。</w:t>
            </w:r>
          </w:p>
          <w:p>
            <w:pPr>
              <w:adjustRightInd w:val="0"/>
              <w:spacing w:line="360" w:lineRule="auto"/>
              <w:ind w:firstLine="480" w:firstLineChars="200"/>
              <w:rPr>
                <w:sz w:val="24"/>
              </w:rPr>
            </w:pPr>
            <w:r>
              <w:rPr>
                <w:rFonts w:hint="eastAsia"/>
                <w:sz w:val="24"/>
              </w:rPr>
              <w:t>（2）环境质量底线</w:t>
            </w:r>
          </w:p>
          <w:p>
            <w:pPr>
              <w:adjustRightInd w:val="0"/>
              <w:spacing w:line="360" w:lineRule="auto"/>
              <w:ind w:firstLine="480" w:firstLineChars="200"/>
              <w:rPr>
                <w:sz w:val="24"/>
              </w:rPr>
            </w:pPr>
            <w:r>
              <w:rPr>
                <w:rFonts w:asciiTheme="minorEastAsia" w:hAnsiTheme="minorEastAsia" w:eastAsiaTheme="minorEastAsia"/>
                <w:sz w:val="24"/>
              </w:rPr>
              <w:t>“环境质量底线”是</w:t>
            </w:r>
            <w:r>
              <w:rPr>
                <w:sz w:val="24"/>
              </w:rPr>
              <w:t>国家和地方设置的大气、水和土壤环境质量目标，也是改善环境质量的基准线。</w:t>
            </w:r>
          </w:p>
          <w:p>
            <w:pPr>
              <w:adjustRightInd w:val="0"/>
              <w:spacing w:line="360" w:lineRule="auto"/>
              <w:ind w:firstLine="480" w:firstLineChars="200"/>
              <w:rPr>
                <w:sz w:val="24"/>
              </w:rPr>
            </w:pPr>
            <w:r>
              <w:rPr>
                <w:rFonts w:hint="eastAsia"/>
                <w:sz w:val="24"/>
              </w:rPr>
              <w:t>衡山</w:t>
            </w:r>
            <w:r>
              <w:rPr>
                <w:sz w:val="24"/>
              </w:rPr>
              <w:t>县</w:t>
            </w:r>
            <w:r>
              <w:rPr>
                <w:rFonts w:hint="eastAsia"/>
                <w:sz w:val="24"/>
              </w:rPr>
              <w:t>2023</w:t>
            </w:r>
            <w:r>
              <w:rPr>
                <w:sz w:val="24"/>
              </w:rPr>
              <w:t>年大气环境各常规因子达标，区域地表水体满足相应功能要求，项目周边土壤现状质量达标。</w:t>
            </w:r>
          </w:p>
          <w:p>
            <w:pPr>
              <w:adjustRightInd w:val="0"/>
              <w:spacing w:line="360" w:lineRule="auto"/>
              <w:ind w:firstLine="480" w:firstLineChars="200"/>
              <w:rPr>
                <w:sz w:val="24"/>
              </w:rPr>
            </w:pPr>
            <w:r>
              <w:rPr>
                <w:rFonts w:hint="eastAsia"/>
                <w:sz w:val="24"/>
              </w:rPr>
              <w:t>本项目产品生产工艺仅为搅拌混合、分装，各化工原料混合过程中不涉及化学反应，生产使用电、水为能源，过程涉及一定量的危险物质，并产生一定量的危险废物。土壤环境主要污染途径是垂直入渗及地面漫流，项目生产车间在采取分区防渗、加强清洁生产等措施的基础上，不会影响周边土壤环境。</w:t>
            </w:r>
          </w:p>
          <w:p>
            <w:pPr>
              <w:adjustRightInd w:val="0"/>
              <w:spacing w:line="360" w:lineRule="auto"/>
              <w:ind w:firstLine="480" w:firstLineChars="200"/>
              <w:rPr>
                <w:sz w:val="24"/>
              </w:rPr>
            </w:pPr>
            <w:r>
              <w:rPr>
                <w:rFonts w:hint="eastAsia"/>
                <w:sz w:val="24"/>
              </w:rPr>
              <w:t>综上所述，项目采取本环评提出的相关防治措施后，排放的污染物不会对周边环境造成明显影响，不会触及环境质量底线。</w:t>
            </w:r>
          </w:p>
          <w:p>
            <w:pPr>
              <w:adjustRightInd w:val="0"/>
              <w:spacing w:line="360" w:lineRule="auto"/>
              <w:ind w:firstLine="480" w:firstLineChars="200"/>
              <w:rPr>
                <w:sz w:val="24"/>
              </w:rPr>
            </w:pPr>
            <w:r>
              <w:rPr>
                <w:rFonts w:hint="eastAsia"/>
                <w:sz w:val="24"/>
              </w:rPr>
              <w:t>（3）资源利用上线</w:t>
            </w:r>
          </w:p>
          <w:p>
            <w:pPr>
              <w:adjustRightInd w:val="0"/>
              <w:snapToGrid w:val="0"/>
              <w:spacing w:line="360" w:lineRule="auto"/>
              <w:ind w:firstLine="480" w:firstLineChars="200"/>
              <w:rPr>
                <w:sz w:val="24"/>
              </w:rPr>
            </w:pPr>
            <w:r>
              <w:rPr>
                <w:rFonts w:hint="eastAsia"/>
                <w:sz w:val="24"/>
              </w:rPr>
              <w:t>资源是环境的载体，“资源利用上线”地区能源、水、土地等资源消耗不得突破的“天花板”。</w:t>
            </w:r>
          </w:p>
          <w:p>
            <w:pPr>
              <w:adjustRightInd w:val="0"/>
              <w:snapToGrid w:val="0"/>
              <w:spacing w:line="360" w:lineRule="auto"/>
              <w:ind w:firstLine="480" w:firstLineChars="200"/>
              <w:rPr>
                <w:sz w:val="24"/>
              </w:rPr>
            </w:pPr>
            <w:r>
              <w:rPr>
                <w:rFonts w:hint="eastAsia"/>
                <w:sz w:val="24"/>
              </w:rPr>
              <w:t>本项目不属于高耗能、高污染型企业，项目建成运行后通过内部管理、设备选择、原辅材料的选用和管理、污染治理等多方面采取合理可行的防治措施，以“节能、降耗、减污”为目标，有效地控制污染，符合能源、水、土地等资源利用上线要求</w:t>
            </w:r>
            <w:r>
              <w:rPr>
                <w:sz w:val="24"/>
              </w:rPr>
              <w:t>。</w:t>
            </w:r>
          </w:p>
          <w:p>
            <w:pPr>
              <w:adjustRightInd w:val="0"/>
              <w:spacing w:line="360" w:lineRule="auto"/>
              <w:ind w:firstLine="480" w:firstLineChars="200"/>
              <w:rPr>
                <w:sz w:val="24"/>
              </w:rPr>
            </w:pPr>
            <w:r>
              <w:rPr>
                <w:rFonts w:hint="eastAsia"/>
                <w:sz w:val="24"/>
              </w:rPr>
              <w:t>（</w:t>
            </w:r>
            <w:r>
              <w:rPr>
                <w:sz w:val="24"/>
              </w:rPr>
              <w:t>4</w:t>
            </w:r>
            <w:r>
              <w:rPr>
                <w:rFonts w:hint="eastAsia"/>
                <w:sz w:val="24"/>
              </w:rPr>
              <w:t>）生态环境准入清单</w:t>
            </w:r>
          </w:p>
          <w:p>
            <w:pPr>
              <w:adjustRightInd w:val="0"/>
              <w:spacing w:line="360" w:lineRule="auto"/>
              <w:ind w:firstLine="480" w:firstLineChars="200"/>
              <w:rPr>
                <w:sz w:val="24"/>
              </w:rPr>
            </w:pPr>
            <w:r>
              <w:rPr>
                <w:rFonts w:hint="eastAsia"/>
                <w:sz w:val="24"/>
              </w:rPr>
              <w:t>生态环境准入清单是基于生态保护红线、环境质量底线和资源利用上线，以清单方式列出的禁止、限制等差别化环境准入条件和要求。</w:t>
            </w:r>
          </w:p>
          <w:p>
            <w:pPr>
              <w:adjustRightInd w:val="0"/>
              <w:spacing w:line="360" w:lineRule="auto"/>
              <w:ind w:firstLine="480" w:firstLineChars="200"/>
              <w:rPr>
                <w:sz w:val="24"/>
              </w:rPr>
            </w:pPr>
            <w:r>
              <w:rPr>
                <w:rFonts w:hint="eastAsia" w:ascii="宋体" w:hAnsi="宋体" w:cs="宋体"/>
                <w:sz w:val="24"/>
              </w:rPr>
              <w:t>①</w:t>
            </w:r>
            <w:r>
              <w:rPr>
                <w:sz w:val="24"/>
              </w:rPr>
              <w:t>与湘政发〔2020〕12号符合性分析</w:t>
            </w:r>
          </w:p>
          <w:p>
            <w:pPr>
              <w:adjustRightInd w:val="0"/>
              <w:spacing w:line="360" w:lineRule="auto"/>
              <w:ind w:firstLine="480" w:firstLineChars="200"/>
              <w:rPr>
                <w:sz w:val="24"/>
              </w:rPr>
            </w:pPr>
            <w:r>
              <w:rPr>
                <w:rFonts w:hint="eastAsia"/>
                <w:sz w:val="24"/>
              </w:rPr>
              <w:t>根据2020年9月发布的《湖南省“三线一单”生态环境总体管控要求暨省级以上产业园区生态环境准入清单》，本项目区环境管控单元归属于</w:t>
            </w:r>
            <w:r>
              <w:rPr>
                <w:sz w:val="24"/>
              </w:rPr>
              <w:t>衡山高新技术产业开发区</w:t>
            </w:r>
            <w:r>
              <w:rPr>
                <w:rFonts w:hint="eastAsia"/>
                <w:sz w:val="24"/>
              </w:rPr>
              <w:t>，本次“三线一单”的相符性分析依据《湖南省“三线一单”生态环境总体管控要求暨省级以上产业园区生态环境准入清单》（2020年9月）中</w:t>
            </w:r>
            <w:r>
              <w:rPr>
                <w:sz w:val="24"/>
              </w:rPr>
              <w:t>衡山高新技术产业开发区</w:t>
            </w:r>
            <w:r>
              <w:rPr>
                <w:rFonts w:hint="eastAsia"/>
                <w:sz w:val="24"/>
              </w:rPr>
              <w:t>的要求进行分析，具体符合性分析见表1-3。</w:t>
            </w:r>
          </w:p>
          <w:p>
            <w:pPr>
              <w:spacing w:line="480" w:lineRule="exact"/>
              <w:jc w:val="center"/>
              <w:rPr>
                <w:b/>
              </w:rPr>
            </w:pPr>
            <w:r>
              <w:rPr>
                <w:b/>
              </w:rPr>
              <w:t>表1</w:t>
            </w:r>
            <w:r>
              <w:rPr>
                <w:rFonts w:hint="eastAsia"/>
                <w:b/>
              </w:rPr>
              <w:t>-3</w:t>
            </w:r>
            <w:r>
              <w:rPr>
                <w:b/>
              </w:rPr>
              <w:t xml:space="preserve">  </w:t>
            </w:r>
            <w:r>
              <w:rPr>
                <w:rFonts w:hint="eastAsia"/>
                <w:b/>
              </w:rPr>
              <w:t>项目与产业园区生态环境准入清单相符性分析表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7"/>
              <w:gridCol w:w="5245"/>
              <w:gridCol w:w="2410"/>
              <w:gridCol w:w="7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pPr>
                    <w:jc w:val="center"/>
                    <w:rPr>
                      <w:b/>
                    </w:rPr>
                  </w:pPr>
                  <w:r>
                    <w:rPr>
                      <w:b/>
                    </w:rPr>
                    <w:t>管控维度</w:t>
                  </w:r>
                </w:p>
              </w:tc>
              <w:tc>
                <w:tcPr>
                  <w:tcW w:w="2870" w:type="pct"/>
                  <w:vAlign w:val="center"/>
                </w:tcPr>
                <w:p>
                  <w:pPr>
                    <w:jc w:val="center"/>
                    <w:rPr>
                      <w:b/>
                    </w:rPr>
                  </w:pPr>
                  <w:r>
                    <w:rPr>
                      <w:b/>
                    </w:rPr>
                    <w:t>管控要求</w:t>
                  </w:r>
                </w:p>
              </w:tc>
              <w:tc>
                <w:tcPr>
                  <w:tcW w:w="1319" w:type="pct"/>
                  <w:vAlign w:val="center"/>
                </w:tcPr>
                <w:p>
                  <w:pPr>
                    <w:jc w:val="center"/>
                    <w:rPr>
                      <w:b/>
                    </w:rPr>
                  </w:pPr>
                  <w:r>
                    <w:rPr>
                      <w:b/>
                    </w:rPr>
                    <w:t>本项目情况</w:t>
                  </w:r>
                </w:p>
              </w:tc>
              <w:tc>
                <w:tcPr>
                  <w:tcW w:w="413" w:type="pct"/>
                  <w:vAlign w:val="center"/>
                </w:tcPr>
                <w:p>
                  <w:pPr>
                    <w:jc w:val="center"/>
                    <w:rPr>
                      <w:b/>
                    </w:rPr>
                  </w:pPr>
                  <w:r>
                    <w:rPr>
                      <w:b/>
                    </w:rPr>
                    <w:t>相符性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pPr>
                    <w:jc w:val="center"/>
                  </w:pPr>
                  <w:r>
                    <w:t>主导产业</w:t>
                  </w:r>
                </w:p>
              </w:tc>
              <w:tc>
                <w:tcPr>
                  <w:tcW w:w="2870" w:type="pct"/>
                  <w:vAlign w:val="center"/>
                </w:tcPr>
                <w:p>
                  <w:pPr>
                    <w:jc w:val="left"/>
                  </w:pPr>
                  <w:r>
                    <w:rPr>
                      <w:rFonts w:hint="eastAsia"/>
                    </w:rPr>
                    <w:t>湘环评[2012]306号：机械制造、轻工服装、农副产品加工、</w:t>
                  </w:r>
                </w:p>
                <w:p>
                  <w:pPr>
                    <w:jc w:val="left"/>
                  </w:pPr>
                  <w:r>
                    <w:rPr>
                      <w:rFonts w:hint="eastAsia"/>
                    </w:rPr>
                    <w:t>高科技产业、并保留现有化工企业；</w:t>
                  </w:r>
                </w:p>
                <w:p>
                  <w:pPr>
                    <w:jc w:val="left"/>
                  </w:pPr>
                  <w:r>
                    <w:rPr>
                      <w:rFonts w:hint="eastAsia"/>
                    </w:rPr>
                    <w:t>湘发改函[2014]262号：调扩区主要布局设备制造、家具制造；</w:t>
                  </w:r>
                </w:p>
                <w:p>
                  <w:pPr>
                    <w:jc w:val="left"/>
                  </w:pPr>
                  <w:r>
                    <w:rPr>
                      <w:rFonts w:hint="eastAsia"/>
                    </w:rPr>
                    <w:t>六部委公告2018年第4号：机械零部件、非金属矿物制品</w:t>
                  </w:r>
                  <w:r>
                    <w:t>。</w:t>
                  </w:r>
                </w:p>
              </w:tc>
              <w:tc>
                <w:tcPr>
                  <w:tcW w:w="1319" w:type="pct"/>
                  <w:vAlign w:val="center"/>
                </w:tcPr>
                <w:p>
                  <w:pPr>
                    <w:jc w:val="center"/>
                  </w:pPr>
                  <w:r>
                    <w:rPr>
                      <w:rFonts w:hint="eastAsia"/>
                    </w:rPr>
                    <w:t>本项目主要从事水基清洗剂、水性切削液、润滑油及环保碳氢清洗剂的复配生产（不涉及化学反应），产品广泛用于机电、汽摩、装备制造业，属区域主导产业延伸链产业，与园区的产业定位相符</w:t>
                  </w:r>
                </w:p>
              </w:tc>
              <w:tc>
                <w:tcPr>
                  <w:tcW w:w="413"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pPr>
                    <w:widowControl/>
                    <w:adjustRightInd w:val="0"/>
                    <w:snapToGrid w:val="0"/>
                    <w:jc w:val="center"/>
                  </w:pPr>
                  <w:r>
                    <w:t>空间布局约束</w:t>
                  </w:r>
                </w:p>
              </w:tc>
              <w:tc>
                <w:tcPr>
                  <w:tcW w:w="2870" w:type="pct"/>
                  <w:vAlign w:val="center"/>
                </w:tcPr>
                <w:p>
                  <w:pPr>
                    <w:adjustRightInd w:val="0"/>
                  </w:pPr>
                  <w:r>
                    <w:rPr>
                      <w:rFonts w:hint="eastAsia"/>
                    </w:rPr>
                    <w:t>（1.1）充分利用自然地形和绿化隔离带使各功能区隔离，区内工业区与周边居住区之间建设缓冲隔离带。</w:t>
                  </w:r>
                </w:p>
                <w:p>
                  <w:pPr>
                    <w:adjustRightInd w:val="0"/>
                  </w:pPr>
                  <w:r>
                    <w:rPr>
                      <w:rFonts w:hint="eastAsia"/>
                    </w:rPr>
                    <w:t>（1.2）园区内不得新增三类工业用地和三类工业企业；对于区内现有符合现行产业政策且环保手续齐备的化工企业暂予保留，不得扩产，并在远期规划逐步退出经开区；不再引进化工企业和化工生产项目。</w:t>
                  </w:r>
                </w:p>
                <w:p>
                  <w:pPr>
                    <w:adjustRightInd w:val="0"/>
                  </w:pPr>
                  <w:r>
                    <w:rPr>
                      <w:rFonts w:hint="eastAsia"/>
                    </w:rPr>
                    <w:t>（1.3）限制引进重气型污染源和重水型污染源企业，禁止涉重金属企业入园</w:t>
                  </w:r>
                  <w:r>
                    <w:t>。</w:t>
                  </w:r>
                </w:p>
              </w:tc>
              <w:tc>
                <w:tcPr>
                  <w:tcW w:w="1319" w:type="pct"/>
                  <w:vAlign w:val="center"/>
                </w:tcPr>
                <w:p>
                  <w:pPr>
                    <w:jc w:val="center"/>
                  </w:pPr>
                  <w:r>
                    <w:rPr>
                      <w:rFonts w:hint="eastAsia"/>
                    </w:rPr>
                    <w:t>（1）本项目为新建化工类项目，但仅从事分装复配生产，所用化学原料均为外购，运行过程中电能、水消耗量较少，仅排放少量VOCs废气及粉尘，非高耗能、高排放类传统化工项目，项目建设不违背湘政办函[2023]27）相关要求；（2）本</w:t>
                  </w:r>
                  <w:r>
                    <w:t>项目非气型污染严重、涉重金属企业。</w:t>
                  </w:r>
                </w:p>
              </w:tc>
              <w:tc>
                <w:tcPr>
                  <w:tcW w:w="413"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pPr>
                    <w:widowControl/>
                    <w:adjustRightInd w:val="0"/>
                    <w:snapToGrid w:val="0"/>
                    <w:jc w:val="center"/>
                  </w:pPr>
                  <w:r>
                    <w:t>污染物排放管控</w:t>
                  </w:r>
                </w:p>
              </w:tc>
              <w:tc>
                <w:tcPr>
                  <w:tcW w:w="2870" w:type="pct"/>
                  <w:vAlign w:val="center"/>
                </w:tcPr>
                <w:p>
                  <w:pPr>
                    <w:adjustRightInd w:val="0"/>
                  </w:pPr>
                  <w:r>
                    <w:rPr>
                      <w:rFonts w:hint="eastAsia"/>
                    </w:rPr>
                    <w:t>（2.1）废水：排水实施雨污分流。园区工业废水、生活污水排入园区工业综合污水处理厂处理达标后外排湘江。严格园区现有涉重企业监管，确保含一类重金属废水车间口达标。</w:t>
                  </w:r>
                </w:p>
                <w:p>
                  <w:pPr>
                    <w:adjustRightInd w:val="0"/>
                  </w:pPr>
                  <w:r>
                    <w:rPr>
                      <w:rFonts w:hint="eastAsia"/>
                    </w:rPr>
                    <w:t>（2.2）废气：各用煤单位配备必要的脱硫脱硝除尘措施，保证烟气达标排放；采取有效措施，减少企业工艺废气的无组织排放，入园企业各生产装置排放的废气须经处理达到时相应的排放标准要求。强化末端治理，加快推进有机化工、工业涂装、包装印刷、沥青搅拌等行业企业VOCs治理，确保达标排放。交通运输设备制造、汽车制造、工程机械制造和家具制造行业全面实施油性漆改水性漆，减少VOCs产生量。</w:t>
                  </w:r>
                </w:p>
                <w:p>
                  <w:pPr>
                    <w:adjustRightInd w:val="0"/>
                  </w:pPr>
                  <w:r>
                    <w:rPr>
                      <w:rFonts w:hint="eastAsia"/>
                    </w:rPr>
                    <w:t>（2.3）固废：做好开发区内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固体废物特别是危险固废应按国家有关规定综合利用或妥善处置，严防二次污染。</w:t>
                  </w:r>
                </w:p>
                <w:p>
                  <w:pPr>
                    <w:adjustRightInd w:val="0"/>
                  </w:pPr>
                  <w:r>
                    <w:rPr>
                      <w:rFonts w:hint="eastAsia"/>
                    </w:rPr>
                    <w:t>（2.4）园区水泥行业及涉锅炉大气污染物排放应满足《湖南省生态环境厅关于执行污染物特别排放限值（第一批）的公告》的要求</w:t>
                  </w:r>
                  <w:r>
                    <w:t>。</w:t>
                  </w:r>
                </w:p>
              </w:tc>
              <w:tc>
                <w:tcPr>
                  <w:tcW w:w="1319" w:type="pct"/>
                  <w:vAlign w:val="center"/>
                </w:tcPr>
                <w:p>
                  <w:pPr>
                    <w:jc w:val="center"/>
                  </w:pPr>
                  <w:r>
                    <w:rPr>
                      <w:rFonts w:hint="eastAsia"/>
                    </w:rPr>
                    <w:t>（</w:t>
                  </w:r>
                  <w:r>
                    <w:t>1</w:t>
                  </w:r>
                  <w:r>
                    <w:rPr>
                      <w:rFonts w:hint="eastAsia"/>
                    </w:rPr>
                    <w:t>）项目运营期</w:t>
                  </w:r>
                  <w:r>
                    <w:t>车间地面保洁废水及生活污水经化粪池预处理后汇入污水管网，经衡山高新区综合污水处理厂</w:t>
                  </w:r>
                  <w:r>
                    <w:rPr>
                      <w:rFonts w:hint="eastAsia"/>
                    </w:rPr>
                    <w:t>进一步处理</w:t>
                  </w:r>
                  <w:r>
                    <w:t>。</w:t>
                  </w:r>
                  <w:r>
                    <w:rPr>
                      <w:rFonts w:hint="eastAsia"/>
                    </w:rPr>
                    <w:t>（</w:t>
                  </w:r>
                  <w:r>
                    <w:t>2</w:t>
                  </w:r>
                  <w:r>
                    <w:rPr>
                      <w:rFonts w:hint="eastAsia"/>
                    </w:rPr>
                    <w:t>）项目</w:t>
                  </w:r>
                  <w:r>
                    <w:t>产生的有机废气收集后经二级活性炭处理达标排放</w:t>
                  </w:r>
                  <w:r>
                    <w:rPr>
                      <w:rFonts w:hint="eastAsia"/>
                    </w:rPr>
                    <w:t>。（3）项目固废均合理处置，不会产生二次污染。</w:t>
                  </w:r>
                </w:p>
              </w:tc>
              <w:tc>
                <w:tcPr>
                  <w:tcW w:w="413" w:type="pct"/>
                  <w:vAlign w:val="center"/>
                </w:tcPr>
                <w:p>
                  <w:pPr>
                    <w:jc w:val="center"/>
                  </w:pPr>
                  <w:r>
                    <w:rPr>
                      <w:rFonts w:hint="eastAsia"/>
                    </w:rP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pPr>
                    <w:widowControl/>
                    <w:adjustRightInd w:val="0"/>
                    <w:snapToGrid w:val="0"/>
                    <w:jc w:val="center"/>
                  </w:pPr>
                  <w:r>
                    <w:t>环境风险防控</w:t>
                  </w:r>
                </w:p>
              </w:tc>
              <w:tc>
                <w:tcPr>
                  <w:tcW w:w="2870" w:type="pct"/>
                  <w:vAlign w:val="center"/>
                </w:tcPr>
                <w:p>
                  <w:pPr>
                    <w:adjustRightInd w:val="0"/>
                  </w:pPr>
                  <w:r>
                    <w:rPr>
                      <w:rFonts w:hint="eastAsia"/>
                    </w:rPr>
                    <w:t>（3.1）园区应建立健全环境风险防控体系，严格落实《湖南衡山经济开发区突发环境事件应急预案》中提出的各项环境风险事故防范措施，严防环境风险事故发生，提高应急处置能力。</w:t>
                  </w:r>
                </w:p>
                <w:p>
                  <w:pPr>
                    <w:adjustRightInd w:val="0"/>
                  </w:pPr>
                  <w:r>
                    <w:rPr>
                      <w:rFonts w:hint="eastAsia"/>
                    </w:rPr>
                    <w:t>（3.2）园区可能发生突发环境事件的污染物排放企业，生产、储存、运输、使用危险化学品的企业，产生、收集、贮存、运输、利用、处置危险废物的企业，尾矿库企业等应当编制和实施环境应急预案；鼓励其他企业制定单独的环境应急预案，或在突发事件应急预案中制定环境应急预案专章，并备案。</w:t>
                  </w:r>
                </w:p>
                <w:p>
                  <w:pPr>
                    <w:adjustRightInd w:val="0"/>
                  </w:pPr>
                  <w:r>
                    <w:rPr>
                      <w:rFonts w:hint="eastAsia"/>
                    </w:rPr>
                    <w:t>（3.3）建设用地土壤风险防控：结合土壤污染状况详查情况，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w:t>
                  </w:r>
                </w:p>
                <w:p>
                  <w:pPr>
                    <w:adjustRightInd w:val="0"/>
                  </w:pPr>
                  <w:r>
                    <w:rPr>
                      <w:rFonts w:hint="eastAsia"/>
                    </w:rPr>
                    <w:t>（3.4）农用地风险防控：划定农用地土壤环境质量类别，加大农用地保护力度，禁止在优先保护类耕地集中区域新建有色金属冶炼、有色金属矿采选、化工、电解锰、电镀、制革、石油加工、农药生产、危险废物经营等行业企业。制定实施受污染耕地安全利用方案，采取农艺调控、化学阻控、替代种植等措施，降低农产品重金属超标风险</w:t>
                  </w:r>
                  <w:r>
                    <w:t>。</w:t>
                  </w:r>
                </w:p>
              </w:tc>
              <w:tc>
                <w:tcPr>
                  <w:tcW w:w="1319" w:type="pct"/>
                  <w:vAlign w:val="center"/>
                </w:tcPr>
                <w:p>
                  <w:pPr>
                    <w:jc w:val="center"/>
                  </w:pPr>
                  <w:r>
                    <w:t>项目建成后将编制应急预案并备案及实施管理</w:t>
                  </w:r>
                  <w:r>
                    <w:rPr>
                      <w:rFonts w:hint="eastAsia"/>
                    </w:rPr>
                    <w:t>，本项目用地为建设用地，不涉及污染地块和农用地安全利用风险。</w:t>
                  </w:r>
                </w:p>
              </w:tc>
              <w:tc>
                <w:tcPr>
                  <w:tcW w:w="413"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8" w:type="pct"/>
                  <w:vAlign w:val="center"/>
                </w:tcPr>
                <w:p>
                  <w:pPr>
                    <w:widowControl/>
                    <w:adjustRightInd w:val="0"/>
                    <w:snapToGrid w:val="0"/>
                    <w:jc w:val="center"/>
                  </w:pPr>
                  <w:r>
                    <w:t>资源开发效率要求</w:t>
                  </w:r>
                </w:p>
              </w:tc>
              <w:tc>
                <w:tcPr>
                  <w:tcW w:w="2870" w:type="pct"/>
                  <w:vAlign w:val="center"/>
                </w:tcPr>
                <w:p>
                  <w:pPr>
                    <w:adjustRightInd w:val="0"/>
                  </w:pPr>
                  <w:r>
                    <w:rPr>
                      <w:rFonts w:hint="eastAsia"/>
                    </w:rPr>
                    <w:t>（4.1）能源：积极推广清洁能源，禁止燃用中、高硫原煤。控制燃煤含硫量在1%及以下。园区应按“湖南省工程建设项目审批制度改革工作领导小组办公室关于印发《工程建设项目区域评估工作实施方案》的通知”，尽快开展节能评估工作。</w:t>
                  </w:r>
                </w:p>
                <w:p>
                  <w:pPr>
                    <w:adjustRightInd w:val="0"/>
                  </w:pPr>
                  <w:r>
                    <w:rPr>
                      <w:rFonts w:hint="eastAsia"/>
                    </w:rPr>
                    <w:t>（4.2）水资源：强化工业节水，淘汰落后的用水技术、工艺、产品和设备，开展高耗水工业行业节水技术改造，开展水平衡测试和用水效率评估，大力推广工业水循环利用，推进节水型企业、节水型工业园区建设。实施最严格水资源管理制度考核，突出用水总量和强度控制目标，到2020年，衡山县万元工业增加值用水量比2015年下降32.7%，万元GDP用水量应比2015年下降30%。</w:t>
                  </w:r>
                </w:p>
                <w:p>
                  <w:pPr>
                    <w:adjustRightInd w:val="0"/>
                  </w:pPr>
                  <w:r>
                    <w:rPr>
                      <w:rFonts w:hint="eastAsia"/>
                    </w:rPr>
                    <w:t>（4.3）土地资源：提高土地使用效率和节约集约程度，园区土地投资强度达到3000万元/公顷。严格执行土地使用标准，工业项目投资强度执行《湖南省建设用地指标》（2020版）十二等区域控制指标要求</w:t>
                  </w:r>
                  <w:r>
                    <w:t>。</w:t>
                  </w:r>
                </w:p>
              </w:tc>
              <w:tc>
                <w:tcPr>
                  <w:tcW w:w="1319" w:type="pct"/>
                  <w:vAlign w:val="center"/>
                </w:tcPr>
                <w:p>
                  <w:pPr>
                    <w:jc w:val="center"/>
                  </w:pPr>
                  <w:r>
                    <w:t>项目主要使用</w:t>
                  </w:r>
                  <w:r>
                    <w:rPr>
                      <w:rFonts w:hint="eastAsia"/>
                    </w:rPr>
                    <w:t>水、电，不使用高硫、中硫原煤及重油等燃料，且项目不属于严重过剩行业、不属于高耗能产业，项目位于园区内，满足资源开发效率要求。</w:t>
                  </w:r>
                </w:p>
              </w:tc>
              <w:tc>
                <w:tcPr>
                  <w:tcW w:w="413" w:type="pct"/>
                  <w:vAlign w:val="center"/>
                </w:tcPr>
                <w:p>
                  <w:pPr>
                    <w:jc w:val="center"/>
                  </w:pPr>
                  <w:r>
                    <w:rPr>
                      <w:rFonts w:hint="eastAsia"/>
                    </w:rPr>
                    <w:t>相符</w:t>
                  </w:r>
                </w:p>
              </w:tc>
            </w:tr>
          </w:tbl>
          <w:p>
            <w:pPr>
              <w:adjustRightInd w:val="0"/>
              <w:spacing w:line="360" w:lineRule="auto"/>
              <w:ind w:firstLine="480" w:firstLineChars="200"/>
              <w:rPr>
                <w:sz w:val="24"/>
              </w:rPr>
            </w:pPr>
            <w:r>
              <w:rPr>
                <w:sz w:val="24"/>
              </w:rPr>
              <w:t>由上表可知，项目</w:t>
            </w:r>
            <w:r>
              <w:rPr>
                <w:rFonts w:hint="eastAsia"/>
                <w:sz w:val="24"/>
              </w:rPr>
              <w:t>符合</w:t>
            </w:r>
            <w:r>
              <w:rPr>
                <w:sz w:val="24"/>
              </w:rPr>
              <w:t>《湖南省</w:t>
            </w:r>
            <w:r>
              <w:rPr>
                <w:rFonts w:asciiTheme="majorEastAsia" w:hAnsiTheme="majorEastAsia" w:eastAsiaTheme="majorEastAsia"/>
                <w:sz w:val="24"/>
              </w:rPr>
              <w:t>“三线一单”生</w:t>
            </w:r>
            <w:r>
              <w:rPr>
                <w:sz w:val="24"/>
              </w:rPr>
              <w:t>态环境总体管控要求暨省级以上产业园区生态环境准入清单》的要求。</w:t>
            </w:r>
          </w:p>
          <w:p>
            <w:pPr>
              <w:adjustRightInd w:val="0"/>
              <w:snapToGrid w:val="0"/>
              <w:spacing w:line="360" w:lineRule="auto"/>
              <w:ind w:firstLine="480" w:firstLineChars="200"/>
              <w:rPr>
                <w:sz w:val="24"/>
              </w:rPr>
            </w:pPr>
            <w:r>
              <w:rPr>
                <w:rFonts w:hint="eastAsia"/>
                <w:sz w:val="24"/>
              </w:rPr>
              <w:t>②项目与（衡政发〔2020〕9号）符合性分析</w:t>
            </w:r>
          </w:p>
          <w:p>
            <w:pPr>
              <w:adjustRightInd w:val="0"/>
              <w:snapToGrid w:val="0"/>
              <w:spacing w:line="360" w:lineRule="auto"/>
              <w:ind w:firstLine="480" w:firstLineChars="200"/>
              <w:rPr>
                <w:sz w:val="24"/>
              </w:rPr>
            </w:pPr>
            <w:r>
              <w:rPr>
                <w:rFonts w:hint="eastAsia"/>
                <w:sz w:val="24"/>
              </w:rPr>
              <w:t>据《衡阳市人民政府关于实施“三线一单”生态环境分区管控的意见（衡政发〔2020〕9号）》中附件3：衡阳市环境管控单元图，可知本项目属于衡阳市重点管控单元，管控单元编码为ZH43042320001。</w:t>
            </w:r>
          </w:p>
          <w:p>
            <w:pPr>
              <w:pStyle w:val="2"/>
            </w:pPr>
          </w:p>
          <w:p>
            <w:pPr>
              <w:pStyle w:val="4"/>
            </w:pPr>
          </w:p>
          <w:p/>
          <w:p>
            <w:pPr>
              <w:pStyle w:val="2"/>
            </w:pPr>
          </w:p>
          <w:p>
            <w:pPr>
              <w:pStyle w:val="4"/>
            </w:pPr>
          </w:p>
          <w:p/>
          <w:p>
            <w:pPr>
              <w:pStyle w:val="2"/>
            </w:pPr>
          </w:p>
          <w:p>
            <w:pPr>
              <w:pStyle w:val="4"/>
            </w:pPr>
          </w:p>
          <w:p/>
          <w:p>
            <w:pPr>
              <w:adjustRightInd w:val="0"/>
              <w:snapToGrid w:val="0"/>
              <w:spacing w:line="360" w:lineRule="auto"/>
              <w:ind w:firstLine="210"/>
            </w:pPr>
            <w:r>
              <w:pict>
                <v:shape id="AutoShape 1331" o:spid="_x0000_s1030" o:spt="136" type="#_x0000_t136" style="position:absolute;left:0pt;margin-left:296.2pt;margin-top:59pt;height:12.35pt;width:36.15pt;rotation:-89568f;z-index:251660288;mso-width-relative:page;mso-height-relative:page;" fillcolor="#000000" filled="t" coordsize="21600,21600">
                  <v:path/>
                  <v:fill on="t" focussize="0,0"/>
                  <v:stroke/>
                  <v:imagedata o:title=""/>
                  <o:lock v:ext="edit"/>
                  <v:textpath on="t" fitshape="t" fitpath="t" trim="t" xscale="f" string="项目所在地&#10;" style="font-family:宋体;font-size:10pt;v-text-align:center;"/>
                </v:shape>
              </w:pict>
            </w:r>
            <w:r>
              <w:pict>
                <v:shape id="AutoShape 9" o:spid="_x0000_s1031" o:spt="120" type="#_x0000_t120" style="position:absolute;left:0pt;margin-left:338.95pt;margin-top:67.6pt;height:3.7pt;width:3.7pt;z-index:251659264;mso-width-relative:page;mso-height-relative:page;" fillcolor="#000000" filled="t" coordsize="21600,21600">
                  <v:path/>
                  <v:fill on="t" focussize="0,0"/>
                  <v:stroke weight="1.25pt"/>
                  <v:imagedata o:title=""/>
                  <o:lock v:ext="edit" aspectratio="t"/>
                </v:shape>
              </w:pict>
            </w:r>
            <w:r>
              <w:drawing>
                <wp:inline distT="0" distB="0" distL="114300" distR="114300">
                  <wp:extent cx="5781040" cy="4827905"/>
                  <wp:effectExtent l="0" t="0" r="1016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5781040" cy="4827905"/>
                          </a:xfrm>
                          <a:prstGeom prst="rect">
                            <a:avLst/>
                          </a:prstGeom>
                          <a:noFill/>
                          <a:ln>
                            <a:noFill/>
                          </a:ln>
                        </pic:spPr>
                      </pic:pic>
                    </a:graphicData>
                  </a:graphic>
                </wp:inline>
              </w:drawing>
            </w:r>
          </w:p>
          <w:p>
            <w:pPr>
              <w:spacing w:afterLines="50" w:line="360" w:lineRule="auto"/>
              <w:jc w:val="center"/>
              <w:rPr>
                <w:b/>
              </w:rPr>
            </w:pPr>
            <w:r>
              <w:rPr>
                <w:b/>
              </w:rPr>
              <w:t>图</w:t>
            </w:r>
            <w:r>
              <w:rPr>
                <w:rFonts w:hint="eastAsia"/>
                <w:b/>
              </w:rPr>
              <w:t>1-2  衡阳市</w:t>
            </w:r>
            <w:r>
              <w:rPr>
                <w:b/>
              </w:rPr>
              <w:t>环境管控单元图</w:t>
            </w:r>
          </w:p>
          <w:p>
            <w:pPr>
              <w:adjustRightInd w:val="0"/>
              <w:spacing w:line="360" w:lineRule="auto"/>
              <w:ind w:firstLine="480" w:firstLineChars="200"/>
              <w:rPr>
                <w:sz w:val="24"/>
              </w:rPr>
            </w:pPr>
            <w:r>
              <w:rPr>
                <w:rFonts w:hint="eastAsia"/>
                <w:sz w:val="24"/>
              </w:rPr>
              <w:t>项目与《衡阳市生态环境准入清单》中衡阳市衡山县开云镇（ZH43042320001）符合性分析见下表，具体内容如下：</w:t>
            </w:r>
          </w:p>
          <w:p>
            <w:pPr>
              <w:adjustRightInd w:val="0"/>
              <w:snapToGrid w:val="0"/>
              <w:spacing w:beforeLines="50"/>
              <w:jc w:val="center"/>
              <w:rPr>
                <w:b/>
              </w:rPr>
            </w:pPr>
            <w:r>
              <w:rPr>
                <w:b/>
              </w:rPr>
              <w:t>表</w:t>
            </w:r>
            <w:r>
              <w:rPr>
                <w:rFonts w:hint="eastAsia"/>
                <w:b/>
              </w:rPr>
              <w:t xml:space="preserve">1-4  </w:t>
            </w:r>
            <w:r>
              <w:rPr>
                <w:b/>
              </w:rPr>
              <w:t>项目与衡阳市</w:t>
            </w:r>
            <w:r>
              <w:rPr>
                <w:rFonts w:hint="eastAsia"/>
                <w:b/>
              </w:rPr>
              <w:t>衡山县开云镇</w:t>
            </w:r>
            <w:r>
              <w:rPr>
                <w:b/>
              </w:rPr>
              <w:t>生态环境准入清单符合性分析</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5245"/>
              <w:gridCol w:w="2237"/>
              <w:gridCol w:w="9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Align w:val="center"/>
                </w:tcPr>
                <w:p>
                  <w:pPr>
                    <w:jc w:val="center"/>
                    <w:rPr>
                      <w:b/>
                    </w:rPr>
                  </w:pPr>
                  <w:r>
                    <w:rPr>
                      <w:rFonts w:hint="eastAsia"/>
                      <w:b/>
                    </w:rPr>
                    <w:t>管控类别</w:t>
                  </w:r>
                </w:p>
              </w:tc>
              <w:tc>
                <w:tcPr>
                  <w:tcW w:w="2870" w:type="pct"/>
                  <w:vAlign w:val="center"/>
                </w:tcPr>
                <w:p>
                  <w:pPr>
                    <w:jc w:val="center"/>
                    <w:rPr>
                      <w:b/>
                    </w:rPr>
                  </w:pPr>
                  <w:r>
                    <w:rPr>
                      <w:rFonts w:hint="eastAsia"/>
                      <w:b/>
                    </w:rPr>
                    <w:t>管控要求</w:t>
                  </w:r>
                </w:p>
              </w:tc>
              <w:tc>
                <w:tcPr>
                  <w:tcW w:w="1224" w:type="pct"/>
                  <w:vAlign w:val="center"/>
                </w:tcPr>
                <w:p>
                  <w:pPr>
                    <w:jc w:val="center"/>
                    <w:rPr>
                      <w:b/>
                    </w:rPr>
                  </w:pPr>
                  <w:r>
                    <w:rPr>
                      <w:rFonts w:hint="eastAsia"/>
                      <w:b/>
                    </w:rPr>
                    <w:t>本项目情况</w:t>
                  </w:r>
                </w:p>
              </w:tc>
              <w:tc>
                <w:tcPr>
                  <w:tcW w:w="508" w:type="pct"/>
                  <w:vAlign w:val="center"/>
                </w:tcPr>
                <w:p>
                  <w:pPr>
                    <w:jc w:val="center"/>
                    <w:rPr>
                      <w:b/>
                    </w:rPr>
                  </w:pPr>
                  <w:r>
                    <w:rPr>
                      <w:rFonts w:hint="eastAsia"/>
                      <w:b/>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Align w:val="center"/>
                </w:tcPr>
                <w:p>
                  <w:pPr>
                    <w:jc w:val="center"/>
                  </w:pPr>
                  <w:r>
                    <w:t>空间布局约束</w:t>
                  </w:r>
                </w:p>
              </w:tc>
              <w:tc>
                <w:tcPr>
                  <w:tcW w:w="2870" w:type="pct"/>
                  <w:vAlign w:val="center"/>
                </w:tcPr>
                <w:p>
                  <w:pPr>
                    <w:adjustRightInd w:val="0"/>
                    <w:jc w:val="center"/>
                  </w:pPr>
                  <w:r>
                    <w:t>（1.1）严禁在城市建成区内新建石化、有机化工、包装印刷、沥青搅拌站、工业涂装等高VOCs排放建设项目</w:t>
                  </w:r>
                  <w:r>
                    <w:rPr>
                      <w:rFonts w:hint="eastAsia"/>
                    </w:rPr>
                    <w:t>。</w:t>
                  </w:r>
                </w:p>
                <w:p>
                  <w:pPr>
                    <w:jc w:val="center"/>
                  </w:pPr>
                  <w:r>
                    <w:t>（1.2）科学划定畜禽养殖禁养区，在畜禽养殖污染防治规划编制和禁养区划定工作基础上，依法关闭或搬迁禁养区内的畜禽养殖场（小区）和养殖专业户。</w:t>
                  </w:r>
                </w:p>
              </w:tc>
              <w:tc>
                <w:tcPr>
                  <w:tcW w:w="1224" w:type="pct"/>
                  <w:vAlign w:val="center"/>
                </w:tcPr>
                <w:p>
                  <w:pPr>
                    <w:jc w:val="center"/>
                  </w:pPr>
                  <w:r>
                    <w:rPr>
                      <w:rFonts w:hint="eastAsia"/>
                    </w:rPr>
                    <w:t>本</w:t>
                  </w:r>
                  <w:r>
                    <w:t>项目</w:t>
                  </w:r>
                  <w:r>
                    <w:rPr>
                      <w:rFonts w:hint="eastAsia"/>
                    </w:rPr>
                    <w:t>主要从事水基清洗剂、水性切削液、润滑油及环保碳氢清洗剂的复配生产（不涉及化学反应）</w:t>
                  </w:r>
                  <w:r>
                    <w:t>，项目位于</w:t>
                  </w:r>
                  <w:r>
                    <w:rPr>
                      <w:rFonts w:hint="eastAsia"/>
                    </w:rPr>
                    <w:t>衡山高新技术产业开发区，</w:t>
                  </w:r>
                  <w:r>
                    <w:t>不属于高VOCs排放建设项目。</w:t>
                  </w:r>
                </w:p>
              </w:tc>
              <w:tc>
                <w:tcPr>
                  <w:tcW w:w="508"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Align w:val="center"/>
                </w:tcPr>
                <w:p>
                  <w:pPr>
                    <w:jc w:val="center"/>
                  </w:pPr>
                  <w:r>
                    <w:t>污染物排放管控</w:t>
                  </w:r>
                </w:p>
              </w:tc>
              <w:tc>
                <w:tcPr>
                  <w:tcW w:w="2870" w:type="pct"/>
                  <w:vAlign w:val="center"/>
                </w:tcPr>
                <w:p>
                  <w:pPr>
                    <w:adjustRightInd w:val="0"/>
                    <w:jc w:val="center"/>
                  </w:pPr>
                  <w:r>
                    <w:t>（2.1）县城区污水处置全面覆盖，县城污水处理率达90%，全县12个乡镇污水处理设施</w:t>
                  </w:r>
                  <w:r>
                    <w:rPr>
                      <w:rFonts w:asciiTheme="majorEastAsia" w:hAnsiTheme="majorEastAsia" w:eastAsiaTheme="majorEastAsia"/>
                    </w:rPr>
                    <w:t>“全覆盖”</w:t>
                  </w:r>
                  <w:r>
                    <w:t>，污水处理率达到80%以上。现有污水处理厂污泥处理处置设施全部完成达标改造。污泥应进行稳定化、无害化和资源化处理处置，禁止处理处置未达标的污泥进入耕地。</w:t>
                  </w:r>
                  <w:r>
                    <w:br w:type="textWrapping"/>
                  </w:r>
                  <w:r>
                    <w:t>（2.2）加快建材、有色、火电、化工等行业和锅炉物料（含废渣）运输、装卸、储存、转移与输送以及生产工艺过程等无组织排放治理。工业生产企业采取密闭、围挡、遮盖、清扫、洒水等措施，减少内部物料的堆存、传输、装卸等环节产生的粉尘和气态污染物的排放。交通运输设备制造、汽车制造、工程机械制造和家具制造行业全面实施油性漆改水性漆，严禁秸秆露天焚烧。</w:t>
                  </w:r>
                  <w:r>
                    <w:br w:type="textWrapping"/>
                  </w:r>
                  <w:r>
                    <w:t>（2.3）强化固体废物、危险废物等污染源管控。积极推进垃圾分类，建设覆盖城乡的垃圾收运体系和垃圾分类收集系统。完善生活垃圾处理设施建设、运营和排放监管体系，加强垃圾处理监管能力。开展非正规垃圾堆放点排查整治。以整县推进为主要方式，推进农村环境综合整治全县域覆盖。</w:t>
                  </w:r>
                </w:p>
              </w:tc>
              <w:tc>
                <w:tcPr>
                  <w:tcW w:w="1224" w:type="pct"/>
                  <w:vAlign w:val="center"/>
                </w:tcPr>
                <w:p>
                  <w:pPr>
                    <w:jc w:val="center"/>
                  </w:pPr>
                  <w:r>
                    <w:rPr>
                      <w:rFonts w:hint="eastAsia"/>
                    </w:rPr>
                    <w:t>（</w:t>
                  </w:r>
                  <w:r>
                    <w:t>1</w:t>
                  </w:r>
                  <w:r>
                    <w:rPr>
                      <w:rFonts w:hint="eastAsia"/>
                    </w:rPr>
                    <w:t>）项目运营期</w:t>
                  </w:r>
                  <w:r>
                    <w:t>车间地面保洁废水及生活污水经化粪池预处理后汇入污水管网，经衡山高新区综合污水处理厂</w:t>
                  </w:r>
                  <w:r>
                    <w:rPr>
                      <w:rFonts w:hint="eastAsia"/>
                    </w:rPr>
                    <w:t>进一步处理</w:t>
                  </w:r>
                  <w:r>
                    <w:t>。</w:t>
                  </w:r>
                  <w:r>
                    <w:rPr>
                      <w:rFonts w:hint="eastAsia"/>
                    </w:rPr>
                    <w:t>（</w:t>
                  </w:r>
                  <w:r>
                    <w:t>2</w:t>
                  </w:r>
                  <w:r>
                    <w:rPr>
                      <w:rFonts w:hint="eastAsia"/>
                    </w:rPr>
                    <w:t>）项目</w:t>
                  </w:r>
                  <w:r>
                    <w:t>产生的有机废气收集后经二级活性炭处理达标排放</w:t>
                  </w:r>
                  <w:r>
                    <w:rPr>
                      <w:rFonts w:hint="eastAsia"/>
                    </w:rPr>
                    <w:t>。（3）项目固废均合理处置，不会产生二次污染。</w:t>
                  </w:r>
                </w:p>
              </w:tc>
              <w:tc>
                <w:tcPr>
                  <w:tcW w:w="508"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Align w:val="center"/>
                </w:tcPr>
                <w:p>
                  <w:pPr>
                    <w:jc w:val="center"/>
                  </w:pPr>
                  <w:r>
                    <w:t>环境风险防控</w:t>
                  </w:r>
                </w:p>
              </w:tc>
              <w:tc>
                <w:tcPr>
                  <w:tcW w:w="2870" w:type="pct"/>
                  <w:vAlign w:val="center"/>
                </w:tcPr>
                <w:p>
                  <w:pPr>
                    <w:jc w:val="center"/>
                  </w:pPr>
                  <w:r>
                    <w:t>（3.1）</w:t>
                  </w:r>
                  <w:r>
                    <w:rPr>
                      <w:rFonts w:hint="eastAsia"/>
                    </w:rPr>
                    <w:t>加强风险防范和控制能力建设，制定和完善水污染事故应急处置方案，并定期组织演练；</w:t>
                  </w:r>
                  <w:r>
                    <w:t>开展尾矿库环境风险评估</w:t>
                  </w:r>
                  <w:r>
                    <w:rPr>
                      <w:rFonts w:hint="eastAsia"/>
                    </w:rPr>
                    <w:t>，全面整治历史遗留尾矿库，建立突出环境风险隐患管理台账，逐一摸清污染成因，制定整治方案</w:t>
                  </w:r>
                  <w:r>
                    <w:t>。</w:t>
                  </w:r>
                  <w:r>
                    <w:br w:type="textWrapping"/>
                  </w:r>
                  <w:r>
                    <w:t>（3.2）</w:t>
                  </w:r>
                  <w:r>
                    <w:rPr>
                      <w:rFonts w:hint="eastAsia"/>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224" w:type="pct"/>
                  <w:vAlign w:val="center"/>
                </w:tcPr>
                <w:p>
                  <w:pPr>
                    <w:jc w:val="center"/>
                  </w:pPr>
                  <w:r>
                    <w:t>项目建成后将编制应急预案并备案及实施管理</w:t>
                  </w:r>
                  <w:r>
                    <w:rPr>
                      <w:rFonts w:hint="eastAsia"/>
                    </w:rPr>
                    <w:t>，本项目用地为建设用地，不涉及污染地块和农用地安全利用风险。</w:t>
                  </w:r>
                </w:p>
              </w:tc>
              <w:tc>
                <w:tcPr>
                  <w:tcW w:w="508"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vAlign w:val="center"/>
                </w:tcPr>
                <w:p>
                  <w:pPr>
                    <w:jc w:val="center"/>
                  </w:pPr>
                  <w:r>
                    <w:t>资源开发效率要求</w:t>
                  </w:r>
                </w:p>
              </w:tc>
              <w:tc>
                <w:tcPr>
                  <w:tcW w:w="2870" w:type="pct"/>
                  <w:vAlign w:val="center"/>
                </w:tcPr>
                <w:p>
                  <w:pPr>
                    <w:jc w:val="center"/>
                  </w:pPr>
                  <w: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r>
                    <w:br w:type="textWrapping"/>
                  </w:r>
                  <w:r>
                    <w:t>（4.2）水资源：</w:t>
                  </w:r>
                  <w:r>
                    <w:rPr>
                      <w:rFonts w:hint="eastAsia"/>
                    </w:rPr>
                    <w:t>大力推进农业、工业、城镇节水，全面推进节水型社会建设。</w:t>
                  </w:r>
                </w:p>
              </w:tc>
              <w:tc>
                <w:tcPr>
                  <w:tcW w:w="1224" w:type="pct"/>
                  <w:vAlign w:val="center"/>
                </w:tcPr>
                <w:p>
                  <w:pPr>
                    <w:jc w:val="center"/>
                  </w:pPr>
                  <w:r>
                    <w:t>项目主要使用</w:t>
                  </w:r>
                  <w:r>
                    <w:rPr>
                      <w:rFonts w:hint="eastAsia"/>
                    </w:rPr>
                    <w:t>水、电，不使用高硫、中硫原煤及重油等燃料，且项目不属于严重过剩行业、不属于高耗能产业，项目位于园区内，满足资源开发效率要求。</w:t>
                  </w:r>
                </w:p>
              </w:tc>
              <w:tc>
                <w:tcPr>
                  <w:tcW w:w="508" w:type="pct"/>
                  <w:vAlign w:val="center"/>
                </w:tcPr>
                <w:p>
                  <w:pPr>
                    <w:jc w:val="center"/>
                  </w:pPr>
                  <w:r>
                    <w:t>相符</w:t>
                  </w:r>
                </w:p>
              </w:tc>
            </w:tr>
          </w:tbl>
          <w:p>
            <w:pPr>
              <w:adjustRightInd w:val="0"/>
              <w:spacing w:line="360" w:lineRule="auto"/>
              <w:ind w:firstLine="480" w:firstLineChars="200"/>
              <w:rPr>
                <w:sz w:val="24"/>
              </w:rPr>
            </w:pPr>
            <w:r>
              <w:rPr>
                <w:rFonts w:hint="eastAsia"/>
                <w:sz w:val="24"/>
              </w:rPr>
              <w:t>综上，本项目的建设符合《衡阳市生态环境准入清单》的文件要求。</w:t>
            </w:r>
          </w:p>
          <w:p>
            <w:pPr>
              <w:adjustRightInd w:val="0"/>
              <w:spacing w:line="360" w:lineRule="auto"/>
              <w:ind w:firstLine="482" w:firstLineChars="200"/>
              <w:rPr>
                <w:b/>
                <w:sz w:val="24"/>
              </w:rPr>
            </w:pPr>
            <w:r>
              <w:rPr>
                <w:rFonts w:hint="eastAsia"/>
                <w:b/>
                <w:sz w:val="24"/>
              </w:rPr>
              <w:t>4、与《湖南省长江经济带发展负面清单实施细则（试行），2022年版》相符性分析</w:t>
            </w:r>
          </w:p>
          <w:p>
            <w:pPr>
              <w:adjustRightInd w:val="0"/>
              <w:spacing w:line="360" w:lineRule="auto"/>
              <w:ind w:firstLine="480" w:firstLineChars="200"/>
              <w:rPr>
                <w:sz w:val="24"/>
              </w:rPr>
            </w:pPr>
            <w:r>
              <w:rPr>
                <w:rFonts w:hint="eastAsia"/>
                <w:sz w:val="24"/>
              </w:rPr>
              <w:t>根据湖南省推动长江经济带发展领导小组办公室关于印发《湖南省长江经济带发展负面清单实施细则》（试行，2022版），项目与该文相符性分析见表1-5。</w:t>
            </w:r>
          </w:p>
          <w:p>
            <w:pPr>
              <w:widowControl/>
              <w:adjustRightInd w:val="0"/>
              <w:snapToGrid w:val="0"/>
              <w:spacing w:beforeLines="50" w:line="240" w:lineRule="atLeast"/>
              <w:jc w:val="center"/>
              <w:rPr>
                <w:b/>
              </w:rPr>
            </w:pPr>
            <w:r>
              <w:rPr>
                <w:rFonts w:hint="eastAsia"/>
                <w:b/>
              </w:rPr>
              <w:t>表1-5  与《湖南省长江经济带发展负面清单实施细则（试行），2022年版》的相符性分析一览表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1"/>
              <w:gridCol w:w="3868"/>
              <w:gridCol w:w="3762"/>
              <w:gridCol w:w="7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pct"/>
                  <w:tcBorders>
                    <w:top w:val="single" w:color="auto" w:sz="12" w:space="0"/>
                    <w:left w:val="single" w:color="auto" w:sz="12" w:space="0"/>
                    <w:bottom w:val="single" w:color="auto" w:sz="6" w:space="0"/>
                    <w:right w:val="single" w:color="auto" w:sz="6" w:space="0"/>
                  </w:tcBorders>
                  <w:vAlign w:val="center"/>
                </w:tcPr>
                <w:p>
                  <w:pPr>
                    <w:jc w:val="center"/>
                    <w:rPr>
                      <w:b/>
                    </w:rPr>
                  </w:pPr>
                  <w:r>
                    <w:rPr>
                      <w:b/>
                    </w:rPr>
                    <w:t>序号</w:t>
                  </w:r>
                </w:p>
              </w:tc>
              <w:tc>
                <w:tcPr>
                  <w:tcW w:w="2116" w:type="pct"/>
                  <w:tcBorders>
                    <w:top w:val="single" w:color="auto" w:sz="12" w:space="0"/>
                    <w:left w:val="single" w:color="auto" w:sz="6" w:space="0"/>
                    <w:bottom w:val="single" w:color="auto" w:sz="6" w:space="0"/>
                    <w:right w:val="single" w:color="auto" w:sz="6" w:space="0"/>
                  </w:tcBorders>
                  <w:vAlign w:val="center"/>
                </w:tcPr>
                <w:p>
                  <w:pPr>
                    <w:jc w:val="center"/>
                    <w:rPr>
                      <w:b/>
                    </w:rPr>
                  </w:pPr>
                  <w:r>
                    <w:rPr>
                      <w:b/>
                    </w:rPr>
                    <w:t>内容</w:t>
                  </w:r>
                </w:p>
              </w:tc>
              <w:tc>
                <w:tcPr>
                  <w:tcW w:w="2058" w:type="pct"/>
                  <w:tcBorders>
                    <w:top w:val="single" w:color="auto" w:sz="12" w:space="0"/>
                    <w:left w:val="single" w:color="auto" w:sz="6" w:space="0"/>
                    <w:bottom w:val="single" w:color="auto" w:sz="6" w:space="0"/>
                    <w:right w:val="single" w:color="auto" w:sz="6" w:space="0"/>
                  </w:tcBorders>
                  <w:vAlign w:val="center"/>
                </w:tcPr>
                <w:p>
                  <w:pPr>
                    <w:jc w:val="center"/>
                    <w:rPr>
                      <w:b/>
                    </w:rPr>
                  </w:pPr>
                  <w:r>
                    <w:rPr>
                      <w:b/>
                    </w:rPr>
                    <w:t>本项目情况</w:t>
                  </w:r>
                </w:p>
              </w:tc>
              <w:tc>
                <w:tcPr>
                  <w:tcW w:w="424" w:type="pct"/>
                  <w:tcBorders>
                    <w:top w:val="single" w:color="auto" w:sz="12" w:space="0"/>
                    <w:left w:val="single" w:color="auto" w:sz="6" w:space="0"/>
                    <w:bottom w:val="single" w:color="auto" w:sz="6" w:space="0"/>
                    <w:right w:val="single" w:color="auto" w:sz="12" w:space="0"/>
                  </w:tcBorders>
                  <w:vAlign w:val="center"/>
                </w:tcPr>
                <w:p>
                  <w:pPr>
                    <w:jc w:val="center"/>
                    <w:rPr>
                      <w:b/>
                    </w:rPr>
                  </w:pPr>
                  <w:r>
                    <w:rPr>
                      <w:b/>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9" w:hRule="atLeast"/>
                <w:jc w:val="center"/>
              </w:trPr>
              <w:tc>
                <w:tcPr>
                  <w:tcW w:w="400" w:type="pct"/>
                  <w:tcBorders>
                    <w:top w:val="single" w:color="auto" w:sz="6" w:space="0"/>
                    <w:left w:val="single" w:color="auto" w:sz="12" w:space="0"/>
                    <w:bottom w:val="single" w:color="auto" w:sz="6" w:space="0"/>
                    <w:right w:val="single" w:color="auto" w:sz="6" w:space="0"/>
                  </w:tcBorders>
                  <w:vAlign w:val="center"/>
                </w:tcPr>
                <w:p>
                  <w:pPr>
                    <w:jc w:val="center"/>
                  </w:pPr>
                  <w:r>
                    <w:t>1</w:t>
                  </w:r>
                </w:p>
              </w:tc>
              <w:tc>
                <w:tcPr>
                  <w:tcW w:w="2116"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饮用水水源二级保护区内禁止新建、改建、扩建向水体排放污染物的投资建设项目。原有排污口依法拆除或关闭。禁止设立装卸垃圾、粪便、油类和有毒物品的码头</w:t>
                  </w:r>
                  <w:r>
                    <w:t>。</w:t>
                  </w:r>
                </w:p>
              </w:tc>
              <w:tc>
                <w:tcPr>
                  <w:tcW w:w="2058"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项目不在饮用水水源一、二级保护区的岸线和河段范围内。</w:t>
                  </w:r>
                </w:p>
              </w:tc>
              <w:tc>
                <w:tcPr>
                  <w:tcW w:w="424" w:type="pct"/>
                  <w:tcBorders>
                    <w:top w:val="single" w:color="auto" w:sz="6" w:space="0"/>
                    <w:left w:val="single" w:color="auto" w:sz="6" w:space="0"/>
                    <w:bottom w:val="single" w:color="auto" w:sz="6" w:space="0"/>
                    <w:right w:val="single" w:color="auto" w:sz="12" w:space="0"/>
                  </w:tcBorders>
                  <w:vAlign w:val="center"/>
                </w:tcPr>
                <w:p>
                  <w:pPr>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pct"/>
                  <w:tcBorders>
                    <w:top w:val="single" w:color="auto" w:sz="6" w:space="0"/>
                    <w:left w:val="single" w:color="auto" w:sz="12" w:space="0"/>
                    <w:bottom w:val="single" w:color="auto" w:sz="6" w:space="0"/>
                    <w:right w:val="single" w:color="auto" w:sz="6" w:space="0"/>
                  </w:tcBorders>
                  <w:vAlign w:val="center"/>
                </w:tcPr>
                <w:p>
                  <w:pPr>
                    <w:jc w:val="center"/>
                  </w:pPr>
                  <w:r>
                    <w:t>2</w:t>
                  </w:r>
                </w:p>
              </w:tc>
              <w:tc>
                <w:tcPr>
                  <w:tcW w:w="2116"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禁止在长江湖南段和洞庭湖、湘江、资江、沅江、漕水干流岸线一公里范围内新建、扩建化工园区和化工项目。禁止在长江湖南段岸线三公里范围内和湘江、资江、沅江、遭水岸线一公里范围内新建、改建、扩建尾矿库、冶炼渣库和磷石膏库，以提升安全、生态环境保护水平为目的的改建除外</w:t>
                  </w:r>
                  <w:r>
                    <w:t>。</w:t>
                  </w:r>
                </w:p>
              </w:tc>
              <w:tc>
                <w:tcPr>
                  <w:tcW w:w="2058"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项目选址距离湘江直线距离约2.4km，超过1km。</w:t>
                  </w:r>
                </w:p>
              </w:tc>
              <w:tc>
                <w:tcPr>
                  <w:tcW w:w="424" w:type="pct"/>
                  <w:tcBorders>
                    <w:top w:val="single" w:color="auto" w:sz="6" w:space="0"/>
                    <w:left w:val="single" w:color="auto" w:sz="6" w:space="0"/>
                    <w:bottom w:val="single" w:color="auto" w:sz="6" w:space="0"/>
                    <w:right w:val="single" w:color="auto" w:sz="12" w:space="0"/>
                  </w:tcBorders>
                  <w:vAlign w:val="center"/>
                </w:tcPr>
                <w:p>
                  <w:pPr>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pct"/>
                  <w:tcBorders>
                    <w:top w:val="single" w:color="auto" w:sz="6" w:space="0"/>
                    <w:left w:val="single" w:color="auto" w:sz="12" w:space="0"/>
                    <w:bottom w:val="single" w:color="auto" w:sz="6" w:space="0"/>
                    <w:right w:val="single" w:color="auto" w:sz="6" w:space="0"/>
                  </w:tcBorders>
                  <w:vAlign w:val="center"/>
                </w:tcPr>
                <w:p>
                  <w:pPr>
                    <w:jc w:val="center"/>
                  </w:pPr>
                  <w:r>
                    <w:t>3</w:t>
                  </w:r>
                </w:p>
              </w:tc>
              <w:tc>
                <w:tcPr>
                  <w:tcW w:w="2116"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禁止在合规园区外新建、扩建钢铁、石化、化工、焦化、建材、有色、制浆造纸等高污染项目。高污染项目严格按照生态环境部《环境保护综合名录（2021年版）》有关要求执行</w:t>
                  </w:r>
                  <w:r>
                    <w:t>。</w:t>
                  </w:r>
                </w:p>
              </w:tc>
              <w:tc>
                <w:tcPr>
                  <w:tcW w:w="2058" w:type="pct"/>
                  <w:tcBorders>
                    <w:top w:val="single" w:color="auto" w:sz="6" w:space="0"/>
                    <w:left w:val="single" w:color="auto" w:sz="6" w:space="0"/>
                    <w:bottom w:val="single" w:color="auto" w:sz="6" w:space="0"/>
                    <w:right w:val="single" w:color="auto" w:sz="6" w:space="0"/>
                  </w:tcBorders>
                  <w:vAlign w:val="center"/>
                </w:tcPr>
                <w:p>
                  <w:pPr>
                    <w:jc w:val="center"/>
                  </w:pPr>
                  <w:r>
                    <w:t>项目</w:t>
                  </w:r>
                  <w:r>
                    <w:rPr>
                      <w:rFonts w:hint="eastAsia"/>
                    </w:rPr>
                    <w:t>在合规园区内建设。</w:t>
                  </w:r>
                </w:p>
                <w:p>
                  <w:pPr>
                    <w:jc w:val="center"/>
                  </w:pPr>
                  <w:r>
                    <w:rPr>
                      <w:rFonts w:hint="eastAsia"/>
                    </w:rPr>
                    <w:t>根据湖南省发改委关于印发《湖南省“两高”项目管理目录》的通知（湘发改环资[2021]968号）和《环境保护综合名录（2021年版）》，项目不涉及湖南省“两高”项目管理目录中的产品及工序，也不属于《环境保护综合名录（2021年版）》中的“两高”项目，所用燃料不属于高污染燃料，因此，本项目不属于高耗能和高污染项目。</w:t>
                  </w:r>
                </w:p>
              </w:tc>
              <w:tc>
                <w:tcPr>
                  <w:tcW w:w="424" w:type="pct"/>
                  <w:tcBorders>
                    <w:top w:val="single" w:color="auto" w:sz="6" w:space="0"/>
                    <w:left w:val="single" w:color="auto" w:sz="6" w:space="0"/>
                    <w:bottom w:val="single" w:color="auto" w:sz="6" w:space="0"/>
                    <w:right w:val="single" w:color="auto" w:sz="12" w:space="0"/>
                  </w:tcBorders>
                  <w:vAlign w:val="center"/>
                </w:tcPr>
                <w:p>
                  <w:pPr>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pct"/>
                  <w:tcBorders>
                    <w:top w:val="single" w:color="auto" w:sz="6" w:space="0"/>
                    <w:left w:val="single" w:color="auto" w:sz="12" w:space="0"/>
                    <w:bottom w:val="single" w:color="auto" w:sz="6" w:space="0"/>
                    <w:right w:val="single" w:color="auto" w:sz="6" w:space="0"/>
                  </w:tcBorders>
                  <w:vAlign w:val="center"/>
                </w:tcPr>
                <w:p>
                  <w:pPr>
                    <w:jc w:val="center"/>
                  </w:pPr>
                  <w:r>
                    <w:t>4</w:t>
                  </w:r>
                </w:p>
              </w:tc>
              <w:tc>
                <w:tcPr>
                  <w:tcW w:w="2116"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禁止新建、扩建不符合国家石化、现代煤化工等产业布局规划的项目。未通过认定的化工园区，不得新建改扩建化工项目（安全、环保、节能和智能化改造项目除外）</w:t>
                  </w:r>
                  <w:r>
                    <w:t>。</w:t>
                  </w:r>
                </w:p>
              </w:tc>
              <w:tc>
                <w:tcPr>
                  <w:tcW w:w="2058" w:type="pct"/>
                  <w:tcBorders>
                    <w:top w:val="single" w:color="auto" w:sz="6" w:space="0"/>
                    <w:left w:val="single" w:color="auto" w:sz="6" w:space="0"/>
                    <w:bottom w:val="single" w:color="auto" w:sz="6" w:space="0"/>
                    <w:right w:val="single" w:color="auto" w:sz="6" w:space="0"/>
                  </w:tcBorders>
                  <w:vAlign w:val="center"/>
                </w:tcPr>
                <w:p>
                  <w:pPr>
                    <w:jc w:val="center"/>
                  </w:pPr>
                  <w:r>
                    <w:rPr>
                      <w:rFonts w:hint="eastAsia"/>
                    </w:rPr>
                    <w:t>本项目不属于石化、现代煤化工项目。</w:t>
                  </w:r>
                </w:p>
              </w:tc>
              <w:tc>
                <w:tcPr>
                  <w:tcW w:w="424" w:type="pct"/>
                  <w:tcBorders>
                    <w:top w:val="single" w:color="auto" w:sz="6" w:space="0"/>
                    <w:left w:val="single" w:color="auto" w:sz="6" w:space="0"/>
                    <w:bottom w:val="single" w:color="auto" w:sz="6" w:space="0"/>
                    <w:right w:val="single" w:color="auto" w:sz="12" w:space="0"/>
                  </w:tcBorders>
                  <w:vAlign w:val="center"/>
                </w:tcPr>
                <w:p>
                  <w:pPr>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0" w:type="pct"/>
                  <w:tcBorders>
                    <w:top w:val="single" w:color="auto" w:sz="6" w:space="0"/>
                    <w:left w:val="single" w:color="auto" w:sz="12" w:space="0"/>
                    <w:bottom w:val="single" w:color="auto" w:sz="12" w:space="0"/>
                    <w:right w:val="single" w:color="auto" w:sz="6" w:space="0"/>
                  </w:tcBorders>
                  <w:vAlign w:val="center"/>
                </w:tcPr>
                <w:p>
                  <w:pPr>
                    <w:jc w:val="center"/>
                  </w:pPr>
                  <w:r>
                    <w:t>5</w:t>
                  </w:r>
                </w:p>
              </w:tc>
              <w:tc>
                <w:tcPr>
                  <w:tcW w:w="2116" w:type="pct"/>
                  <w:tcBorders>
                    <w:top w:val="single" w:color="auto" w:sz="6" w:space="0"/>
                    <w:left w:val="single" w:color="auto" w:sz="6" w:space="0"/>
                    <w:bottom w:val="single" w:color="auto" w:sz="12" w:space="0"/>
                    <w:right w:val="single" w:color="auto" w:sz="6" w:space="0"/>
                  </w:tcBorders>
                  <w:vAlign w:val="center"/>
                </w:tcPr>
                <w:p>
                  <w:pPr>
                    <w:jc w:val="center"/>
                  </w:pPr>
                  <w:r>
                    <w:rPr>
                      <w:rFonts w:hint="eastAsia"/>
                    </w:rPr>
                    <w:t>禁止新建、扩建法律法规和相关政策明令禁止的落后产能项目；对不符合要求的落后产能存量项目依法依规退出。禁止新建、扩建不符合国家产能置换要求的严重过剩产能行业</w:t>
                  </w:r>
                  <w:r>
                    <w:t>（</w:t>
                  </w:r>
                  <w:r>
                    <w:rPr>
                      <w:rFonts w:hint="eastAsia"/>
                    </w:rPr>
                    <w:t>钢铁、水泥、电解铝、平板玻璃、船舶等行业</w:t>
                  </w:r>
                  <w:r>
                    <w:t>）</w:t>
                  </w:r>
                  <w:r>
                    <w:rPr>
                      <w:rFonts w:hint="eastAsia"/>
                    </w:rPr>
                    <w:t>的项目</w:t>
                  </w:r>
                  <w:r>
                    <w:t>。</w:t>
                  </w:r>
                </w:p>
              </w:tc>
              <w:tc>
                <w:tcPr>
                  <w:tcW w:w="2058" w:type="pct"/>
                  <w:tcBorders>
                    <w:top w:val="single" w:color="auto" w:sz="6" w:space="0"/>
                    <w:left w:val="single" w:color="auto" w:sz="6" w:space="0"/>
                    <w:bottom w:val="single" w:color="auto" w:sz="12" w:space="0"/>
                    <w:right w:val="single" w:color="auto" w:sz="6" w:space="0"/>
                  </w:tcBorders>
                  <w:vAlign w:val="center"/>
                </w:tcPr>
                <w:p>
                  <w:pPr>
                    <w:jc w:val="center"/>
                  </w:pPr>
                  <w:r>
                    <w:rPr>
                      <w:rFonts w:hint="eastAsia"/>
                    </w:rPr>
                    <w:t>本项目不属于落后产能项目，不属于严重过剩产生行业的项目。不属于新建、扩建不符合要求的高耗能高排放项目。</w:t>
                  </w:r>
                </w:p>
              </w:tc>
              <w:tc>
                <w:tcPr>
                  <w:tcW w:w="424" w:type="pct"/>
                  <w:tcBorders>
                    <w:top w:val="single" w:color="auto" w:sz="6" w:space="0"/>
                    <w:left w:val="single" w:color="auto" w:sz="6" w:space="0"/>
                    <w:bottom w:val="single" w:color="auto" w:sz="12" w:space="0"/>
                    <w:right w:val="single" w:color="auto" w:sz="12" w:space="0"/>
                  </w:tcBorders>
                  <w:vAlign w:val="center"/>
                </w:tcPr>
                <w:p>
                  <w:pPr>
                    <w:jc w:val="center"/>
                  </w:pPr>
                  <w:r>
                    <w:t>符合</w:t>
                  </w:r>
                </w:p>
              </w:tc>
            </w:tr>
          </w:tbl>
          <w:p>
            <w:pPr>
              <w:adjustRightInd w:val="0"/>
              <w:spacing w:line="360" w:lineRule="auto"/>
              <w:ind w:firstLine="480" w:firstLineChars="200"/>
              <w:rPr>
                <w:sz w:val="24"/>
              </w:rPr>
            </w:pPr>
            <w:r>
              <w:rPr>
                <w:rFonts w:hint="eastAsia"/>
                <w:sz w:val="24"/>
              </w:rPr>
              <w:t>综上，本项目的建设符合《湖南省长江经济带发展负面清单实施细则（试行），2022年版》相关要求。</w:t>
            </w:r>
          </w:p>
          <w:p>
            <w:pPr>
              <w:adjustRightInd w:val="0"/>
              <w:spacing w:line="360" w:lineRule="auto"/>
              <w:ind w:firstLine="482" w:firstLineChars="200"/>
              <w:rPr>
                <w:b/>
                <w:sz w:val="24"/>
              </w:rPr>
            </w:pPr>
            <w:r>
              <w:rPr>
                <w:rFonts w:hint="eastAsia"/>
                <w:b/>
                <w:sz w:val="24"/>
              </w:rPr>
              <w:t>5、与《湖南省湘江保护条例》（2023修正）的符合性分析</w:t>
            </w:r>
          </w:p>
          <w:p>
            <w:pPr>
              <w:adjustRightInd w:val="0"/>
              <w:spacing w:line="360" w:lineRule="auto"/>
              <w:ind w:firstLine="480" w:firstLineChars="200"/>
              <w:rPr>
                <w:sz w:val="24"/>
              </w:rPr>
            </w:pPr>
            <w:r>
              <w:rPr>
                <w:rFonts w:hint="eastAsia"/>
                <w:sz w:val="24"/>
              </w:rPr>
              <w:t>《湖南省湘江保护条例》中第二章水资源管理与保护第二十五条、第二十六条规定“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禁止在湘江流域饮用水水源一级保护区内从事网箱养殖、旅游、游泳、垂钓或者其他可能污染饮用水水体的活动”、“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p>
            <w:pPr>
              <w:adjustRightInd w:val="0"/>
              <w:spacing w:line="360" w:lineRule="auto"/>
              <w:ind w:firstLine="480" w:firstLineChars="200"/>
              <w:rPr>
                <w:sz w:val="24"/>
              </w:rPr>
            </w:pPr>
            <w:r>
              <w:rPr>
                <w:rFonts w:hint="eastAsia"/>
                <w:sz w:val="24"/>
              </w:rPr>
              <w:t>《湖南省湘江保护条例》中第三章水污染防治第四十九条第二款、第三款规定“禁止在湘江干流岸线一公里范围内新建、扩建化工园区和化工项目；禁止在湘江干流岸线一公里范围内新建、改建、扩建尾矿库；但是以提升安全、生态环境保护水平为目的的改建除外”。</w:t>
            </w:r>
          </w:p>
          <w:p>
            <w:pPr>
              <w:adjustRightInd w:val="0"/>
              <w:spacing w:line="360" w:lineRule="auto"/>
              <w:ind w:firstLine="480" w:firstLineChars="200"/>
              <w:rPr>
                <w:sz w:val="24"/>
              </w:rPr>
            </w:pPr>
            <w:r>
              <w:rPr>
                <w:rFonts w:hint="eastAsia"/>
                <w:sz w:val="24"/>
              </w:rPr>
              <w:t>本项目位于</w:t>
            </w:r>
            <w:r>
              <w:rPr>
                <w:sz w:val="24"/>
              </w:rPr>
              <w:t>衡山高新技术产业开发区</w:t>
            </w:r>
            <w:r>
              <w:rPr>
                <w:rFonts w:hint="eastAsia"/>
                <w:sz w:val="24"/>
              </w:rPr>
              <w:t>坪青路旁，距离湘江直线距离约2.4km，超过1km，污染物经处理后可达到国家和地方的相应排放标准，选址不在湘江流域饮用水源保护区内，不涉及重金属。因此，本项目的建设符合《湖南省湘江保护条例》相关要求。</w:t>
            </w:r>
          </w:p>
          <w:p>
            <w:pPr>
              <w:adjustRightInd w:val="0"/>
              <w:spacing w:line="360" w:lineRule="auto"/>
              <w:ind w:firstLine="482" w:firstLineChars="200"/>
              <w:rPr>
                <w:b/>
                <w:sz w:val="24"/>
              </w:rPr>
            </w:pPr>
            <w:r>
              <w:rPr>
                <w:rFonts w:hint="eastAsia"/>
                <w:b/>
                <w:sz w:val="24"/>
              </w:rPr>
              <w:t>6、与“高耗能、高排放”防控文件的符合性分析判断</w:t>
            </w:r>
          </w:p>
          <w:p>
            <w:pPr>
              <w:adjustRightInd w:val="0"/>
              <w:spacing w:line="360" w:lineRule="auto"/>
              <w:ind w:firstLine="480" w:firstLineChars="200"/>
              <w:rPr>
                <w:sz w:val="24"/>
              </w:rPr>
            </w:pPr>
            <w:r>
              <w:rPr>
                <w:rFonts w:hint="eastAsia"/>
                <w:sz w:val="24"/>
              </w:rPr>
              <w:t>《关于加强高耗能、高排放项目生态环境源头防控的指导意见》（环环评[2021]45号）指出，各省、自治区、直辖市生态环境厅（局）应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w:t>
            </w:r>
          </w:p>
          <w:p>
            <w:pPr>
              <w:adjustRightInd w:val="0"/>
              <w:spacing w:line="360" w:lineRule="auto"/>
              <w:ind w:firstLine="480" w:firstLineChars="200"/>
              <w:rPr>
                <w:sz w:val="24"/>
              </w:rPr>
            </w:pPr>
            <w:r>
              <w:rPr>
                <w:rFonts w:hint="eastAsia"/>
                <w:sz w:val="24"/>
              </w:rPr>
              <w:t>《指导意见》指出新建、扩建石化、化工、焦化、有色金属冶炼、平板玻璃项目应布设在依法合规设立并经规划环评的产业园区。各级生态环境部门和行政审批部门要严格把关，对于不符合相关法律法规的，依法不予审批。省级生态环境部门应加强对基层“两高”项目环评审批程序、审批结果的监督与评估，对审批能力不适应的依法调整上收。对炼油、乙烯、钢铁、焦化、煤化工、燃煤发电、电解铝、水泥熟料、平板玻璃、铜铅锌硅冶炼等环境影响大或环境风险高的项目类别，不得以改革试点名义随意下放环评审批权限或降低审批要求。</w:t>
            </w:r>
          </w:p>
          <w:p>
            <w:pPr>
              <w:adjustRightInd w:val="0"/>
              <w:spacing w:line="360" w:lineRule="auto"/>
              <w:ind w:firstLine="480" w:firstLineChars="200"/>
              <w:rPr>
                <w:sz w:val="24"/>
              </w:rPr>
            </w:pPr>
            <w:r>
              <w:rPr>
                <w:rFonts w:hint="eastAsia"/>
                <w:sz w:val="24"/>
              </w:rPr>
              <w:t>本项目属于化工类新建项目，产品工艺仅为复配、分装，不涉及化学合成反应，且环境风险较小，所在区域已开展规划环评，因此项目满足所在区域准入要求及环评文件审批原则要求。</w:t>
            </w:r>
          </w:p>
          <w:p>
            <w:pPr>
              <w:adjustRightInd w:val="0"/>
              <w:spacing w:line="360" w:lineRule="auto"/>
              <w:ind w:firstLine="480" w:firstLineChars="200"/>
              <w:rPr>
                <w:sz w:val="24"/>
              </w:rPr>
            </w:pPr>
            <w:r>
              <w:rPr>
                <w:rFonts w:hint="eastAsia"/>
                <w:sz w:val="24"/>
              </w:rPr>
              <w:t>根据湖南省发展和改革委员会关于印发《湖南省“两高”项目管理目录》的通知（湘发改环资[2021]968号），经对照目录可知，本项目不在该目录范围内，不属于两高项目。</w:t>
            </w:r>
          </w:p>
          <w:p>
            <w:pPr>
              <w:adjustRightInd w:val="0"/>
              <w:spacing w:line="360" w:lineRule="auto"/>
              <w:ind w:firstLine="482" w:firstLineChars="200"/>
              <w:rPr>
                <w:b/>
                <w:sz w:val="24"/>
              </w:rPr>
            </w:pPr>
            <w:r>
              <w:rPr>
                <w:rFonts w:hint="eastAsia"/>
                <w:b/>
                <w:sz w:val="24"/>
              </w:rPr>
              <w:t>7、项目与《挥发性有机物（VOCs）污染防治技术政策》（环保部公告2013年第31号）的相符性分析</w:t>
            </w:r>
          </w:p>
          <w:p>
            <w:pPr>
              <w:adjustRightInd w:val="0"/>
              <w:spacing w:line="360" w:lineRule="auto"/>
              <w:ind w:firstLine="480" w:firstLineChars="200"/>
              <w:rPr>
                <w:sz w:val="24"/>
              </w:rPr>
            </w:pPr>
            <w:r>
              <w:rPr>
                <w:rFonts w:hint="eastAsia"/>
                <w:sz w:val="24"/>
              </w:rPr>
              <w:t>环保部公告2013年第31号中指出：“含VOCs产品的使用过程中，应采取废气收集措施，提高废气收集效率，减少废气的无组织排放与逸散，并对收集后的废气进行回收或处理后达标排放”，“对于含低浓度VOCs的废气，有回收价值时可采用吸附技术、吸收技术对有机溶剂回收后达标排放；不宜回收时，可采用吸附浓缩燃烧技术、生物技术、吸收技术、等离子体技术或紫外光高级氧化技术等净化后达标排放。”</w:t>
            </w:r>
          </w:p>
          <w:p>
            <w:pPr>
              <w:adjustRightInd w:val="0"/>
              <w:spacing w:line="360" w:lineRule="auto"/>
              <w:ind w:firstLine="480" w:firstLineChars="200"/>
              <w:rPr>
                <w:sz w:val="24"/>
              </w:rPr>
            </w:pPr>
            <w:r>
              <w:rPr>
                <w:rFonts w:hint="eastAsia"/>
                <w:sz w:val="24"/>
              </w:rPr>
              <w:t>本项目各生产设备之间使用泵和管道作为物料输送，生产设备密闭性较好，且生产过程产生的有机废气收集后经二级活性炭处理达标排放，符合《挥发性有机物（VOCs）污染防治技术政策》（环保部公告2013年第31号）相关要求。</w:t>
            </w:r>
          </w:p>
          <w:p>
            <w:pPr>
              <w:adjustRightInd w:val="0"/>
              <w:spacing w:line="360" w:lineRule="auto"/>
              <w:ind w:firstLine="482" w:firstLineChars="200"/>
              <w:rPr>
                <w:b/>
                <w:sz w:val="24"/>
              </w:rPr>
            </w:pPr>
            <w:r>
              <w:rPr>
                <w:rFonts w:hint="eastAsia"/>
                <w:b/>
                <w:sz w:val="24"/>
              </w:rPr>
              <w:t>8、与《关于“十四五”推动石化化工行业高质量发展的指导意见》的符合性分析</w:t>
            </w:r>
          </w:p>
          <w:p>
            <w:pPr>
              <w:adjustRightInd w:val="0"/>
              <w:spacing w:line="360" w:lineRule="auto"/>
              <w:ind w:firstLine="480" w:firstLineChars="200"/>
              <w:rPr>
                <w:sz w:val="24"/>
              </w:rPr>
            </w:pPr>
            <w:r>
              <w:rPr>
                <w:rFonts w:hint="eastAsia"/>
                <w:sz w:val="24"/>
              </w:rPr>
              <w:t>工业和信息化部、国家发展和改革委员会、科学技术部、生态环境部、应急管理部、国家能源局于2022年4月7日发布了《关于“十四五”推动石化化工行业高质量发展的指导意见》（工信部联原[2022]34号），本项目相关符合性分析如下：</w:t>
            </w:r>
          </w:p>
          <w:p>
            <w:pPr>
              <w:widowControl/>
              <w:adjustRightInd w:val="0"/>
              <w:snapToGrid w:val="0"/>
              <w:spacing w:beforeLines="50"/>
              <w:jc w:val="center"/>
              <w:rPr>
                <w:b/>
              </w:rPr>
            </w:pPr>
            <w:r>
              <w:rPr>
                <w:rFonts w:hint="eastAsia"/>
                <w:b/>
              </w:rPr>
              <w:t>表1-6  项目与《关于“十四五”推动石化化工行业高质量发展的指导意见》相符性分析</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992"/>
              <w:gridCol w:w="3686"/>
              <w:gridCol w:w="2836"/>
              <w:gridCol w:w="7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 w:type="pct"/>
                  <w:tcBorders>
                    <w:tl2br w:val="nil"/>
                    <w:tr2bl w:val="nil"/>
                  </w:tcBorders>
                  <w:vAlign w:val="center"/>
                </w:tcPr>
                <w:p>
                  <w:pPr>
                    <w:pStyle w:val="102"/>
                    <w:rPr>
                      <w:b/>
                      <w:sz w:val="21"/>
                      <w:szCs w:val="21"/>
                    </w:rPr>
                  </w:pPr>
                  <w:r>
                    <w:rPr>
                      <w:b/>
                      <w:sz w:val="21"/>
                      <w:szCs w:val="21"/>
                    </w:rPr>
                    <w:t>总体思想</w:t>
                  </w:r>
                </w:p>
              </w:tc>
              <w:tc>
                <w:tcPr>
                  <w:tcW w:w="2560" w:type="pct"/>
                  <w:gridSpan w:val="2"/>
                  <w:tcBorders>
                    <w:tl2br w:val="nil"/>
                    <w:tr2bl w:val="nil"/>
                  </w:tcBorders>
                  <w:vAlign w:val="center"/>
                </w:tcPr>
                <w:p>
                  <w:pPr>
                    <w:pStyle w:val="102"/>
                    <w:rPr>
                      <w:b/>
                      <w:sz w:val="21"/>
                      <w:szCs w:val="21"/>
                    </w:rPr>
                  </w:pPr>
                  <w:r>
                    <w:rPr>
                      <w:rFonts w:hint="eastAsia"/>
                      <w:b/>
                      <w:sz w:val="21"/>
                      <w:szCs w:val="21"/>
                    </w:rPr>
                    <w:t>判定依据</w:t>
                  </w:r>
                </w:p>
              </w:tc>
              <w:tc>
                <w:tcPr>
                  <w:tcW w:w="1552" w:type="pct"/>
                  <w:tcBorders>
                    <w:tl2br w:val="nil"/>
                    <w:tr2bl w:val="nil"/>
                  </w:tcBorders>
                  <w:vAlign w:val="center"/>
                </w:tcPr>
                <w:p>
                  <w:pPr>
                    <w:pStyle w:val="102"/>
                    <w:rPr>
                      <w:b/>
                      <w:sz w:val="21"/>
                      <w:szCs w:val="21"/>
                    </w:rPr>
                  </w:pPr>
                  <w:r>
                    <w:rPr>
                      <w:b/>
                      <w:sz w:val="21"/>
                      <w:szCs w:val="21"/>
                    </w:rPr>
                    <w:t>本项目情况</w:t>
                  </w:r>
                </w:p>
              </w:tc>
              <w:tc>
                <w:tcPr>
                  <w:tcW w:w="412" w:type="pct"/>
                  <w:tcBorders>
                    <w:tl2br w:val="nil"/>
                    <w:tr2bl w:val="nil"/>
                  </w:tcBorders>
                  <w:vAlign w:val="center"/>
                </w:tcPr>
                <w:p>
                  <w:pPr>
                    <w:pStyle w:val="102"/>
                    <w:rPr>
                      <w:b/>
                      <w:sz w:val="21"/>
                      <w:szCs w:val="21"/>
                    </w:rPr>
                  </w:pPr>
                  <w:r>
                    <w:rPr>
                      <w:rFonts w:hint="eastAsia"/>
                      <w:b/>
                      <w:sz w:val="21"/>
                      <w:szCs w:val="21"/>
                    </w:rPr>
                    <w:t>是否</w:t>
                  </w:r>
                </w:p>
                <w:p>
                  <w:pPr>
                    <w:pStyle w:val="102"/>
                    <w:rPr>
                      <w:b/>
                      <w:sz w:val="21"/>
                      <w:szCs w:val="21"/>
                    </w:rPr>
                  </w:pPr>
                  <w:r>
                    <w:rPr>
                      <w:rFonts w:hint="eastAsia"/>
                      <w:b/>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 w:type="pct"/>
                  <w:vMerge w:val="restart"/>
                  <w:tcBorders>
                    <w:tl2br w:val="nil"/>
                    <w:tr2bl w:val="nil"/>
                  </w:tcBorders>
                  <w:vAlign w:val="center"/>
                </w:tcPr>
                <w:p>
                  <w:pPr>
                    <w:pStyle w:val="102"/>
                    <w:rPr>
                      <w:sz w:val="21"/>
                      <w:szCs w:val="21"/>
                    </w:rPr>
                  </w:pPr>
                  <w:r>
                    <w:rPr>
                      <w:rFonts w:hint="eastAsia"/>
                      <w:sz w:val="21"/>
                      <w:szCs w:val="21"/>
                    </w:rPr>
                    <w:t>推动产业结构调整</w:t>
                  </w:r>
                </w:p>
              </w:tc>
              <w:tc>
                <w:tcPr>
                  <w:tcW w:w="543" w:type="pct"/>
                  <w:tcBorders>
                    <w:tl2br w:val="nil"/>
                    <w:tr2bl w:val="nil"/>
                  </w:tcBorders>
                  <w:vAlign w:val="center"/>
                </w:tcPr>
                <w:p>
                  <w:pPr>
                    <w:pStyle w:val="102"/>
                    <w:rPr>
                      <w:sz w:val="21"/>
                      <w:szCs w:val="21"/>
                    </w:rPr>
                  </w:pPr>
                  <w:r>
                    <w:rPr>
                      <w:rFonts w:hint="eastAsia"/>
                      <w:sz w:val="21"/>
                      <w:szCs w:val="21"/>
                    </w:rPr>
                    <w:t>强化分类施策，科学调整产业规模</w:t>
                  </w:r>
                </w:p>
              </w:tc>
              <w:tc>
                <w:tcPr>
                  <w:tcW w:w="2017" w:type="pct"/>
                  <w:tcBorders>
                    <w:tl2br w:val="nil"/>
                    <w:tr2bl w:val="nil"/>
                  </w:tcBorders>
                  <w:vAlign w:val="center"/>
                </w:tcPr>
                <w:p>
                  <w:pPr>
                    <w:pStyle w:val="102"/>
                    <w:rPr>
                      <w:sz w:val="21"/>
                      <w:szCs w:val="21"/>
                    </w:rPr>
                  </w:pPr>
                  <w:r>
                    <w:rPr>
                      <w:rFonts w:hint="eastAsia"/>
                      <w:sz w:val="21"/>
                      <w:szCs w:val="21"/>
                    </w:rPr>
                    <w:t>有序推进炼化项目“降油增化”，延长石油化工产业链。增强高端聚合物、专用化学品等产品供给能力。严控炼油、磷铵、电石、黄磷等行业新增产能，禁止新建用汞的（聚）氯乙烯产能，加快低效落后产能退出。促进煤化工产业高端化、多元化、低碳化发展，按照生态优先、以水定产、总量控制、集聚发展的要求，稳妥有序发展现代煤化工。</w:t>
                  </w:r>
                </w:p>
              </w:tc>
              <w:tc>
                <w:tcPr>
                  <w:tcW w:w="1552" w:type="pct"/>
                  <w:tcBorders>
                    <w:tl2br w:val="nil"/>
                    <w:tr2bl w:val="nil"/>
                  </w:tcBorders>
                  <w:vAlign w:val="center"/>
                </w:tcPr>
                <w:p>
                  <w:pPr>
                    <w:pStyle w:val="102"/>
                    <w:rPr>
                      <w:sz w:val="21"/>
                      <w:szCs w:val="21"/>
                    </w:rPr>
                  </w:pPr>
                  <w:r>
                    <w:rPr>
                      <w:rFonts w:hint="eastAsia"/>
                      <w:sz w:val="21"/>
                      <w:szCs w:val="21"/>
                    </w:rPr>
                    <w:t>本项目从事水基清洗剂、水性切削液、润滑油及环保碳氢清洗剂的复配生产（不涉及化学反应），不属于炼油、磷铵、电石、黄磷等行业及用汞的（聚）氯乙烯项目，所有原料均为外购，非炼化及煤化工行业</w:t>
                  </w:r>
                </w:p>
              </w:tc>
              <w:tc>
                <w:tcPr>
                  <w:tcW w:w="412" w:type="pct"/>
                  <w:tcBorders>
                    <w:tl2br w:val="nil"/>
                    <w:tr2bl w:val="nil"/>
                  </w:tcBorders>
                  <w:vAlign w:val="center"/>
                </w:tcPr>
                <w:p>
                  <w:pPr>
                    <w:pStyle w:val="102"/>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 w:type="pct"/>
                  <w:vMerge w:val="continue"/>
                  <w:tcBorders>
                    <w:tl2br w:val="nil"/>
                    <w:tr2bl w:val="nil"/>
                  </w:tcBorders>
                  <w:vAlign w:val="center"/>
                </w:tcPr>
                <w:p>
                  <w:pPr>
                    <w:pStyle w:val="102"/>
                    <w:rPr>
                      <w:sz w:val="21"/>
                      <w:szCs w:val="21"/>
                    </w:rPr>
                  </w:pPr>
                </w:p>
              </w:tc>
              <w:tc>
                <w:tcPr>
                  <w:tcW w:w="543" w:type="pct"/>
                  <w:tcBorders>
                    <w:tl2br w:val="nil"/>
                    <w:tr2bl w:val="nil"/>
                  </w:tcBorders>
                  <w:vAlign w:val="center"/>
                </w:tcPr>
                <w:p>
                  <w:pPr>
                    <w:pStyle w:val="102"/>
                    <w:rPr>
                      <w:sz w:val="21"/>
                      <w:szCs w:val="21"/>
                    </w:rPr>
                  </w:pPr>
                  <w:r>
                    <w:rPr>
                      <w:sz w:val="21"/>
                      <w:szCs w:val="21"/>
                    </w:rPr>
                    <w:t>加快改革，提升行业竞争能力</w:t>
                  </w:r>
                </w:p>
              </w:tc>
              <w:tc>
                <w:tcPr>
                  <w:tcW w:w="2017" w:type="pct"/>
                  <w:tcBorders>
                    <w:tl2br w:val="nil"/>
                    <w:tr2bl w:val="nil"/>
                  </w:tcBorders>
                  <w:vAlign w:val="center"/>
                </w:tcPr>
                <w:p>
                  <w:pPr>
                    <w:pStyle w:val="102"/>
                    <w:rPr>
                      <w:sz w:val="21"/>
                      <w:szCs w:val="21"/>
                    </w:rPr>
                  </w:pPr>
                  <w:r>
                    <w:rPr>
                      <w:rFonts w:hint="eastAsia"/>
                      <w:sz w:val="21"/>
                      <w:szCs w:val="21"/>
                    </w:rPr>
                    <w:t>动态更新石化化工行业鼓励推广应用的技术和产品目录，鼓励利用先进适用技术实施安全、节能、减排、低碳等改造，推进智能制造。引导烯烃原料轻质化、优化芳烃原料结构，提高碳五、碳九等副产资源利用水平。加快煤制化学品向化工新材料延伸，煤制油气向特种燃料、高端化学品等高附加值产品发展，煤制乙二醇着重提升质量控制水平。</w:t>
                  </w:r>
                </w:p>
              </w:tc>
              <w:tc>
                <w:tcPr>
                  <w:tcW w:w="1552" w:type="pct"/>
                  <w:tcBorders>
                    <w:tl2br w:val="nil"/>
                    <w:tr2bl w:val="nil"/>
                  </w:tcBorders>
                  <w:vAlign w:val="center"/>
                </w:tcPr>
                <w:p>
                  <w:pPr>
                    <w:pStyle w:val="102"/>
                    <w:rPr>
                      <w:sz w:val="21"/>
                      <w:szCs w:val="21"/>
                    </w:rPr>
                  </w:pPr>
                  <w:r>
                    <w:rPr>
                      <w:rFonts w:hint="eastAsia"/>
                      <w:sz w:val="21"/>
                      <w:szCs w:val="21"/>
                    </w:rPr>
                    <w:t>企业生产工艺仅搅拌复配分装，搅拌罐清洗废水采用专用储桶收集后回用对应产品配料，减少能耗及废水排放量，达标减排目的，水、电等能耗消耗较少，过程中无副产物产生，废气、废水污染物经处理达标后外排对外环境影响较小</w:t>
                  </w:r>
                </w:p>
              </w:tc>
              <w:tc>
                <w:tcPr>
                  <w:tcW w:w="412" w:type="pct"/>
                  <w:tcBorders>
                    <w:tl2br w:val="nil"/>
                    <w:tr2bl w:val="nil"/>
                  </w:tcBorders>
                  <w:vAlign w:val="center"/>
                </w:tcPr>
                <w:p>
                  <w:pPr>
                    <w:pStyle w:val="102"/>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 w:type="pct"/>
                  <w:vMerge w:val="restart"/>
                  <w:tcBorders>
                    <w:tl2br w:val="nil"/>
                    <w:tr2bl w:val="nil"/>
                  </w:tcBorders>
                  <w:vAlign w:val="center"/>
                </w:tcPr>
                <w:p>
                  <w:pPr>
                    <w:pStyle w:val="102"/>
                    <w:rPr>
                      <w:sz w:val="21"/>
                      <w:szCs w:val="21"/>
                    </w:rPr>
                  </w:pPr>
                  <w:r>
                    <w:rPr>
                      <w:sz w:val="21"/>
                      <w:szCs w:val="21"/>
                    </w:rPr>
                    <w:t>优化调整产业布局</w:t>
                  </w:r>
                </w:p>
              </w:tc>
              <w:tc>
                <w:tcPr>
                  <w:tcW w:w="543" w:type="pct"/>
                  <w:tcBorders>
                    <w:tl2br w:val="nil"/>
                    <w:tr2bl w:val="nil"/>
                  </w:tcBorders>
                  <w:vAlign w:val="center"/>
                </w:tcPr>
                <w:p>
                  <w:pPr>
                    <w:pStyle w:val="102"/>
                    <w:rPr>
                      <w:sz w:val="21"/>
                      <w:szCs w:val="21"/>
                    </w:rPr>
                  </w:pPr>
                  <w:r>
                    <w:rPr>
                      <w:rFonts w:hint="eastAsia"/>
                      <w:sz w:val="21"/>
                      <w:szCs w:val="21"/>
                    </w:rPr>
                    <w:t>统筹项目布局，促进区域协调发展</w:t>
                  </w:r>
                </w:p>
              </w:tc>
              <w:tc>
                <w:tcPr>
                  <w:tcW w:w="2017" w:type="pct"/>
                  <w:tcBorders>
                    <w:tl2br w:val="nil"/>
                    <w:tr2bl w:val="nil"/>
                  </w:tcBorders>
                  <w:vAlign w:val="center"/>
                </w:tcPr>
                <w:p>
                  <w:pPr>
                    <w:pStyle w:val="102"/>
                    <w:rPr>
                      <w:sz w:val="21"/>
                      <w:szCs w:val="21"/>
                    </w:rPr>
                  </w:pPr>
                  <w:r>
                    <w:rPr>
                      <w:rFonts w:hint="eastAsia"/>
                      <w:sz w:val="21"/>
                      <w:szCs w:val="21"/>
                    </w:rPr>
                    <w:t>依据国土空间规划、生态环境分区管控和国家重大战略安排，统筹重大项目布局，推进新建石化化工项目向原料及清洁能源匹配度好、环境容量富裕、节能环保低碳的化工园区集中。推动现代煤化工产业示范区转型升级，稳妥推进煤制油气战略基地建设，构建原料高效利用、资源要素集成、减污降碳协同、技术先进成熟、产品系列高端的产业示范基地。持续推进城镇人口密集区危险化学品生产企业搬迁改造。落实推动长江经济带发展、黄河流域生态保护和高质量发展要求，推进长江、黄河流域石化化工项目科学布局、有序转移。</w:t>
                  </w:r>
                </w:p>
              </w:tc>
              <w:tc>
                <w:tcPr>
                  <w:tcW w:w="1552" w:type="pct"/>
                  <w:tcBorders>
                    <w:tl2br w:val="nil"/>
                    <w:tr2bl w:val="nil"/>
                  </w:tcBorders>
                  <w:vAlign w:val="center"/>
                </w:tcPr>
                <w:p>
                  <w:pPr>
                    <w:pStyle w:val="102"/>
                    <w:rPr>
                      <w:sz w:val="21"/>
                      <w:szCs w:val="21"/>
                    </w:rPr>
                  </w:pPr>
                  <w:r>
                    <w:rPr>
                      <w:rFonts w:hint="eastAsia"/>
                      <w:sz w:val="21"/>
                      <w:szCs w:val="21"/>
                    </w:rPr>
                    <w:t>本项目位于衡山高新技术产业开发区，企业生产产品属区域主导产业延伸链产品，过程中具有污染物产生量少、能耗低、原料利用率高、环境风险小等特点，项目位于工业区内，不属于城镇人口密集区，不属于长江、黄河流域</w:t>
                  </w:r>
                </w:p>
              </w:tc>
              <w:tc>
                <w:tcPr>
                  <w:tcW w:w="412" w:type="pct"/>
                  <w:tcBorders>
                    <w:tl2br w:val="nil"/>
                    <w:tr2bl w:val="nil"/>
                  </w:tcBorders>
                  <w:vAlign w:val="center"/>
                </w:tcPr>
                <w:p>
                  <w:pPr>
                    <w:pStyle w:val="102"/>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 w:type="pct"/>
                  <w:vMerge w:val="continue"/>
                  <w:tcBorders>
                    <w:tl2br w:val="nil"/>
                    <w:tr2bl w:val="nil"/>
                  </w:tcBorders>
                  <w:vAlign w:val="center"/>
                </w:tcPr>
                <w:p>
                  <w:pPr>
                    <w:pStyle w:val="102"/>
                    <w:rPr>
                      <w:sz w:val="21"/>
                      <w:szCs w:val="21"/>
                    </w:rPr>
                  </w:pPr>
                </w:p>
              </w:tc>
              <w:tc>
                <w:tcPr>
                  <w:tcW w:w="543" w:type="pct"/>
                  <w:tcBorders>
                    <w:tl2br w:val="nil"/>
                    <w:tr2bl w:val="nil"/>
                  </w:tcBorders>
                  <w:vAlign w:val="center"/>
                </w:tcPr>
                <w:p>
                  <w:pPr>
                    <w:pStyle w:val="102"/>
                    <w:rPr>
                      <w:sz w:val="21"/>
                      <w:szCs w:val="21"/>
                    </w:rPr>
                  </w:pPr>
                  <w:r>
                    <w:rPr>
                      <w:rFonts w:hint="eastAsia"/>
                      <w:sz w:val="21"/>
                      <w:szCs w:val="21"/>
                    </w:rPr>
                    <w:t>引导化工项目进区入园，促进高水平集聚发展</w:t>
                  </w:r>
                </w:p>
              </w:tc>
              <w:tc>
                <w:tcPr>
                  <w:tcW w:w="2017" w:type="pct"/>
                  <w:tcBorders>
                    <w:tl2br w:val="nil"/>
                    <w:tr2bl w:val="nil"/>
                  </w:tcBorders>
                  <w:vAlign w:val="center"/>
                </w:tcPr>
                <w:p>
                  <w:pPr>
                    <w:pStyle w:val="102"/>
                    <w:rPr>
                      <w:sz w:val="21"/>
                      <w:szCs w:val="21"/>
                    </w:rPr>
                  </w:pPr>
                  <w:r>
                    <w:rPr>
                      <w:rFonts w:hint="eastAsia"/>
                      <w:sz w:val="21"/>
                      <w:szCs w:val="21"/>
                    </w:rPr>
                    <w:t>推动化工园区规范化发展，依法依规利用综合标准倒逼园区防范化解安全环境风险，加快园区污染防治等基础设施建设，加强园区污水管网排查整治，提升本质安全和清洁生产水平。引导园区内企业循环生产、产业耦合发展，鼓励化工园区间错位、差异化发展，与冶金、建材、纺织、电子等行业协同布局。鼓励化工园区建设科技创新及科研成果孵化平台、智能化管理系统。严格执行危险化学品“禁限控”目录，新建危险化学品生产项目必须进入一般或较低安全风险的化工园区（与其他行业生产装置配套建设的项目除外），引导其他石化化工项目在化工园区发展。</w:t>
                  </w:r>
                </w:p>
              </w:tc>
              <w:tc>
                <w:tcPr>
                  <w:tcW w:w="1552" w:type="pct"/>
                  <w:tcBorders>
                    <w:tl2br w:val="nil"/>
                    <w:tr2bl w:val="nil"/>
                  </w:tcBorders>
                  <w:vAlign w:val="center"/>
                </w:tcPr>
                <w:p>
                  <w:pPr>
                    <w:pStyle w:val="102"/>
                    <w:rPr>
                      <w:sz w:val="21"/>
                      <w:szCs w:val="21"/>
                    </w:rPr>
                  </w:pPr>
                  <w:r>
                    <w:rPr>
                      <w:rFonts w:hint="eastAsia"/>
                      <w:sz w:val="21"/>
                      <w:szCs w:val="21"/>
                    </w:rPr>
                    <w:t>企业所在区域污染防治等基 础设施较完善，</w:t>
                  </w:r>
                  <w:r>
                    <w:rPr>
                      <w:rFonts w:hint="eastAsia"/>
                      <w:szCs w:val="21"/>
                    </w:rPr>
                    <w:t>车间地面保洁废水</w:t>
                  </w:r>
                  <w:r>
                    <w:rPr>
                      <w:rFonts w:hint="eastAsia"/>
                      <w:sz w:val="21"/>
                      <w:szCs w:val="21"/>
                    </w:rPr>
                    <w:t>及生活污水可纳管进入衡山高新区综合污水处理厂处理；本项目属区域主导产业延伸链产业，符合园区内部企业循环生产、产业耦合发展要求；不属于危化品生产项目，生产所用的原料不在危险化学品“禁限控”目</w:t>
                  </w:r>
                </w:p>
                <w:p>
                  <w:pPr>
                    <w:pStyle w:val="102"/>
                    <w:rPr>
                      <w:sz w:val="21"/>
                      <w:szCs w:val="21"/>
                    </w:rPr>
                  </w:pPr>
                  <w:r>
                    <w:rPr>
                      <w:rFonts w:hint="eastAsia"/>
                      <w:sz w:val="21"/>
                      <w:szCs w:val="21"/>
                    </w:rPr>
                    <w:t>录。</w:t>
                  </w:r>
                </w:p>
              </w:tc>
              <w:tc>
                <w:tcPr>
                  <w:tcW w:w="412" w:type="pct"/>
                  <w:tcBorders>
                    <w:tl2br w:val="nil"/>
                    <w:tr2bl w:val="nil"/>
                  </w:tcBorders>
                  <w:vAlign w:val="center"/>
                </w:tcPr>
                <w:p>
                  <w:pPr>
                    <w:pStyle w:val="102"/>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6" w:type="pct"/>
                  <w:tcBorders>
                    <w:tl2br w:val="nil"/>
                    <w:tr2bl w:val="nil"/>
                  </w:tcBorders>
                  <w:vAlign w:val="center"/>
                </w:tcPr>
                <w:p>
                  <w:pPr>
                    <w:pStyle w:val="102"/>
                    <w:rPr>
                      <w:sz w:val="21"/>
                      <w:szCs w:val="21"/>
                    </w:rPr>
                  </w:pPr>
                  <w:r>
                    <w:rPr>
                      <w:rFonts w:hint="eastAsia"/>
                      <w:sz w:val="21"/>
                      <w:szCs w:val="21"/>
                    </w:rPr>
                    <w:t>加快绿色低碳发展</w:t>
                  </w:r>
                </w:p>
              </w:tc>
              <w:tc>
                <w:tcPr>
                  <w:tcW w:w="543" w:type="pct"/>
                  <w:tcBorders>
                    <w:tl2br w:val="nil"/>
                    <w:tr2bl w:val="nil"/>
                  </w:tcBorders>
                  <w:vAlign w:val="center"/>
                </w:tcPr>
                <w:p>
                  <w:pPr>
                    <w:pStyle w:val="102"/>
                    <w:rPr>
                      <w:sz w:val="21"/>
                      <w:szCs w:val="21"/>
                    </w:rPr>
                  </w:pPr>
                  <w:r>
                    <w:rPr>
                      <w:rFonts w:hint="eastAsia"/>
                      <w:sz w:val="21"/>
                      <w:szCs w:val="21"/>
                    </w:rPr>
                    <w:t>发挥碳固定碳消纳优势，协同推进产业链碳减排</w:t>
                  </w:r>
                </w:p>
              </w:tc>
              <w:tc>
                <w:tcPr>
                  <w:tcW w:w="2017" w:type="pct"/>
                  <w:tcBorders>
                    <w:tl2br w:val="nil"/>
                    <w:tr2bl w:val="nil"/>
                  </w:tcBorders>
                  <w:vAlign w:val="center"/>
                </w:tcPr>
                <w:p>
                  <w:pPr>
                    <w:pStyle w:val="102"/>
                    <w:rPr>
                      <w:sz w:val="21"/>
                      <w:szCs w:val="21"/>
                    </w:rPr>
                  </w:pPr>
                  <w:r>
                    <w:rPr>
                      <w:rFonts w:hint="eastAsia"/>
                      <w:sz w:val="21"/>
                      <w:szCs w:val="21"/>
                    </w:rPr>
                    <w:t>有序推动石化化工行业重点领域节能降碳，提高行业能效水平。拟制高碳产品目录，稳妥调控部分高碳产品出口。提升中低品位热能利用水平，推动用能设施电气化改造，合理引导燃料“以气代煤”，适度增加富氢原料比重。鼓励石化化工企业因地制宜、合理有序开发利用“绿氢”，推进炼化、煤化工与“绿电”、“绿氢”等产业耦合示范，利用炼化、煤化工装置所排二氧化碳纯度高、捕集成本低等特点，开展二氧化碳规模化捕集、封存、驱油和制化学品等示范。加快原油直接裂解制乙烯、合成气一步法制烯烃、智能连续化微反应制备化工产品等节能降碳技术开发应用。</w:t>
                  </w:r>
                </w:p>
              </w:tc>
              <w:tc>
                <w:tcPr>
                  <w:tcW w:w="1552"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项目生产使用能源仅为水和电能，不涉及化石能源的使用，生产设备仅为搅拌罐、分装储罐等，碳排放量较少</w:t>
                  </w:r>
                </w:p>
              </w:tc>
              <w:tc>
                <w:tcPr>
                  <w:tcW w:w="412" w:type="pct"/>
                  <w:tcBorders>
                    <w:tl2br w:val="nil"/>
                    <w:tr2bl w:val="nil"/>
                  </w:tcBorders>
                  <w:vAlign w:val="center"/>
                </w:tcPr>
                <w:p>
                  <w:pPr>
                    <w:pStyle w:val="102"/>
                    <w:rPr>
                      <w:sz w:val="21"/>
                      <w:szCs w:val="21"/>
                    </w:rPr>
                  </w:pPr>
                  <w:r>
                    <w:rPr>
                      <w:sz w:val="21"/>
                      <w:szCs w:val="21"/>
                    </w:rPr>
                    <w:t>符合</w:t>
                  </w:r>
                </w:p>
              </w:tc>
            </w:tr>
          </w:tbl>
          <w:p>
            <w:pPr>
              <w:adjustRightInd w:val="0"/>
              <w:spacing w:line="360" w:lineRule="auto"/>
              <w:ind w:firstLine="480" w:firstLineChars="200"/>
              <w:rPr>
                <w:sz w:val="24"/>
              </w:rPr>
            </w:pPr>
            <w:r>
              <w:rPr>
                <w:rFonts w:hint="eastAsia"/>
                <w:sz w:val="24"/>
              </w:rPr>
              <w:t>因此本项目符合《关于“十四五”推动石化化工行业高质量发展的指导意见》（工信部联原[2022]34号）相关要求。</w:t>
            </w:r>
          </w:p>
          <w:p>
            <w:pPr>
              <w:adjustRightInd w:val="0"/>
              <w:spacing w:line="360" w:lineRule="auto"/>
              <w:ind w:firstLine="482" w:firstLineChars="200"/>
              <w:rPr>
                <w:b/>
                <w:sz w:val="24"/>
              </w:rPr>
            </w:pPr>
            <w:r>
              <w:rPr>
                <w:rFonts w:hint="eastAsia"/>
                <w:b/>
                <w:sz w:val="24"/>
              </w:rPr>
              <w:t>9、与《重点行业挥发性有机物综合治理方案》符合性分析</w:t>
            </w:r>
          </w:p>
          <w:p>
            <w:pPr>
              <w:widowControl/>
              <w:adjustRightInd w:val="0"/>
              <w:snapToGrid w:val="0"/>
              <w:spacing w:beforeLines="50"/>
              <w:jc w:val="center"/>
              <w:rPr>
                <w:b/>
              </w:rPr>
            </w:pPr>
            <w:r>
              <w:rPr>
                <w:rFonts w:hint="eastAsia"/>
                <w:b/>
              </w:rPr>
              <w:t>表1-7  项目与《重点行业挥发性有机物综合治理方案》相符性分析</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992"/>
              <w:gridCol w:w="4112"/>
              <w:gridCol w:w="2551"/>
              <w:gridCol w:w="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b/>
                      <w:sz w:val="21"/>
                      <w:szCs w:val="21"/>
                    </w:rPr>
                  </w:pPr>
                  <w:r>
                    <w:rPr>
                      <w:rFonts w:ascii="Times New Roman" w:cs="Times New Roman"/>
                      <w:b/>
                      <w:sz w:val="21"/>
                      <w:szCs w:val="21"/>
                    </w:rPr>
                    <w:t>序号</w:t>
                  </w:r>
                </w:p>
              </w:tc>
              <w:tc>
                <w:tcPr>
                  <w:tcW w:w="2793" w:type="pct"/>
                  <w:gridSpan w:val="2"/>
                  <w:tcBorders>
                    <w:tl2br w:val="nil"/>
                    <w:tr2bl w:val="nil"/>
                  </w:tcBorders>
                  <w:vAlign w:val="center"/>
                </w:tcPr>
                <w:p>
                  <w:pPr>
                    <w:pStyle w:val="102"/>
                    <w:rPr>
                      <w:rFonts w:ascii="Times New Roman" w:hAnsi="Times New Roman" w:cs="Times New Roman"/>
                      <w:b/>
                      <w:sz w:val="21"/>
                      <w:szCs w:val="21"/>
                    </w:rPr>
                  </w:pPr>
                  <w:r>
                    <w:rPr>
                      <w:rFonts w:ascii="Times New Roman" w:hAnsi="Times New Roman" w:cs="Times New Roman"/>
                      <w:b/>
                      <w:sz w:val="21"/>
                      <w:szCs w:val="21"/>
                    </w:rPr>
                    <w:t>判定依据</w:t>
                  </w:r>
                </w:p>
              </w:tc>
              <w:tc>
                <w:tcPr>
                  <w:tcW w:w="1396" w:type="pct"/>
                  <w:tcBorders>
                    <w:tl2br w:val="nil"/>
                    <w:tr2bl w:val="nil"/>
                  </w:tcBorders>
                  <w:vAlign w:val="center"/>
                </w:tcPr>
                <w:p>
                  <w:pPr>
                    <w:pStyle w:val="102"/>
                    <w:rPr>
                      <w:rFonts w:ascii="Times New Roman" w:hAnsi="Times New Roman" w:cs="Times New Roman"/>
                      <w:b/>
                      <w:sz w:val="21"/>
                      <w:szCs w:val="21"/>
                    </w:rPr>
                  </w:pPr>
                  <w:r>
                    <w:rPr>
                      <w:rFonts w:ascii="Times New Roman" w:hAnsi="Times New Roman" w:cs="Times New Roman"/>
                      <w:b/>
                      <w:sz w:val="21"/>
                      <w:szCs w:val="21"/>
                    </w:rPr>
                    <w:t>本项目情况</w:t>
                  </w:r>
                </w:p>
              </w:tc>
              <w:tc>
                <w:tcPr>
                  <w:tcW w:w="413" w:type="pct"/>
                  <w:tcBorders>
                    <w:tl2br w:val="nil"/>
                    <w:tr2bl w:val="nil"/>
                  </w:tcBorders>
                  <w:vAlign w:val="center"/>
                </w:tcPr>
                <w:p>
                  <w:pPr>
                    <w:pStyle w:val="102"/>
                    <w:rPr>
                      <w:rFonts w:ascii="Times New Roman" w:cs="Times New Roman"/>
                      <w:b/>
                      <w:sz w:val="21"/>
                      <w:szCs w:val="21"/>
                    </w:rPr>
                  </w:pPr>
                  <w:r>
                    <w:rPr>
                      <w:rFonts w:ascii="Times New Roman" w:cs="Times New Roman"/>
                      <w:b/>
                      <w:sz w:val="21"/>
                      <w:szCs w:val="21"/>
                    </w:rPr>
                    <w:t>是否</w:t>
                  </w:r>
                </w:p>
                <w:p>
                  <w:pPr>
                    <w:pStyle w:val="102"/>
                    <w:rPr>
                      <w:rFonts w:ascii="Times New Roman" w:hAnsi="Times New Roman" w:cs="Times New Roman"/>
                      <w:b/>
                      <w:sz w:val="21"/>
                      <w:szCs w:val="21"/>
                    </w:rPr>
                  </w:pPr>
                  <w:r>
                    <w:rPr>
                      <w:rFonts w:ascii="Times New Roman" w:cs="Times New Roman"/>
                      <w:b/>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1</w:t>
                  </w:r>
                </w:p>
              </w:tc>
              <w:tc>
                <w:tcPr>
                  <w:tcW w:w="543" w:type="pct"/>
                  <w:vMerge w:val="restar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大力推广源头替代</w:t>
                  </w: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通过使用水性、粉末、高固体分、无溶剂、辐射固化等低VOCs 含量的涂料，水性、辐射固化、植物基等低VOCs含量的油墨，水基、热熔、无溶剂、辐射固化、改性、生物降解等低 VOCs 含量的胶粘剂，以及低 VOCs 含量、低反应活性的清洗剂等，替代溶剂型涂料、油墨、胶粘剂、清洗剂等，从源头减少VOCs 产生。工业涂装包装印刷等行业要加大源头替代力度；化工行业要推广使用低(无) VOCs 含量、低反应活性的原辅材料，加快对芳香烃、含卤素有机化合物的绿色替代。企业应大力推广使用低VOCs 含量木器涂料、车辆涂料、机械设备涂料、集装箱涂料以及建筑物和构筑物防护涂料等，在技术成熟的行业，推广使用低 VOCs 含量油墨和胶粘剂，重点区域到 2020 年年底前基本完成。鼓励加快低 VOCs 含量涂料、油墨、胶粘剂等研发和生产</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本项目产品部分原料属VOC物料，常温下饱和蒸气压较低，工艺温度低于其沸点，因此在生产阶段挥发量较少，过程中不涉及化学反应</w:t>
                  </w:r>
                </w:p>
              </w:tc>
              <w:tc>
                <w:tcPr>
                  <w:tcW w:w="413" w:type="pct"/>
                  <w:tcBorders>
                    <w:tl2br w:val="nil"/>
                    <w:tr2bl w:val="nil"/>
                  </w:tcBorders>
                  <w:vAlign w:val="center"/>
                </w:tcPr>
                <w:p>
                  <w:pPr>
                    <w:pStyle w:val="102"/>
                    <w:rPr>
                      <w:rFonts w:ascii="Times New Roman" w:hAns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2</w:t>
                  </w:r>
                </w:p>
              </w:tc>
              <w:tc>
                <w:tcPr>
                  <w:tcW w:w="543" w:type="pct"/>
                  <w:vMerge w:val="continue"/>
                  <w:tcBorders>
                    <w:tl2br w:val="nil"/>
                    <w:tr2bl w:val="nil"/>
                  </w:tcBorders>
                  <w:vAlign w:val="center"/>
                </w:tcPr>
                <w:p>
                  <w:pPr>
                    <w:pStyle w:val="102"/>
                    <w:rPr>
                      <w:rFonts w:ascii="Times New Roman" w:hAnsi="Times New Roman" w:cs="Times New Roman"/>
                      <w:sz w:val="21"/>
                      <w:szCs w:val="21"/>
                    </w:rPr>
                  </w:pP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加强政策引导。企业采用符合国家有关低 VOCs 含量产品规定的涂料、油墨、胶粘剂等，排放浓度稳定达标且排放速率、排放绩效等满足相关规定的，相应生产工序可不要求建设末端治理设施。使用的原辅材料 VOCs 含量(质量比)低于10%的工序，可不要求采取无组织排放收集措施。</w:t>
                  </w:r>
                </w:p>
              </w:tc>
              <w:tc>
                <w:tcPr>
                  <w:tcW w:w="1396"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本项目不涉及涂装。</w:t>
                  </w:r>
                </w:p>
              </w:tc>
              <w:tc>
                <w:tcPr>
                  <w:tcW w:w="413" w:type="pct"/>
                  <w:tcBorders>
                    <w:tl2br w:val="nil"/>
                    <w:tr2bl w:val="nil"/>
                  </w:tcBorders>
                  <w:vAlign w:val="center"/>
                </w:tcPr>
                <w:p>
                  <w:pPr>
                    <w:pStyle w:val="102"/>
                    <w:rPr>
                      <w:rFonts w:ascii="Times New Roman" w:hAns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3</w:t>
                  </w:r>
                </w:p>
              </w:tc>
              <w:tc>
                <w:tcPr>
                  <w:tcW w:w="543" w:type="pct"/>
                  <w:vMerge w:val="restar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全面加强无组织排放控制</w:t>
                  </w: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重点对含VOCs物料储存、转移和输送、设备与管线组件泄漏、敞开液面逸散以及工艺过程等五类排放源实施管控，通过采取设备与场所密闭、工艺改进、废气有效收集等措施，削减VOCs无组织排放。</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企业物料除投料搅拌及分装阶段与空气接触外，原料储存、输送、产品暂存均密闭，且工作温度低于VOC 物料沸点，过程中有机物产生量较少。</w:t>
                  </w:r>
                </w:p>
              </w:tc>
              <w:tc>
                <w:tcPr>
                  <w:tcW w:w="413" w:type="pct"/>
                  <w:tcBorders>
                    <w:tl2br w:val="nil"/>
                    <w:tr2bl w:val="nil"/>
                  </w:tcBorders>
                  <w:vAlign w:val="center"/>
                </w:tcPr>
                <w:p>
                  <w:pPr>
                    <w:pStyle w:val="102"/>
                    <w:rPr>
                      <w:rFonts w:ascii="Times New Roman" w:hAns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4</w:t>
                  </w:r>
                </w:p>
              </w:tc>
              <w:tc>
                <w:tcPr>
                  <w:tcW w:w="543" w:type="pct"/>
                  <w:vMerge w:val="continue"/>
                  <w:tcBorders>
                    <w:tl2br w:val="nil"/>
                    <w:tr2bl w:val="nil"/>
                  </w:tcBorders>
                  <w:vAlign w:val="center"/>
                </w:tcPr>
                <w:p>
                  <w:pPr>
                    <w:pStyle w:val="102"/>
                    <w:rPr>
                      <w:rFonts w:ascii="Times New Roman" w:hAnsi="Times New Roman" w:cs="Times New Roman"/>
                      <w:sz w:val="21"/>
                      <w:szCs w:val="21"/>
                    </w:rPr>
                  </w:pP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加强设备与场所密闭管理。含VOCs物料应储存于密闭容器、包装袋、高效密封储罐、封闭式储库、料仓等。含 VOCs</w:t>
                  </w:r>
                </w:p>
                <w:p>
                  <w:pPr>
                    <w:pStyle w:val="102"/>
                    <w:rPr>
                      <w:rFonts w:ascii="Times New Roman" w:hAnsi="Times New Roman" w:cs="Times New Roman"/>
                      <w:sz w:val="21"/>
                      <w:szCs w:val="21"/>
                    </w:rPr>
                  </w:pPr>
                  <w:r>
                    <w:rPr>
                      <w:rFonts w:hint="eastAsia" w:ascii="Times New Roman" w:hAnsi="Times New Roman" w:cs="Times New Roman"/>
                      <w:sz w:val="21"/>
                      <w:szCs w:val="21"/>
                    </w:rPr>
                    <w:t>物料转移和输送，应采用密闭管道或密</w:t>
                  </w:r>
                </w:p>
                <w:p>
                  <w:pPr>
                    <w:pStyle w:val="102"/>
                    <w:rPr>
                      <w:rFonts w:ascii="Times New Roman" w:hAnsi="Times New Roman" w:cs="Times New Roman"/>
                      <w:sz w:val="21"/>
                      <w:szCs w:val="21"/>
                    </w:rPr>
                  </w:pPr>
                  <w:r>
                    <w:rPr>
                      <w:rFonts w:hint="eastAsia" w:ascii="Times New Roman" w:hAnsi="Times New Roman" w:cs="Times New Roman"/>
                      <w:sz w:val="21"/>
                      <w:szCs w:val="21"/>
                    </w:rPr>
                    <w:t>闭容器、罐车等。高VOCs含量废水的集输、储存和处理过程，应加盖密闭。含VOCs物料生产和使用过程，应采取有效收集措施或在密闭空间中操作。</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车间工作时保持密闭，除投料、搅拌、分装阶段其他工序均密闭，减少有机物产排</w:t>
                  </w:r>
                </w:p>
              </w:tc>
              <w:tc>
                <w:tcPr>
                  <w:tcW w:w="413" w:type="pct"/>
                  <w:tcBorders>
                    <w:tl2br w:val="nil"/>
                    <w:tr2bl w:val="nil"/>
                  </w:tcBorders>
                  <w:vAlign w:val="center"/>
                </w:tcPr>
                <w:p>
                  <w:pPr>
                    <w:pStyle w:val="102"/>
                    <w:rPr>
                      <w:rFonts w:ascii="Times New Roman" w:hAns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5</w:t>
                  </w:r>
                </w:p>
              </w:tc>
              <w:tc>
                <w:tcPr>
                  <w:tcW w:w="543" w:type="pct"/>
                  <w:vMerge w:val="continue"/>
                  <w:tcBorders>
                    <w:tl2br w:val="nil"/>
                    <w:tr2bl w:val="nil"/>
                  </w:tcBorders>
                  <w:vAlign w:val="center"/>
                </w:tcPr>
                <w:p>
                  <w:pPr>
                    <w:pStyle w:val="102"/>
                    <w:rPr>
                      <w:rFonts w:ascii="Times New Roman" w:hAnsi="Times New Roman" w:cs="Times New Roman"/>
                      <w:sz w:val="21"/>
                      <w:szCs w:val="21"/>
                    </w:rPr>
                  </w:pP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项目基础油储罐、烷烃储罐、搅拌罐、调和罐、分装储罐、输送系统定期开展检测，选用无泄漏的设施，杜绝泄漏，生产阶段液态原料给料、搅拌均为全自动作业。</w:t>
                  </w:r>
                </w:p>
              </w:tc>
              <w:tc>
                <w:tcPr>
                  <w:tcW w:w="413" w:type="pct"/>
                  <w:tcBorders>
                    <w:tl2br w:val="nil"/>
                    <w:tr2bl w:val="nil"/>
                  </w:tcBorders>
                  <w:vAlign w:val="center"/>
                </w:tcPr>
                <w:p>
                  <w:pPr>
                    <w:pStyle w:val="102"/>
                    <w:rPr>
                      <w:rFonts w:ascii="Times New Roman" w:hAns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ascii="Times New Roman" w:hAnsi="Times New Roman" w:cs="Times New Roman"/>
                      <w:sz w:val="21"/>
                      <w:szCs w:val="21"/>
                    </w:rPr>
                    <w:t>6</w:t>
                  </w:r>
                </w:p>
              </w:tc>
              <w:tc>
                <w:tcPr>
                  <w:tcW w:w="543" w:type="pct"/>
                  <w:vMerge w:val="continue"/>
                  <w:tcBorders>
                    <w:tl2br w:val="nil"/>
                    <w:tr2bl w:val="nil"/>
                  </w:tcBorders>
                  <w:vAlign w:val="center"/>
                </w:tcPr>
                <w:p>
                  <w:pPr>
                    <w:pStyle w:val="102"/>
                    <w:rPr>
                      <w:rFonts w:ascii="Times New Roman" w:hAnsi="Times New Roman" w:cs="Times New Roman"/>
                      <w:sz w:val="21"/>
                      <w:szCs w:val="21"/>
                    </w:rPr>
                  </w:pP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无组织排放位置，控制风速应不低于0.3米/秒，有行业要求的按相关规定执行。</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搅拌、分装工序VOCs 产生量较少，经收集处理后高空达标排放，搅拌罐上方集气罩口气罩口风速不低于</w:t>
                  </w:r>
                  <w:r>
                    <w:rPr>
                      <w:rFonts w:ascii="Times New Roman" w:hAnsi="Times New Roman" w:cs="Times New Roman"/>
                      <w:sz w:val="21"/>
                      <w:szCs w:val="21"/>
                    </w:rPr>
                    <w:t>0.3m/s。</w:t>
                  </w:r>
                </w:p>
              </w:tc>
              <w:tc>
                <w:tcPr>
                  <w:tcW w:w="413" w:type="pct"/>
                  <w:tcBorders>
                    <w:tl2br w:val="nil"/>
                    <w:tr2bl w:val="nil"/>
                  </w:tcBorders>
                  <w:vAlign w:val="center"/>
                </w:tcPr>
                <w:p>
                  <w:pPr>
                    <w:pStyle w:val="102"/>
                    <w:rPr>
                      <w:rFonts w:ascii="Times New Roman" w:hAns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7</w:t>
                  </w:r>
                </w:p>
              </w:tc>
              <w:tc>
                <w:tcPr>
                  <w:tcW w:w="543" w:type="pct"/>
                  <w:vMerge w:val="continue"/>
                  <w:tcBorders>
                    <w:tl2br w:val="nil"/>
                    <w:tr2bl w:val="nil"/>
                  </w:tcBorders>
                  <w:vAlign w:val="center"/>
                </w:tcPr>
                <w:p>
                  <w:pPr>
                    <w:pStyle w:val="102"/>
                    <w:rPr>
                      <w:rFonts w:ascii="Times New Roman" w:hAnsi="Times New Roman" w:cs="Times New Roman"/>
                      <w:sz w:val="21"/>
                      <w:szCs w:val="21"/>
                    </w:rPr>
                  </w:pP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加强设备与管线组件泄漏控制。企业中载有气态、液态 VOCs 物料的设备与管线组件，密封点数量大于等于 2000 个的，应按要求开展 LDAR 工作。石化企业按行业排放标准规定执行。</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企业运营期定期对管道、阀门及生产设施开展泄漏检测，确保设施正常运行。</w:t>
                  </w:r>
                </w:p>
              </w:tc>
              <w:tc>
                <w:tcPr>
                  <w:tcW w:w="413" w:type="pct"/>
                  <w:tcBorders>
                    <w:tl2br w:val="nil"/>
                    <w:tr2bl w:val="nil"/>
                  </w:tcBorders>
                  <w:vAlign w:val="center"/>
                </w:tcPr>
                <w:p>
                  <w:pPr>
                    <w:pStyle w:val="102"/>
                    <w:rPr>
                      <w:rFonts w:asci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8</w:t>
                  </w:r>
                </w:p>
              </w:tc>
              <w:tc>
                <w:tcPr>
                  <w:tcW w:w="543" w:type="pct"/>
                  <w:vMerge w:val="restar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推进建设适宜高效的治污设施</w:t>
                  </w: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企业新建治污设施或对现有治污设施实施改造，应依据排放废气的浓度、组分、风量，温度、湿度、压励，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 VOCs 废气治理和恶臭异味治理。非水溶性的 VOCs 废气禁采用水或水溶液喷淋吸收处理。采用一次性活性炭吸附技术的，应定期更换活性炭，废旧活性炭应再生或处理处置。有条件的工业园区和产业集群等，推广集中喷涂、溶剂集中回收、活性炭集中再生等，加强资源共享，提高 VOCs 治理效率。</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项目产生的有机废气收集后经二级活性炭处理达标排放。</w:t>
                  </w:r>
                </w:p>
              </w:tc>
              <w:tc>
                <w:tcPr>
                  <w:tcW w:w="413" w:type="pct"/>
                  <w:tcBorders>
                    <w:tl2br w:val="nil"/>
                    <w:tr2bl w:val="nil"/>
                  </w:tcBorders>
                  <w:vAlign w:val="center"/>
                </w:tcPr>
                <w:p>
                  <w:pPr>
                    <w:pStyle w:val="102"/>
                    <w:rPr>
                      <w:rFonts w:asci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9</w:t>
                  </w:r>
                </w:p>
              </w:tc>
              <w:tc>
                <w:tcPr>
                  <w:tcW w:w="543" w:type="pct"/>
                  <w:vMerge w:val="continue"/>
                  <w:tcBorders>
                    <w:tl2br w:val="nil"/>
                    <w:tr2bl w:val="nil"/>
                  </w:tcBorders>
                  <w:vAlign w:val="center"/>
                </w:tcPr>
                <w:p>
                  <w:pPr>
                    <w:pStyle w:val="102"/>
                    <w:rPr>
                      <w:rFonts w:ascii="Times New Roman" w:hAnsi="Times New Roman" w:cs="Times New Roman"/>
                      <w:sz w:val="21"/>
                      <w:szCs w:val="21"/>
                    </w:rPr>
                  </w:pP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规范工程设计。采用吸附处理工艺的，应满足《吸附法业有机废气治理工程技术规范》要求。采用催化燃烧工艺的，应满足《催化燃烧法工业有机废气治理工程技术规范》要求。采用蓄热燃烧等其他处理工艺的，应按相关技术规范要求设计。</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本项目RCO催化燃烧各参数满足《催化燃烧法工业有机废气治理工程技术规范》要求。</w:t>
                  </w:r>
                </w:p>
              </w:tc>
              <w:tc>
                <w:tcPr>
                  <w:tcW w:w="413" w:type="pct"/>
                  <w:tcBorders>
                    <w:tl2br w:val="nil"/>
                    <w:tr2bl w:val="nil"/>
                  </w:tcBorders>
                  <w:vAlign w:val="center"/>
                </w:tcPr>
                <w:p>
                  <w:pPr>
                    <w:pStyle w:val="102"/>
                    <w:rPr>
                      <w:rFonts w:asci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10</w:t>
                  </w:r>
                </w:p>
              </w:tc>
              <w:tc>
                <w:tcPr>
                  <w:tcW w:w="543" w:type="pct"/>
                  <w:vMerge w:val="restar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深入实施精细管控</w:t>
                  </w: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各地应围绕当地环境空气质量改善需求，根据O</w:t>
                  </w:r>
                  <w:r>
                    <w:rPr>
                      <w:rFonts w:hint="eastAsia" w:ascii="Times New Roman" w:hAnsi="Times New Roman" w:cs="Times New Roman"/>
                      <w:sz w:val="21"/>
                      <w:szCs w:val="21"/>
                      <w:vertAlign w:val="subscript"/>
                    </w:rPr>
                    <w:t>3</w:t>
                  </w:r>
                  <w:r>
                    <w:rPr>
                      <w:rFonts w:hint="eastAsia" w:ascii="Times New Roman" w:hAnsi="Times New Roman" w:cs="Times New Roman"/>
                      <w:sz w:val="21"/>
                      <w:szCs w:val="21"/>
                    </w:rPr>
                    <w:t>、PM</w:t>
                  </w:r>
                  <w:r>
                    <w:rPr>
                      <w:rFonts w:hint="eastAsia" w:ascii="Times New Roman" w:hAnsi="Times New Roman" w:cs="Times New Roman"/>
                      <w:sz w:val="21"/>
                      <w:szCs w:val="21"/>
                      <w:vertAlign w:val="subscript"/>
                    </w:rPr>
                    <w:t>2.5</w:t>
                  </w:r>
                  <w:r>
                    <w:rPr>
                      <w:rFonts w:hint="eastAsia" w:ascii="Times New Roman" w:hAnsi="Times New Roman" w:cs="Times New Roman"/>
                      <w:sz w:val="21"/>
                      <w:szCs w:val="21"/>
                    </w:rPr>
                    <w:t>来源解析，结合行业污染排放特征和 VOCs 物质光化学反应活性等，确定本地区 VOCs 控制的重点行业和重点污染物，兼顾恶臭污染物和有毒有害物质控制等，提出有效管控方案，提高 VOCs 治理的精准性、针对性和有效性。</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本项目 VOC 物料生产阶段有机废气产生量较少，经收集处理达标排放</w:t>
                  </w:r>
                </w:p>
              </w:tc>
              <w:tc>
                <w:tcPr>
                  <w:tcW w:w="413" w:type="pct"/>
                  <w:tcBorders>
                    <w:tl2br w:val="nil"/>
                    <w:tr2bl w:val="nil"/>
                  </w:tcBorders>
                  <w:vAlign w:val="center"/>
                </w:tcPr>
                <w:p>
                  <w:pPr>
                    <w:pStyle w:val="102"/>
                    <w:rPr>
                      <w:rFonts w:ascii="Times New Roman" w:cs="Times New Roman"/>
                      <w:sz w:val="21"/>
                      <w:szCs w:val="21"/>
                    </w:rPr>
                  </w:pPr>
                  <w:r>
                    <w:rPr>
                      <w:rFonts w:asci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11</w:t>
                  </w:r>
                </w:p>
              </w:tc>
              <w:tc>
                <w:tcPr>
                  <w:tcW w:w="543" w:type="pct"/>
                  <w:vMerge w:val="continue"/>
                  <w:tcBorders>
                    <w:tl2br w:val="nil"/>
                    <w:tr2bl w:val="nil"/>
                  </w:tcBorders>
                  <w:vAlign w:val="center"/>
                </w:tcPr>
                <w:p>
                  <w:pPr>
                    <w:pStyle w:val="102"/>
                    <w:rPr>
                      <w:rFonts w:ascii="Times New Roman" w:hAnsi="Times New Roman" w:cs="Times New Roman"/>
                      <w:sz w:val="21"/>
                      <w:szCs w:val="21"/>
                    </w:rPr>
                  </w:pPr>
                </w:p>
              </w:tc>
              <w:tc>
                <w:tcPr>
                  <w:tcW w:w="2250"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推行“一厂一策”制度。各地应加强对企业帮扶指导，对本地污染物排放量较大的企业，组织专家提供专业化技术支持，严格把关，指导企业编制切实可行的污染治理方案，明确原辅材料替代、工艺改进、无组织排放管控、废气收集、治污设施建设等全过程减排要求，测算投资成本和减排效益，为企业有效开展 VOCs 综合治理提供技术服务。重点区域应组织本地 VOCs 排放量较大的企业开展"一厂一策" 方案编制工作，2020年6月底前基本完成；适时开展治理效果后评估工作，各地出台的补贴政策要与减排效果紧密挂钩。鼓励地方对重点行业推行强制性清洁生产审核。</w:t>
                  </w:r>
                </w:p>
              </w:tc>
              <w:tc>
                <w:tcPr>
                  <w:tcW w:w="1396" w:type="pct"/>
                  <w:tcBorders>
                    <w:tl2br w:val="nil"/>
                    <w:tr2bl w:val="nil"/>
                  </w:tcBorders>
                  <w:vAlign w:val="center"/>
                </w:tcPr>
                <w:p>
                  <w:pPr>
                    <w:pStyle w:val="102"/>
                    <w:rPr>
                      <w:rFonts w:ascii="Times New Roman" w:hAnsi="Times New Roman" w:cs="Times New Roman"/>
                      <w:sz w:val="21"/>
                      <w:szCs w:val="21"/>
                    </w:rPr>
                  </w:pPr>
                  <w:r>
                    <w:rPr>
                      <w:rFonts w:hint="eastAsia" w:ascii="Times New Roman" w:hAnsi="Times New Roman" w:cs="Times New Roman"/>
                      <w:sz w:val="21"/>
                      <w:szCs w:val="21"/>
                    </w:rPr>
                    <w:t>企业将按要求落实“一厂一策”制度，有针对性的编制“一厂一策”方案</w:t>
                  </w:r>
                </w:p>
              </w:tc>
              <w:tc>
                <w:tcPr>
                  <w:tcW w:w="413" w:type="pct"/>
                  <w:tcBorders>
                    <w:tl2br w:val="nil"/>
                    <w:tr2bl w:val="nil"/>
                  </w:tcBorders>
                  <w:vAlign w:val="center"/>
                </w:tcPr>
                <w:p>
                  <w:pPr>
                    <w:pStyle w:val="102"/>
                    <w:rPr>
                      <w:rFonts w:ascii="Times New Roman" w:cs="Times New Roman"/>
                      <w:sz w:val="21"/>
                      <w:szCs w:val="21"/>
                    </w:rPr>
                  </w:pPr>
                  <w:r>
                    <w:rPr>
                      <w:rFonts w:ascii="Times New Roman" w:cs="Times New Roman"/>
                      <w:sz w:val="21"/>
                      <w:szCs w:val="21"/>
                    </w:rPr>
                    <w:t>相符</w:t>
                  </w:r>
                </w:p>
              </w:tc>
            </w:tr>
          </w:tbl>
          <w:p>
            <w:pPr>
              <w:adjustRightInd w:val="0"/>
              <w:spacing w:line="360" w:lineRule="auto"/>
              <w:ind w:firstLine="480" w:firstLineChars="200"/>
              <w:rPr>
                <w:sz w:val="24"/>
              </w:rPr>
            </w:pPr>
            <w:r>
              <w:rPr>
                <w:rFonts w:hint="eastAsia"/>
                <w:sz w:val="24"/>
              </w:rPr>
              <w:t>综上所述，本项目符合《重点行业挥发性有机物综合治理方案》相关要求。</w:t>
            </w:r>
          </w:p>
          <w:p>
            <w:pPr>
              <w:adjustRightInd w:val="0"/>
              <w:spacing w:line="360" w:lineRule="auto"/>
              <w:ind w:firstLine="482" w:firstLineChars="200"/>
              <w:rPr>
                <w:b/>
                <w:sz w:val="24"/>
              </w:rPr>
            </w:pPr>
            <w:r>
              <w:rPr>
                <w:rFonts w:hint="eastAsia"/>
                <w:b/>
                <w:sz w:val="24"/>
              </w:rPr>
              <w:t>10、与《湖南省“十四五”生态环境保护规划》的符合性分析</w:t>
            </w:r>
          </w:p>
          <w:p>
            <w:pPr>
              <w:adjustRightInd w:val="0"/>
              <w:spacing w:line="360" w:lineRule="auto"/>
              <w:ind w:firstLine="480" w:firstLineChars="200"/>
              <w:rPr>
                <w:sz w:val="24"/>
              </w:rPr>
            </w:pPr>
            <w:r>
              <w:rPr>
                <w:rFonts w:hint="eastAsia"/>
                <w:sz w:val="24"/>
              </w:rPr>
              <w:t>本项目与《湖南省“十四五”生态环境保护规划》相符性分析见表1-6。</w:t>
            </w:r>
          </w:p>
          <w:p>
            <w:pPr>
              <w:widowControl/>
              <w:adjustRightInd w:val="0"/>
              <w:snapToGrid w:val="0"/>
              <w:spacing w:beforeLines="50"/>
              <w:jc w:val="center"/>
              <w:rPr>
                <w:b/>
              </w:rPr>
            </w:pPr>
            <w:r>
              <w:rPr>
                <w:rFonts w:hint="eastAsia"/>
                <w:b/>
              </w:rPr>
              <w:t>表1-8  项目与《湖南省“十四五”生态环境保护规划》相符性分析</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4372"/>
              <w:gridCol w:w="3248"/>
              <w:gridCol w:w="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pPr>
                    <w:pStyle w:val="102"/>
                    <w:rPr>
                      <w:b/>
                      <w:sz w:val="21"/>
                      <w:szCs w:val="21"/>
                    </w:rPr>
                  </w:pPr>
                  <w:r>
                    <w:rPr>
                      <w:rFonts w:hint="eastAsia"/>
                      <w:b/>
                      <w:sz w:val="21"/>
                      <w:szCs w:val="21"/>
                    </w:rPr>
                    <w:t>序号</w:t>
                  </w:r>
                </w:p>
              </w:tc>
              <w:tc>
                <w:tcPr>
                  <w:tcW w:w="2393" w:type="pct"/>
                  <w:tcBorders>
                    <w:tl2br w:val="nil"/>
                    <w:tr2bl w:val="nil"/>
                  </w:tcBorders>
                  <w:vAlign w:val="center"/>
                </w:tcPr>
                <w:p>
                  <w:pPr>
                    <w:pStyle w:val="102"/>
                    <w:rPr>
                      <w:b/>
                      <w:sz w:val="21"/>
                      <w:szCs w:val="21"/>
                    </w:rPr>
                  </w:pPr>
                  <w:r>
                    <w:rPr>
                      <w:rFonts w:hint="eastAsia"/>
                      <w:b/>
                      <w:sz w:val="21"/>
                      <w:szCs w:val="21"/>
                    </w:rPr>
                    <w:t>《湖南省“十四五”生态环境保护规划》相关要求</w:t>
                  </w:r>
                </w:p>
              </w:tc>
              <w:tc>
                <w:tcPr>
                  <w:tcW w:w="1778" w:type="pct"/>
                  <w:tcBorders>
                    <w:tl2br w:val="nil"/>
                    <w:tr2bl w:val="nil"/>
                  </w:tcBorders>
                  <w:vAlign w:val="center"/>
                </w:tcPr>
                <w:p>
                  <w:pPr>
                    <w:pStyle w:val="102"/>
                    <w:rPr>
                      <w:b/>
                      <w:sz w:val="21"/>
                      <w:szCs w:val="21"/>
                    </w:rPr>
                  </w:pPr>
                  <w:r>
                    <w:rPr>
                      <w:rFonts w:hint="eastAsia"/>
                      <w:b/>
                      <w:sz w:val="21"/>
                      <w:szCs w:val="21"/>
                    </w:rPr>
                    <w:t>本项目情况</w:t>
                  </w:r>
                </w:p>
              </w:tc>
              <w:tc>
                <w:tcPr>
                  <w:tcW w:w="393" w:type="pct"/>
                  <w:tcBorders>
                    <w:tl2br w:val="nil"/>
                    <w:tr2bl w:val="nil"/>
                  </w:tcBorders>
                  <w:vAlign w:val="center"/>
                </w:tcPr>
                <w:p>
                  <w:pPr>
                    <w:pStyle w:val="102"/>
                    <w:rPr>
                      <w:b/>
                      <w:sz w:val="21"/>
                      <w:szCs w:val="21"/>
                    </w:rPr>
                  </w:pPr>
                  <w:r>
                    <w:rPr>
                      <w:rFonts w:hint="eastAsia"/>
                      <w:b/>
                      <w:sz w:val="21"/>
                      <w:szCs w:val="21"/>
                    </w:rPr>
                    <w:t>是否相符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pPr>
                    <w:pStyle w:val="102"/>
                    <w:rPr>
                      <w:sz w:val="21"/>
                      <w:szCs w:val="21"/>
                    </w:rPr>
                  </w:pPr>
                  <w:r>
                    <w:rPr>
                      <w:rFonts w:hint="eastAsia"/>
                      <w:sz w:val="21"/>
                      <w:szCs w:val="21"/>
                    </w:rPr>
                    <w:t>1</w:t>
                  </w:r>
                </w:p>
              </w:tc>
              <w:tc>
                <w:tcPr>
                  <w:tcW w:w="2393" w:type="pct"/>
                  <w:tcBorders>
                    <w:tl2br w:val="nil"/>
                    <w:tr2bl w:val="nil"/>
                  </w:tcBorders>
                  <w:vAlign w:val="center"/>
                </w:tcPr>
                <w:p>
                  <w:pPr>
                    <w:pStyle w:val="102"/>
                    <w:rPr>
                      <w:sz w:val="21"/>
                      <w:szCs w:val="21"/>
                    </w:rPr>
                  </w:pPr>
                  <w:r>
                    <w:rPr>
                      <w:sz w:val="21"/>
                      <w:szCs w:val="21"/>
                    </w:rPr>
                    <w:t>加强规划环境影响评价。严格执行以环评制度为主体的生态环境源头预防制度，以国土空间规划、区域规划、行业发展规划引导经济社会发展，全面推进重点区域、重点流域、重点行业规划环评。规划编制要充分考虑底线约束、空间管制、总量管控和生态环境准入，统筹区域空间布局与生态安全格局</w:t>
                  </w:r>
                </w:p>
              </w:tc>
              <w:tc>
                <w:tcPr>
                  <w:tcW w:w="1778" w:type="pct"/>
                  <w:tcBorders>
                    <w:tl2br w:val="nil"/>
                    <w:tr2bl w:val="nil"/>
                  </w:tcBorders>
                  <w:vAlign w:val="center"/>
                </w:tcPr>
                <w:p>
                  <w:pPr>
                    <w:pStyle w:val="102"/>
                    <w:rPr>
                      <w:sz w:val="21"/>
                      <w:szCs w:val="21"/>
                    </w:rPr>
                  </w:pPr>
                  <w:r>
                    <w:rPr>
                      <w:rFonts w:hint="eastAsia"/>
                      <w:sz w:val="21"/>
                      <w:szCs w:val="21"/>
                    </w:rPr>
                    <w:t>本项目属于化工类新建项目，产品工艺仅为复配、分装，不涉及化学合成反应，且环境风险较小，所在区域已开展规划环评，因此项目满足所在区域准入要求及环评文件审批原则要求</w:t>
                  </w:r>
                  <w:r>
                    <w:rPr>
                      <w:sz w:val="21"/>
                      <w:szCs w:val="21"/>
                    </w:rPr>
                    <w:t>。</w:t>
                  </w:r>
                </w:p>
              </w:tc>
              <w:tc>
                <w:tcPr>
                  <w:tcW w:w="393" w:type="pct"/>
                  <w:tcBorders>
                    <w:tl2br w:val="nil"/>
                    <w:tr2bl w:val="nil"/>
                  </w:tcBorders>
                  <w:vAlign w:val="center"/>
                </w:tcPr>
                <w:p>
                  <w:pPr>
                    <w:pStyle w:val="102"/>
                    <w:rPr>
                      <w:sz w:val="21"/>
                      <w:szCs w:val="21"/>
                    </w:rPr>
                  </w:pPr>
                  <w:r>
                    <w:rPr>
                      <w:rFonts w:hint="eastAsia"/>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pPr>
                    <w:pStyle w:val="102"/>
                    <w:rPr>
                      <w:sz w:val="21"/>
                      <w:szCs w:val="21"/>
                    </w:rPr>
                  </w:pPr>
                  <w:r>
                    <w:rPr>
                      <w:rFonts w:hint="eastAsia"/>
                      <w:sz w:val="21"/>
                      <w:szCs w:val="21"/>
                    </w:rPr>
                    <w:t>2</w:t>
                  </w:r>
                </w:p>
              </w:tc>
              <w:tc>
                <w:tcPr>
                  <w:tcW w:w="2393" w:type="pct"/>
                  <w:tcBorders>
                    <w:tl2br w:val="nil"/>
                    <w:tr2bl w:val="nil"/>
                  </w:tcBorders>
                  <w:vAlign w:val="center"/>
                </w:tcPr>
                <w:p>
                  <w:pPr>
                    <w:pStyle w:val="102"/>
                    <w:rPr>
                      <w:sz w:val="21"/>
                      <w:szCs w:val="21"/>
                    </w:rPr>
                  </w:pPr>
                  <w:r>
                    <w:rPr>
                      <w:sz w:val="21"/>
                      <w:szCs w:val="21"/>
                    </w:rPr>
                    <w:t>严格生态环境分区引导。严格落实湖南</w:t>
                  </w:r>
                  <w:r>
                    <w:rPr>
                      <w:rFonts w:hint="eastAsia"/>
                      <w:sz w:val="21"/>
                      <w:szCs w:val="21"/>
                    </w:rPr>
                    <w:t>“</w:t>
                  </w:r>
                  <w:r>
                    <w:rPr>
                      <w:sz w:val="21"/>
                      <w:szCs w:val="21"/>
                    </w:rPr>
                    <w:t>三线一单</w:t>
                  </w:r>
                  <w:r>
                    <w:rPr>
                      <w:rFonts w:hint="eastAsia"/>
                      <w:sz w:val="21"/>
                      <w:szCs w:val="21"/>
                    </w:rPr>
                    <w:t>”</w:t>
                  </w:r>
                  <w:r>
                    <w:rPr>
                      <w:sz w:val="21"/>
                      <w:szCs w:val="21"/>
                    </w:rPr>
                    <w:t>生态环境总体管控要求，将生态保护红线、环境质量底线、资源利用上限和生态环境准入清单作为硬约束落实到环境管控单元，根据生态环境功能自然资源禀赋、经济与社会发展实际，对环境管控单元实施差异化生态环境准入管理</w:t>
                  </w:r>
                </w:p>
              </w:tc>
              <w:tc>
                <w:tcPr>
                  <w:tcW w:w="1778" w:type="pct"/>
                  <w:tcBorders>
                    <w:tl2br w:val="nil"/>
                    <w:tr2bl w:val="nil"/>
                  </w:tcBorders>
                  <w:vAlign w:val="center"/>
                </w:tcPr>
                <w:p>
                  <w:pPr>
                    <w:pStyle w:val="102"/>
                    <w:rPr>
                      <w:sz w:val="21"/>
                      <w:szCs w:val="21"/>
                    </w:rPr>
                  </w:pPr>
                  <w:r>
                    <w:rPr>
                      <w:sz w:val="21"/>
                      <w:szCs w:val="21"/>
                    </w:rPr>
                    <w:t>根据前文分析，项目与《湖南省</w:t>
                  </w:r>
                  <w:r>
                    <w:rPr>
                      <w:rFonts w:hint="eastAsia"/>
                      <w:sz w:val="21"/>
                      <w:szCs w:val="21"/>
                    </w:rPr>
                    <w:t>“</w:t>
                  </w:r>
                  <w:r>
                    <w:rPr>
                      <w:sz w:val="21"/>
                      <w:szCs w:val="21"/>
                    </w:rPr>
                    <w:t>三线一单</w:t>
                  </w:r>
                  <w:r>
                    <w:rPr>
                      <w:rFonts w:hint="eastAsia"/>
                      <w:sz w:val="21"/>
                      <w:szCs w:val="21"/>
                    </w:rPr>
                    <w:t>”</w:t>
                  </w:r>
                  <w:r>
                    <w:rPr>
                      <w:sz w:val="21"/>
                      <w:szCs w:val="21"/>
                    </w:rPr>
                    <w:t>生态环境总体管控要求暨省级以上产业园区生态环境准入清单》以及《衡阳市生态环境准入清单》相符。</w:t>
                  </w:r>
                </w:p>
              </w:tc>
              <w:tc>
                <w:tcPr>
                  <w:tcW w:w="393" w:type="pct"/>
                  <w:tcBorders>
                    <w:tl2br w:val="nil"/>
                    <w:tr2bl w:val="nil"/>
                  </w:tcBorders>
                  <w:vAlign w:val="center"/>
                </w:tcPr>
                <w:p>
                  <w:pPr>
                    <w:pStyle w:val="102"/>
                    <w:rPr>
                      <w:sz w:val="21"/>
                      <w:szCs w:val="21"/>
                    </w:rPr>
                  </w:pPr>
                  <w:r>
                    <w:rPr>
                      <w:rFonts w:hint="eastAsia"/>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pPr>
                    <w:pStyle w:val="102"/>
                    <w:rPr>
                      <w:sz w:val="21"/>
                      <w:szCs w:val="21"/>
                    </w:rPr>
                  </w:pPr>
                  <w:r>
                    <w:rPr>
                      <w:rFonts w:hint="eastAsia"/>
                      <w:sz w:val="21"/>
                      <w:szCs w:val="21"/>
                    </w:rPr>
                    <w:t>3</w:t>
                  </w:r>
                </w:p>
              </w:tc>
              <w:tc>
                <w:tcPr>
                  <w:tcW w:w="2393" w:type="pct"/>
                  <w:tcBorders>
                    <w:tl2br w:val="nil"/>
                    <w:tr2bl w:val="nil"/>
                  </w:tcBorders>
                  <w:vAlign w:val="center"/>
                </w:tcPr>
                <w:p>
                  <w:pPr>
                    <w:pStyle w:val="102"/>
                    <w:rPr>
                      <w:sz w:val="21"/>
                      <w:szCs w:val="21"/>
                    </w:rPr>
                  </w:pPr>
                  <w:r>
                    <w:rPr>
                      <w:rFonts w:hint="eastAsia"/>
                      <w:sz w:val="21"/>
                      <w:szCs w:val="21"/>
                    </w:rPr>
                    <w:t>全面实行排污许可制度。建议以排污许可证为主要依据的生态环境日常监管执法体系，落实排污许可“一证式”管理。推进排污许可制度与环境影响评价制度有效融合，推动重点行业企业环境影响评价、排污许可、监管执法全闭环管理。持续做好排污许可证换证或登记延续动态更新</w:t>
                  </w:r>
                </w:p>
              </w:tc>
              <w:tc>
                <w:tcPr>
                  <w:tcW w:w="1778" w:type="pct"/>
                  <w:tcBorders>
                    <w:tl2br w:val="nil"/>
                    <w:tr2bl w:val="nil"/>
                  </w:tcBorders>
                  <w:vAlign w:val="center"/>
                </w:tcPr>
                <w:p>
                  <w:pPr>
                    <w:pStyle w:val="102"/>
                    <w:rPr>
                      <w:sz w:val="21"/>
                      <w:szCs w:val="21"/>
                    </w:rPr>
                  </w:pPr>
                  <w:r>
                    <w:rPr>
                      <w:sz w:val="21"/>
                      <w:szCs w:val="21"/>
                    </w:rPr>
                    <w:t>本项目实行</w:t>
                  </w:r>
                  <w:r>
                    <w:rPr>
                      <w:rFonts w:hint="eastAsia"/>
                      <w:sz w:val="21"/>
                      <w:szCs w:val="21"/>
                    </w:rPr>
                    <w:t>“三同时”</w:t>
                  </w:r>
                  <w:r>
                    <w:rPr>
                      <w:sz w:val="21"/>
                      <w:szCs w:val="21"/>
                    </w:rPr>
                    <w:t>制度，应按照环评中提到的污染防治要求，建立污染防治措施，并实行管理台账的登记工作，安排专人负责环境管理。同时完成排污许可登记工作，完成备案工作。</w:t>
                  </w:r>
                </w:p>
              </w:tc>
              <w:tc>
                <w:tcPr>
                  <w:tcW w:w="393" w:type="pct"/>
                  <w:tcBorders>
                    <w:tl2br w:val="nil"/>
                    <w:tr2bl w:val="nil"/>
                  </w:tcBorders>
                  <w:vAlign w:val="center"/>
                </w:tcPr>
                <w:p>
                  <w:pPr>
                    <w:pStyle w:val="102"/>
                    <w:rPr>
                      <w:sz w:val="21"/>
                      <w:szCs w:val="21"/>
                    </w:rPr>
                  </w:pPr>
                  <w:r>
                    <w:rPr>
                      <w:rFonts w:hint="eastAsia"/>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pPr>
                    <w:pStyle w:val="102"/>
                    <w:rPr>
                      <w:sz w:val="21"/>
                      <w:szCs w:val="21"/>
                    </w:rPr>
                  </w:pPr>
                  <w:r>
                    <w:rPr>
                      <w:rFonts w:hint="eastAsia"/>
                      <w:sz w:val="21"/>
                      <w:szCs w:val="21"/>
                    </w:rPr>
                    <w:t>4</w:t>
                  </w:r>
                </w:p>
              </w:tc>
              <w:tc>
                <w:tcPr>
                  <w:tcW w:w="2393" w:type="pct"/>
                  <w:tcBorders>
                    <w:tl2br w:val="nil"/>
                    <w:tr2bl w:val="nil"/>
                  </w:tcBorders>
                  <w:vAlign w:val="center"/>
                </w:tcPr>
                <w:p>
                  <w:pPr>
                    <w:pStyle w:val="102"/>
                    <w:rPr>
                      <w:sz w:val="21"/>
                      <w:szCs w:val="21"/>
                    </w:rPr>
                  </w:pPr>
                  <w:r>
                    <w:rPr>
                      <w:rFonts w:hint="eastAsia"/>
                      <w:sz w:val="21"/>
                      <w:szCs w:val="21"/>
                    </w:rPr>
                    <w:t>深化工业园区水污染治理。继续以企业和工业聚集区为重点，完善工业企业、园区污水处理设施建设，提高运营管理水平，确保工业废水达标排放</w:t>
                  </w:r>
                </w:p>
              </w:tc>
              <w:tc>
                <w:tcPr>
                  <w:tcW w:w="1778" w:type="pct"/>
                  <w:tcBorders>
                    <w:tl2br w:val="nil"/>
                    <w:tr2bl w:val="nil"/>
                  </w:tcBorders>
                  <w:vAlign w:val="center"/>
                </w:tcPr>
                <w:p>
                  <w:pPr>
                    <w:pStyle w:val="102"/>
                    <w:rPr>
                      <w:sz w:val="21"/>
                      <w:szCs w:val="21"/>
                    </w:rPr>
                  </w:pPr>
                  <w:r>
                    <w:rPr>
                      <w:sz w:val="21"/>
                      <w:szCs w:val="21"/>
                    </w:rPr>
                    <w:t>项目实行</w:t>
                  </w:r>
                  <w:r>
                    <w:rPr>
                      <w:rFonts w:hint="eastAsia"/>
                      <w:sz w:val="21"/>
                      <w:szCs w:val="21"/>
                    </w:rPr>
                    <w:t>“雨污分流制”</w:t>
                  </w:r>
                  <w:r>
                    <w:rPr>
                      <w:sz w:val="21"/>
                      <w:szCs w:val="21"/>
                    </w:rPr>
                    <w:t>。</w:t>
                  </w:r>
                  <w:r>
                    <w:rPr>
                      <w:rFonts w:hint="eastAsia"/>
                      <w:sz w:val="21"/>
                      <w:szCs w:val="21"/>
                    </w:rPr>
                    <w:t>项目运营期车间地面保洁废水及生活污水经化粪池预处理排入市政污水管网</w:t>
                  </w:r>
                  <w:r>
                    <w:rPr>
                      <w:sz w:val="21"/>
                      <w:szCs w:val="21"/>
                    </w:rPr>
                    <w:t>，经衡山高新区综合污水处理厂</w:t>
                  </w:r>
                  <w:r>
                    <w:rPr>
                      <w:rFonts w:hint="eastAsia"/>
                      <w:sz w:val="21"/>
                      <w:szCs w:val="21"/>
                    </w:rPr>
                    <w:t>进一步处理。</w:t>
                  </w:r>
                </w:p>
              </w:tc>
              <w:tc>
                <w:tcPr>
                  <w:tcW w:w="393" w:type="pct"/>
                  <w:tcBorders>
                    <w:tl2br w:val="nil"/>
                    <w:tr2bl w:val="nil"/>
                  </w:tcBorders>
                  <w:vAlign w:val="center"/>
                </w:tcPr>
                <w:p>
                  <w:pPr>
                    <w:pStyle w:val="102"/>
                    <w:rPr>
                      <w:sz w:val="21"/>
                      <w:szCs w:val="21"/>
                    </w:rPr>
                  </w:pPr>
                  <w:r>
                    <w:rPr>
                      <w:rFonts w:hint="eastAsia"/>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pPr>
                    <w:pStyle w:val="102"/>
                    <w:rPr>
                      <w:sz w:val="21"/>
                      <w:szCs w:val="21"/>
                    </w:rPr>
                  </w:pPr>
                  <w:r>
                    <w:rPr>
                      <w:rFonts w:hint="eastAsia"/>
                      <w:sz w:val="21"/>
                      <w:szCs w:val="21"/>
                    </w:rPr>
                    <w:t>5</w:t>
                  </w:r>
                </w:p>
              </w:tc>
              <w:tc>
                <w:tcPr>
                  <w:tcW w:w="2393" w:type="pct"/>
                  <w:tcBorders>
                    <w:tl2br w:val="nil"/>
                    <w:tr2bl w:val="nil"/>
                  </w:tcBorders>
                  <w:vAlign w:val="center"/>
                </w:tcPr>
                <w:p>
                  <w:pPr>
                    <w:pStyle w:val="102"/>
                    <w:rPr>
                      <w:sz w:val="21"/>
                      <w:szCs w:val="21"/>
                    </w:rPr>
                  </w:pPr>
                  <w:r>
                    <w:rPr>
                      <w:rFonts w:hint="eastAsia"/>
                      <w:sz w:val="21"/>
                      <w:szCs w:val="21"/>
                    </w:rPr>
                    <w:t>强化重</w:t>
                  </w:r>
                  <w:r>
                    <w:rPr>
                      <w:rFonts w:ascii="Times New Roman" w:cs="Times New Roman"/>
                      <w:sz w:val="21"/>
                      <w:szCs w:val="21"/>
                    </w:rPr>
                    <w:t>点行业</w:t>
                  </w:r>
                  <w:r>
                    <w:rPr>
                      <w:rFonts w:ascii="Times New Roman" w:hAnsi="Times New Roman" w:cs="Times New Roman"/>
                      <w:sz w:val="21"/>
                      <w:szCs w:val="21"/>
                    </w:rPr>
                    <w:t>VOCs</w:t>
                  </w:r>
                  <w:r>
                    <w:rPr>
                      <w:rFonts w:ascii="Times New Roman" w:cs="Times New Roman"/>
                      <w:sz w:val="21"/>
                      <w:szCs w:val="21"/>
                    </w:rPr>
                    <w:t>科学治理。以工业涂装、化工、包装印刷、油品储运销等行业为重点，实施企业</w:t>
                  </w:r>
                  <w:r>
                    <w:rPr>
                      <w:rFonts w:ascii="Times New Roman" w:hAnsi="Times New Roman" w:cs="Times New Roman"/>
                      <w:sz w:val="21"/>
                      <w:szCs w:val="21"/>
                    </w:rPr>
                    <w:t>VOCs</w:t>
                  </w:r>
                  <w:r>
                    <w:rPr>
                      <w:rFonts w:ascii="Times New Roman" w:cs="Times New Roman"/>
                      <w:sz w:val="21"/>
                      <w:szCs w:val="21"/>
                    </w:rPr>
                    <w:t>原料</w:t>
                  </w:r>
                  <w:r>
                    <w:rPr>
                      <w:rFonts w:hint="eastAsia"/>
                      <w:sz w:val="21"/>
                      <w:szCs w:val="21"/>
                    </w:rPr>
                    <w:t>替代、排放全过程控制。按照“分业施策、一行一策”的原则，加大低VOCs含量原辅材料的推广使用力度，从源头减少VOCs产生。推进使用先进生产工艺。通过采用全密闭、连续化、自动化等生产技术，减少工艺过程无组织排放。实行重点排放源排放浓度与去除效率双重控制</w:t>
                  </w:r>
                </w:p>
              </w:tc>
              <w:tc>
                <w:tcPr>
                  <w:tcW w:w="1778" w:type="pct"/>
                  <w:tcBorders>
                    <w:tl2br w:val="nil"/>
                    <w:tr2bl w:val="nil"/>
                  </w:tcBorders>
                  <w:vAlign w:val="center"/>
                </w:tcPr>
                <w:p>
                  <w:pPr>
                    <w:pStyle w:val="102"/>
                    <w:rPr>
                      <w:rFonts w:ascii="Times New Roman" w:hAnsi="Times New Roman" w:cs="Times New Roman"/>
                      <w:sz w:val="21"/>
                      <w:szCs w:val="21"/>
                    </w:rPr>
                  </w:pPr>
                  <w:r>
                    <w:rPr>
                      <w:rFonts w:ascii="Times New Roman" w:cs="Times New Roman"/>
                      <w:sz w:val="21"/>
                      <w:szCs w:val="21"/>
                    </w:rPr>
                    <w:t>本项目涉及含</w:t>
                  </w:r>
                  <w:r>
                    <w:rPr>
                      <w:rFonts w:ascii="Times New Roman" w:hAnsi="Times New Roman" w:cs="Times New Roman"/>
                      <w:sz w:val="21"/>
                      <w:szCs w:val="21"/>
                    </w:rPr>
                    <w:t>VOCs</w:t>
                  </w:r>
                  <w:r>
                    <w:rPr>
                      <w:rFonts w:ascii="Times New Roman" w:cs="Times New Roman"/>
                      <w:sz w:val="21"/>
                      <w:szCs w:val="21"/>
                    </w:rPr>
                    <w:t>物料均采用包装桶等密闭容器进行储存。生产线布设的设备连接密闭性良好，在液态含</w:t>
                  </w:r>
                  <w:r>
                    <w:rPr>
                      <w:rFonts w:ascii="Times New Roman" w:hAnsi="Times New Roman" w:cs="Times New Roman"/>
                      <w:sz w:val="21"/>
                      <w:szCs w:val="21"/>
                    </w:rPr>
                    <w:t>VOCs</w:t>
                  </w:r>
                  <w:r>
                    <w:rPr>
                      <w:rFonts w:ascii="Times New Roman" w:cs="Times New Roman"/>
                      <w:sz w:val="21"/>
                      <w:szCs w:val="21"/>
                    </w:rPr>
                    <w:t>的物料输送，采用泵送、管道输送等方式，避免了输送过程无组织排放。项目</w:t>
                  </w:r>
                  <w:r>
                    <w:rPr>
                      <w:rFonts w:hint="eastAsia" w:ascii="Times New Roman" w:cs="Times New Roman"/>
                      <w:sz w:val="21"/>
                      <w:szCs w:val="21"/>
                    </w:rPr>
                    <w:t>搅拌罐上方设置集气罩、调和罐顶部设置排气管、储罐泄压阀排气口设置集气软管</w:t>
                  </w:r>
                  <w:r>
                    <w:rPr>
                      <w:rFonts w:ascii="Times New Roman" w:cs="Times New Roman"/>
                      <w:sz w:val="21"/>
                      <w:szCs w:val="21"/>
                    </w:rPr>
                    <w:t>，总体废气收集效率达到</w:t>
                  </w:r>
                  <w:r>
                    <w:rPr>
                      <w:rFonts w:ascii="Times New Roman" w:hAnsi="Times New Roman" w:cs="Times New Roman"/>
                      <w:sz w:val="21"/>
                      <w:szCs w:val="21"/>
                    </w:rPr>
                    <w:t>90%</w:t>
                  </w:r>
                  <w:r>
                    <w:rPr>
                      <w:rFonts w:ascii="Times New Roman" w:cs="Times New Roman"/>
                      <w:sz w:val="21"/>
                      <w:szCs w:val="21"/>
                    </w:rPr>
                    <w:t>以上；项目生产过程产生的有机废气收集后经</w:t>
                  </w:r>
                  <w:r>
                    <w:rPr>
                      <w:rFonts w:hint="eastAsia" w:cs="Times New Roman" w:asciiTheme="minorEastAsia" w:hAnsiTheme="minorEastAsia"/>
                      <w:sz w:val="21"/>
                      <w:szCs w:val="21"/>
                    </w:rPr>
                    <w:t>二级活性炭</w:t>
                  </w:r>
                  <w:r>
                    <w:rPr>
                      <w:rFonts w:ascii="Times New Roman" w:cs="Times New Roman"/>
                      <w:sz w:val="21"/>
                      <w:szCs w:val="21"/>
                    </w:rPr>
                    <w:t>处理达标排放，处理效率为</w:t>
                  </w:r>
                  <w:r>
                    <w:rPr>
                      <w:rFonts w:hint="eastAsia" w:ascii="Times New Roman" w:hAnsi="Times New Roman" w:cs="Times New Roman"/>
                      <w:sz w:val="21"/>
                      <w:szCs w:val="21"/>
                    </w:rPr>
                    <w:t>95</w:t>
                  </w:r>
                  <w:r>
                    <w:rPr>
                      <w:rFonts w:ascii="Times New Roman" w:hAnsi="Times New Roman" w:cs="Times New Roman"/>
                      <w:sz w:val="21"/>
                      <w:szCs w:val="21"/>
                    </w:rPr>
                    <w:t>%</w:t>
                  </w:r>
                  <w:r>
                    <w:rPr>
                      <w:rFonts w:ascii="Times New Roman" w:cs="Times New Roman"/>
                      <w:sz w:val="21"/>
                      <w:szCs w:val="21"/>
                    </w:rPr>
                    <w:t>，未收集的部分则以无组织形式排放，项目产生的有机废气能达标排放。</w:t>
                  </w:r>
                </w:p>
              </w:tc>
              <w:tc>
                <w:tcPr>
                  <w:tcW w:w="393" w:type="pct"/>
                  <w:tcBorders>
                    <w:tl2br w:val="nil"/>
                    <w:tr2bl w:val="nil"/>
                  </w:tcBorders>
                  <w:vAlign w:val="center"/>
                </w:tcPr>
                <w:p>
                  <w:pPr>
                    <w:pStyle w:val="102"/>
                    <w:rPr>
                      <w:sz w:val="21"/>
                      <w:szCs w:val="21"/>
                    </w:rPr>
                  </w:pPr>
                  <w:r>
                    <w:rPr>
                      <w:rFonts w:hint="eastAsia"/>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5" w:type="pct"/>
                  <w:tcBorders>
                    <w:tl2br w:val="nil"/>
                    <w:tr2bl w:val="nil"/>
                  </w:tcBorders>
                  <w:vAlign w:val="center"/>
                </w:tcPr>
                <w:p>
                  <w:pPr>
                    <w:pStyle w:val="102"/>
                    <w:rPr>
                      <w:sz w:val="21"/>
                      <w:szCs w:val="21"/>
                    </w:rPr>
                  </w:pPr>
                  <w:r>
                    <w:rPr>
                      <w:rFonts w:hint="eastAsia"/>
                      <w:sz w:val="21"/>
                      <w:szCs w:val="21"/>
                    </w:rPr>
                    <w:t>6</w:t>
                  </w:r>
                </w:p>
              </w:tc>
              <w:tc>
                <w:tcPr>
                  <w:tcW w:w="2393" w:type="pct"/>
                  <w:tcBorders>
                    <w:tl2br w:val="nil"/>
                    <w:tr2bl w:val="nil"/>
                  </w:tcBorders>
                  <w:vAlign w:val="center"/>
                </w:tcPr>
                <w:p>
                  <w:pPr>
                    <w:pStyle w:val="102"/>
                    <w:rPr>
                      <w:sz w:val="21"/>
                      <w:szCs w:val="21"/>
                    </w:rPr>
                  </w:pPr>
                  <w:r>
                    <w:rPr>
                      <w:rFonts w:hint="eastAsia"/>
                      <w:sz w:val="21"/>
                      <w:szCs w:val="21"/>
                    </w:rPr>
                    <w:t>严格危险废物建设项目环境准入。严控新（扩）建省内综合利用能力过剩和以外省原料为主要来源的危险废物综合利用项目；不再新建有机类危险废物热（裂）解处理项目；对危险废物数量、种类、属性、贮存设施阐述不清的、无合理利用处置方案的、次生固体废物无处置出路、无环境风险防范措施的建设项目从严审批；推动危废产生单位优化生产工艺、设备和原料选配，促进从源头上减少危险废物产生量、降低危害性</w:t>
                  </w:r>
                </w:p>
              </w:tc>
              <w:tc>
                <w:tcPr>
                  <w:tcW w:w="1778" w:type="pct"/>
                  <w:tcBorders>
                    <w:tl2br w:val="nil"/>
                    <w:tr2bl w:val="nil"/>
                  </w:tcBorders>
                  <w:vAlign w:val="center"/>
                </w:tcPr>
                <w:p>
                  <w:pPr>
                    <w:pStyle w:val="102"/>
                    <w:rPr>
                      <w:sz w:val="21"/>
                      <w:szCs w:val="21"/>
                    </w:rPr>
                  </w:pPr>
                  <w:r>
                    <w:rPr>
                      <w:sz w:val="21"/>
                      <w:szCs w:val="21"/>
                    </w:rPr>
                    <w:t>本项目位于</w:t>
                  </w:r>
                  <w:r>
                    <w:rPr>
                      <w:rFonts w:hint="eastAsia"/>
                      <w:sz w:val="21"/>
                      <w:szCs w:val="21"/>
                    </w:rPr>
                    <w:t>衡山高新技术产业开发区内</w:t>
                  </w:r>
                  <w:r>
                    <w:rPr>
                      <w:sz w:val="21"/>
                      <w:szCs w:val="21"/>
                    </w:rPr>
                    <w:t>，项目符合园区产业定位，项目所在地为</w:t>
                  </w:r>
                  <w:r>
                    <w:rPr>
                      <w:rFonts w:hint="eastAsia"/>
                      <w:sz w:val="21"/>
                      <w:szCs w:val="21"/>
                    </w:rPr>
                    <w:t>二</w:t>
                  </w:r>
                  <w:r>
                    <w:rPr>
                      <w:sz w:val="21"/>
                      <w:szCs w:val="21"/>
                    </w:rPr>
                    <w:t>类工业用地。项目产生的危险废物经分类收集后暂存与产区危废暂存间，定期交由有处置资质的单位处置。项目建设过程中配套建设环境风险防范措施。</w:t>
                  </w:r>
                </w:p>
              </w:tc>
              <w:tc>
                <w:tcPr>
                  <w:tcW w:w="393" w:type="pct"/>
                  <w:tcBorders>
                    <w:tl2br w:val="nil"/>
                    <w:tr2bl w:val="nil"/>
                  </w:tcBorders>
                  <w:vAlign w:val="center"/>
                </w:tcPr>
                <w:p>
                  <w:pPr>
                    <w:pStyle w:val="102"/>
                    <w:rPr>
                      <w:sz w:val="21"/>
                      <w:szCs w:val="21"/>
                    </w:rPr>
                  </w:pPr>
                  <w:r>
                    <w:rPr>
                      <w:rFonts w:hint="eastAsia"/>
                      <w:sz w:val="21"/>
                      <w:szCs w:val="21"/>
                    </w:rPr>
                    <w:t>相符</w:t>
                  </w:r>
                </w:p>
              </w:tc>
            </w:tr>
          </w:tbl>
          <w:p>
            <w:pPr>
              <w:adjustRightInd w:val="0"/>
              <w:spacing w:line="360" w:lineRule="auto"/>
              <w:ind w:firstLine="480" w:firstLineChars="200"/>
              <w:rPr>
                <w:sz w:val="24"/>
              </w:rPr>
            </w:pPr>
            <w:r>
              <w:rPr>
                <w:rFonts w:hint="eastAsia"/>
                <w:sz w:val="24"/>
              </w:rPr>
              <w:t>综上，本项目建设符合《湖南省“十四五”生态环境保护规划》有关要求。</w:t>
            </w:r>
          </w:p>
          <w:p>
            <w:pPr>
              <w:adjustRightInd w:val="0"/>
              <w:spacing w:line="360" w:lineRule="auto"/>
              <w:ind w:firstLine="482" w:firstLineChars="200"/>
              <w:rPr>
                <w:b/>
                <w:sz w:val="24"/>
              </w:rPr>
            </w:pPr>
            <w:r>
              <w:rPr>
                <w:rFonts w:hint="eastAsia"/>
                <w:b/>
                <w:sz w:val="24"/>
              </w:rPr>
              <w:t>11、与《衡阳市“十四五”生态环境保护规划》的符合性分析</w:t>
            </w:r>
          </w:p>
          <w:p>
            <w:pPr>
              <w:adjustRightInd w:val="0"/>
              <w:spacing w:line="360" w:lineRule="auto"/>
              <w:ind w:firstLine="480" w:firstLineChars="200"/>
              <w:rPr>
                <w:sz w:val="24"/>
              </w:rPr>
            </w:pPr>
            <w:r>
              <w:rPr>
                <w:rFonts w:hint="eastAsia"/>
                <w:sz w:val="24"/>
              </w:rPr>
              <w:t>《衡阳市“十四五”生态环境保护规划》提出以下要求：实施VOCs全过程综合整治。以石化、化工、工业涂装包装印刷、油品储运销等行业为重点，实施企业VOCS原料替代排放全过程控制。按照“分业施策、一行一策”的原则，加大低VOCs含量原辅材料的推广便用力度，加快化工、工业涂装、包装印刷等重点行业低VOCs含量原辅材料替代进度，从源头减少VOCs产生。加快推进VOC重点监管企业“一企一策”综合整治方案的制定和实施。推进使用先进生产工艺设备，减少无组织排放。开展工业企业VOCs废气收集率、治理设施同步运行率和去除率专项检查，实行重点排放源排放浓度与去除效率双重控制。加强汽修行业VOCs综合治理。加大餐饮油烟污染治理力度，推进县级以上城市餐饮油烟治理全覆盖。</w:t>
            </w:r>
          </w:p>
          <w:p>
            <w:pPr>
              <w:adjustRightInd w:val="0"/>
              <w:spacing w:line="360" w:lineRule="auto"/>
              <w:ind w:firstLine="480" w:firstLineChars="200"/>
              <w:rPr>
                <w:sz w:val="24"/>
              </w:rPr>
            </w:pPr>
            <w:r>
              <w:rPr>
                <w:sz w:val="24"/>
              </w:rPr>
              <w:t>本项目已从源头加强控制，使用的</w:t>
            </w:r>
            <w:r>
              <w:rPr>
                <w:rFonts w:hint="eastAsia"/>
                <w:sz w:val="24"/>
              </w:rPr>
              <w:t>涂料</w:t>
            </w:r>
            <w:r>
              <w:rPr>
                <w:sz w:val="24"/>
              </w:rPr>
              <w:t>属于低</w:t>
            </w:r>
            <w:r>
              <w:rPr>
                <w:rFonts w:hint="eastAsia"/>
                <w:sz w:val="24"/>
              </w:rPr>
              <w:t>VOCs含量的原辅材料，</w:t>
            </w:r>
            <w:r>
              <w:rPr>
                <w:sz w:val="24"/>
              </w:rPr>
              <w:t>减少VOCs产生量：加强废气收集，安装高效末端治理设施（</w:t>
            </w:r>
            <w:r>
              <w:rPr>
                <w:rFonts w:hint="eastAsia"/>
                <w:sz w:val="24"/>
              </w:rPr>
              <w:t>二级活性炭</w:t>
            </w:r>
            <w:r>
              <w:rPr>
                <w:sz w:val="24"/>
              </w:rPr>
              <w:t>），涉及VOCs物料的使用过程均密闭操作，有挥发性的原材料、固体废物均密闭储存，确保VOCs达标排放。</w:t>
            </w:r>
          </w:p>
          <w:p>
            <w:pPr>
              <w:adjustRightInd w:val="0"/>
              <w:spacing w:line="360" w:lineRule="auto"/>
              <w:ind w:firstLine="480" w:firstLineChars="200"/>
              <w:rPr>
                <w:sz w:val="24"/>
              </w:rPr>
            </w:pPr>
            <w:r>
              <w:rPr>
                <w:rFonts w:hint="eastAsia"/>
                <w:sz w:val="24"/>
              </w:rPr>
              <w:t>综上，</w:t>
            </w:r>
            <w:r>
              <w:rPr>
                <w:sz w:val="24"/>
              </w:rPr>
              <w:t>本</w:t>
            </w:r>
            <w:r>
              <w:rPr>
                <w:rFonts w:hint="eastAsia"/>
                <w:sz w:val="24"/>
              </w:rPr>
              <w:t>项目建设</w:t>
            </w:r>
            <w:r>
              <w:rPr>
                <w:sz w:val="24"/>
              </w:rPr>
              <w:t>符合</w:t>
            </w:r>
            <w:r>
              <w:rPr>
                <w:rFonts w:hint="eastAsia"/>
                <w:sz w:val="24"/>
              </w:rPr>
              <w:t>《衡阳市“十四五”生态环境保护规划》。</w:t>
            </w:r>
          </w:p>
          <w:p>
            <w:pPr>
              <w:adjustRightInd w:val="0"/>
              <w:spacing w:line="360" w:lineRule="auto"/>
              <w:ind w:firstLine="482" w:firstLineChars="200"/>
              <w:rPr>
                <w:b/>
                <w:sz w:val="24"/>
              </w:rPr>
            </w:pPr>
            <w:r>
              <w:rPr>
                <w:rFonts w:hint="eastAsia"/>
                <w:b/>
                <w:sz w:val="24"/>
              </w:rPr>
              <w:t>12、与《衡阳市“十四五”空气质量改善规划》相符性分析</w:t>
            </w:r>
          </w:p>
          <w:p>
            <w:pPr>
              <w:adjustRightInd w:val="0"/>
              <w:spacing w:line="360" w:lineRule="auto"/>
              <w:ind w:firstLine="480" w:firstLineChars="200"/>
              <w:rPr>
                <w:sz w:val="24"/>
              </w:rPr>
            </w:pPr>
            <w:r>
              <w:rPr>
                <w:rFonts w:hint="eastAsia"/>
                <w:sz w:val="24"/>
              </w:rPr>
              <w:t>本项目与《衡阳市“十四五”空气质量改善规划》相符性分析见表1-7。</w:t>
            </w:r>
          </w:p>
          <w:p>
            <w:pPr>
              <w:adjustRightInd w:val="0"/>
              <w:snapToGrid w:val="0"/>
              <w:jc w:val="center"/>
              <w:rPr>
                <w:b/>
              </w:rPr>
            </w:pPr>
            <w:r>
              <w:rPr>
                <w:b/>
              </w:rPr>
              <w:t>表</w:t>
            </w:r>
            <w:r>
              <w:rPr>
                <w:rFonts w:hint="eastAsia"/>
                <w:b/>
              </w:rPr>
              <w:t xml:space="preserve">1-9  </w:t>
            </w:r>
            <w:r>
              <w:rPr>
                <w:b/>
              </w:rPr>
              <w:t>项目与</w:t>
            </w:r>
            <w:r>
              <w:rPr>
                <w:rFonts w:hint="eastAsia"/>
                <w:b/>
              </w:rPr>
              <w:t>《衡阳市“十四五”空气质量改善规划》</w:t>
            </w:r>
            <w:r>
              <w:rPr>
                <w:b/>
              </w:rPr>
              <w:t>符合性分析</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5090"/>
              <w:gridCol w:w="2513"/>
              <w:gridCol w:w="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Align w:val="center"/>
                </w:tcPr>
                <w:p>
                  <w:pPr>
                    <w:jc w:val="center"/>
                    <w:rPr>
                      <w:b/>
                    </w:rPr>
                  </w:pPr>
                  <w:r>
                    <w:rPr>
                      <w:b/>
                    </w:rPr>
                    <w:t>序号</w:t>
                  </w:r>
                </w:p>
              </w:tc>
              <w:tc>
                <w:tcPr>
                  <w:tcW w:w="2785" w:type="pct"/>
                  <w:vAlign w:val="center"/>
                </w:tcPr>
                <w:p>
                  <w:pPr>
                    <w:jc w:val="center"/>
                    <w:rPr>
                      <w:b/>
                    </w:rPr>
                  </w:pPr>
                  <w:r>
                    <w:rPr>
                      <w:b/>
                    </w:rPr>
                    <w:t>管控要求</w:t>
                  </w:r>
                </w:p>
              </w:tc>
              <w:tc>
                <w:tcPr>
                  <w:tcW w:w="1375" w:type="pct"/>
                  <w:vAlign w:val="center"/>
                </w:tcPr>
                <w:p>
                  <w:pPr>
                    <w:jc w:val="center"/>
                    <w:rPr>
                      <w:b/>
                    </w:rPr>
                  </w:pPr>
                  <w:r>
                    <w:rPr>
                      <w:b/>
                    </w:rPr>
                    <w:t>本项目情况</w:t>
                  </w:r>
                </w:p>
              </w:tc>
              <w:tc>
                <w:tcPr>
                  <w:tcW w:w="416" w:type="pct"/>
                  <w:vAlign w:val="center"/>
                </w:tcPr>
                <w:p>
                  <w:pPr>
                    <w:jc w:val="center"/>
                    <w:rPr>
                      <w:b/>
                    </w:rPr>
                  </w:pPr>
                  <w:r>
                    <w:rPr>
                      <w:rFonts w:hint="eastAsia"/>
                      <w:b/>
                    </w:rPr>
                    <w:t>是否相符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Align w:val="center"/>
                </w:tcPr>
                <w:p>
                  <w:pPr>
                    <w:jc w:val="center"/>
                  </w:pPr>
                  <w:r>
                    <w:t>1</w:t>
                  </w:r>
                </w:p>
              </w:tc>
              <w:tc>
                <w:tcPr>
                  <w:tcW w:w="2785" w:type="pct"/>
                  <w:vAlign w:val="center"/>
                </w:tcPr>
                <w:p>
                  <w:pPr>
                    <w:jc w:val="center"/>
                  </w:pPr>
                  <w:r>
                    <w:t>优化含VOCs原辅材料和产品结构。严格控制生产和使用高VOCs含量溶剂型涂料、油墨、胶粘剂、清洗剂等建设项目，现有高VOCs含量产品生产企业要加快产品升级转型，提高水性、高固体分、无溶剂、粉末等低VOCs含量产品的比重。工业涂装、包装印刷、电子等行业企业要制定工作计划，按照分业施策、一行一策的原则，加大低VOCs含量原辅材料的推广使用力度，从源头减少VOCs产生。到2025年底前，汽车整车制造底漆、中涂、色漆，汽车修理底色漆、本色面漆，以及室外构筑物防护和道路交通标志全部使用低VOCs含量涂料；木质家具制造、汽车零部件、工程机械、钢结构、船舶制造等行业使用比例应达到50%；钢结构、船舶制造使用比例达到30%。严格执行涂料、油墨、胶粘剂、清洗剂VOCs含量限值标准，加大抽检力度，确保生产、销售、进口、使用符合标准的产品。</w:t>
                  </w:r>
                </w:p>
              </w:tc>
              <w:tc>
                <w:tcPr>
                  <w:tcW w:w="1375" w:type="pct"/>
                  <w:vAlign w:val="center"/>
                </w:tcPr>
                <w:p>
                  <w:pPr>
                    <w:jc w:val="center"/>
                  </w:pPr>
                  <w:r>
                    <w:rPr>
                      <w:rFonts w:hint="eastAsia"/>
                    </w:rPr>
                    <w:t>本项目主要从事水基清洗剂、水性切削液、润滑油及环保碳氢清洗剂的复配生产（不涉及化学反应），均属于挥发性有机物含量低的产品，符合相应的产品限值标准</w:t>
                  </w:r>
                </w:p>
              </w:tc>
              <w:tc>
                <w:tcPr>
                  <w:tcW w:w="416"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Align w:val="center"/>
                </w:tcPr>
                <w:p>
                  <w:pPr>
                    <w:jc w:val="center"/>
                  </w:pPr>
                  <w:r>
                    <w:rPr>
                      <w:rFonts w:hint="eastAsia"/>
                    </w:rPr>
                    <w:t>2</w:t>
                  </w:r>
                </w:p>
              </w:tc>
              <w:tc>
                <w:tcPr>
                  <w:tcW w:w="2785" w:type="pct"/>
                  <w:vAlign w:val="center"/>
                </w:tcPr>
                <w:p>
                  <w:pPr>
                    <w:jc w:val="center"/>
                  </w:pPr>
                  <w:r>
                    <w:t>强化工艺过程控制及无组织排放排查整治。通过采用全密闭、连续化、自动化等生产技术，以及高效工艺与设备等，减少工艺过程VOCs排放。储罐按照VOCs无组织排放控制标准及相关行业排放标准要求，进行罐型和浮盘边缘密封方式选型。含VOCs物料生产和使用过程，应采取有效收集措施或在密闭空间井（池）、均质罐等排放的高浓度废气要单独收集处理，采用燃烧等高效治理技术。规范开展泄漏检测与修复（LDAR）。</w:t>
                  </w:r>
                </w:p>
              </w:tc>
              <w:tc>
                <w:tcPr>
                  <w:tcW w:w="1375" w:type="pct"/>
                  <w:vAlign w:val="center"/>
                </w:tcPr>
                <w:p>
                  <w:pPr>
                    <w:jc w:val="center"/>
                  </w:pPr>
                  <w:r>
                    <w:t>项目实施VOCs全过程控制，以减少VOCs排放。项目不设置废气排放系统旁路。项目建成后根据要求开展泄漏检测与修复（LDAR）</w:t>
                  </w:r>
                </w:p>
              </w:tc>
              <w:tc>
                <w:tcPr>
                  <w:tcW w:w="416"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Align w:val="center"/>
                </w:tcPr>
                <w:p>
                  <w:pPr>
                    <w:jc w:val="center"/>
                  </w:pPr>
                  <w:r>
                    <w:rPr>
                      <w:rFonts w:hint="eastAsia"/>
                    </w:rPr>
                    <w:t>3</w:t>
                  </w:r>
                </w:p>
              </w:tc>
              <w:tc>
                <w:tcPr>
                  <w:tcW w:w="2785" w:type="pct"/>
                  <w:vAlign w:val="center"/>
                </w:tcPr>
                <w:p>
                  <w:pPr>
                    <w:adjustRightInd w:val="0"/>
                    <w:jc w:val="center"/>
                  </w:pPr>
                  <w:r>
                    <w:t>推进VOCs末端治理。按照“应收尽收、分质收集”的原则，将无组织排放转变为有组织排放进行集中处理，选择适宜高效治理技术，加强运行维护管理，治理设施较生产设备要做到“先启后停”。全面排查清理涉VOCs排放废气旁路，因安全生产等原因必须保留的，要加强监管监控。</w:t>
                  </w:r>
                </w:p>
              </w:tc>
              <w:tc>
                <w:tcPr>
                  <w:tcW w:w="1375" w:type="pct"/>
                  <w:vAlign w:val="center"/>
                </w:tcPr>
                <w:p>
                  <w:pPr>
                    <w:jc w:val="center"/>
                  </w:pPr>
                  <w:r>
                    <w:rPr>
                      <w:rFonts w:hint="eastAsia"/>
                    </w:rPr>
                    <w:t>本项目将严格落实运营期的废气收集治理措施，针对生产过程中的重点污染物有机废气，经采取二级活性炭处理设施进行治理</w:t>
                  </w:r>
                </w:p>
              </w:tc>
              <w:tc>
                <w:tcPr>
                  <w:tcW w:w="416" w:type="pct"/>
                  <w:vAlign w:val="center"/>
                </w:tcPr>
                <w:p>
                  <w:pPr>
                    <w:jc w:val="center"/>
                  </w:pPr>
                  <w: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vAlign w:val="center"/>
                </w:tcPr>
                <w:p>
                  <w:pPr>
                    <w:jc w:val="center"/>
                  </w:pPr>
                  <w:r>
                    <w:rPr>
                      <w:rFonts w:hint="eastAsia"/>
                    </w:rPr>
                    <w:t>4</w:t>
                  </w:r>
                </w:p>
              </w:tc>
              <w:tc>
                <w:tcPr>
                  <w:tcW w:w="2785" w:type="pct"/>
                  <w:vAlign w:val="center"/>
                </w:tcPr>
                <w:p>
                  <w:pPr>
                    <w:adjustRightInd w:val="0"/>
                    <w:jc w:val="center"/>
                  </w:pPr>
                  <w:r>
                    <w:t>加强非正常工况废气排放控制。企业开停工、检维修期间，按照要求及时收集处理退料、清洗、吹扫等作业产生的VOCs废气。石化、化工企业制定非正常工况VOCs管控规程，不得将火炬燃烧装置作为日常大气污染处理设施；火炬系统要安装温度监控、废气流量计、助燃气体流量计等，鼓励安装热值检测仪。</w:t>
                  </w:r>
                </w:p>
              </w:tc>
              <w:tc>
                <w:tcPr>
                  <w:tcW w:w="1375" w:type="pct"/>
                  <w:vAlign w:val="center"/>
                </w:tcPr>
                <w:p>
                  <w:pPr>
                    <w:jc w:val="center"/>
                  </w:pPr>
                  <w:r>
                    <w:t>项目对生产设施定期维护，维修故障期间不进行生产工作</w:t>
                  </w:r>
                </w:p>
              </w:tc>
              <w:tc>
                <w:tcPr>
                  <w:tcW w:w="416" w:type="pct"/>
                  <w:vAlign w:val="center"/>
                </w:tcPr>
                <w:p>
                  <w:pPr>
                    <w:jc w:val="center"/>
                  </w:pPr>
                  <w:r>
                    <w:t>相符</w:t>
                  </w:r>
                </w:p>
              </w:tc>
            </w:tr>
          </w:tbl>
          <w:p>
            <w:pPr>
              <w:pStyle w:val="56"/>
              <w:snapToGrid/>
              <w:spacing w:line="360" w:lineRule="auto"/>
              <w:ind w:firstLine="480" w:firstLineChars="200"/>
              <w:rPr>
                <w:rFonts w:eastAsia="宋体"/>
                <w:color w:val="auto"/>
                <w:szCs w:val="24"/>
              </w:rPr>
            </w:pPr>
            <w:r>
              <w:rPr>
                <w:rFonts w:hint="eastAsia" w:eastAsia="宋体"/>
                <w:color w:val="auto"/>
                <w:szCs w:val="24"/>
              </w:rPr>
              <w:t>综上，本项目符合《衡阳市“十四五”空气质量改善规划》相关要求。</w:t>
            </w:r>
          </w:p>
          <w:p>
            <w:pPr>
              <w:pStyle w:val="4"/>
            </w:pPr>
          </w:p>
          <w:p/>
          <w:p>
            <w:pPr>
              <w:pStyle w:val="2"/>
            </w:pPr>
          </w:p>
          <w:p>
            <w:pPr>
              <w:pStyle w:val="10"/>
            </w:pPr>
          </w:p>
          <w:p/>
          <w:p>
            <w:pPr>
              <w:pStyle w:val="2"/>
            </w:pPr>
          </w:p>
          <w:p>
            <w:pPr>
              <w:pStyle w:val="4"/>
            </w:pPr>
          </w:p>
          <w:p/>
          <w:p>
            <w:pPr>
              <w:pStyle w:val="2"/>
            </w:pPr>
          </w:p>
          <w:p>
            <w:pPr>
              <w:pStyle w:val="4"/>
            </w:pPr>
          </w:p>
          <w:p/>
          <w:p>
            <w:pPr>
              <w:pStyle w:val="2"/>
            </w:pPr>
          </w:p>
          <w:p>
            <w:pPr>
              <w:pStyle w:val="4"/>
            </w:pPr>
          </w:p>
          <w:p/>
          <w:p>
            <w:pPr>
              <w:pStyle w:val="2"/>
            </w:pPr>
          </w:p>
        </w:tc>
      </w:tr>
    </w:tbl>
    <w:p>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pPr>
        <w:pStyle w:val="28"/>
        <w:jc w:val="center"/>
        <w:outlineLvl w:val="0"/>
        <w:rPr>
          <w:rFonts w:ascii="黑体" w:hAnsi="黑体" w:eastAsia="黑体"/>
          <w:snapToGrid w:val="0"/>
          <w:sz w:val="30"/>
          <w:szCs w:val="30"/>
        </w:rPr>
      </w:pPr>
      <w:bookmarkStart w:id="8" w:name="_Toc111712327"/>
      <w:r>
        <w:rPr>
          <w:rFonts w:hint="eastAsia" w:ascii="黑体" w:hAnsi="黑体" w:eastAsia="黑体"/>
          <w:snapToGrid w:val="0"/>
          <w:sz w:val="30"/>
          <w:szCs w:val="30"/>
        </w:rPr>
        <w:t>二、建设项目工程分析</w:t>
      </w:r>
      <w:bookmarkEnd w:id="8"/>
    </w:p>
    <w:tbl>
      <w:tblPr>
        <w:tblStyle w:val="31"/>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1"/>
        <w:gridCol w:w="95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4" w:type="dxa"/>
            <w:vAlign w:val="center"/>
          </w:tcPr>
          <w:p>
            <w:pPr>
              <w:pStyle w:val="28"/>
              <w:adjustRightInd w:val="0"/>
              <w:snapToGrid w:val="0"/>
              <w:spacing w:before="0" w:beforeAutospacing="0" w:after="0" w:afterAutospacing="0"/>
              <w:jc w:val="center"/>
              <w:rPr>
                <w:rFonts w:cs="宋体"/>
                <w:b/>
                <w:szCs w:val="24"/>
              </w:rPr>
            </w:pPr>
            <w:r>
              <w:rPr>
                <w:rFonts w:hint="eastAsia" w:cs="宋体"/>
                <w:b/>
                <w:szCs w:val="24"/>
              </w:rPr>
              <w:t>建设内容</w:t>
            </w:r>
          </w:p>
        </w:tc>
        <w:tc>
          <w:tcPr>
            <w:tcW w:w="9522" w:type="dxa"/>
          </w:tcPr>
          <w:p>
            <w:pPr>
              <w:adjustRightInd w:val="0"/>
              <w:snapToGrid w:val="0"/>
              <w:spacing w:line="360" w:lineRule="auto"/>
              <w:ind w:firstLine="482" w:firstLineChars="200"/>
              <w:rPr>
                <w:b/>
                <w:bCs/>
                <w:sz w:val="24"/>
              </w:rPr>
            </w:pPr>
            <w:r>
              <w:rPr>
                <w:rFonts w:hint="eastAsia"/>
                <w:b/>
                <w:bCs/>
                <w:sz w:val="24"/>
              </w:rPr>
              <w:t>一</w:t>
            </w:r>
            <w:r>
              <w:rPr>
                <w:b/>
                <w:bCs/>
                <w:sz w:val="24"/>
              </w:rPr>
              <w:t>、项目由来</w:t>
            </w:r>
          </w:p>
          <w:p>
            <w:pPr>
              <w:pStyle w:val="104"/>
              <w:rPr>
                <w:kern w:val="2"/>
                <w:szCs w:val="24"/>
              </w:rPr>
            </w:pPr>
            <w:r>
              <w:rPr>
                <w:rFonts w:hint="eastAsia"/>
                <w:kern w:val="2"/>
                <w:szCs w:val="24"/>
              </w:rPr>
              <w:t>湖南鸿福实业有限公司（以下简称“鸿福实业”）成立于2018年12月20日，位于衡阳市衡山县永和乡新场市社区。因近年来国家政策鼓励湘商回归、返乡创业，鸿福实业通过招商引资入驻衡阳市衡山县，拟自购衡山高新技术产业开发区坪青路旁工业用地新建厂房建设新材料项目。项目总投资约32000万元，总用地面积</w:t>
            </w:r>
            <w:r>
              <w:rPr>
                <w:rFonts w:hint="eastAsia"/>
              </w:rPr>
              <w:t>41085.11m</w:t>
            </w:r>
            <w:r>
              <w:rPr>
                <w:rFonts w:hint="eastAsia"/>
                <w:vertAlign w:val="superscript"/>
              </w:rPr>
              <w:t>2</w:t>
            </w:r>
            <w:r>
              <w:rPr>
                <w:rFonts w:hint="eastAsia"/>
              </w:rPr>
              <w:t>，总建筑面积33399.66m</w:t>
            </w:r>
            <w:r>
              <w:rPr>
                <w:rFonts w:hint="eastAsia"/>
                <w:vertAlign w:val="superscript"/>
              </w:rPr>
              <w:t>2</w:t>
            </w:r>
            <w:r>
              <w:rPr>
                <w:rFonts w:hint="eastAsia"/>
              </w:rPr>
              <w:t>。项目主要建</w:t>
            </w:r>
            <w:r>
              <w:t>设水基</w:t>
            </w:r>
            <w:r>
              <w:rPr>
                <w:color w:val="000000"/>
                <w:szCs w:val="24"/>
              </w:rPr>
              <w:t>清洗剂、切削液、润滑油及碳基清洗剂生产线，生产工艺</w:t>
            </w:r>
            <w:r>
              <w:rPr>
                <w:szCs w:val="24"/>
              </w:rPr>
              <w:t>仅涉及物理混合过程，不涉及化学反应，原辅材料直接外购，建成后预计年产</w:t>
            </w:r>
            <w:r>
              <w:rPr>
                <w:color w:val="000000"/>
                <w:szCs w:val="24"/>
              </w:rPr>
              <w:t>水基清洗剂</w:t>
            </w:r>
            <w:r>
              <w:rPr>
                <w:rFonts w:hint="eastAsia"/>
                <w:color w:val="000000"/>
                <w:szCs w:val="24"/>
              </w:rPr>
              <w:t>1</w:t>
            </w:r>
            <w:r>
              <w:rPr>
                <w:color w:val="000000"/>
                <w:szCs w:val="24"/>
              </w:rPr>
              <w:t>4</w:t>
            </w:r>
            <w:r>
              <w:rPr>
                <w:rFonts w:hint="eastAsia"/>
                <w:color w:val="000000"/>
                <w:szCs w:val="24"/>
              </w:rPr>
              <w:t>2</w:t>
            </w:r>
            <w:r>
              <w:rPr>
                <w:color w:val="000000"/>
                <w:szCs w:val="24"/>
              </w:rPr>
              <w:t>20t/a、水性切削液1320t/a、润滑油1440t/a、环保碳氢清洗剂</w:t>
            </w:r>
            <w:r>
              <w:rPr>
                <w:rFonts w:hint="eastAsia"/>
                <w:color w:val="000000"/>
                <w:szCs w:val="24"/>
              </w:rPr>
              <w:t>666</w:t>
            </w:r>
            <w:r>
              <w:rPr>
                <w:color w:val="000000"/>
                <w:szCs w:val="24"/>
              </w:rPr>
              <w:t>0t/a。</w:t>
            </w:r>
          </w:p>
          <w:p>
            <w:pPr>
              <w:adjustRightInd w:val="0"/>
              <w:snapToGrid w:val="0"/>
              <w:spacing w:line="360" w:lineRule="auto"/>
              <w:ind w:firstLine="480" w:firstLineChars="200"/>
              <w:rPr>
                <w:sz w:val="24"/>
              </w:rPr>
            </w:pPr>
            <w:r>
              <w:rPr>
                <w:rFonts w:hint="eastAsia"/>
                <w:sz w:val="24"/>
              </w:rPr>
              <w:t>本项目在建设过程中和建成投入生产后，可能会对周围环境产生一定的影响。根据《中华人民共和国环境保护法》、《中华人民共和国环境影响评价法》、《建设项目环境保护管理条例》</w:t>
            </w:r>
            <w:r>
              <w:rPr>
                <w:sz w:val="24"/>
              </w:rPr>
              <w:t>（国务院第</w:t>
            </w:r>
            <w:r>
              <w:rPr>
                <w:rFonts w:hint="eastAsia"/>
                <w:sz w:val="24"/>
              </w:rPr>
              <w:t>682号令</w:t>
            </w:r>
            <w:r>
              <w:rPr>
                <w:sz w:val="24"/>
              </w:rPr>
              <w:t>）</w:t>
            </w:r>
            <w:r>
              <w:rPr>
                <w:rFonts w:hint="eastAsia"/>
                <w:sz w:val="24"/>
              </w:rPr>
              <w:t>中的有关规定，新建、扩建、改建的建设项目必须进行环境影响评价。根据《建设项目环境影响评价分类管理名录（2021年版）》，本项目</w:t>
            </w:r>
            <w:r>
              <w:rPr>
                <w:color w:val="000000"/>
                <w:kern w:val="0"/>
                <w:sz w:val="24"/>
              </w:rPr>
              <w:t>切削液及润滑油</w:t>
            </w:r>
            <w:r>
              <w:rPr>
                <w:rFonts w:hint="eastAsia"/>
                <w:color w:val="000000"/>
                <w:kern w:val="0"/>
                <w:sz w:val="24"/>
              </w:rPr>
              <w:t>属于“二十二、石油、煤炭及其他燃料加工业 25”中“42、</w:t>
            </w:r>
            <w:r>
              <w:rPr>
                <w:rFonts w:hint="eastAsia"/>
                <w:b/>
                <w:bCs/>
                <w:color w:val="000000"/>
                <w:kern w:val="0"/>
                <w:sz w:val="24"/>
              </w:rPr>
              <w:t>精炼石油产品制造 251</w:t>
            </w:r>
            <w:r>
              <w:rPr>
                <w:rFonts w:hint="eastAsia"/>
                <w:color w:val="000000"/>
                <w:kern w:val="0"/>
                <w:sz w:val="24"/>
              </w:rPr>
              <w:t>；煤炭加工252”的“</w:t>
            </w:r>
            <w:r>
              <w:rPr>
                <w:rFonts w:ascii="宋体" w:hAnsi="宋体" w:cs="宋体"/>
                <w:b/>
                <w:bCs/>
                <w:sz w:val="24"/>
              </w:rPr>
              <w:t>单纯物理分离、物理提纯、混合、分装的（不产生废水或挥发性有机物的除外）</w:t>
            </w:r>
            <w:r>
              <w:rPr>
                <w:rFonts w:ascii="宋体" w:hAnsi="宋体" w:cs="宋体"/>
                <w:sz w:val="24"/>
              </w:rPr>
              <w:t>；煤制品制造；其他煤炭加</w:t>
            </w:r>
            <w:r>
              <w:rPr>
                <w:rFonts w:hint="eastAsia" w:ascii="宋体" w:hAnsi="宋体" w:cs="宋体"/>
                <w:sz w:val="24"/>
              </w:rPr>
              <w:t>工</w:t>
            </w:r>
            <w:r>
              <w:rPr>
                <w:rFonts w:hint="eastAsia"/>
                <w:color w:val="000000"/>
                <w:kern w:val="0"/>
                <w:sz w:val="24"/>
              </w:rPr>
              <w:t>”</w:t>
            </w:r>
            <w:r>
              <w:rPr>
                <w:rFonts w:hint="eastAsia"/>
                <w:sz w:val="24"/>
              </w:rPr>
              <w:t>的类别，应编制环境影响报告表；水基</w:t>
            </w:r>
            <w:r>
              <w:rPr>
                <w:color w:val="000000"/>
                <w:kern w:val="0"/>
                <w:sz w:val="24"/>
              </w:rPr>
              <w:t>清洗剂及碳基清洗剂</w:t>
            </w:r>
            <w:r>
              <w:rPr>
                <w:rFonts w:hint="eastAsia"/>
                <w:sz w:val="24"/>
              </w:rPr>
              <w:t>属于“二十三、化学原料和化学制品制造业”中“44、基础化学原料制造；农药制造；涂料、油墨、颜料机类似产品制造；合成材料制造；</w:t>
            </w:r>
            <w:r>
              <w:rPr>
                <w:rFonts w:hint="eastAsia"/>
                <w:b/>
                <w:bCs/>
                <w:sz w:val="24"/>
              </w:rPr>
              <w:t>专用化学产品制造</w:t>
            </w:r>
            <w:r>
              <w:rPr>
                <w:rFonts w:hint="eastAsia"/>
                <w:sz w:val="24"/>
              </w:rPr>
              <w:t>；炸药、火力及焰火产品制造”的“单纯物理分离、物理提纯、混合、分装的（不产生废水或挥发性有机物的除外）”的类别，应编制环境影响报告表；综上，本项目应编制环境影响报告表。</w:t>
            </w:r>
            <w:r>
              <w:rPr>
                <w:rFonts w:hint="eastAsia" w:eastAsiaTheme="minorEastAsia"/>
                <w:sz w:val="24"/>
              </w:rPr>
              <w:t>为此，湖南鸿福实业有限公司</w:t>
            </w:r>
            <w:r>
              <w:rPr>
                <w:rFonts w:hint="eastAsia"/>
                <w:sz w:val="24"/>
              </w:rPr>
              <w:t>委托</w:t>
            </w:r>
            <w:r>
              <w:rPr>
                <w:rFonts w:ascii="宋体" w:hAnsi="宋体" w:cs="宋体"/>
                <w:sz w:val="24"/>
              </w:rPr>
              <w:t>湖南鑫煜环保科技有限公司</w:t>
            </w:r>
            <w:r>
              <w:rPr>
                <w:rFonts w:hint="eastAsia"/>
                <w:sz w:val="24"/>
              </w:rPr>
              <w:t>承担本项目的环境影响评价工作。我公司接受委托后，立即组织相关技术人员进行现场踏勘、类比调查、收集相关资料，在此基础上，按照国家对建设项目环境影响评价的有关规定和有关环保政策、技术规范，编制了本项目环境影响报告表，报请审查。</w:t>
            </w:r>
          </w:p>
          <w:p>
            <w:pPr>
              <w:adjustRightInd w:val="0"/>
              <w:snapToGrid w:val="0"/>
              <w:spacing w:line="360" w:lineRule="auto"/>
              <w:ind w:firstLine="482" w:firstLineChars="200"/>
              <w:rPr>
                <w:b/>
                <w:bCs/>
                <w:sz w:val="24"/>
              </w:rPr>
            </w:pPr>
            <w:r>
              <w:rPr>
                <w:rFonts w:hint="eastAsia"/>
                <w:b/>
                <w:bCs/>
                <w:sz w:val="24"/>
              </w:rPr>
              <w:t>二、建设内容及规模</w:t>
            </w:r>
          </w:p>
          <w:p>
            <w:pPr>
              <w:adjustRightInd w:val="0"/>
              <w:snapToGrid w:val="0"/>
              <w:spacing w:line="360" w:lineRule="auto"/>
              <w:ind w:firstLine="482" w:firstLineChars="200"/>
              <w:rPr>
                <w:b/>
                <w:sz w:val="24"/>
              </w:rPr>
            </w:pPr>
            <w:r>
              <w:rPr>
                <w:rFonts w:hint="eastAsia"/>
                <w:b/>
                <w:sz w:val="24"/>
              </w:rPr>
              <w:t>1、项目概况</w:t>
            </w:r>
          </w:p>
          <w:p>
            <w:pPr>
              <w:autoSpaceDE w:val="0"/>
              <w:autoSpaceDN w:val="0"/>
              <w:adjustRightInd w:val="0"/>
              <w:spacing w:line="360" w:lineRule="auto"/>
              <w:ind w:firstLine="480" w:firstLineChars="200"/>
              <w:rPr>
                <w:kern w:val="0"/>
                <w:sz w:val="24"/>
              </w:rPr>
            </w:pPr>
            <w:r>
              <w:rPr>
                <w:kern w:val="0"/>
                <w:sz w:val="24"/>
              </w:rPr>
              <w:t>（1）项目名称：</w:t>
            </w:r>
            <w:r>
              <w:rPr>
                <w:rFonts w:hint="eastAsia"/>
                <w:sz w:val="24"/>
              </w:rPr>
              <w:t>湖南鸿福实业有限公司新材料建设项目</w:t>
            </w:r>
          </w:p>
          <w:p>
            <w:pPr>
              <w:autoSpaceDE w:val="0"/>
              <w:autoSpaceDN w:val="0"/>
              <w:adjustRightInd w:val="0"/>
              <w:spacing w:line="360" w:lineRule="auto"/>
              <w:ind w:firstLine="480" w:firstLineChars="200"/>
              <w:rPr>
                <w:kern w:val="0"/>
                <w:sz w:val="24"/>
              </w:rPr>
            </w:pPr>
            <w:r>
              <w:rPr>
                <w:kern w:val="0"/>
                <w:sz w:val="24"/>
              </w:rPr>
              <w:t>（2）建设单位：</w:t>
            </w:r>
            <w:r>
              <w:rPr>
                <w:rFonts w:hint="eastAsia"/>
                <w:kern w:val="0"/>
                <w:sz w:val="24"/>
              </w:rPr>
              <w:t>湖南鸿福实业有限公司</w:t>
            </w:r>
          </w:p>
          <w:p>
            <w:pPr>
              <w:autoSpaceDE w:val="0"/>
              <w:autoSpaceDN w:val="0"/>
              <w:adjustRightInd w:val="0"/>
              <w:spacing w:line="360" w:lineRule="auto"/>
              <w:ind w:firstLine="480" w:firstLineChars="200"/>
              <w:rPr>
                <w:kern w:val="0"/>
                <w:sz w:val="24"/>
              </w:rPr>
            </w:pPr>
            <w:r>
              <w:rPr>
                <w:kern w:val="0"/>
                <w:sz w:val="24"/>
              </w:rPr>
              <w:t>（3）建设地点：</w:t>
            </w:r>
            <w:r>
              <w:rPr>
                <w:sz w:val="24"/>
              </w:rPr>
              <w:t>衡山高新技术产业开发区</w:t>
            </w:r>
            <w:r>
              <w:rPr>
                <w:rFonts w:hint="eastAsia"/>
                <w:sz w:val="24"/>
              </w:rPr>
              <w:t>坪青路旁</w:t>
            </w:r>
            <w:r>
              <w:rPr>
                <w:sz w:val="24"/>
              </w:rPr>
              <w:t>，中心地理坐标为：</w:t>
            </w:r>
            <w:r>
              <w:rPr>
                <w:rFonts w:hint="eastAsia"/>
                <w:sz w:val="24"/>
              </w:rPr>
              <w:t>E 112.880873°，N 27.280931°</w:t>
            </w:r>
          </w:p>
          <w:p>
            <w:pPr>
              <w:autoSpaceDE w:val="0"/>
              <w:autoSpaceDN w:val="0"/>
              <w:adjustRightInd w:val="0"/>
              <w:spacing w:line="360" w:lineRule="auto"/>
              <w:ind w:firstLine="480" w:firstLineChars="200"/>
              <w:rPr>
                <w:kern w:val="0"/>
                <w:sz w:val="24"/>
              </w:rPr>
            </w:pPr>
            <w:r>
              <w:rPr>
                <w:kern w:val="0"/>
                <w:sz w:val="24"/>
              </w:rPr>
              <w:t>（4）项目性质：新建</w:t>
            </w:r>
          </w:p>
          <w:p>
            <w:pPr>
              <w:autoSpaceDE w:val="0"/>
              <w:autoSpaceDN w:val="0"/>
              <w:adjustRightInd w:val="0"/>
              <w:spacing w:line="360" w:lineRule="auto"/>
              <w:ind w:firstLine="480" w:firstLineChars="200"/>
              <w:rPr>
                <w:kern w:val="0"/>
                <w:sz w:val="24"/>
              </w:rPr>
            </w:pPr>
            <w:r>
              <w:rPr>
                <w:kern w:val="0"/>
                <w:sz w:val="24"/>
              </w:rPr>
              <w:t>（5）项目总投资：</w:t>
            </w:r>
            <w:r>
              <w:rPr>
                <w:rFonts w:hint="eastAsia"/>
                <w:sz w:val="24"/>
              </w:rPr>
              <w:t>32000</w:t>
            </w:r>
            <w:r>
              <w:rPr>
                <w:rFonts w:hint="eastAsia"/>
                <w:kern w:val="0"/>
                <w:sz w:val="24"/>
              </w:rPr>
              <w:t>万</w:t>
            </w:r>
            <w:r>
              <w:rPr>
                <w:kern w:val="0"/>
                <w:sz w:val="24"/>
              </w:rPr>
              <w:t>元，其中环保投资为</w:t>
            </w:r>
            <w:r>
              <w:rPr>
                <w:rFonts w:hint="eastAsia"/>
                <w:kern w:val="0"/>
                <w:sz w:val="24"/>
              </w:rPr>
              <w:t>320</w:t>
            </w:r>
            <w:r>
              <w:rPr>
                <w:kern w:val="0"/>
                <w:sz w:val="24"/>
              </w:rPr>
              <w:t>万元，约占总投资的</w:t>
            </w:r>
            <w:r>
              <w:rPr>
                <w:rFonts w:hint="eastAsia"/>
                <w:kern w:val="0"/>
                <w:sz w:val="24"/>
              </w:rPr>
              <w:t>1</w:t>
            </w:r>
            <w:r>
              <w:rPr>
                <w:kern w:val="0"/>
                <w:sz w:val="24"/>
              </w:rPr>
              <w:t>%</w:t>
            </w:r>
          </w:p>
          <w:p>
            <w:pPr>
              <w:autoSpaceDE w:val="0"/>
              <w:autoSpaceDN w:val="0"/>
              <w:adjustRightInd w:val="0"/>
              <w:spacing w:line="360" w:lineRule="auto"/>
              <w:ind w:firstLine="480" w:firstLineChars="200"/>
              <w:rPr>
                <w:kern w:val="0"/>
                <w:sz w:val="24"/>
              </w:rPr>
            </w:pPr>
            <w:r>
              <w:rPr>
                <w:kern w:val="0"/>
                <w:sz w:val="24"/>
              </w:rPr>
              <w:t>（6）占地面积：</w:t>
            </w:r>
            <w:r>
              <w:rPr>
                <w:rFonts w:hint="eastAsia"/>
                <w:sz w:val="24"/>
              </w:rPr>
              <w:t>总用地面积</w:t>
            </w:r>
            <w:r>
              <w:rPr>
                <w:rFonts w:hint="eastAsia"/>
                <w:kern w:val="0"/>
                <w:sz w:val="24"/>
              </w:rPr>
              <w:t>41085.11m</w:t>
            </w:r>
            <w:r>
              <w:rPr>
                <w:rFonts w:hint="eastAsia"/>
                <w:kern w:val="0"/>
                <w:sz w:val="24"/>
                <w:vertAlign w:val="superscript"/>
              </w:rPr>
              <w:t>2</w:t>
            </w:r>
            <w:r>
              <w:rPr>
                <w:rFonts w:hint="eastAsia"/>
                <w:kern w:val="0"/>
                <w:sz w:val="24"/>
              </w:rPr>
              <w:t>，总建筑面积33399.66m</w:t>
            </w:r>
            <w:r>
              <w:rPr>
                <w:rFonts w:hint="eastAsia"/>
                <w:kern w:val="0"/>
                <w:sz w:val="24"/>
                <w:vertAlign w:val="superscript"/>
              </w:rPr>
              <w:t>2</w:t>
            </w:r>
          </w:p>
          <w:p>
            <w:pPr>
              <w:autoSpaceDE w:val="0"/>
              <w:autoSpaceDN w:val="0"/>
              <w:adjustRightInd w:val="0"/>
              <w:spacing w:line="360" w:lineRule="auto"/>
              <w:ind w:firstLine="480" w:firstLineChars="200"/>
              <w:rPr>
                <w:sz w:val="24"/>
              </w:rPr>
            </w:pPr>
            <w:r>
              <w:rPr>
                <w:kern w:val="0"/>
                <w:sz w:val="24"/>
              </w:rPr>
              <w:t>（7）建设内容：</w:t>
            </w:r>
            <w:r>
              <w:rPr>
                <w:rFonts w:hint="eastAsia"/>
                <w:kern w:val="0"/>
                <w:sz w:val="24"/>
              </w:rPr>
              <w:t>项目主要建设4栋生产厂房、1栋办公楼、1栋宿舍楼、3栋仓库、2栋门卫房</w:t>
            </w:r>
            <w:r>
              <w:rPr>
                <w:rFonts w:hint="eastAsia"/>
                <w:sz w:val="24"/>
              </w:rPr>
              <w:t>。</w:t>
            </w:r>
          </w:p>
          <w:p>
            <w:pPr>
              <w:adjustRightInd w:val="0"/>
              <w:snapToGrid w:val="0"/>
              <w:spacing w:line="360" w:lineRule="auto"/>
              <w:ind w:firstLine="480" w:firstLineChars="200"/>
              <w:rPr>
                <w:bCs/>
                <w:sz w:val="24"/>
              </w:rPr>
            </w:pPr>
            <w:r>
              <w:rPr>
                <w:sz w:val="24"/>
              </w:rPr>
              <w:t>项目</w:t>
            </w:r>
            <w:r>
              <w:rPr>
                <w:rFonts w:hint="eastAsia"/>
                <w:sz w:val="24"/>
              </w:rPr>
              <w:t>工程</w:t>
            </w:r>
            <w:r>
              <w:rPr>
                <w:sz w:val="24"/>
              </w:rPr>
              <w:t>组成</w:t>
            </w:r>
            <w:r>
              <w:rPr>
                <w:rFonts w:hint="eastAsia"/>
                <w:sz w:val="24"/>
              </w:rPr>
              <w:t>主要</w:t>
            </w:r>
            <w:r>
              <w:rPr>
                <w:sz w:val="24"/>
              </w:rPr>
              <w:t>包括主体工程、储运</w:t>
            </w:r>
            <w:r>
              <w:rPr>
                <w:rFonts w:hint="eastAsia"/>
                <w:sz w:val="24"/>
              </w:rPr>
              <w:t>工程、依托工程、</w:t>
            </w:r>
            <w:r>
              <w:rPr>
                <w:sz w:val="24"/>
              </w:rPr>
              <w:t>公用工程</w:t>
            </w:r>
            <w:r>
              <w:rPr>
                <w:rFonts w:hint="eastAsia"/>
                <w:sz w:val="24"/>
              </w:rPr>
              <w:t>和</w:t>
            </w:r>
            <w:r>
              <w:rPr>
                <w:sz w:val="24"/>
              </w:rPr>
              <w:t>环保工程等，各工程内容及规模见表</w:t>
            </w:r>
            <w:r>
              <w:rPr>
                <w:rFonts w:hint="eastAsia"/>
                <w:sz w:val="24"/>
              </w:rPr>
              <w:t>2-1。</w:t>
            </w:r>
          </w:p>
          <w:p>
            <w:pPr>
              <w:spacing w:beforeLines="50"/>
              <w:jc w:val="center"/>
              <w:rPr>
                <w:b/>
              </w:rPr>
            </w:pPr>
            <w:r>
              <w:rPr>
                <w:rFonts w:hint="eastAsia"/>
                <w:b/>
              </w:rPr>
              <w:t>表2-1  项目工程组成一览表</w:t>
            </w:r>
          </w:p>
          <w:tbl>
            <w:tblPr>
              <w:tblStyle w:val="32"/>
              <w:tblW w:w="925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7"/>
              <w:gridCol w:w="1134"/>
              <w:gridCol w:w="6662"/>
              <w:gridCol w:w="7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Align w:val="center"/>
                </w:tcPr>
                <w:p>
                  <w:pPr>
                    <w:jc w:val="center"/>
                    <w:rPr>
                      <w:b/>
                      <w:szCs w:val="21"/>
                    </w:rPr>
                  </w:pPr>
                  <w:r>
                    <w:rPr>
                      <w:rFonts w:hint="eastAsia"/>
                      <w:b/>
                      <w:szCs w:val="21"/>
                    </w:rPr>
                    <w:t>工程类型</w:t>
                  </w:r>
                </w:p>
              </w:tc>
              <w:tc>
                <w:tcPr>
                  <w:tcW w:w="1134" w:type="dxa"/>
                  <w:vAlign w:val="center"/>
                </w:tcPr>
                <w:p>
                  <w:pPr>
                    <w:jc w:val="center"/>
                    <w:rPr>
                      <w:b/>
                      <w:szCs w:val="21"/>
                    </w:rPr>
                  </w:pPr>
                  <w:r>
                    <w:rPr>
                      <w:rFonts w:hint="eastAsia"/>
                      <w:b/>
                      <w:szCs w:val="21"/>
                    </w:rPr>
                    <w:t>工程名称</w:t>
                  </w:r>
                </w:p>
              </w:tc>
              <w:tc>
                <w:tcPr>
                  <w:tcW w:w="6662" w:type="dxa"/>
                  <w:vAlign w:val="center"/>
                </w:tcPr>
                <w:p>
                  <w:pPr>
                    <w:jc w:val="center"/>
                    <w:rPr>
                      <w:b/>
                      <w:szCs w:val="21"/>
                    </w:rPr>
                  </w:pPr>
                  <w:r>
                    <w:rPr>
                      <w:b/>
                      <w:szCs w:val="21"/>
                    </w:rPr>
                    <w:t>主要建设内容</w:t>
                  </w:r>
                </w:p>
              </w:tc>
              <w:tc>
                <w:tcPr>
                  <w:tcW w:w="770" w:type="dxa"/>
                  <w:vAlign w:val="center"/>
                </w:tcPr>
                <w:p>
                  <w:pPr>
                    <w:jc w:val="center"/>
                    <w:rPr>
                      <w:b/>
                      <w:szCs w:val="21"/>
                    </w:rPr>
                  </w:pPr>
                  <w:r>
                    <w:rPr>
                      <w:rFonts w:hint="eastAsia"/>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restart"/>
                  <w:vAlign w:val="center"/>
                </w:tcPr>
                <w:p>
                  <w:pPr>
                    <w:adjustRightInd w:val="0"/>
                    <w:snapToGrid w:val="0"/>
                    <w:jc w:val="center"/>
                    <w:rPr>
                      <w:szCs w:val="21"/>
                    </w:rPr>
                  </w:pPr>
                  <w:r>
                    <w:rPr>
                      <w:rFonts w:hint="eastAsia"/>
                      <w:szCs w:val="21"/>
                    </w:rPr>
                    <w:t>主体工程</w:t>
                  </w:r>
                </w:p>
              </w:tc>
              <w:tc>
                <w:tcPr>
                  <w:tcW w:w="1134" w:type="dxa"/>
                  <w:vAlign w:val="center"/>
                </w:tcPr>
                <w:p>
                  <w:pPr>
                    <w:jc w:val="center"/>
                    <w:rPr>
                      <w:szCs w:val="21"/>
                    </w:rPr>
                  </w:pPr>
                  <w:r>
                    <w:rPr>
                      <w:rFonts w:hint="eastAsia"/>
                      <w:szCs w:val="21"/>
                    </w:rPr>
                    <w:t>1#厂房</w:t>
                  </w:r>
                </w:p>
              </w:tc>
              <w:tc>
                <w:tcPr>
                  <w:tcW w:w="6662" w:type="dxa"/>
                  <w:vAlign w:val="center"/>
                </w:tcPr>
                <w:p>
                  <w:pPr>
                    <w:jc w:val="center"/>
                    <w:rPr>
                      <w:szCs w:val="21"/>
                    </w:rPr>
                  </w:pPr>
                  <w:r>
                    <w:rPr>
                      <w:rFonts w:hint="eastAsia"/>
                      <w:szCs w:val="21"/>
                    </w:rPr>
                    <w:t>2F，框架结构，占地面积4800m</w:t>
                  </w:r>
                  <w:r>
                    <w:rPr>
                      <w:rFonts w:hint="eastAsia"/>
                      <w:szCs w:val="21"/>
                      <w:vertAlign w:val="superscript"/>
                    </w:rPr>
                    <w:t>2</w:t>
                  </w:r>
                  <w:r>
                    <w:rPr>
                      <w:rFonts w:hint="eastAsia"/>
                      <w:szCs w:val="21"/>
                    </w:rPr>
                    <w:t>，建筑面积约9600m</w:t>
                  </w:r>
                  <w:r>
                    <w:rPr>
                      <w:rFonts w:hint="eastAsia"/>
                      <w:szCs w:val="21"/>
                      <w:vertAlign w:val="superscript"/>
                    </w:rPr>
                    <w:t>2</w:t>
                  </w:r>
                  <w:r>
                    <w:rPr>
                      <w:rFonts w:hint="eastAsia"/>
                      <w:szCs w:val="21"/>
                    </w:rPr>
                    <w:t>，主要设置6条水基清洗剂生产线、3条切削液生产线、4条碳氢清洗剂生产线</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adjustRightInd w:val="0"/>
                    <w:snapToGrid w:val="0"/>
                    <w:jc w:val="center"/>
                    <w:rPr>
                      <w:szCs w:val="21"/>
                    </w:rPr>
                  </w:pPr>
                </w:p>
              </w:tc>
              <w:tc>
                <w:tcPr>
                  <w:tcW w:w="1134" w:type="dxa"/>
                  <w:vAlign w:val="center"/>
                </w:tcPr>
                <w:p>
                  <w:pPr>
                    <w:jc w:val="center"/>
                    <w:rPr>
                      <w:szCs w:val="21"/>
                    </w:rPr>
                  </w:pPr>
                  <w:r>
                    <w:rPr>
                      <w:rFonts w:hint="eastAsia"/>
                      <w:szCs w:val="21"/>
                    </w:rPr>
                    <w:t>2#厂房</w:t>
                  </w:r>
                </w:p>
              </w:tc>
              <w:tc>
                <w:tcPr>
                  <w:tcW w:w="6662" w:type="dxa"/>
                  <w:vAlign w:val="center"/>
                </w:tcPr>
                <w:p>
                  <w:pPr>
                    <w:jc w:val="center"/>
                    <w:rPr>
                      <w:szCs w:val="21"/>
                    </w:rPr>
                  </w:pPr>
                  <w:r>
                    <w:rPr>
                      <w:rFonts w:hint="eastAsia"/>
                      <w:szCs w:val="21"/>
                    </w:rPr>
                    <w:t>1F（局部2F），框架结构，占地面积4800m</w:t>
                  </w:r>
                  <w:r>
                    <w:rPr>
                      <w:rFonts w:hint="eastAsia"/>
                      <w:szCs w:val="21"/>
                      <w:vertAlign w:val="superscript"/>
                    </w:rPr>
                    <w:t>2</w:t>
                  </w:r>
                  <w:r>
                    <w:rPr>
                      <w:rFonts w:hint="eastAsia"/>
                      <w:szCs w:val="21"/>
                    </w:rPr>
                    <w:t>，建筑面积约5270.40m</w:t>
                  </w:r>
                  <w:r>
                    <w:rPr>
                      <w:rFonts w:hint="eastAsia"/>
                      <w:szCs w:val="21"/>
                      <w:vertAlign w:val="superscript"/>
                    </w:rPr>
                    <w:t>2</w:t>
                  </w:r>
                  <w:r>
                    <w:rPr>
                      <w:rFonts w:hint="eastAsia"/>
                      <w:szCs w:val="21"/>
                    </w:rPr>
                    <w:t>，主要设置8条润滑油生产线</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adjustRightInd w:val="0"/>
                    <w:snapToGrid w:val="0"/>
                    <w:jc w:val="center"/>
                    <w:rPr>
                      <w:szCs w:val="21"/>
                    </w:rPr>
                  </w:pPr>
                </w:p>
              </w:tc>
              <w:tc>
                <w:tcPr>
                  <w:tcW w:w="1134" w:type="dxa"/>
                  <w:vAlign w:val="center"/>
                </w:tcPr>
                <w:p>
                  <w:pPr>
                    <w:jc w:val="center"/>
                    <w:rPr>
                      <w:szCs w:val="21"/>
                    </w:rPr>
                  </w:pPr>
                  <w:r>
                    <w:rPr>
                      <w:rFonts w:hint="eastAsia"/>
                      <w:szCs w:val="21"/>
                    </w:rPr>
                    <w:t>3#厂房</w:t>
                  </w:r>
                </w:p>
              </w:tc>
              <w:tc>
                <w:tcPr>
                  <w:tcW w:w="6662" w:type="dxa"/>
                  <w:vAlign w:val="center"/>
                </w:tcPr>
                <w:p>
                  <w:pPr>
                    <w:jc w:val="center"/>
                    <w:rPr>
                      <w:szCs w:val="21"/>
                    </w:rPr>
                  </w:pPr>
                  <w:r>
                    <w:rPr>
                      <w:rFonts w:hint="eastAsia"/>
                      <w:szCs w:val="21"/>
                    </w:rPr>
                    <w:t>1F（局部2F），框架结构，占地面积4704m</w:t>
                  </w:r>
                  <w:r>
                    <w:rPr>
                      <w:rFonts w:hint="eastAsia"/>
                      <w:szCs w:val="21"/>
                      <w:vertAlign w:val="superscript"/>
                    </w:rPr>
                    <w:t>2</w:t>
                  </w:r>
                  <w:r>
                    <w:rPr>
                      <w:rFonts w:hint="eastAsia"/>
                      <w:szCs w:val="21"/>
                    </w:rPr>
                    <w:t>，建筑面积约5174.40m</w:t>
                  </w:r>
                  <w:r>
                    <w:rPr>
                      <w:rFonts w:hint="eastAsia"/>
                      <w:szCs w:val="21"/>
                      <w:vertAlign w:val="superscript"/>
                    </w:rPr>
                    <w:t>2</w:t>
                  </w:r>
                  <w:r>
                    <w:rPr>
                      <w:rFonts w:hint="eastAsia"/>
                      <w:szCs w:val="21"/>
                    </w:rPr>
                    <w:t>，主要设置11条水基清洗剂生产线</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adjustRightInd w:val="0"/>
                    <w:snapToGrid w:val="0"/>
                    <w:jc w:val="center"/>
                    <w:rPr>
                      <w:szCs w:val="21"/>
                    </w:rPr>
                  </w:pPr>
                </w:p>
              </w:tc>
              <w:tc>
                <w:tcPr>
                  <w:tcW w:w="1134" w:type="dxa"/>
                  <w:vAlign w:val="center"/>
                </w:tcPr>
                <w:p>
                  <w:pPr>
                    <w:jc w:val="center"/>
                    <w:rPr>
                      <w:szCs w:val="21"/>
                    </w:rPr>
                  </w:pPr>
                  <w:r>
                    <w:rPr>
                      <w:rFonts w:hint="eastAsia"/>
                      <w:szCs w:val="21"/>
                    </w:rPr>
                    <w:t>4#厂房</w:t>
                  </w:r>
                </w:p>
              </w:tc>
              <w:tc>
                <w:tcPr>
                  <w:tcW w:w="6662" w:type="dxa"/>
                  <w:vAlign w:val="center"/>
                </w:tcPr>
                <w:p>
                  <w:pPr>
                    <w:jc w:val="center"/>
                    <w:rPr>
                      <w:szCs w:val="21"/>
                    </w:rPr>
                  </w:pPr>
                  <w:r>
                    <w:rPr>
                      <w:rFonts w:hint="eastAsia"/>
                      <w:szCs w:val="21"/>
                    </w:rPr>
                    <w:t>1F（局部2F），框架结构，占地面积3072m</w:t>
                  </w:r>
                  <w:r>
                    <w:rPr>
                      <w:rFonts w:hint="eastAsia"/>
                      <w:szCs w:val="21"/>
                      <w:vertAlign w:val="superscript"/>
                    </w:rPr>
                    <w:t>2</w:t>
                  </w:r>
                  <w:r>
                    <w:rPr>
                      <w:rFonts w:hint="eastAsia"/>
                      <w:szCs w:val="21"/>
                    </w:rPr>
                    <w:t>，建筑面积约3464m</w:t>
                  </w:r>
                  <w:r>
                    <w:rPr>
                      <w:rFonts w:hint="eastAsia"/>
                      <w:szCs w:val="21"/>
                      <w:vertAlign w:val="superscript"/>
                    </w:rPr>
                    <w:t>2</w:t>
                  </w:r>
                  <w:r>
                    <w:rPr>
                      <w:rFonts w:hint="eastAsia"/>
                      <w:szCs w:val="21"/>
                    </w:rPr>
                    <w:t>，主要设置7条碳氢清洗剂生产线</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restart"/>
                  <w:vAlign w:val="center"/>
                </w:tcPr>
                <w:p>
                  <w:pPr>
                    <w:adjustRightInd w:val="0"/>
                    <w:snapToGrid w:val="0"/>
                    <w:jc w:val="center"/>
                    <w:rPr>
                      <w:szCs w:val="21"/>
                    </w:rPr>
                  </w:pPr>
                  <w:r>
                    <w:rPr>
                      <w:rFonts w:hint="eastAsia"/>
                      <w:szCs w:val="21"/>
                    </w:rPr>
                    <w:t>辅助工程</w:t>
                  </w:r>
                </w:p>
              </w:tc>
              <w:tc>
                <w:tcPr>
                  <w:tcW w:w="1134" w:type="dxa"/>
                  <w:vAlign w:val="center"/>
                </w:tcPr>
                <w:p>
                  <w:pPr>
                    <w:jc w:val="center"/>
                    <w:rPr>
                      <w:szCs w:val="21"/>
                    </w:rPr>
                  </w:pPr>
                  <w:r>
                    <w:rPr>
                      <w:rFonts w:hint="eastAsia"/>
                      <w:szCs w:val="21"/>
                    </w:rPr>
                    <w:t>5#办公楼</w:t>
                  </w:r>
                </w:p>
              </w:tc>
              <w:tc>
                <w:tcPr>
                  <w:tcW w:w="6662" w:type="dxa"/>
                  <w:vAlign w:val="center"/>
                </w:tcPr>
                <w:p>
                  <w:pPr>
                    <w:jc w:val="center"/>
                    <w:rPr>
                      <w:szCs w:val="21"/>
                    </w:rPr>
                  </w:pPr>
                  <w:r>
                    <w:rPr>
                      <w:rFonts w:hint="eastAsia"/>
                      <w:szCs w:val="21"/>
                    </w:rPr>
                    <w:t>5F，砖混结构，占地面积665m</w:t>
                  </w:r>
                  <w:r>
                    <w:rPr>
                      <w:rFonts w:hint="eastAsia"/>
                      <w:szCs w:val="21"/>
                      <w:vertAlign w:val="superscript"/>
                    </w:rPr>
                    <w:t>2</w:t>
                  </w:r>
                  <w:r>
                    <w:rPr>
                      <w:rFonts w:hint="eastAsia"/>
                      <w:szCs w:val="21"/>
                    </w:rPr>
                    <w:t>，建筑面积约2902.92m</w:t>
                  </w:r>
                  <w:r>
                    <w:rPr>
                      <w:rFonts w:hint="eastAsia"/>
                      <w:szCs w:val="21"/>
                      <w:vertAlign w:val="superscript"/>
                    </w:rPr>
                    <w:t>2</w:t>
                  </w:r>
                  <w:r>
                    <w:rPr>
                      <w:rFonts w:hint="eastAsia"/>
                      <w:szCs w:val="21"/>
                    </w:rPr>
                    <w:t>，</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adjustRightInd w:val="0"/>
                    <w:snapToGrid w:val="0"/>
                    <w:jc w:val="center"/>
                    <w:rPr>
                      <w:szCs w:val="21"/>
                    </w:rPr>
                  </w:pPr>
                </w:p>
              </w:tc>
              <w:tc>
                <w:tcPr>
                  <w:tcW w:w="1134" w:type="dxa"/>
                  <w:vAlign w:val="center"/>
                </w:tcPr>
                <w:p>
                  <w:pPr>
                    <w:jc w:val="center"/>
                    <w:rPr>
                      <w:szCs w:val="21"/>
                    </w:rPr>
                  </w:pPr>
                  <w:r>
                    <w:rPr>
                      <w:rFonts w:hint="eastAsia"/>
                      <w:szCs w:val="21"/>
                    </w:rPr>
                    <w:t>6#宿舍楼</w:t>
                  </w:r>
                </w:p>
              </w:tc>
              <w:tc>
                <w:tcPr>
                  <w:tcW w:w="6662" w:type="dxa"/>
                  <w:vAlign w:val="center"/>
                </w:tcPr>
                <w:p>
                  <w:pPr>
                    <w:jc w:val="center"/>
                    <w:rPr>
                      <w:szCs w:val="21"/>
                    </w:rPr>
                  </w:pPr>
                  <w:r>
                    <w:rPr>
                      <w:rFonts w:hint="eastAsia"/>
                      <w:szCs w:val="21"/>
                    </w:rPr>
                    <w:t>6F，砖混结构，占地面积1323m</w:t>
                  </w:r>
                  <w:r>
                    <w:rPr>
                      <w:rFonts w:hint="eastAsia"/>
                      <w:szCs w:val="21"/>
                      <w:vertAlign w:val="superscript"/>
                    </w:rPr>
                    <w:t>2</w:t>
                  </w:r>
                  <w:r>
                    <w:rPr>
                      <w:rFonts w:hint="eastAsia"/>
                      <w:szCs w:val="21"/>
                    </w:rPr>
                    <w:t>，建筑面积约4976.92m</w:t>
                  </w:r>
                  <w:r>
                    <w:rPr>
                      <w:rFonts w:hint="eastAsia"/>
                      <w:szCs w:val="21"/>
                      <w:vertAlign w:val="superscript"/>
                    </w:rPr>
                    <w:t>2</w:t>
                  </w:r>
                  <w:r>
                    <w:rPr>
                      <w:rFonts w:hint="eastAsia"/>
                      <w:szCs w:val="21"/>
                    </w:rPr>
                    <w:t>，</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adjustRightInd w:val="0"/>
                    <w:snapToGrid w:val="0"/>
                    <w:jc w:val="center"/>
                    <w:rPr>
                      <w:szCs w:val="21"/>
                    </w:rPr>
                  </w:pPr>
                </w:p>
              </w:tc>
              <w:tc>
                <w:tcPr>
                  <w:tcW w:w="1134" w:type="dxa"/>
                  <w:vAlign w:val="center"/>
                </w:tcPr>
                <w:p>
                  <w:pPr>
                    <w:jc w:val="center"/>
                    <w:rPr>
                      <w:szCs w:val="21"/>
                    </w:rPr>
                  </w:pPr>
                  <w:r>
                    <w:rPr>
                      <w:rFonts w:hint="eastAsia"/>
                      <w:szCs w:val="21"/>
                    </w:rPr>
                    <w:t>7#配电房</w:t>
                  </w:r>
                </w:p>
              </w:tc>
              <w:tc>
                <w:tcPr>
                  <w:tcW w:w="6662" w:type="dxa"/>
                  <w:vAlign w:val="center"/>
                </w:tcPr>
                <w:p>
                  <w:pPr>
                    <w:jc w:val="center"/>
                    <w:rPr>
                      <w:szCs w:val="21"/>
                    </w:rPr>
                  </w:pPr>
                  <w:r>
                    <w:rPr>
                      <w:rFonts w:hint="eastAsia"/>
                      <w:szCs w:val="21"/>
                    </w:rPr>
                    <w:t>1F，砖混结构，占地面积422.4m</w:t>
                  </w:r>
                  <w:r>
                    <w:rPr>
                      <w:rFonts w:hint="eastAsia"/>
                      <w:szCs w:val="21"/>
                      <w:vertAlign w:val="superscript"/>
                    </w:rPr>
                    <w:t>2</w:t>
                  </w:r>
                  <w:r>
                    <w:rPr>
                      <w:rFonts w:hint="eastAsia"/>
                      <w:szCs w:val="21"/>
                    </w:rPr>
                    <w:t>，建筑面积约422.4m</w:t>
                  </w:r>
                  <w:r>
                    <w:rPr>
                      <w:rFonts w:hint="eastAsia"/>
                      <w:szCs w:val="21"/>
                      <w:vertAlign w:val="superscript"/>
                    </w:rPr>
                    <w:t>2</w:t>
                  </w:r>
                  <w:r>
                    <w:rPr>
                      <w:rFonts w:hint="eastAsia"/>
                      <w:szCs w:val="21"/>
                    </w:rPr>
                    <w:t>，</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adjustRightInd w:val="0"/>
                    <w:snapToGrid w:val="0"/>
                    <w:jc w:val="center"/>
                    <w:rPr>
                      <w:szCs w:val="21"/>
                    </w:rPr>
                  </w:pPr>
                </w:p>
              </w:tc>
              <w:tc>
                <w:tcPr>
                  <w:tcW w:w="1134" w:type="dxa"/>
                  <w:vAlign w:val="center"/>
                </w:tcPr>
                <w:p>
                  <w:pPr>
                    <w:jc w:val="center"/>
                    <w:rPr>
                      <w:szCs w:val="21"/>
                    </w:rPr>
                  </w:pPr>
                  <w:r>
                    <w:rPr>
                      <w:rFonts w:hint="eastAsia"/>
                      <w:szCs w:val="21"/>
                    </w:rPr>
                    <w:t>11#门卫室</w:t>
                  </w:r>
                </w:p>
              </w:tc>
              <w:tc>
                <w:tcPr>
                  <w:tcW w:w="6662" w:type="dxa"/>
                  <w:vAlign w:val="center"/>
                </w:tcPr>
                <w:p>
                  <w:pPr>
                    <w:jc w:val="center"/>
                    <w:rPr>
                      <w:szCs w:val="21"/>
                    </w:rPr>
                  </w:pPr>
                  <w:r>
                    <w:rPr>
                      <w:rFonts w:hint="eastAsia"/>
                      <w:szCs w:val="21"/>
                    </w:rPr>
                    <w:t>1F，砖混结构，占地面积56m</w:t>
                  </w:r>
                  <w:r>
                    <w:rPr>
                      <w:rFonts w:hint="eastAsia"/>
                      <w:szCs w:val="21"/>
                      <w:vertAlign w:val="superscript"/>
                    </w:rPr>
                    <w:t>2</w:t>
                  </w:r>
                  <w:r>
                    <w:rPr>
                      <w:rFonts w:hint="eastAsia"/>
                      <w:szCs w:val="21"/>
                    </w:rPr>
                    <w:t>，建筑面积约56m</w:t>
                  </w:r>
                  <w:r>
                    <w:rPr>
                      <w:rFonts w:hint="eastAsia"/>
                      <w:szCs w:val="21"/>
                      <w:vertAlign w:val="superscript"/>
                    </w:rPr>
                    <w:t>2</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adjustRightInd w:val="0"/>
                    <w:snapToGrid w:val="0"/>
                    <w:jc w:val="center"/>
                    <w:rPr>
                      <w:szCs w:val="21"/>
                    </w:rPr>
                  </w:pPr>
                </w:p>
              </w:tc>
              <w:tc>
                <w:tcPr>
                  <w:tcW w:w="1134" w:type="dxa"/>
                  <w:vAlign w:val="center"/>
                </w:tcPr>
                <w:p>
                  <w:pPr>
                    <w:jc w:val="center"/>
                    <w:rPr>
                      <w:szCs w:val="21"/>
                    </w:rPr>
                  </w:pPr>
                  <w:r>
                    <w:rPr>
                      <w:rFonts w:hint="eastAsia"/>
                      <w:szCs w:val="21"/>
                    </w:rPr>
                    <w:t>12#门卫室</w:t>
                  </w:r>
                </w:p>
              </w:tc>
              <w:tc>
                <w:tcPr>
                  <w:tcW w:w="6662" w:type="dxa"/>
                  <w:vAlign w:val="center"/>
                </w:tcPr>
                <w:p>
                  <w:pPr>
                    <w:jc w:val="center"/>
                    <w:rPr>
                      <w:szCs w:val="21"/>
                    </w:rPr>
                  </w:pPr>
                  <w:r>
                    <w:rPr>
                      <w:rFonts w:hint="eastAsia"/>
                      <w:szCs w:val="21"/>
                    </w:rPr>
                    <w:t>1F，砖混结构，占地面积62.5m</w:t>
                  </w:r>
                  <w:r>
                    <w:rPr>
                      <w:rFonts w:hint="eastAsia"/>
                      <w:szCs w:val="21"/>
                      <w:vertAlign w:val="superscript"/>
                    </w:rPr>
                    <w:t>2</w:t>
                  </w:r>
                  <w:r>
                    <w:rPr>
                      <w:rFonts w:hint="eastAsia"/>
                      <w:szCs w:val="21"/>
                    </w:rPr>
                    <w:t>，建筑面积约62.5m</w:t>
                  </w:r>
                  <w:r>
                    <w:rPr>
                      <w:rFonts w:hint="eastAsia"/>
                      <w:szCs w:val="21"/>
                      <w:vertAlign w:val="superscript"/>
                    </w:rPr>
                    <w:t>2</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restart"/>
                  <w:vAlign w:val="center"/>
                </w:tcPr>
                <w:p>
                  <w:pPr>
                    <w:jc w:val="center"/>
                    <w:rPr>
                      <w:szCs w:val="21"/>
                    </w:rPr>
                  </w:pPr>
                  <w:r>
                    <w:rPr>
                      <w:szCs w:val="21"/>
                    </w:rPr>
                    <w:t>储运工程</w:t>
                  </w:r>
                </w:p>
              </w:tc>
              <w:tc>
                <w:tcPr>
                  <w:tcW w:w="1134" w:type="dxa"/>
                  <w:vAlign w:val="center"/>
                </w:tcPr>
                <w:p>
                  <w:pPr>
                    <w:jc w:val="center"/>
                    <w:rPr>
                      <w:szCs w:val="21"/>
                    </w:rPr>
                  </w:pPr>
                  <w:r>
                    <w:rPr>
                      <w:rFonts w:hint="eastAsia"/>
                      <w:szCs w:val="21"/>
                    </w:rPr>
                    <w:t>8#仓库</w:t>
                  </w:r>
                </w:p>
              </w:tc>
              <w:tc>
                <w:tcPr>
                  <w:tcW w:w="6662" w:type="dxa"/>
                  <w:vAlign w:val="center"/>
                </w:tcPr>
                <w:p>
                  <w:pPr>
                    <w:jc w:val="center"/>
                    <w:rPr>
                      <w:szCs w:val="21"/>
                    </w:rPr>
                  </w:pPr>
                  <w:r>
                    <w:rPr>
                      <w:rFonts w:hint="eastAsia"/>
                      <w:szCs w:val="21"/>
                    </w:rPr>
                    <w:t>1F，</w:t>
                  </w:r>
                  <w:r>
                    <w:rPr>
                      <w:rFonts w:ascii="宋体" w:hAnsi="宋体" w:cs="宋体"/>
                      <w:sz w:val="24"/>
                    </w:rPr>
                    <w:t>轻钢结构</w:t>
                  </w:r>
                  <w:r>
                    <w:rPr>
                      <w:rFonts w:hint="eastAsia"/>
                      <w:szCs w:val="21"/>
                    </w:rPr>
                    <w:t>，占地面积612m</w:t>
                  </w:r>
                  <w:r>
                    <w:rPr>
                      <w:rFonts w:hint="eastAsia"/>
                      <w:szCs w:val="21"/>
                      <w:vertAlign w:val="superscript"/>
                    </w:rPr>
                    <w:t>2</w:t>
                  </w:r>
                  <w:r>
                    <w:rPr>
                      <w:rFonts w:hint="eastAsia"/>
                      <w:szCs w:val="21"/>
                    </w:rPr>
                    <w:t>，建筑面积约612m</w:t>
                  </w:r>
                  <w:r>
                    <w:rPr>
                      <w:rFonts w:hint="eastAsia"/>
                      <w:szCs w:val="21"/>
                      <w:vertAlign w:val="superscript"/>
                    </w:rPr>
                    <w:t>2</w:t>
                  </w:r>
                  <w:r>
                    <w:rPr>
                      <w:rFonts w:hint="eastAsia"/>
                      <w:szCs w:val="21"/>
                    </w:rPr>
                    <w:t>，</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Align w:val="center"/>
                </w:tcPr>
                <w:p>
                  <w:pPr>
                    <w:jc w:val="center"/>
                    <w:rPr>
                      <w:szCs w:val="21"/>
                    </w:rPr>
                  </w:pPr>
                  <w:r>
                    <w:rPr>
                      <w:rFonts w:hint="eastAsia"/>
                      <w:szCs w:val="21"/>
                    </w:rPr>
                    <w:t>9#仓库</w:t>
                  </w:r>
                </w:p>
              </w:tc>
              <w:tc>
                <w:tcPr>
                  <w:tcW w:w="6662" w:type="dxa"/>
                  <w:vAlign w:val="center"/>
                </w:tcPr>
                <w:p>
                  <w:pPr>
                    <w:jc w:val="center"/>
                    <w:rPr>
                      <w:szCs w:val="21"/>
                    </w:rPr>
                  </w:pPr>
                  <w:r>
                    <w:rPr>
                      <w:rFonts w:hint="eastAsia"/>
                      <w:szCs w:val="21"/>
                    </w:rPr>
                    <w:t>1F，</w:t>
                  </w:r>
                  <w:r>
                    <w:rPr>
                      <w:rFonts w:ascii="宋体" w:hAnsi="宋体" w:cs="宋体"/>
                      <w:sz w:val="24"/>
                    </w:rPr>
                    <w:t>轻钢结构</w:t>
                  </w:r>
                  <w:r>
                    <w:rPr>
                      <w:rFonts w:hint="eastAsia"/>
                      <w:szCs w:val="21"/>
                    </w:rPr>
                    <w:t>，占地面积612m</w:t>
                  </w:r>
                  <w:r>
                    <w:rPr>
                      <w:rFonts w:hint="eastAsia"/>
                      <w:szCs w:val="21"/>
                      <w:vertAlign w:val="superscript"/>
                    </w:rPr>
                    <w:t>2</w:t>
                  </w:r>
                  <w:r>
                    <w:rPr>
                      <w:rFonts w:hint="eastAsia"/>
                      <w:szCs w:val="21"/>
                    </w:rPr>
                    <w:t>，建筑面积约612m</w:t>
                  </w:r>
                  <w:r>
                    <w:rPr>
                      <w:rFonts w:hint="eastAsia"/>
                      <w:szCs w:val="21"/>
                      <w:vertAlign w:val="superscript"/>
                    </w:rPr>
                    <w:t>2</w:t>
                  </w:r>
                  <w:r>
                    <w:rPr>
                      <w:rFonts w:hint="eastAsia"/>
                      <w:szCs w:val="21"/>
                    </w:rPr>
                    <w:t>，</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Align w:val="center"/>
                </w:tcPr>
                <w:p>
                  <w:pPr>
                    <w:jc w:val="center"/>
                    <w:rPr>
                      <w:szCs w:val="21"/>
                    </w:rPr>
                  </w:pPr>
                  <w:r>
                    <w:rPr>
                      <w:rFonts w:hint="eastAsia"/>
                      <w:szCs w:val="21"/>
                    </w:rPr>
                    <w:t>10#仓库</w:t>
                  </w:r>
                </w:p>
              </w:tc>
              <w:tc>
                <w:tcPr>
                  <w:tcW w:w="6662" w:type="dxa"/>
                  <w:vAlign w:val="center"/>
                </w:tcPr>
                <w:p>
                  <w:pPr>
                    <w:jc w:val="center"/>
                    <w:rPr>
                      <w:szCs w:val="21"/>
                    </w:rPr>
                  </w:pPr>
                  <w:r>
                    <w:rPr>
                      <w:rFonts w:hint="eastAsia"/>
                      <w:szCs w:val="21"/>
                    </w:rPr>
                    <w:t>1F，</w:t>
                  </w:r>
                  <w:r>
                    <w:rPr>
                      <w:rFonts w:ascii="宋体" w:hAnsi="宋体" w:cs="宋体"/>
                      <w:sz w:val="24"/>
                    </w:rPr>
                    <w:t>轻钢结构</w:t>
                  </w:r>
                  <w:r>
                    <w:rPr>
                      <w:rFonts w:hint="eastAsia"/>
                      <w:szCs w:val="21"/>
                    </w:rPr>
                    <w:t>，占地面积246.12m</w:t>
                  </w:r>
                  <w:r>
                    <w:rPr>
                      <w:rFonts w:hint="eastAsia"/>
                      <w:szCs w:val="21"/>
                      <w:vertAlign w:val="superscript"/>
                    </w:rPr>
                    <w:t>2</w:t>
                  </w:r>
                  <w:r>
                    <w:rPr>
                      <w:rFonts w:hint="eastAsia"/>
                      <w:szCs w:val="21"/>
                    </w:rPr>
                    <w:t>，建筑面积约246.12m</w:t>
                  </w:r>
                  <w:r>
                    <w:rPr>
                      <w:rFonts w:hint="eastAsia"/>
                      <w:szCs w:val="21"/>
                      <w:vertAlign w:val="superscript"/>
                    </w:rPr>
                    <w:t>2</w:t>
                  </w:r>
                  <w:r>
                    <w:rPr>
                      <w:rFonts w:hint="eastAsia"/>
                      <w:szCs w:val="21"/>
                    </w:rPr>
                    <w:t>，</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restart"/>
                  <w:vAlign w:val="center"/>
                </w:tcPr>
                <w:p>
                  <w:pPr>
                    <w:jc w:val="center"/>
                    <w:rPr>
                      <w:szCs w:val="21"/>
                    </w:rPr>
                  </w:pPr>
                  <w:r>
                    <w:rPr>
                      <w:szCs w:val="21"/>
                    </w:rPr>
                    <w:t>公用工程</w:t>
                  </w:r>
                </w:p>
              </w:tc>
              <w:tc>
                <w:tcPr>
                  <w:tcW w:w="1134" w:type="dxa"/>
                  <w:vAlign w:val="center"/>
                </w:tcPr>
                <w:p>
                  <w:pPr>
                    <w:jc w:val="center"/>
                    <w:rPr>
                      <w:szCs w:val="21"/>
                    </w:rPr>
                  </w:pPr>
                  <w:r>
                    <w:rPr>
                      <w:rFonts w:hint="eastAsia"/>
                      <w:szCs w:val="21"/>
                    </w:rPr>
                    <w:t>供水</w:t>
                  </w:r>
                </w:p>
              </w:tc>
              <w:tc>
                <w:tcPr>
                  <w:tcW w:w="6662" w:type="dxa"/>
                  <w:vAlign w:val="center"/>
                </w:tcPr>
                <w:p>
                  <w:pPr>
                    <w:jc w:val="center"/>
                    <w:rPr>
                      <w:szCs w:val="21"/>
                    </w:rPr>
                  </w:pPr>
                  <w:r>
                    <w:rPr>
                      <w:szCs w:val="21"/>
                    </w:rPr>
                    <w:t>园区市政给水管网</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Align w:val="center"/>
                </w:tcPr>
                <w:p>
                  <w:pPr>
                    <w:jc w:val="center"/>
                    <w:rPr>
                      <w:szCs w:val="21"/>
                    </w:rPr>
                  </w:pPr>
                  <w:r>
                    <w:rPr>
                      <w:rFonts w:hint="eastAsia"/>
                      <w:szCs w:val="21"/>
                    </w:rPr>
                    <w:t>排水</w:t>
                  </w:r>
                </w:p>
              </w:tc>
              <w:tc>
                <w:tcPr>
                  <w:tcW w:w="6662" w:type="dxa"/>
                  <w:vAlign w:val="center"/>
                </w:tcPr>
                <w:p>
                  <w:pPr>
                    <w:jc w:val="center"/>
                    <w:rPr>
                      <w:rFonts w:eastAsiaTheme="minorEastAsia"/>
                      <w:szCs w:val="21"/>
                    </w:rPr>
                  </w:pPr>
                  <w:r>
                    <w:rPr>
                      <w:rFonts w:hint="eastAsia" w:eastAsiaTheme="minorEastAsia"/>
                      <w:szCs w:val="21"/>
                    </w:rPr>
                    <w:t>实行雨污分流制，初期雨水经初期雨水池收集沉淀后用于厂区绿化或道路降尘，不外排；项目车间地面保洁废水及生活污水经化粪池预处理排入市政污水管网，经衡山高新区综合污水处理厂进一步处理</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Align w:val="center"/>
                </w:tcPr>
                <w:p>
                  <w:pPr>
                    <w:jc w:val="center"/>
                    <w:rPr>
                      <w:szCs w:val="21"/>
                    </w:rPr>
                  </w:pPr>
                  <w:r>
                    <w:rPr>
                      <w:rFonts w:hint="eastAsia"/>
                      <w:szCs w:val="21"/>
                    </w:rPr>
                    <w:t>供电</w:t>
                  </w:r>
                </w:p>
              </w:tc>
              <w:tc>
                <w:tcPr>
                  <w:tcW w:w="6662" w:type="dxa"/>
                  <w:vAlign w:val="center"/>
                </w:tcPr>
                <w:p>
                  <w:pPr>
                    <w:jc w:val="center"/>
                    <w:rPr>
                      <w:szCs w:val="21"/>
                    </w:rPr>
                  </w:pPr>
                  <w:r>
                    <w:rPr>
                      <w:szCs w:val="21"/>
                    </w:rPr>
                    <w:t>园区市政</w:t>
                  </w:r>
                  <w:r>
                    <w:rPr>
                      <w:rFonts w:hint="eastAsia"/>
                      <w:szCs w:val="21"/>
                    </w:rPr>
                    <w:t>供电系统</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restart"/>
                  <w:vAlign w:val="center"/>
                </w:tcPr>
                <w:p>
                  <w:pPr>
                    <w:jc w:val="center"/>
                    <w:rPr>
                      <w:szCs w:val="21"/>
                    </w:rPr>
                  </w:pPr>
                  <w:r>
                    <w:rPr>
                      <w:rFonts w:hint="eastAsia"/>
                      <w:szCs w:val="21"/>
                    </w:rPr>
                    <w:t>环保工程</w:t>
                  </w:r>
                </w:p>
              </w:tc>
              <w:tc>
                <w:tcPr>
                  <w:tcW w:w="1134" w:type="dxa"/>
                  <w:vMerge w:val="restart"/>
                  <w:vAlign w:val="center"/>
                </w:tcPr>
                <w:p>
                  <w:pPr>
                    <w:jc w:val="center"/>
                    <w:rPr>
                      <w:szCs w:val="21"/>
                    </w:rPr>
                  </w:pPr>
                  <w:r>
                    <w:rPr>
                      <w:rFonts w:hint="eastAsia"/>
                      <w:szCs w:val="21"/>
                    </w:rPr>
                    <w:t>废水</w:t>
                  </w:r>
                </w:p>
              </w:tc>
              <w:tc>
                <w:tcPr>
                  <w:tcW w:w="6662" w:type="dxa"/>
                  <w:vAlign w:val="center"/>
                </w:tcPr>
                <w:p>
                  <w:pPr>
                    <w:widowControl/>
                    <w:jc w:val="center"/>
                    <w:rPr>
                      <w:rFonts w:eastAsiaTheme="minorEastAsia"/>
                      <w:kern w:val="0"/>
                      <w:szCs w:val="21"/>
                    </w:rPr>
                  </w:pPr>
                  <w:r>
                    <w:rPr>
                      <w:rFonts w:hint="eastAsia" w:eastAsiaTheme="minorEastAsia"/>
                      <w:szCs w:val="21"/>
                    </w:rPr>
                    <w:t>项目车间地面保洁废水及生活污水经化粪池预处理排入市政污水管网，经衡山高新区综合污水处理厂进一步处理</w:t>
                  </w:r>
                </w:p>
              </w:tc>
              <w:tc>
                <w:tcPr>
                  <w:tcW w:w="770" w:type="dxa"/>
                  <w:vMerge w:val="restart"/>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widowControl/>
                    <w:jc w:val="center"/>
                    <w:rPr>
                      <w:color w:val="0000FF"/>
                      <w:kern w:val="0"/>
                      <w:szCs w:val="21"/>
                    </w:rPr>
                  </w:pPr>
                  <w:r>
                    <w:rPr>
                      <w:rFonts w:hint="eastAsia"/>
                      <w:szCs w:val="21"/>
                    </w:rPr>
                    <w:t>搅拌罐清洗废水采用专用储桶收集后回用对应产品配料，不外排</w:t>
                  </w:r>
                </w:p>
              </w:tc>
              <w:tc>
                <w:tcPr>
                  <w:tcW w:w="7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widowControl/>
                    <w:jc w:val="center"/>
                    <w:rPr>
                      <w:color w:val="0000FF"/>
                      <w:kern w:val="0"/>
                      <w:szCs w:val="21"/>
                    </w:rPr>
                  </w:pPr>
                  <w:r>
                    <w:rPr>
                      <w:rFonts w:hint="eastAsia"/>
                      <w:szCs w:val="21"/>
                    </w:rPr>
                    <w:t>纯水制备浓水作为清净下水排入市政雨水管网</w:t>
                  </w:r>
                </w:p>
              </w:tc>
              <w:tc>
                <w:tcPr>
                  <w:tcW w:w="7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restart"/>
                  <w:vAlign w:val="center"/>
                </w:tcPr>
                <w:p>
                  <w:pPr>
                    <w:jc w:val="center"/>
                    <w:rPr>
                      <w:szCs w:val="21"/>
                    </w:rPr>
                  </w:pPr>
                  <w:r>
                    <w:rPr>
                      <w:rFonts w:hint="eastAsia"/>
                      <w:szCs w:val="21"/>
                    </w:rPr>
                    <w:t>废气</w:t>
                  </w:r>
                </w:p>
              </w:tc>
              <w:tc>
                <w:tcPr>
                  <w:tcW w:w="6662" w:type="dxa"/>
                  <w:vAlign w:val="center"/>
                </w:tcPr>
                <w:p>
                  <w:pPr>
                    <w:pStyle w:val="2"/>
                    <w:jc w:val="center"/>
                    <w:rPr>
                      <w:rFonts w:ascii="Times New Roman" w:cs="Times New Roman"/>
                      <w:color w:val="auto"/>
                      <w:sz w:val="21"/>
                      <w:szCs w:val="21"/>
                    </w:rPr>
                  </w:pPr>
                  <w:r>
                    <w:rPr>
                      <w:rFonts w:hint="eastAsia" w:ascii="Times New Roman" w:cs="Times New Roman" w:eastAsiaTheme="minorEastAsia"/>
                      <w:color w:val="auto"/>
                      <w:sz w:val="21"/>
                      <w:szCs w:val="21"/>
                    </w:rPr>
                    <w:t>1#厂房：车间生产保持密闭，废气收集后经“布袋除尘器+二级活性炭”设施处理后通过1根15m高排气筒DA001排放</w:t>
                  </w:r>
                </w:p>
              </w:tc>
              <w:tc>
                <w:tcPr>
                  <w:tcW w:w="770" w:type="dxa"/>
                  <w:vMerge w:val="restart"/>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pStyle w:val="2"/>
                    <w:jc w:val="center"/>
                    <w:rPr>
                      <w:rFonts w:ascii="Times New Roman" w:cs="Times New Roman"/>
                      <w:color w:val="auto"/>
                      <w:sz w:val="21"/>
                      <w:szCs w:val="21"/>
                    </w:rPr>
                  </w:pPr>
                  <w:r>
                    <w:rPr>
                      <w:rFonts w:hint="eastAsia" w:ascii="Times New Roman" w:cs="Times New Roman" w:eastAsiaTheme="minorEastAsia"/>
                      <w:color w:val="auto"/>
                      <w:sz w:val="21"/>
                      <w:szCs w:val="21"/>
                    </w:rPr>
                    <w:t>2#厂房：车间生产保持密闭，废气收集后经“二级活性炭”设施处理后通过1根15m高排气筒DA002排放</w:t>
                  </w:r>
                </w:p>
              </w:tc>
              <w:tc>
                <w:tcPr>
                  <w:tcW w:w="7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pStyle w:val="2"/>
                    <w:jc w:val="center"/>
                    <w:rPr>
                      <w:rFonts w:ascii="Times New Roman" w:cs="Times New Roman"/>
                      <w:color w:val="auto"/>
                      <w:sz w:val="21"/>
                      <w:szCs w:val="21"/>
                    </w:rPr>
                  </w:pPr>
                  <w:r>
                    <w:rPr>
                      <w:rFonts w:hint="eastAsia" w:ascii="Times New Roman" w:cs="Times New Roman" w:eastAsiaTheme="minorEastAsia"/>
                      <w:color w:val="auto"/>
                      <w:sz w:val="21"/>
                      <w:szCs w:val="21"/>
                    </w:rPr>
                    <w:t>3#厂房：车间生产保持密闭，废气收集后经布袋除尘器处理后通过1根15m高排气筒DA003排放</w:t>
                  </w:r>
                </w:p>
              </w:tc>
              <w:tc>
                <w:tcPr>
                  <w:tcW w:w="7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pStyle w:val="2"/>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4#厂房：车间生产保持密闭，废气收集后经“二级活性炭”设施处理后通过1根15m高排气筒DA004排放</w:t>
                  </w:r>
                </w:p>
              </w:tc>
              <w:tc>
                <w:tcPr>
                  <w:tcW w:w="7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jc w:val="center"/>
                    <w:rPr>
                      <w:kern w:val="0"/>
                      <w:szCs w:val="21"/>
                    </w:rPr>
                  </w:pPr>
                  <w:r>
                    <w:rPr>
                      <w:rFonts w:eastAsiaTheme="minorEastAsia"/>
                      <w:szCs w:val="21"/>
                    </w:rPr>
                    <w:t>食堂油烟：高效油烟净化器+引至楼面高空排放</w:t>
                  </w:r>
                </w:p>
              </w:tc>
              <w:tc>
                <w:tcPr>
                  <w:tcW w:w="7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jc w:val="center"/>
                    <w:rPr>
                      <w:rFonts w:eastAsiaTheme="minorEastAsia"/>
                      <w:kern w:val="0"/>
                      <w:szCs w:val="21"/>
                    </w:rPr>
                  </w:pPr>
                  <w:r>
                    <w:rPr>
                      <w:rFonts w:hint="eastAsia" w:eastAsiaTheme="minorEastAsia"/>
                      <w:szCs w:val="21"/>
                    </w:rPr>
                    <w:t>无组织废气：加强车间通风</w:t>
                  </w:r>
                </w:p>
              </w:tc>
              <w:tc>
                <w:tcPr>
                  <w:tcW w:w="7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Align w:val="center"/>
                </w:tcPr>
                <w:p>
                  <w:pPr>
                    <w:jc w:val="center"/>
                    <w:rPr>
                      <w:szCs w:val="21"/>
                    </w:rPr>
                  </w:pPr>
                  <w:r>
                    <w:rPr>
                      <w:rFonts w:hint="eastAsia"/>
                      <w:szCs w:val="21"/>
                    </w:rPr>
                    <w:t>噪声</w:t>
                  </w:r>
                </w:p>
              </w:tc>
              <w:tc>
                <w:tcPr>
                  <w:tcW w:w="6662" w:type="dxa"/>
                  <w:vAlign w:val="center"/>
                </w:tcPr>
                <w:p>
                  <w:pPr>
                    <w:widowControl/>
                    <w:jc w:val="center"/>
                    <w:rPr>
                      <w:kern w:val="0"/>
                      <w:szCs w:val="21"/>
                    </w:rPr>
                  </w:pPr>
                  <w:r>
                    <w:rPr>
                      <w:rFonts w:hint="eastAsia"/>
                      <w:kern w:val="0"/>
                      <w:szCs w:val="21"/>
                    </w:rPr>
                    <w:t>选购性能良好的设备，采取隔声、减震等降噪措施</w:t>
                  </w:r>
                </w:p>
              </w:tc>
              <w:tc>
                <w:tcPr>
                  <w:tcW w:w="770" w:type="dxa"/>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restart"/>
                  <w:vAlign w:val="center"/>
                </w:tcPr>
                <w:p>
                  <w:pPr>
                    <w:jc w:val="center"/>
                    <w:rPr>
                      <w:szCs w:val="21"/>
                    </w:rPr>
                  </w:pPr>
                  <w:r>
                    <w:rPr>
                      <w:rFonts w:hint="eastAsia"/>
                      <w:szCs w:val="21"/>
                    </w:rPr>
                    <w:t>固废</w:t>
                  </w:r>
                </w:p>
              </w:tc>
              <w:tc>
                <w:tcPr>
                  <w:tcW w:w="6662" w:type="dxa"/>
                  <w:vAlign w:val="center"/>
                </w:tcPr>
                <w:p>
                  <w:pPr>
                    <w:pStyle w:val="2"/>
                    <w:jc w:val="center"/>
                    <w:rPr>
                      <w:rFonts w:ascii="Times New Roman" w:cs="Times New Roman" w:eastAsiaTheme="majorEastAsia"/>
                      <w:color w:val="auto"/>
                      <w:sz w:val="21"/>
                      <w:szCs w:val="21"/>
                    </w:rPr>
                  </w:pPr>
                  <w:r>
                    <w:rPr>
                      <w:rFonts w:hint="eastAsia" w:ascii="Times New Roman" w:cs="Times New Roman" w:hAnsiTheme="majorEastAsia" w:eastAsiaTheme="majorEastAsia"/>
                      <w:color w:val="auto"/>
                      <w:sz w:val="21"/>
                      <w:szCs w:val="21"/>
                    </w:rPr>
                    <w:t>一般固废：</w:t>
                  </w:r>
                  <w:r>
                    <w:rPr>
                      <w:rFonts w:hint="eastAsia" w:ascii="Times New Roman" w:cs="Times New Roman"/>
                      <w:color w:val="auto"/>
                      <w:sz w:val="21"/>
                      <w:szCs w:val="21"/>
                    </w:rPr>
                    <w:t>废弃包装袋由原料生产商回收利用；纯水过滤材料收集后由设备商回收利用</w:t>
                  </w:r>
                </w:p>
              </w:tc>
              <w:tc>
                <w:tcPr>
                  <w:tcW w:w="770" w:type="dxa"/>
                  <w:vMerge w:val="restart"/>
                  <w:vAlign w:val="center"/>
                </w:tcPr>
                <w:p>
                  <w:pPr>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widowControl/>
                    <w:jc w:val="center"/>
                    <w:rPr>
                      <w:rFonts w:eastAsiaTheme="minorEastAsia"/>
                      <w:kern w:val="0"/>
                      <w:szCs w:val="21"/>
                    </w:rPr>
                  </w:pPr>
                  <w:r>
                    <w:rPr>
                      <w:rFonts w:hint="eastAsia" w:eastAsiaTheme="minorEastAsia"/>
                      <w:kern w:val="0"/>
                      <w:szCs w:val="21"/>
                    </w:rPr>
                    <w:t>危险废物：</w:t>
                  </w:r>
                  <w:r>
                    <w:rPr>
                      <w:rFonts w:hint="eastAsia"/>
                      <w:szCs w:val="21"/>
                    </w:rPr>
                    <w:t>空中转破桶、回收粉尘、废活性炭、废棉纱及废手套、废机油以及废含油手套等危险废物，分类收集后暂存于危废暂存间，定期委托有相应类别危险废物处置资质的单位回收处置，同时暂存过程按危险废物的有关规定和要求进行环境监管；空中转桶交由厂家回收并用于其原始用途，暂存过程按危险废物的有关规定和要求进行环境监管</w:t>
                  </w:r>
                </w:p>
              </w:tc>
              <w:tc>
                <w:tcPr>
                  <w:tcW w:w="7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87" w:type="dxa"/>
                  <w:vMerge w:val="continue"/>
                  <w:vAlign w:val="center"/>
                </w:tcPr>
                <w:p>
                  <w:pPr>
                    <w:jc w:val="center"/>
                    <w:rPr>
                      <w:szCs w:val="21"/>
                    </w:rPr>
                  </w:pPr>
                </w:p>
              </w:tc>
              <w:tc>
                <w:tcPr>
                  <w:tcW w:w="1134" w:type="dxa"/>
                  <w:vMerge w:val="continue"/>
                  <w:vAlign w:val="center"/>
                </w:tcPr>
                <w:p>
                  <w:pPr>
                    <w:jc w:val="center"/>
                    <w:rPr>
                      <w:szCs w:val="21"/>
                    </w:rPr>
                  </w:pPr>
                </w:p>
              </w:tc>
              <w:tc>
                <w:tcPr>
                  <w:tcW w:w="6662" w:type="dxa"/>
                  <w:vAlign w:val="center"/>
                </w:tcPr>
                <w:p>
                  <w:pPr>
                    <w:widowControl/>
                    <w:jc w:val="center"/>
                    <w:rPr>
                      <w:szCs w:val="21"/>
                    </w:rPr>
                  </w:pPr>
                  <w:r>
                    <w:rPr>
                      <w:rFonts w:eastAsiaTheme="minorEastAsia"/>
                      <w:kern w:val="0"/>
                      <w:szCs w:val="21"/>
                    </w:rPr>
                    <w:t>生活垃圾：垃圾桶暂存，委托环卫部门定期清运处置</w:t>
                  </w:r>
                </w:p>
              </w:tc>
              <w:tc>
                <w:tcPr>
                  <w:tcW w:w="770" w:type="dxa"/>
                  <w:vMerge w:val="continue"/>
                  <w:vAlign w:val="center"/>
                </w:tcPr>
                <w:p>
                  <w:pPr>
                    <w:jc w:val="center"/>
                    <w:rPr>
                      <w:szCs w:val="21"/>
                    </w:rPr>
                  </w:pPr>
                </w:p>
              </w:tc>
            </w:tr>
          </w:tbl>
          <w:p>
            <w:pPr>
              <w:adjustRightInd w:val="0"/>
              <w:snapToGrid w:val="0"/>
              <w:spacing w:line="360" w:lineRule="auto"/>
              <w:ind w:firstLine="482" w:firstLineChars="200"/>
              <w:rPr>
                <w:b/>
                <w:bCs/>
                <w:sz w:val="24"/>
              </w:rPr>
            </w:pPr>
            <w:r>
              <w:rPr>
                <w:rFonts w:hint="eastAsia"/>
                <w:b/>
                <w:bCs/>
                <w:sz w:val="24"/>
              </w:rPr>
              <w:t>2</w:t>
            </w:r>
            <w:r>
              <w:rPr>
                <w:b/>
                <w:bCs/>
                <w:sz w:val="24"/>
              </w:rPr>
              <w:t>、产品方案</w:t>
            </w:r>
          </w:p>
          <w:p>
            <w:pPr>
              <w:pStyle w:val="104"/>
              <w:rPr>
                <w:szCs w:val="22"/>
              </w:rPr>
            </w:pPr>
            <w:r>
              <w:rPr>
                <w:rFonts w:hint="eastAsia"/>
                <w:szCs w:val="22"/>
              </w:rPr>
              <w:t>项目</w:t>
            </w:r>
            <w:r>
              <w:rPr>
                <w:szCs w:val="24"/>
              </w:rPr>
              <w:t>预计年产</w:t>
            </w:r>
            <w:r>
              <w:rPr>
                <w:color w:val="000000"/>
                <w:szCs w:val="24"/>
              </w:rPr>
              <w:t>水基清洗剂</w:t>
            </w:r>
            <w:r>
              <w:rPr>
                <w:rFonts w:hint="eastAsia"/>
                <w:color w:val="000000"/>
                <w:szCs w:val="24"/>
              </w:rPr>
              <w:t>1</w:t>
            </w:r>
            <w:r>
              <w:rPr>
                <w:color w:val="000000"/>
                <w:szCs w:val="24"/>
              </w:rPr>
              <w:t>4</w:t>
            </w:r>
            <w:r>
              <w:rPr>
                <w:rFonts w:hint="eastAsia"/>
                <w:color w:val="000000"/>
                <w:szCs w:val="24"/>
              </w:rPr>
              <w:t>2</w:t>
            </w:r>
            <w:r>
              <w:rPr>
                <w:color w:val="000000"/>
                <w:szCs w:val="24"/>
              </w:rPr>
              <w:t>20t/a、水性切削液1320t/a、润滑油1440t/a、碳氢清洗剂</w:t>
            </w:r>
            <w:r>
              <w:rPr>
                <w:rFonts w:hint="eastAsia"/>
                <w:color w:val="000000"/>
                <w:szCs w:val="24"/>
              </w:rPr>
              <w:t>666</w:t>
            </w:r>
            <w:r>
              <w:rPr>
                <w:color w:val="000000"/>
                <w:szCs w:val="24"/>
              </w:rPr>
              <w:t>0t/a</w:t>
            </w:r>
            <w:r>
              <w:rPr>
                <w:rFonts w:hint="eastAsia"/>
                <w:color w:val="000000"/>
                <w:szCs w:val="24"/>
              </w:rPr>
              <w:t>，</w:t>
            </w:r>
            <w:r>
              <w:rPr>
                <w:rFonts w:hint="eastAsia"/>
                <w:szCs w:val="22"/>
              </w:rPr>
              <w:t>主要产品产能情况见表2-2。</w:t>
            </w:r>
          </w:p>
          <w:p>
            <w:pPr>
              <w:spacing w:beforeLines="50"/>
              <w:jc w:val="center"/>
              <w:rPr>
                <w:b/>
              </w:rPr>
            </w:pPr>
            <w:r>
              <w:rPr>
                <w:rFonts w:hint="eastAsia"/>
                <w:b/>
              </w:rPr>
              <w:t>表2-2  项目主要产品一览表</w:t>
            </w:r>
          </w:p>
          <w:tbl>
            <w:tblPr>
              <w:tblStyle w:val="32"/>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6"/>
              <w:gridCol w:w="963"/>
              <w:gridCol w:w="1559"/>
              <w:gridCol w:w="989"/>
              <w:gridCol w:w="850"/>
              <w:gridCol w:w="872"/>
              <w:gridCol w:w="982"/>
              <w:gridCol w:w="850"/>
              <w:gridCol w:w="850"/>
              <w:gridCol w:w="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b/>
                      <w:szCs w:val="21"/>
                    </w:rPr>
                  </w:pPr>
                  <w:r>
                    <w:rPr>
                      <w:rFonts w:hAnsiTheme="minorEastAsia" w:eastAsiaTheme="minorEastAsia"/>
                      <w:b/>
                      <w:szCs w:val="21"/>
                    </w:rPr>
                    <w:t>序号</w:t>
                  </w:r>
                </w:p>
              </w:tc>
              <w:tc>
                <w:tcPr>
                  <w:tcW w:w="519" w:type="pct"/>
                  <w:vAlign w:val="center"/>
                </w:tcPr>
                <w:p>
                  <w:pPr>
                    <w:jc w:val="center"/>
                    <w:rPr>
                      <w:rFonts w:hAnsiTheme="minorEastAsia" w:eastAsiaTheme="minorEastAsia"/>
                      <w:b/>
                      <w:szCs w:val="21"/>
                    </w:rPr>
                  </w:pPr>
                  <w:r>
                    <w:rPr>
                      <w:rFonts w:hAnsiTheme="minorEastAsia" w:eastAsiaTheme="minorEastAsia"/>
                      <w:b/>
                      <w:szCs w:val="21"/>
                    </w:rPr>
                    <w:t>产品</w:t>
                  </w:r>
                </w:p>
                <w:p>
                  <w:pPr>
                    <w:jc w:val="center"/>
                    <w:rPr>
                      <w:rFonts w:hAnsiTheme="minorEastAsia" w:eastAsiaTheme="minorEastAsia"/>
                      <w:b/>
                      <w:szCs w:val="21"/>
                    </w:rPr>
                  </w:pPr>
                  <w:r>
                    <w:rPr>
                      <w:rFonts w:hAnsiTheme="minorEastAsia" w:eastAsiaTheme="minorEastAsia"/>
                      <w:b/>
                      <w:szCs w:val="21"/>
                    </w:rPr>
                    <w:t>类别</w:t>
                  </w:r>
                </w:p>
              </w:tc>
              <w:tc>
                <w:tcPr>
                  <w:tcW w:w="840" w:type="pct"/>
                  <w:vAlign w:val="center"/>
                </w:tcPr>
                <w:p>
                  <w:pPr>
                    <w:jc w:val="center"/>
                    <w:rPr>
                      <w:rFonts w:eastAsiaTheme="minorEastAsia"/>
                      <w:b/>
                      <w:szCs w:val="21"/>
                    </w:rPr>
                  </w:pPr>
                  <w:r>
                    <w:rPr>
                      <w:rFonts w:hAnsiTheme="minorEastAsia" w:eastAsiaTheme="minorEastAsia"/>
                      <w:b/>
                      <w:szCs w:val="21"/>
                    </w:rPr>
                    <w:t>产品名称</w:t>
                  </w:r>
                </w:p>
              </w:tc>
              <w:tc>
                <w:tcPr>
                  <w:tcW w:w="533" w:type="pct"/>
                  <w:vAlign w:val="center"/>
                </w:tcPr>
                <w:p>
                  <w:pPr>
                    <w:jc w:val="center"/>
                    <w:rPr>
                      <w:rFonts w:hAnsiTheme="minorEastAsia" w:eastAsiaTheme="minorEastAsia"/>
                      <w:b/>
                      <w:szCs w:val="21"/>
                    </w:rPr>
                  </w:pPr>
                  <w:r>
                    <w:rPr>
                      <w:rFonts w:hint="eastAsia" w:hAnsiTheme="minorEastAsia" w:eastAsiaTheme="minorEastAsia"/>
                      <w:b/>
                      <w:szCs w:val="21"/>
                    </w:rPr>
                    <w:t>规格</w:t>
                  </w:r>
                </w:p>
              </w:tc>
              <w:tc>
                <w:tcPr>
                  <w:tcW w:w="458" w:type="pct"/>
                  <w:vAlign w:val="center"/>
                </w:tcPr>
                <w:p>
                  <w:pPr>
                    <w:jc w:val="center"/>
                    <w:rPr>
                      <w:rFonts w:hAnsiTheme="minorEastAsia" w:eastAsiaTheme="minorEastAsia"/>
                      <w:b/>
                      <w:szCs w:val="21"/>
                    </w:rPr>
                  </w:pPr>
                  <w:r>
                    <w:rPr>
                      <w:rFonts w:hint="eastAsia" w:hAnsiTheme="minorEastAsia" w:eastAsiaTheme="minorEastAsia"/>
                      <w:b/>
                      <w:szCs w:val="21"/>
                    </w:rPr>
                    <w:t>形态</w:t>
                  </w:r>
                </w:p>
              </w:tc>
              <w:tc>
                <w:tcPr>
                  <w:tcW w:w="470" w:type="pct"/>
                  <w:vAlign w:val="center"/>
                </w:tcPr>
                <w:p>
                  <w:pPr>
                    <w:jc w:val="center"/>
                    <w:rPr>
                      <w:rFonts w:eastAsiaTheme="minorEastAsia"/>
                      <w:b/>
                      <w:szCs w:val="21"/>
                    </w:rPr>
                  </w:pPr>
                  <w:r>
                    <w:rPr>
                      <w:rFonts w:eastAsiaTheme="minorEastAsia"/>
                      <w:b/>
                      <w:szCs w:val="21"/>
                    </w:rPr>
                    <w:t>年产量（</w:t>
                  </w:r>
                  <w:r>
                    <w:rPr>
                      <w:rFonts w:hint="eastAsia" w:eastAsiaTheme="minorEastAsia"/>
                      <w:b/>
                      <w:szCs w:val="21"/>
                    </w:rPr>
                    <w:t>t/a</w:t>
                  </w:r>
                  <w:r>
                    <w:rPr>
                      <w:rFonts w:eastAsiaTheme="minorEastAsia"/>
                      <w:b/>
                      <w:szCs w:val="21"/>
                    </w:rPr>
                    <w:t>）</w:t>
                  </w:r>
                </w:p>
              </w:tc>
              <w:tc>
                <w:tcPr>
                  <w:tcW w:w="529" w:type="pct"/>
                  <w:vAlign w:val="center"/>
                </w:tcPr>
                <w:p>
                  <w:pPr>
                    <w:jc w:val="center"/>
                    <w:rPr>
                      <w:rFonts w:eastAsiaTheme="minorEastAsia"/>
                      <w:b/>
                      <w:szCs w:val="21"/>
                    </w:rPr>
                  </w:pPr>
                  <w:r>
                    <w:rPr>
                      <w:rFonts w:hint="eastAsia" w:eastAsiaTheme="minorEastAsia"/>
                      <w:b/>
                      <w:szCs w:val="21"/>
                    </w:rPr>
                    <w:t>最大储存量（t）</w:t>
                  </w:r>
                </w:p>
              </w:tc>
              <w:tc>
                <w:tcPr>
                  <w:tcW w:w="458" w:type="pct"/>
                  <w:vAlign w:val="center"/>
                </w:tcPr>
                <w:p>
                  <w:pPr>
                    <w:jc w:val="center"/>
                    <w:rPr>
                      <w:rFonts w:eastAsiaTheme="minorEastAsia"/>
                      <w:b/>
                      <w:szCs w:val="21"/>
                    </w:rPr>
                  </w:pPr>
                  <w:r>
                    <w:rPr>
                      <w:rFonts w:hint="eastAsia" w:eastAsiaTheme="minorEastAsia"/>
                      <w:b/>
                      <w:szCs w:val="21"/>
                    </w:rPr>
                    <w:t>储存</w:t>
                  </w:r>
                </w:p>
                <w:p>
                  <w:pPr>
                    <w:jc w:val="center"/>
                    <w:rPr>
                      <w:rFonts w:eastAsiaTheme="minorEastAsia"/>
                      <w:b/>
                      <w:szCs w:val="21"/>
                    </w:rPr>
                  </w:pPr>
                  <w:r>
                    <w:rPr>
                      <w:rFonts w:hint="eastAsia" w:eastAsiaTheme="minorEastAsia"/>
                      <w:b/>
                      <w:szCs w:val="21"/>
                    </w:rPr>
                    <w:t>场所</w:t>
                  </w:r>
                </w:p>
              </w:tc>
              <w:tc>
                <w:tcPr>
                  <w:tcW w:w="458" w:type="pct"/>
                  <w:vAlign w:val="center"/>
                </w:tcPr>
                <w:p>
                  <w:pPr>
                    <w:jc w:val="center"/>
                    <w:rPr>
                      <w:rFonts w:eastAsiaTheme="minorEastAsia"/>
                      <w:b/>
                      <w:szCs w:val="21"/>
                    </w:rPr>
                  </w:pPr>
                  <w:r>
                    <w:rPr>
                      <w:rFonts w:hint="eastAsia" w:eastAsiaTheme="minorEastAsia"/>
                      <w:b/>
                      <w:szCs w:val="21"/>
                    </w:rPr>
                    <w:t>包装</w:t>
                  </w:r>
                </w:p>
                <w:p>
                  <w:pPr>
                    <w:jc w:val="center"/>
                    <w:rPr>
                      <w:rFonts w:eastAsiaTheme="minorEastAsia"/>
                      <w:b/>
                      <w:szCs w:val="21"/>
                    </w:rPr>
                  </w:pPr>
                  <w:r>
                    <w:rPr>
                      <w:rFonts w:hint="eastAsia" w:eastAsiaTheme="minorEastAsia"/>
                      <w:b/>
                      <w:szCs w:val="21"/>
                    </w:rPr>
                    <w:t>形式</w:t>
                  </w:r>
                </w:p>
              </w:tc>
              <w:tc>
                <w:tcPr>
                  <w:tcW w:w="483" w:type="pct"/>
                  <w:vAlign w:val="center"/>
                </w:tcPr>
                <w:p>
                  <w:pPr>
                    <w:jc w:val="center"/>
                    <w:rPr>
                      <w:rFonts w:eastAsiaTheme="minorEastAsia"/>
                      <w:b/>
                      <w:szCs w:val="21"/>
                    </w:rPr>
                  </w:pPr>
                  <w:r>
                    <w:rPr>
                      <w:rFonts w:hint="eastAsia" w:eastAsiaTheme="minorEastAsia"/>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eastAsiaTheme="minorEastAsia"/>
                      <w:szCs w:val="21"/>
                    </w:rPr>
                    <w:t>1</w:t>
                  </w:r>
                </w:p>
              </w:tc>
              <w:tc>
                <w:tcPr>
                  <w:tcW w:w="519" w:type="pct"/>
                  <w:vMerge w:val="restar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水基清洗剂</w:t>
                  </w: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动力电池结构件专用清洗剂</w:t>
                  </w:r>
                </w:p>
              </w:tc>
              <w:tc>
                <w:tcPr>
                  <w:tcW w:w="533"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2400</w:t>
                  </w:r>
                </w:p>
              </w:tc>
              <w:tc>
                <w:tcPr>
                  <w:tcW w:w="529" w:type="pct"/>
                  <w:vAlign w:val="center"/>
                </w:tcPr>
                <w:p>
                  <w:pPr>
                    <w:jc w:val="center"/>
                    <w:rPr>
                      <w:rFonts w:ascii="宋体" w:hAnsi="宋体" w:cs="宋体"/>
                      <w:color w:val="000000"/>
                      <w:sz w:val="22"/>
                      <w:szCs w:val="22"/>
                    </w:rPr>
                  </w:pPr>
                  <w:r>
                    <w:rPr>
                      <w:rFonts w:hint="eastAsia"/>
                      <w:color w:val="000000"/>
                      <w:sz w:val="22"/>
                      <w:szCs w:val="22"/>
                    </w:rPr>
                    <w:t>100</w:t>
                  </w:r>
                </w:p>
              </w:tc>
              <w:tc>
                <w:tcPr>
                  <w:tcW w:w="458" w:type="pct"/>
                  <w:vAlign w:val="center"/>
                </w:tcPr>
                <w:p>
                  <w:pPr>
                    <w:jc w:val="center"/>
                    <w:rPr>
                      <w:rFonts w:eastAsiaTheme="minorEastAsia"/>
                      <w:szCs w:val="21"/>
                    </w:rP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restart"/>
                  <w:vAlign w:val="center"/>
                </w:tcPr>
                <w:p>
                  <w:pPr>
                    <w:jc w:val="center"/>
                    <w:rPr>
                      <w:rFonts w:eastAsiaTheme="minorEastAsia"/>
                      <w:szCs w:val="21"/>
                    </w:rPr>
                  </w:pPr>
                  <w:r>
                    <w:rPr>
                      <w:rFonts w:hint="eastAsia" w:eastAsiaTheme="minorEastAsia"/>
                      <w:szCs w:val="21"/>
                    </w:rPr>
                    <w:t>由各类化学原料混合、分装而成，不属于《危险化学品名录》及《环境保护综合名录》中产品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eastAsiaTheme="minorEastAsia"/>
                      <w:szCs w:val="21"/>
                    </w:rPr>
                    <w:t>2</w:t>
                  </w:r>
                </w:p>
              </w:tc>
              <w:tc>
                <w:tcPr>
                  <w:tcW w:w="519" w:type="pct"/>
                  <w:vMerge w:val="continue"/>
                  <w:vAlign w:val="center"/>
                </w:tcPr>
                <w:p>
                  <w:pPr>
                    <w:widowControl/>
                    <w:jc w:val="center"/>
                    <w:textAlignment w:val="center"/>
                    <w:rPr>
                      <w:rFonts w:ascii="宋体" w:hAnsi="宋体" w:cs="宋体"/>
                      <w:color w:val="000000"/>
                      <w:kern w:val="0"/>
                      <w:sz w:val="22"/>
                      <w:szCs w:val="22"/>
                    </w:rPr>
                  </w:pP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除蜡水</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120</w:t>
                  </w:r>
                </w:p>
              </w:tc>
              <w:tc>
                <w:tcPr>
                  <w:tcW w:w="529" w:type="pct"/>
                  <w:vAlign w:val="center"/>
                </w:tcPr>
                <w:p>
                  <w:pPr>
                    <w:jc w:val="center"/>
                    <w:rPr>
                      <w:rFonts w:ascii="宋体" w:hAnsi="宋体" w:cs="宋体"/>
                      <w:color w:val="000000"/>
                      <w:sz w:val="22"/>
                      <w:szCs w:val="22"/>
                    </w:rPr>
                  </w:pPr>
                  <w:r>
                    <w:rPr>
                      <w:rFonts w:hint="eastAsia"/>
                      <w:color w:val="000000"/>
                      <w:sz w:val="22"/>
                      <w:szCs w:val="22"/>
                    </w:rPr>
                    <w:t>5</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hint="eastAsia" w:eastAsiaTheme="minorEastAsia"/>
                      <w:szCs w:val="21"/>
                    </w:rPr>
                    <w:t>3</w:t>
                  </w:r>
                </w:p>
              </w:tc>
              <w:tc>
                <w:tcPr>
                  <w:tcW w:w="519" w:type="pct"/>
                  <w:vMerge w:val="continue"/>
                  <w:vAlign w:val="center"/>
                </w:tcPr>
                <w:p>
                  <w:pPr>
                    <w:widowControl/>
                    <w:jc w:val="center"/>
                    <w:textAlignment w:val="center"/>
                    <w:rPr>
                      <w:rFonts w:ascii="宋体" w:hAnsi="宋体" w:cs="宋体"/>
                      <w:color w:val="000000"/>
                      <w:kern w:val="0"/>
                      <w:sz w:val="22"/>
                      <w:szCs w:val="22"/>
                    </w:rPr>
                  </w:pP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工业清洗剂</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11700</w:t>
                  </w:r>
                </w:p>
              </w:tc>
              <w:tc>
                <w:tcPr>
                  <w:tcW w:w="529" w:type="pct"/>
                  <w:vAlign w:val="center"/>
                </w:tcPr>
                <w:p>
                  <w:pPr>
                    <w:jc w:val="center"/>
                    <w:rPr>
                      <w:rFonts w:ascii="宋体" w:hAnsi="宋体" w:cs="宋体"/>
                      <w:color w:val="000000"/>
                      <w:sz w:val="22"/>
                      <w:szCs w:val="22"/>
                    </w:rPr>
                  </w:pPr>
                  <w:r>
                    <w:rPr>
                      <w:rFonts w:hint="eastAsia"/>
                      <w:color w:val="000000"/>
                      <w:sz w:val="22"/>
                      <w:szCs w:val="22"/>
                    </w:rPr>
                    <w:t>500</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hint="eastAsia" w:eastAsiaTheme="minorEastAsia"/>
                      <w:szCs w:val="21"/>
                    </w:rPr>
                    <w:t>4</w:t>
                  </w:r>
                </w:p>
              </w:tc>
              <w:tc>
                <w:tcPr>
                  <w:tcW w:w="519" w:type="pct"/>
                  <w:vMerge w:val="restar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水性切削液</w:t>
                  </w: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半合成切削液</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720</w:t>
                  </w:r>
                </w:p>
              </w:tc>
              <w:tc>
                <w:tcPr>
                  <w:tcW w:w="529" w:type="pct"/>
                  <w:vAlign w:val="center"/>
                </w:tcPr>
                <w:p>
                  <w:pPr>
                    <w:jc w:val="center"/>
                    <w:rPr>
                      <w:rFonts w:ascii="宋体" w:hAnsi="宋体" w:cs="宋体"/>
                      <w:color w:val="000000"/>
                      <w:sz w:val="22"/>
                      <w:szCs w:val="22"/>
                    </w:rPr>
                  </w:pPr>
                  <w:r>
                    <w:rPr>
                      <w:rFonts w:hint="eastAsia"/>
                      <w:color w:val="000000"/>
                      <w:sz w:val="22"/>
                      <w:szCs w:val="22"/>
                    </w:rPr>
                    <w:t>30</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hint="eastAsia" w:eastAsiaTheme="minorEastAsia"/>
                      <w:szCs w:val="21"/>
                    </w:rPr>
                    <w:t>5</w:t>
                  </w:r>
                </w:p>
              </w:tc>
              <w:tc>
                <w:tcPr>
                  <w:tcW w:w="519" w:type="pct"/>
                  <w:vMerge w:val="continue"/>
                  <w:vAlign w:val="center"/>
                </w:tcPr>
                <w:p>
                  <w:pPr>
                    <w:widowControl/>
                    <w:jc w:val="center"/>
                    <w:textAlignment w:val="center"/>
                    <w:rPr>
                      <w:rFonts w:ascii="宋体" w:hAnsi="宋体" w:cs="宋体"/>
                      <w:color w:val="000000"/>
                      <w:kern w:val="0"/>
                      <w:sz w:val="22"/>
                      <w:szCs w:val="22"/>
                    </w:rPr>
                  </w:pP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全合成切削液</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600</w:t>
                  </w:r>
                </w:p>
              </w:tc>
              <w:tc>
                <w:tcPr>
                  <w:tcW w:w="529" w:type="pct"/>
                  <w:vAlign w:val="center"/>
                </w:tcPr>
                <w:p>
                  <w:pPr>
                    <w:jc w:val="center"/>
                    <w:rPr>
                      <w:rFonts w:ascii="宋体" w:hAnsi="宋体" w:cs="宋体"/>
                      <w:color w:val="000000"/>
                      <w:sz w:val="22"/>
                      <w:szCs w:val="22"/>
                    </w:rPr>
                  </w:pPr>
                  <w:r>
                    <w:rPr>
                      <w:rFonts w:hint="eastAsia"/>
                      <w:color w:val="000000"/>
                      <w:sz w:val="22"/>
                      <w:szCs w:val="22"/>
                    </w:rPr>
                    <w:t>25</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hint="eastAsia" w:eastAsiaTheme="minorEastAsia"/>
                      <w:szCs w:val="21"/>
                    </w:rPr>
                    <w:t>6</w:t>
                  </w:r>
                </w:p>
              </w:tc>
              <w:tc>
                <w:tcPr>
                  <w:tcW w:w="519" w:type="pct"/>
                  <w:vMerge w:val="restart"/>
                  <w:vAlign w:val="center"/>
                </w:tcPr>
                <w:p>
                  <w:pPr>
                    <w:widowControl/>
                    <w:jc w:val="center"/>
                    <w:textAlignment w:val="center"/>
                    <w:rPr>
                      <w:rFonts w:ascii="宋体" w:hAnsi="宋体" w:cs="宋体"/>
                      <w:color w:val="000000"/>
                      <w:kern w:val="0"/>
                      <w:sz w:val="22"/>
                      <w:szCs w:val="22"/>
                    </w:rPr>
                  </w:pPr>
                  <w:r>
                    <w:rPr>
                      <w:color w:val="000000"/>
                    </w:rPr>
                    <w:t>润滑油</w:t>
                  </w: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导轨油</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360</w:t>
                  </w:r>
                </w:p>
              </w:tc>
              <w:tc>
                <w:tcPr>
                  <w:tcW w:w="529" w:type="pct"/>
                  <w:vAlign w:val="center"/>
                </w:tcPr>
                <w:p>
                  <w:pPr>
                    <w:jc w:val="center"/>
                    <w:rPr>
                      <w:rFonts w:ascii="宋体" w:hAnsi="宋体" w:cs="宋体"/>
                      <w:color w:val="000000"/>
                      <w:sz w:val="22"/>
                      <w:szCs w:val="22"/>
                    </w:rPr>
                  </w:pPr>
                  <w:r>
                    <w:rPr>
                      <w:rFonts w:hint="eastAsia"/>
                      <w:color w:val="000000"/>
                      <w:sz w:val="22"/>
                      <w:szCs w:val="22"/>
                    </w:rPr>
                    <w:t>15</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hint="eastAsia" w:eastAsiaTheme="minorEastAsia"/>
                      <w:szCs w:val="21"/>
                    </w:rPr>
                    <w:t>7</w:t>
                  </w:r>
                </w:p>
              </w:tc>
              <w:tc>
                <w:tcPr>
                  <w:tcW w:w="519" w:type="pct"/>
                  <w:vMerge w:val="continue"/>
                  <w:vAlign w:val="center"/>
                </w:tcPr>
                <w:p>
                  <w:pPr>
                    <w:widowControl/>
                    <w:jc w:val="center"/>
                    <w:textAlignment w:val="center"/>
                    <w:rPr>
                      <w:rFonts w:ascii="宋体" w:hAnsi="宋体" w:cs="宋体"/>
                      <w:color w:val="000000"/>
                      <w:kern w:val="0"/>
                      <w:sz w:val="22"/>
                      <w:szCs w:val="22"/>
                    </w:rPr>
                  </w:pPr>
                </w:p>
              </w:tc>
              <w:tc>
                <w:tcPr>
                  <w:tcW w:w="840" w:type="pct"/>
                  <w:vAlign w:val="center"/>
                </w:tcPr>
                <w:p>
                  <w:pPr>
                    <w:widowControl/>
                    <w:jc w:val="center"/>
                    <w:textAlignment w:val="center"/>
                    <w:rPr>
                      <w:rFonts w:eastAsiaTheme="minorEastAsia"/>
                      <w:szCs w:val="21"/>
                    </w:rPr>
                  </w:pPr>
                  <w:r>
                    <w:rPr>
                      <w:rFonts w:hint="eastAsia" w:ascii="宋体" w:hAnsi="宋体" w:cs="宋体"/>
                      <w:color w:val="000000"/>
                      <w:kern w:val="0"/>
                      <w:sz w:val="22"/>
                      <w:szCs w:val="22"/>
                    </w:rPr>
                    <w:t>冲压油</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480</w:t>
                  </w:r>
                </w:p>
              </w:tc>
              <w:tc>
                <w:tcPr>
                  <w:tcW w:w="529" w:type="pct"/>
                  <w:vAlign w:val="center"/>
                </w:tcPr>
                <w:p>
                  <w:pPr>
                    <w:jc w:val="center"/>
                    <w:rPr>
                      <w:rFonts w:ascii="宋体" w:hAnsi="宋体" w:cs="宋体"/>
                      <w:color w:val="000000"/>
                      <w:sz w:val="22"/>
                      <w:szCs w:val="22"/>
                    </w:rPr>
                  </w:pPr>
                  <w:r>
                    <w:rPr>
                      <w:rFonts w:hint="eastAsia"/>
                      <w:color w:val="000000"/>
                      <w:sz w:val="22"/>
                      <w:szCs w:val="22"/>
                    </w:rPr>
                    <w:t>20</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hint="eastAsia" w:eastAsiaTheme="minorEastAsia"/>
                      <w:szCs w:val="21"/>
                    </w:rPr>
                    <w:t>8</w:t>
                  </w:r>
                </w:p>
              </w:tc>
              <w:tc>
                <w:tcPr>
                  <w:tcW w:w="519" w:type="pct"/>
                  <w:vMerge w:val="continue"/>
                  <w:vAlign w:val="center"/>
                </w:tcPr>
                <w:p>
                  <w:pPr>
                    <w:widowControl/>
                    <w:jc w:val="center"/>
                    <w:textAlignment w:val="center"/>
                    <w:rPr>
                      <w:rFonts w:ascii="宋体" w:hAnsi="宋体" w:cs="宋体"/>
                      <w:color w:val="000000"/>
                      <w:kern w:val="0"/>
                      <w:sz w:val="22"/>
                      <w:szCs w:val="22"/>
                    </w:rPr>
                  </w:pP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拉伸油</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600</w:t>
                  </w:r>
                </w:p>
              </w:tc>
              <w:tc>
                <w:tcPr>
                  <w:tcW w:w="529" w:type="pct"/>
                  <w:vAlign w:val="center"/>
                </w:tcPr>
                <w:p>
                  <w:pPr>
                    <w:jc w:val="center"/>
                    <w:rPr>
                      <w:rFonts w:ascii="宋体" w:hAnsi="宋体" w:cs="宋体"/>
                      <w:color w:val="000000"/>
                      <w:sz w:val="22"/>
                      <w:szCs w:val="22"/>
                    </w:rPr>
                  </w:pPr>
                  <w:r>
                    <w:rPr>
                      <w:rFonts w:hint="eastAsia"/>
                      <w:color w:val="000000"/>
                      <w:sz w:val="22"/>
                      <w:szCs w:val="22"/>
                    </w:rPr>
                    <w:t>25</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hint="eastAsia" w:eastAsiaTheme="minorEastAsia"/>
                      <w:szCs w:val="21"/>
                    </w:rPr>
                    <w:t>9</w:t>
                  </w:r>
                </w:p>
              </w:tc>
              <w:tc>
                <w:tcPr>
                  <w:tcW w:w="519" w:type="pct"/>
                  <w:vMerge w:val="restart"/>
                  <w:vAlign w:val="center"/>
                </w:tcPr>
                <w:p>
                  <w:pPr>
                    <w:widowControl/>
                    <w:jc w:val="center"/>
                    <w:textAlignment w:val="center"/>
                    <w:rPr>
                      <w:rFonts w:ascii="宋体" w:hAnsi="宋体" w:cs="宋体"/>
                      <w:color w:val="000000"/>
                      <w:kern w:val="0"/>
                      <w:sz w:val="22"/>
                      <w:szCs w:val="22"/>
                    </w:rPr>
                  </w:pPr>
                  <w:r>
                    <w:rPr>
                      <w:color w:val="000000"/>
                    </w:rPr>
                    <w:t>环保碳氢清洗剂</w:t>
                  </w: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多功能碳氢清洗剂</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1800</w:t>
                  </w:r>
                </w:p>
              </w:tc>
              <w:tc>
                <w:tcPr>
                  <w:tcW w:w="529" w:type="pct"/>
                  <w:vAlign w:val="center"/>
                </w:tcPr>
                <w:p>
                  <w:pPr>
                    <w:jc w:val="center"/>
                    <w:rPr>
                      <w:rFonts w:ascii="宋体" w:hAnsi="宋体" w:cs="宋体"/>
                      <w:color w:val="000000"/>
                      <w:sz w:val="22"/>
                      <w:szCs w:val="22"/>
                    </w:rPr>
                  </w:pPr>
                  <w:r>
                    <w:rPr>
                      <w:rFonts w:hint="eastAsia"/>
                      <w:color w:val="000000"/>
                      <w:sz w:val="22"/>
                      <w:szCs w:val="22"/>
                    </w:rPr>
                    <w:t>75</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 w:type="pct"/>
                  <w:vAlign w:val="center"/>
                </w:tcPr>
                <w:p>
                  <w:pPr>
                    <w:jc w:val="center"/>
                    <w:rPr>
                      <w:rFonts w:eastAsiaTheme="minorEastAsia"/>
                      <w:szCs w:val="21"/>
                    </w:rPr>
                  </w:pPr>
                  <w:r>
                    <w:rPr>
                      <w:rFonts w:hint="eastAsia" w:eastAsiaTheme="minorEastAsia"/>
                      <w:szCs w:val="21"/>
                    </w:rPr>
                    <w:t>10</w:t>
                  </w:r>
                </w:p>
              </w:tc>
              <w:tc>
                <w:tcPr>
                  <w:tcW w:w="519" w:type="pct"/>
                  <w:vMerge w:val="continue"/>
                  <w:vAlign w:val="center"/>
                </w:tcPr>
                <w:p>
                  <w:pPr>
                    <w:widowControl/>
                    <w:jc w:val="center"/>
                    <w:textAlignment w:val="center"/>
                    <w:rPr>
                      <w:rFonts w:ascii="宋体" w:hAnsi="宋体" w:cs="宋体"/>
                      <w:color w:val="000000"/>
                      <w:kern w:val="0"/>
                      <w:sz w:val="22"/>
                      <w:szCs w:val="22"/>
                    </w:rPr>
                  </w:pPr>
                </w:p>
              </w:tc>
              <w:tc>
                <w:tcPr>
                  <w:tcW w:w="840" w:type="pct"/>
                  <w:vAlign w:val="center"/>
                </w:tcPr>
                <w:p>
                  <w:pPr>
                    <w:widowControl/>
                    <w:jc w:val="center"/>
                    <w:textAlignment w:val="center"/>
                    <w:rPr>
                      <w:szCs w:val="21"/>
                    </w:rPr>
                  </w:pPr>
                  <w:r>
                    <w:rPr>
                      <w:rFonts w:hint="eastAsia" w:ascii="宋体" w:hAnsi="宋体" w:cs="宋体"/>
                      <w:color w:val="000000"/>
                      <w:kern w:val="0"/>
                      <w:sz w:val="22"/>
                      <w:szCs w:val="22"/>
                    </w:rPr>
                    <w:t>环保碳氢清洗剂</w:t>
                  </w:r>
                </w:p>
              </w:tc>
              <w:tc>
                <w:tcPr>
                  <w:tcW w:w="533" w:type="pct"/>
                  <w:vAlign w:val="center"/>
                </w:tcPr>
                <w:p>
                  <w:pPr>
                    <w:jc w:val="center"/>
                  </w:pPr>
                  <w:r>
                    <w:rPr>
                      <w:rFonts w:hint="eastAsia" w:ascii="宋体" w:hAnsi="宋体" w:cs="宋体"/>
                      <w:color w:val="000000"/>
                      <w:kern w:val="0"/>
                      <w:sz w:val="22"/>
                      <w:szCs w:val="22"/>
                    </w:rPr>
                    <w:t>工业级</w:t>
                  </w:r>
                </w:p>
              </w:tc>
              <w:tc>
                <w:tcPr>
                  <w:tcW w:w="458" w:type="pct"/>
                  <w:vAlign w:val="center"/>
                </w:tcPr>
                <w:p>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液态</w:t>
                  </w:r>
                </w:p>
              </w:tc>
              <w:tc>
                <w:tcPr>
                  <w:tcW w:w="470" w:type="pct"/>
                  <w:vAlign w:val="center"/>
                </w:tcPr>
                <w:p>
                  <w:pPr>
                    <w:jc w:val="center"/>
                    <w:rPr>
                      <w:rFonts w:eastAsiaTheme="minorEastAsia"/>
                      <w:szCs w:val="21"/>
                    </w:rPr>
                  </w:pPr>
                  <w:r>
                    <w:rPr>
                      <w:rFonts w:hint="eastAsia" w:eastAsiaTheme="minorEastAsia"/>
                      <w:szCs w:val="21"/>
                    </w:rPr>
                    <w:t>4860</w:t>
                  </w:r>
                </w:p>
              </w:tc>
              <w:tc>
                <w:tcPr>
                  <w:tcW w:w="529" w:type="pct"/>
                  <w:vAlign w:val="center"/>
                </w:tcPr>
                <w:p>
                  <w:pPr>
                    <w:jc w:val="center"/>
                    <w:rPr>
                      <w:rFonts w:ascii="宋体" w:hAnsi="宋体" w:cs="宋体"/>
                      <w:color w:val="000000"/>
                      <w:sz w:val="22"/>
                      <w:szCs w:val="22"/>
                    </w:rPr>
                  </w:pPr>
                  <w:r>
                    <w:rPr>
                      <w:rFonts w:hint="eastAsia"/>
                      <w:color w:val="000000"/>
                      <w:sz w:val="22"/>
                      <w:szCs w:val="22"/>
                    </w:rPr>
                    <w:t>200</w:t>
                  </w:r>
                </w:p>
              </w:tc>
              <w:tc>
                <w:tcPr>
                  <w:tcW w:w="458" w:type="pct"/>
                  <w:vAlign w:val="center"/>
                </w:tcPr>
                <w:p>
                  <w:pPr>
                    <w:jc w:val="center"/>
                  </w:pPr>
                  <w:r>
                    <w:rPr>
                      <w:rFonts w:hint="eastAsia" w:eastAsiaTheme="minorEastAsia"/>
                      <w:szCs w:val="21"/>
                    </w:rPr>
                    <w:t>成品仓</w:t>
                  </w:r>
                </w:p>
              </w:tc>
              <w:tc>
                <w:tcPr>
                  <w:tcW w:w="458" w:type="pct"/>
                  <w:vAlign w:val="center"/>
                </w:tcPr>
                <w:p>
                  <w:pPr>
                    <w:jc w:val="center"/>
                    <w:rPr>
                      <w:rFonts w:eastAsiaTheme="minorEastAsia"/>
                      <w:szCs w:val="21"/>
                    </w:rPr>
                  </w:pPr>
                  <w:r>
                    <w:rPr>
                      <w:rFonts w:hint="eastAsia" w:eastAsiaTheme="minorEastAsia"/>
                      <w:szCs w:val="21"/>
                    </w:rPr>
                    <w:t>桶装</w:t>
                  </w:r>
                </w:p>
              </w:tc>
              <w:tc>
                <w:tcPr>
                  <w:tcW w:w="483" w:type="pct"/>
                  <w:vMerge w:val="continue"/>
                  <w:vAlign w:val="center"/>
                </w:tcPr>
                <w:p>
                  <w:pPr>
                    <w:jc w:val="center"/>
                    <w:rPr>
                      <w:rFonts w:eastAsiaTheme="minorEastAsia"/>
                      <w:szCs w:val="21"/>
                    </w:rPr>
                  </w:pPr>
                </w:p>
              </w:tc>
            </w:tr>
          </w:tbl>
          <w:p>
            <w:pPr>
              <w:adjustRightInd w:val="0"/>
              <w:snapToGrid w:val="0"/>
              <w:spacing w:line="360" w:lineRule="auto"/>
              <w:ind w:firstLine="480" w:firstLineChars="200"/>
              <w:rPr>
                <w:b/>
                <w:bCs/>
                <w:sz w:val="24"/>
              </w:rPr>
            </w:pPr>
            <w:r>
              <w:rPr>
                <w:rFonts w:hint="eastAsia"/>
                <w:sz w:val="24"/>
              </w:rPr>
              <w:t>企业生产清洗剂中VOCs含量需低于《清洗剂挥发性有机化合物含量限值》（GB 38508-2020）表1中50g/L限值要求；各成品在厂区短期暂存后外运出售。</w:t>
            </w:r>
          </w:p>
          <w:p>
            <w:pPr>
              <w:adjustRightInd w:val="0"/>
              <w:snapToGrid w:val="0"/>
              <w:spacing w:line="360" w:lineRule="auto"/>
              <w:ind w:firstLine="482" w:firstLineChars="200"/>
              <w:rPr>
                <w:b/>
                <w:bCs/>
                <w:sz w:val="24"/>
              </w:rPr>
            </w:pPr>
            <w:r>
              <w:rPr>
                <w:rFonts w:hint="eastAsia"/>
                <w:b/>
                <w:bCs/>
                <w:sz w:val="24"/>
              </w:rPr>
              <w:t>3、</w:t>
            </w:r>
            <w:r>
              <w:rPr>
                <w:b/>
                <w:bCs/>
                <w:sz w:val="24"/>
              </w:rPr>
              <w:t>主要</w:t>
            </w:r>
            <w:r>
              <w:rPr>
                <w:rFonts w:hint="eastAsia"/>
                <w:b/>
                <w:bCs/>
                <w:sz w:val="24"/>
              </w:rPr>
              <w:t>生产</w:t>
            </w:r>
            <w:r>
              <w:rPr>
                <w:b/>
                <w:bCs/>
                <w:sz w:val="24"/>
              </w:rPr>
              <w:t>设备</w:t>
            </w:r>
          </w:p>
          <w:p>
            <w:pPr>
              <w:adjustRightInd w:val="0"/>
              <w:snapToGrid w:val="0"/>
              <w:spacing w:line="360" w:lineRule="auto"/>
              <w:ind w:firstLine="480" w:firstLineChars="200"/>
              <w:rPr>
                <w:sz w:val="24"/>
              </w:rPr>
            </w:pPr>
            <w:r>
              <w:rPr>
                <w:rFonts w:hint="eastAsia"/>
                <w:sz w:val="24"/>
              </w:rPr>
              <w:t>项目主要生产设备详见表2-3。</w:t>
            </w:r>
          </w:p>
          <w:p>
            <w:pPr>
              <w:autoSpaceDE w:val="0"/>
              <w:autoSpaceDN w:val="0"/>
              <w:adjustRightInd w:val="0"/>
              <w:spacing w:beforeLines="50"/>
              <w:jc w:val="center"/>
              <w:rPr>
                <w:b/>
                <w:kern w:val="0"/>
                <w:szCs w:val="21"/>
              </w:rPr>
            </w:pPr>
            <w:r>
              <w:rPr>
                <w:b/>
                <w:kern w:val="0"/>
                <w:szCs w:val="21"/>
              </w:rPr>
              <w:t>表2-</w:t>
            </w:r>
            <w:r>
              <w:rPr>
                <w:rFonts w:hint="eastAsia"/>
                <w:b/>
                <w:kern w:val="0"/>
                <w:szCs w:val="21"/>
              </w:rPr>
              <w:t xml:space="preserve">3 </w:t>
            </w:r>
            <w:r>
              <w:rPr>
                <w:b/>
                <w:kern w:val="0"/>
                <w:szCs w:val="21"/>
              </w:rPr>
              <w:t xml:space="preserve"> 主要生产设备一览表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2377"/>
              <w:gridCol w:w="1362"/>
              <w:gridCol w:w="1021"/>
              <w:gridCol w:w="1245"/>
              <w:gridCol w:w="2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b/>
                      <w:szCs w:val="21"/>
                    </w:rPr>
                  </w:pPr>
                  <w:r>
                    <w:rPr>
                      <w:rFonts w:eastAsiaTheme="minorEastAsia"/>
                      <w:b/>
                      <w:szCs w:val="21"/>
                    </w:rPr>
                    <w:t>序号</w:t>
                  </w:r>
                </w:p>
              </w:tc>
              <w:tc>
                <w:tcPr>
                  <w:tcW w:w="1281" w:type="pct"/>
                  <w:vAlign w:val="center"/>
                </w:tcPr>
                <w:p>
                  <w:pPr>
                    <w:widowControl/>
                    <w:jc w:val="center"/>
                    <w:textAlignment w:val="center"/>
                    <w:rPr>
                      <w:b/>
                      <w:bCs/>
                      <w:color w:val="000000"/>
                      <w:sz w:val="22"/>
                      <w:szCs w:val="22"/>
                    </w:rPr>
                  </w:pPr>
                  <w:r>
                    <w:rPr>
                      <w:rFonts w:hAnsi="宋体"/>
                      <w:b/>
                      <w:bCs/>
                      <w:color w:val="000000"/>
                      <w:kern w:val="0"/>
                      <w:sz w:val="22"/>
                      <w:szCs w:val="22"/>
                    </w:rPr>
                    <w:t>仪器名</w:t>
                  </w:r>
                </w:p>
              </w:tc>
              <w:tc>
                <w:tcPr>
                  <w:tcW w:w="734" w:type="pct"/>
                  <w:vAlign w:val="center"/>
                </w:tcPr>
                <w:p>
                  <w:pPr>
                    <w:widowControl/>
                    <w:jc w:val="center"/>
                    <w:textAlignment w:val="center"/>
                    <w:rPr>
                      <w:b/>
                      <w:bCs/>
                      <w:color w:val="000000"/>
                      <w:sz w:val="22"/>
                      <w:szCs w:val="22"/>
                    </w:rPr>
                  </w:pPr>
                  <w:r>
                    <w:rPr>
                      <w:rFonts w:hAnsi="宋体"/>
                      <w:b/>
                      <w:bCs/>
                      <w:color w:val="000000"/>
                      <w:kern w:val="0"/>
                      <w:sz w:val="22"/>
                      <w:szCs w:val="22"/>
                    </w:rPr>
                    <w:t>规格</w:t>
                  </w:r>
                </w:p>
              </w:tc>
              <w:tc>
                <w:tcPr>
                  <w:tcW w:w="550" w:type="pct"/>
                  <w:vAlign w:val="center"/>
                </w:tcPr>
                <w:p>
                  <w:pPr>
                    <w:widowControl/>
                    <w:jc w:val="center"/>
                    <w:textAlignment w:val="center"/>
                    <w:rPr>
                      <w:b/>
                      <w:bCs/>
                      <w:color w:val="000000"/>
                      <w:sz w:val="22"/>
                      <w:szCs w:val="22"/>
                    </w:rPr>
                  </w:pPr>
                  <w:r>
                    <w:rPr>
                      <w:rFonts w:hAnsi="宋体"/>
                      <w:b/>
                      <w:bCs/>
                      <w:color w:val="000000"/>
                      <w:kern w:val="0"/>
                      <w:sz w:val="22"/>
                      <w:szCs w:val="22"/>
                    </w:rPr>
                    <w:t>数量</w:t>
                  </w:r>
                </w:p>
              </w:tc>
              <w:tc>
                <w:tcPr>
                  <w:tcW w:w="671" w:type="pct"/>
                  <w:vAlign w:val="center"/>
                </w:tcPr>
                <w:p>
                  <w:pPr>
                    <w:widowControl/>
                    <w:jc w:val="center"/>
                    <w:textAlignment w:val="center"/>
                    <w:rPr>
                      <w:b/>
                      <w:bCs/>
                      <w:color w:val="000000"/>
                      <w:kern w:val="0"/>
                      <w:sz w:val="22"/>
                      <w:szCs w:val="22"/>
                    </w:rPr>
                  </w:pPr>
                  <w:r>
                    <w:rPr>
                      <w:rFonts w:hAnsi="宋体"/>
                      <w:b/>
                      <w:bCs/>
                      <w:color w:val="000000"/>
                      <w:kern w:val="0"/>
                      <w:sz w:val="22"/>
                      <w:szCs w:val="22"/>
                    </w:rPr>
                    <w:t>位置</w:t>
                  </w:r>
                </w:p>
              </w:tc>
              <w:tc>
                <w:tcPr>
                  <w:tcW w:w="1324" w:type="pct"/>
                  <w:vAlign w:val="center"/>
                </w:tcPr>
                <w:p>
                  <w:pPr>
                    <w:widowControl/>
                    <w:jc w:val="center"/>
                    <w:textAlignment w:val="center"/>
                    <w:rPr>
                      <w:b/>
                      <w:bCs/>
                      <w:color w:val="000000"/>
                      <w:sz w:val="22"/>
                      <w:szCs w:val="22"/>
                    </w:rPr>
                  </w:pPr>
                  <w:r>
                    <w:rPr>
                      <w:rFonts w:hAnsi="宋体"/>
                      <w:b/>
                      <w:bCs/>
                      <w:color w:val="000000"/>
                      <w:kern w:val="0"/>
                      <w:sz w:val="22"/>
                      <w:szCs w:val="2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1</w:t>
                  </w:r>
                </w:p>
              </w:tc>
              <w:tc>
                <w:tcPr>
                  <w:tcW w:w="1281" w:type="pct"/>
                  <w:vAlign w:val="center"/>
                </w:tcPr>
                <w:p>
                  <w:pPr>
                    <w:widowControl/>
                    <w:jc w:val="center"/>
                    <w:textAlignment w:val="center"/>
                    <w:rPr>
                      <w:rFonts w:eastAsiaTheme="minorEastAsia"/>
                      <w:szCs w:val="21"/>
                    </w:rPr>
                  </w:pPr>
                  <w:r>
                    <w:rPr>
                      <w:rFonts w:eastAsiaTheme="minorEastAsia"/>
                      <w:szCs w:val="21"/>
                    </w:rPr>
                    <w:t>高速搅拌机（带缸体）</w:t>
                  </w:r>
                </w:p>
              </w:tc>
              <w:tc>
                <w:tcPr>
                  <w:tcW w:w="734" w:type="pct"/>
                  <w:vAlign w:val="center"/>
                </w:tcPr>
                <w:p>
                  <w:pPr>
                    <w:widowControl/>
                    <w:jc w:val="center"/>
                    <w:textAlignment w:val="center"/>
                    <w:rPr>
                      <w:rFonts w:eastAsiaTheme="minorEastAsia"/>
                      <w:szCs w:val="21"/>
                    </w:rPr>
                  </w:pPr>
                  <w:r>
                    <w:rPr>
                      <w:rFonts w:eastAsiaTheme="minorEastAsia"/>
                      <w:szCs w:val="21"/>
                    </w:rPr>
                    <w:t>30kw/5t</w:t>
                  </w:r>
                </w:p>
              </w:tc>
              <w:tc>
                <w:tcPr>
                  <w:tcW w:w="550" w:type="pct"/>
                  <w:vAlign w:val="center"/>
                </w:tcPr>
                <w:p>
                  <w:pPr>
                    <w:widowControl/>
                    <w:jc w:val="center"/>
                    <w:textAlignment w:val="center"/>
                    <w:rPr>
                      <w:rFonts w:eastAsiaTheme="minorEastAsia"/>
                      <w:szCs w:val="21"/>
                    </w:rPr>
                  </w:pPr>
                  <w:r>
                    <w:rPr>
                      <w:rFonts w:hint="eastAsia" w:eastAsiaTheme="minorEastAsia"/>
                      <w:szCs w:val="21"/>
                    </w:rPr>
                    <w:t>3</w:t>
                  </w:r>
                </w:p>
              </w:tc>
              <w:tc>
                <w:tcPr>
                  <w:tcW w:w="671" w:type="pct"/>
                  <w:vMerge w:val="restart"/>
                  <w:vAlign w:val="center"/>
                </w:tcPr>
                <w:p>
                  <w:pPr>
                    <w:widowControl/>
                    <w:jc w:val="center"/>
                    <w:textAlignment w:val="center"/>
                    <w:rPr>
                      <w:color w:val="000000"/>
                      <w:kern w:val="0"/>
                      <w:szCs w:val="21"/>
                    </w:rPr>
                  </w:pPr>
                  <w:r>
                    <w:rPr>
                      <w:color w:val="000000"/>
                      <w:kern w:val="0"/>
                      <w:szCs w:val="21"/>
                    </w:rPr>
                    <w:t>1#</w:t>
                  </w:r>
                  <w:r>
                    <w:rPr>
                      <w:rFonts w:hAnsi="宋体"/>
                      <w:color w:val="000000"/>
                      <w:kern w:val="0"/>
                      <w:szCs w:val="21"/>
                    </w:rPr>
                    <w:t>厂房</w:t>
                  </w:r>
                </w:p>
              </w:tc>
              <w:tc>
                <w:tcPr>
                  <w:tcW w:w="1324" w:type="pct"/>
                  <w:vAlign w:val="center"/>
                </w:tcPr>
                <w:p>
                  <w:pPr>
                    <w:widowControl/>
                    <w:jc w:val="center"/>
                    <w:textAlignment w:val="center"/>
                    <w:rPr>
                      <w:rFonts w:eastAsiaTheme="minorEastAsia"/>
                      <w:szCs w:val="21"/>
                    </w:rPr>
                  </w:pPr>
                  <w:r>
                    <w:rPr>
                      <w:rFonts w:hAnsi="宋体"/>
                      <w:color w:val="000000"/>
                      <w:kern w:val="0"/>
                      <w:szCs w:val="21"/>
                    </w:rPr>
                    <w:t>动力电池结构件专用清洗剂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2</w:t>
                  </w:r>
                </w:p>
              </w:tc>
              <w:tc>
                <w:tcPr>
                  <w:tcW w:w="1281" w:type="pct"/>
                  <w:vAlign w:val="center"/>
                </w:tcPr>
                <w:p>
                  <w:pPr>
                    <w:widowControl/>
                    <w:jc w:val="center"/>
                    <w:textAlignment w:val="center"/>
                    <w:rPr>
                      <w:rFonts w:eastAsiaTheme="minorEastAsia"/>
                      <w:szCs w:val="21"/>
                    </w:rPr>
                  </w:pPr>
                  <w:r>
                    <w:rPr>
                      <w:rFonts w:eastAsiaTheme="minorEastAsia"/>
                      <w:szCs w:val="21"/>
                    </w:rPr>
                    <w:t>高速搅拌机（带缸体）</w:t>
                  </w:r>
                </w:p>
              </w:tc>
              <w:tc>
                <w:tcPr>
                  <w:tcW w:w="734" w:type="pct"/>
                  <w:vAlign w:val="center"/>
                </w:tcPr>
                <w:p>
                  <w:pPr>
                    <w:widowControl/>
                    <w:jc w:val="center"/>
                    <w:textAlignment w:val="center"/>
                    <w:rPr>
                      <w:rFonts w:eastAsiaTheme="minorEastAsia"/>
                      <w:szCs w:val="21"/>
                    </w:rPr>
                  </w:pPr>
                  <w:r>
                    <w:rPr>
                      <w:rFonts w:eastAsiaTheme="minorEastAsia"/>
                      <w:szCs w:val="21"/>
                    </w:rPr>
                    <w:t>30kw/5t</w:t>
                  </w:r>
                </w:p>
              </w:tc>
              <w:tc>
                <w:tcPr>
                  <w:tcW w:w="550" w:type="pct"/>
                  <w:vAlign w:val="center"/>
                </w:tcPr>
                <w:p>
                  <w:pPr>
                    <w:widowControl/>
                    <w:jc w:val="center"/>
                    <w:textAlignment w:val="center"/>
                    <w:rPr>
                      <w:rFonts w:eastAsiaTheme="minorEastAsia"/>
                      <w:szCs w:val="21"/>
                    </w:rPr>
                  </w:pPr>
                  <w:r>
                    <w:rPr>
                      <w:rFonts w:hint="eastAsia" w:eastAsiaTheme="minorEastAsia"/>
                      <w:szCs w:val="21"/>
                    </w:rPr>
                    <w:t>2</w:t>
                  </w:r>
                </w:p>
              </w:tc>
              <w:tc>
                <w:tcPr>
                  <w:tcW w:w="671" w:type="pct"/>
                  <w:vMerge w:val="continue"/>
                  <w:vAlign w:val="center"/>
                </w:tcPr>
                <w:p>
                  <w:pPr>
                    <w:widowControl/>
                    <w:jc w:val="center"/>
                    <w:textAlignment w:val="center"/>
                    <w:rPr>
                      <w:color w:val="000000"/>
                      <w:kern w:val="0"/>
                      <w:szCs w:val="21"/>
                    </w:rPr>
                  </w:pPr>
                </w:p>
              </w:tc>
              <w:tc>
                <w:tcPr>
                  <w:tcW w:w="1324" w:type="pct"/>
                  <w:vAlign w:val="center"/>
                </w:tcPr>
                <w:p>
                  <w:pPr>
                    <w:widowControl/>
                    <w:jc w:val="center"/>
                    <w:textAlignment w:val="center"/>
                    <w:rPr>
                      <w:rFonts w:hAnsi="宋体"/>
                      <w:color w:val="000000"/>
                      <w:kern w:val="0"/>
                      <w:szCs w:val="21"/>
                    </w:rPr>
                  </w:pPr>
                  <w:r>
                    <w:rPr>
                      <w:rFonts w:hAnsi="宋体"/>
                      <w:color w:val="000000"/>
                      <w:kern w:val="0"/>
                      <w:szCs w:val="21"/>
                    </w:rPr>
                    <w:t>工业清洗剂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3</w:t>
                  </w:r>
                </w:p>
              </w:tc>
              <w:tc>
                <w:tcPr>
                  <w:tcW w:w="1281" w:type="pct"/>
                  <w:vAlign w:val="center"/>
                </w:tcPr>
                <w:p>
                  <w:pPr>
                    <w:widowControl/>
                    <w:jc w:val="center"/>
                    <w:textAlignment w:val="center"/>
                    <w:rPr>
                      <w:rFonts w:eastAsiaTheme="minorEastAsia"/>
                      <w:szCs w:val="21"/>
                    </w:rPr>
                  </w:pPr>
                  <w:r>
                    <w:rPr>
                      <w:rFonts w:eastAsiaTheme="minorEastAsia"/>
                      <w:szCs w:val="21"/>
                    </w:rPr>
                    <w:t>高速搅拌机（带缸体）</w:t>
                  </w:r>
                </w:p>
              </w:tc>
              <w:tc>
                <w:tcPr>
                  <w:tcW w:w="734" w:type="pct"/>
                  <w:vAlign w:val="center"/>
                </w:tcPr>
                <w:p>
                  <w:pPr>
                    <w:widowControl/>
                    <w:jc w:val="center"/>
                    <w:textAlignment w:val="center"/>
                    <w:rPr>
                      <w:rFonts w:eastAsiaTheme="minorEastAsia"/>
                      <w:szCs w:val="21"/>
                    </w:rPr>
                  </w:pPr>
                  <w:r>
                    <w:rPr>
                      <w:rFonts w:eastAsiaTheme="minorEastAsia"/>
                      <w:szCs w:val="21"/>
                    </w:rPr>
                    <w:t>15kw/1t</w:t>
                  </w:r>
                </w:p>
              </w:tc>
              <w:tc>
                <w:tcPr>
                  <w:tcW w:w="550" w:type="pct"/>
                  <w:vAlign w:val="center"/>
                </w:tcPr>
                <w:p>
                  <w:pPr>
                    <w:widowControl/>
                    <w:jc w:val="center"/>
                    <w:textAlignment w:val="center"/>
                    <w:rPr>
                      <w:rFonts w:eastAsiaTheme="minorEastAsia"/>
                      <w:szCs w:val="21"/>
                    </w:rPr>
                  </w:pPr>
                  <w:r>
                    <w:rPr>
                      <w:rFonts w:eastAsiaTheme="minorEastAsia"/>
                      <w:szCs w:val="21"/>
                    </w:rPr>
                    <w:t>1</w:t>
                  </w:r>
                </w:p>
              </w:tc>
              <w:tc>
                <w:tcPr>
                  <w:tcW w:w="671" w:type="pct"/>
                  <w:vMerge w:val="continue"/>
                  <w:vAlign w:val="center"/>
                </w:tcPr>
                <w:p>
                  <w:pPr>
                    <w:widowControl/>
                    <w:jc w:val="center"/>
                    <w:textAlignment w:val="center"/>
                    <w:rPr>
                      <w:color w:val="000000"/>
                      <w:kern w:val="0"/>
                      <w:szCs w:val="21"/>
                    </w:rPr>
                  </w:pPr>
                </w:p>
              </w:tc>
              <w:tc>
                <w:tcPr>
                  <w:tcW w:w="1324" w:type="pct"/>
                  <w:vAlign w:val="center"/>
                </w:tcPr>
                <w:p>
                  <w:pPr>
                    <w:widowControl/>
                    <w:jc w:val="center"/>
                    <w:textAlignment w:val="center"/>
                    <w:rPr>
                      <w:rFonts w:eastAsiaTheme="minorEastAsia"/>
                      <w:szCs w:val="21"/>
                    </w:rPr>
                  </w:pPr>
                  <w:r>
                    <w:rPr>
                      <w:rFonts w:hAnsi="宋体"/>
                      <w:color w:val="000000"/>
                      <w:kern w:val="0"/>
                      <w:szCs w:val="21"/>
                    </w:rPr>
                    <w:t>除蜡水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4</w:t>
                  </w:r>
                </w:p>
              </w:tc>
              <w:tc>
                <w:tcPr>
                  <w:tcW w:w="1281" w:type="pct"/>
                  <w:vAlign w:val="center"/>
                </w:tcPr>
                <w:p>
                  <w:pPr>
                    <w:widowControl/>
                    <w:jc w:val="center"/>
                    <w:textAlignment w:val="center"/>
                    <w:rPr>
                      <w:rFonts w:eastAsiaTheme="minorEastAsia"/>
                      <w:szCs w:val="21"/>
                    </w:rPr>
                  </w:pPr>
                  <w:r>
                    <w:rPr>
                      <w:rFonts w:eastAsiaTheme="minorEastAsia"/>
                      <w:szCs w:val="21"/>
                    </w:rPr>
                    <w:t>高速搅拌机（带缸体）</w:t>
                  </w:r>
                </w:p>
              </w:tc>
              <w:tc>
                <w:tcPr>
                  <w:tcW w:w="734" w:type="pct"/>
                  <w:vAlign w:val="center"/>
                </w:tcPr>
                <w:p>
                  <w:pPr>
                    <w:widowControl/>
                    <w:jc w:val="center"/>
                    <w:textAlignment w:val="center"/>
                    <w:rPr>
                      <w:rFonts w:eastAsiaTheme="minorEastAsia"/>
                      <w:szCs w:val="21"/>
                    </w:rPr>
                  </w:pPr>
                  <w:r>
                    <w:rPr>
                      <w:rFonts w:eastAsiaTheme="minorEastAsia"/>
                      <w:szCs w:val="21"/>
                    </w:rPr>
                    <w:t>22kw/2t</w:t>
                  </w:r>
                </w:p>
              </w:tc>
              <w:tc>
                <w:tcPr>
                  <w:tcW w:w="550" w:type="pct"/>
                  <w:vAlign w:val="center"/>
                </w:tcPr>
                <w:p>
                  <w:pPr>
                    <w:widowControl/>
                    <w:jc w:val="center"/>
                    <w:textAlignment w:val="center"/>
                    <w:rPr>
                      <w:rFonts w:eastAsiaTheme="minorEastAsia"/>
                      <w:szCs w:val="21"/>
                    </w:rPr>
                  </w:pPr>
                  <w:r>
                    <w:rPr>
                      <w:rFonts w:eastAsiaTheme="minorEastAsia"/>
                      <w:szCs w:val="21"/>
                    </w:rPr>
                    <w:t>3</w:t>
                  </w:r>
                </w:p>
              </w:tc>
              <w:tc>
                <w:tcPr>
                  <w:tcW w:w="671" w:type="pct"/>
                  <w:vMerge w:val="continue"/>
                  <w:vAlign w:val="center"/>
                </w:tcPr>
                <w:p>
                  <w:pPr>
                    <w:widowControl/>
                    <w:jc w:val="center"/>
                    <w:textAlignment w:val="center"/>
                    <w:rPr>
                      <w:color w:val="000000"/>
                      <w:kern w:val="0"/>
                      <w:szCs w:val="21"/>
                    </w:rPr>
                  </w:pPr>
                </w:p>
              </w:tc>
              <w:tc>
                <w:tcPr>
                  <w:tcW w:w="1324" w:type="pct"/>
                  <w:vAlign w:val="center"/>
                </w:tcPr>
                <w:p>
                  <w:pPr>
                    <w:widowControl/>
                    <w:jc w:val="center"/>
                    <w:textAlignment w:val="center"/>
                    <w:rPr>
                      <w:rFonts w:eastAsiaTheme="minorEastAsia"/>
                      <w:szCs w:val="21"/>
                    </w:rPr>
                  </w:pPr>
                  <w:r>
                    <w:rPr>
                      <w:rFonts w:hAnsi="宋体"/>
                      <w:color w:val="000000"/>
                      <w:kern w:val="0"/>
                      <w:szCs w:val="21"/>
                    </w:rPr>
                    <w:t>切削液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5</w:t>
                  </w:r>
                </w:p>
              </w:tc>
              <w:tc>
                <w:tcPr>
                  <w:tcW w:w="1281" w:type="pct"/>
                  <w:vAlign w:val="center"/>
                </w:tcPr>
                <w:p>
                  <w:pPr>
                    <w:widowControl/>
                    <w:jc w:val="center"/>
                    <w:textAlignment w:val="center"/>
                    <w:rPr>
                      <w:rFonts w:eastAsiaTheme="minorEastAsia"/>
                      <w:szCs w:val="21"/>
                    </w:rPr>
                  </w:pPr>
                  <w:r>
                    <w:rPr>
                      <w:rFonts w:eastAsiaTheme="minorEastAsia"/>
                      <w:szCs w:val="21"/>
                    </w:rPr>
                    <w:t>异构烷烃储存罐</w:t>
                  </w:r>
                </w:p>
              </w:tc>
              <w:tc>
                <w:tcPr>
                  <w:tcW w:w="734" w:type="pct"/>
                  <w:vAlign w:val="center"/>
                </w:tcPr>
                <w:p>
                  <w:pPr>
                    <w:widowControl/>
                    <w:jc w:val="center"/>
                    <w:textAlignment w:val="center"/>
                    <w:rPr>
                      <w:rFonts w:eastAsiaTheme="minorEastAsia"/>
                      <w:szCs w:val="21"/>
                    </w:rPr>
                  </w:pPr>
                  <w:r>
                    <w:rPr>
                      <w:rFonts w:eastAsiaTheme="minorEastAsia"/>
                      <w:szCs w:val="21"/>
                    </w:rPr>
                    <w:t>60t</w:t>
                  </w:r>
                </w:p>
              </w:tc>
              <w:tc>
                <w:tcPr>
                  <w:tcW w:w="550" w:type="pct"/>
                  <w:vAlign w:val="center"/>
                </w:tcPr>
                <w:p>
                  <w:pPr>
                    <w:widowControl/>
                    <w:jc w:val="center"/>
                    <w:textAlignment w:val="center"/>
                    <w:rPr>
                      <w:rFonts w:eastAsiaTheme="minorEastAsia"/>
                      <w:szCs w:val="21"/>
                    </w:rPr>
                  </w:pPr>
                  <w:r>
                    <w:rPr>
                      <w:rFonts w:eastAsiaTheme="minorEastAsia"/>
                      <w:szCs w:val="21"/>
                    </w:rPr>
                    <w:t>2</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储存异构烷烃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6</w:t>
                  </w:r>
                </w:p>
              </w:tc>
              <w:tc>
                <w:tcPr>
                  <w:tcW w:w="1281" w:type="pct"/>
                  <w:vAlign w:val="center"/>
                </w:tcPr>
                <w:p>
                  <w:pPr>
                    <w:widowControl/>
                    <w:jc w:val="center"/>
                    <w:textAlignment w:val="center"/>
                    <w:rPr>
                      <w:rFonts w:eastAsiaTheme="minorEastAsia"/>
                      <w:szCs w:val="21"/>
                    </w:rPr>
                  </w:pPr>
                  <w:r>
                    <w:rPr>
                      <w:rFonts w:eastAsiaTheme="minorEastAsia"/>
                      <w:szCs w:val="21"/>
                    </w:rPr>
                    <w:t>饱和烷烃储存罐</w:t>
                  </w:r>
                </w:p>
              </w:tc>
              <w:tc>
                <w:tcPr>
                  <w:tcW w:w="734" w:type="pct"/>
                  <w:vAlign w:val="center"/>
                </w:tcPr>
                <w:p>
                  <w:pPr>
                    <w:widowControl/>
                    <w:jc w:val="center"/>
                    <w:textAlignment w:val="center"/>
                    <w:rPr>
                      <w:rFonts w:eastAsiaTheme="minorEastAsia"/>
                      <w:szCs w:val="21"/>
                    </w:rPr>
                  </w:pPr>
                  <w:r>
                    <w:rPr>
                      <w:rFonts w:eastAsiaTheme="minorEastAsia"/>
                      <w:szCs w:val="21"/>
                    </w:rPr>
                    <w:t>60t</w:t>
                  </w:r>
                </w:p>
              </w:tc>
              <w:tc>
                <w:tcPr>
                  <w:tcW w:w="550" w:type="pct"/>
                  <w:vAlign w:val="center"/>
                </w:tcPr>
                <w:p>
                  <w:pPr>
                    <w:widowControl/>
                    <w:jc w:val="center"/>
                    <w:textAlignment w:val="center"/>
                    <w:rPr>
                      <w:rFonts w:eastAsiaTheme="minorEastAsia"/>
                      <w:szCs w:val="21"/>
                    </w:rPr>
                  </w:pPr>
                  <w:r>
                    <w:rPr>
                      <w:rFonts w:hint="eastAsia" w:eastAsiaTheme="minorEastAsia"/>
                      <w:szCs w:val="21"/>
                    </w:rPr>
                    <w:t>2</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储存饱和烷烃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7</w:t>
                  </w:r>
                </w:p>
              </w:tc>
              <w:tc>
                <w:tcPr>
                  <w:tcW w:w="1281" w:type="pct"/>
                  <w:vAlign w:val="center"/>
                </w:tcPr>
                <w:p>
                  <w:pPr>
                    <w:widowControl/>
                    <w:jc w:val="center"/>
                    <w:textAlignment w:val="center"/>
                    <w:rPr>
                      <w:rFonts w:eastAsiaTheme="minorEastAsia"/>
                      <w:szCs w:val="21"/>
                    </w:rPr>
                  </w:pPr>
                  <w:r>
                    <w:rPr>
                      <w:rFonts w:eastAsiaTheme="minorEastAsia"/>
                      <w:szCs w:val="21"/>
                    </w:rPr>
                    <w:t>调和罐自动一体机</w:t>
                  </w:r>
                </w:p>
              </w:tc>
              <w:tc>
                <w:tcPr>
                  <w:tcW w:w="734" w:type="pct"/>
                  <w:vAlign w:val="center"/>
                </w:tcPr>
                <w:p>
                  <w:pPr>
                    <w:widowControl/>
                    <w:jc w:val="center"/>
                    <w:textAlignment w:val="center"/>
                    <w:rPr>
                      <w:rFonts w:eastAsiaTheme="minorEastAsia"/>
                      <w:szCs w:val="21"/>
                    </w:rPr>
                  </w:pPr>
                  <w:r>
                    <w:rPr>
                      <w:rFonts w:eastAsiaTheme="minorEastAsia"/>
                      <w:szCs w:val="21"/>
                    </w:rPr>
                    <w:t>10t</w:t>
                  </w:r>
                </w:p>
              </w:tc>
              <w:tc>
                <w:tcPr>
                  <w:tcW w:w="550" w:type="pct"/>
                  <w:vAlign w:val="center"/>
                </w:tcPr>
                <w:p>
                  <w:pPr>
                    <w:widowControl/>
                    <w:jc w:val="center"/>
                    <w:textAlignment w:val="center"/>
                    <w:rPr>
                      <w:rFonts w:eastAsiaTheme="minorEastAsia"/>
                      <w:szCs w:val="21"/>
                    </w:rPr>
                  </w:pPr>
                  <w:r>
                    <w:rPr>
                      <w:rFonts w:eastAsiaTheme="minorEastAsia"/>
                      <w:szCs w:val="21"/>
                    </w:rPr>
                    <w:t>2</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eastAsiaTheme="minorEastAsia"/>
                      <w:szCs w:val="21"/>
                    </w:rPr>
                  </w:pPr>
                  <w:r>
                    <w:rPr>
                      <w:rFonts w:hAnsi="宋体"/>
                      <w:color w:val="000000"/>
                      <w:kern w:val="0"/>
                      <w:sz w:val="22"/>
                      <w:szCs w:val="22"/>
                    </w:rPr>
                    <w:t>多功能</w:t>
                  </w:r>
                  <w:r>
                    <w:rPr>
                      <w:rFonts w:eastAsiaTheme="minorEastAsia"/>
                      <w:szCs w:val="21"/>
                    </w:rPr>
                    <w:t>碳氢清洗剂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8</w:t>
                  </w:r>
                </w:p>
              </w:tc>
              <w:tc>
                <w:tcPr>
                  <w:tcW w:w="1281" w:type="pct"/>
                  <w:vAlign w:val="center"/>
                </w:tcPr>
                <w:p>
                  <w:pPr>
                    <w:widowControl/>
                    <w:jc w:val="center"/>
                    <w:textAlignment w:val="center"/>
                    <w:rPr>
                      <w:rFonts w:eastAsiaTheme="minorEastAsia"/>
                      <w:szCs w:val="21"/>
                    </w:rPr>
                  </w:pPr>
                  <w:r>
                    <w:rPr>
                      <w:rFonts w:eastAsiaTheme="minorEastAsia"/>
                      <w:szCs w:val="21"/>
                    </w:rPr>
                    <w:t>调和罐自动一体机</w:t>
                  </w:r>
                </w:p>
              </w:tc>
              <w:tc>
                <w:tcPr>
                  <w:tcW w:w="734" w:type="pct"/>
                  <w:vAlign w:val="center"/>
                </w:tcPr>
                <w:p>
                  <w:pPr>
                    <w:widowControl/>
                    <w:jc w:val="center"/>
                    <w:textAlignment w:val="center"/>
                    <w:rPr>
                      <w:rFonts w:eastAsiaTheme="minorEastAsia"/>
                      <w:szCs w:val="21"/>
                    </w:rPr>
                  </w:pPr>
                  <w:r>
                    <w:rPr>
                      <w:rFonts w:eastAsiaTheme="minorEastAsia"/>
                      <w:szCs w:val="21"/>
                    </w:rPr>
                    <w:t>6t</w:t>
                  </w:r>
                </w:p>
              </w:tc>
              <w:tc>
                <w:tcPr>
                  <w:tcW w:w="550" w:type="pct"/>
                  <w:vAlign w:val="center"/>
                </w:tcPr>
                <w:p>
                  <w:pPr>
                    <w:widowControl/>
                    <w:jc w:val="center"/>
                    <w:textAlignment w:val="center"/>
                    <w:rPr>
                      <w:rFonts w:eastAsiaTheme="minorEastAsia"/>
                      <w:szCs w:val="21"/>
                    </w:rPr>
                  </w:pPr>
                  <w:r>
                    <w:rPr>
                      <w:rFonts w:hint="eastAsia" w:eastAsiaTheme="minorEastAsia"/>
                      <w:szCs w:val="21"/>
                    </w:rPr>
                    <w:t>2</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hAnsi="宋体"/>
                      <w:color w:val="000000"/>
                      <w:kern w:val="0"/>
                      <w:sz w:val="22"/>
                      <w:szCs w:val="22"/>
                    </w:rPr>
                    <w:t>环保</w:t>
                  </w:r>
                  <w:r>
                    <w:rPr>
                      <w:rFonts w:eastAsiaTheme="minorEastAsia"/>
                      <w:szCs w:val="21"/>
                    </w:rPr>
                    <w:t>碳氢清洗剂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9</w:t>
                  </w:r>
                </w:p>
              </w:tc>
              <w:tc>
                <w:tcPr>
                  <w:tcW w:w="1281" w:type="pct"/>
                  <w:vAlign w:val="center"/>
                </w:tcPr>
                <w:p>
                  <w:pPr>
                    <w:widowControl/>
                    <w:jc w:val="center"/>
                    <w:textAlignment w:val="center"/>
                    <w:rPr>
                      <w:rFonts w:eastAsiaTheme="minorEastAsia"/>
                      <w:szCs w:val="21"/>
                    </w:rPr>
                  </w:pPr>
                  <w:r>
                    <w:rPr>
                      <w:rFonts w:eastAsiaTheme="minorEastAsia"/>
                      <w:szCs w:val="21"/>
                    </w:rPr>
                    <w:t>均质机</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6</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均质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10</w:t>
                  </w:r>
                </w:p>
              </w:tc>
              <w:tc>
                <w:tcPr>
                  <w:tcW w:w="1281" w:type="pct"/>
                  <w:vAlign w:val="center"/>
                </w:tcPr>
                <w:p>
                  <w:pPr>
                    <w:widowControl/>
                    <w:jc w:val="center"/>
                    <w:textAlignment w:val="center"/>
                    <w:rPr>
                      <w:rFonts w:eastAsiaTheme="minorEastAsia"/>
                      <w:szCs w:val="21"/>
                    </w:rPr>
                  </w:pPr>
                  <w:r>
                    <w:rPr>
                      <w:rFonts w:eastAsiaTheme="minorEastAsia"/>
                      <w:szCs w:val="21"/>
                    </w:rPr>
                    <w:t>分装储罐</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6</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分装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11</w:t>
                  </w:r>
                </w:p>
              </w:tc>
              <w:tc>
                <w:tcPr>
                  <w:tcW w:w="1281" w:type="pct"/>
                  <w:vAlign w:val="center"/>
                </w:tcPr>
                <w:p>
                  <w:pPr>
                    <w:widowControl/>
                    <w:jc w:val="center"/>
                    <w:textAlignment w:val="center"/>
                    <w:rPr>
                      <w:rFonts w:eastAsiaTheme="minorEastAsia"/>
                      <w:szCs w:val="21"/>
                    </w:rPr>
                  </w:pPr>
                  <w:r>
                    <w:rPr>
                      <w:rFonts w:eastAsiaTheme="minorEastAsia"/>
                      <w:szCs w:val="21"/>
                    </w:rPr>
                    <w:t>过滤器</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6</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过滤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13</w:t>
                  </w:r>
                </w:p>
              </w:tc>
              <w:tc>
                <w:tcPr>
                  <w:tcW w:w="1281" w:type="pct"/>
                  <w:vAlign w:val="center"/>
                </w:tcPr>
                <w:p>
                  <w:pPr>
                    <w:widowControl/>
                    <w:jc w:val="center"/>
                    <w:textAlignment w:val="center"/>
                    <w:rPr>
                      <w:rFonts w:eastAsiaTheme="minorEastAsia"/>
                      <w:szCs w:val="21"/>
                    </w:rPr>
                  </w:pPr>
                  <w:r>
                    <w:rPr>
                      <w:rFonts w:eastAsiaTheme="minorEastAsia"/>
                      <w:szCs w:val="21"/>
                    </w:rPr>
                    <w:t>全自动罐装线</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6</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罐装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14</w:t>
                  </w:r>
                </w:p>
              </w:tc>
              <w:tc>
                <w:tcPr>
                  <w:tcW w:w="1281" w:type="pct"/>
                  <w:vAlign w:val="center"/>
                </w:tcPr>
                <w:p>
                  <w:pPr>
                    <w:widowControl/>
                    <w:jc w:val="center"/>
                    <w:textAlignment w:val="center"/>
                    <w:rPr>
                      <w:rFonts w:eastAsiaTheme="minorEastAsia"/>
                      <w:szCs w:val="21"/>
                    </w:rPr>
                  </w:pPr>
                  <w:r>
                    <w:rPr>
                      <w:rFonts w:eastAsiaTheme="minorEastAsia"/>
                      <w:szCs w:val="21"/>
                    </w:rPr>
                    <w:t>基础油储存罐</w:t>
                  </w:r>
                </w:p>
              </w:tc>
              <w:tc>
                <w:tcPr>
                  <w:tcW w:w="734" w:type="pct"/>
                  <w:vAlign w:val="center"/>
                </w:tcPr>
                <w:p>
                  <w:pPr>
                    <w:widowControl/>
                    <w:jc w:val="center"/>
                    <w:textAlignment w:val="center"/>
                    <w:rPr>
                      <w:rFonts w:eastAsiaTheme="minorEastAsia"/>
                      <w:szCs w:val="21"/>
                    </w:rPr>
                  </w:pPr>
                  <w:r>
                    <w:rPr>
                      <w:rFonts w:eastAsiaTheme="minorEastAsia"/>
                      <w:szCs w:val="21"/>
                    </w:rPr>
                    <w:t>15t</w:t>
                  </w:r>
                </w:p>
              </w:tc>
              <w:tc>
                <w:tcPr>
                  <w:tcW w:w="550" w:type="pct"/>
                  <w:vAlign w:val="center"/>
                </w:tcPr>
                <w:p>
                  <w:pPr>
                    <w:widowControl/>
                    <w:jc w:val="center"/>
                    <w:textAlignment w:val="center"/>
                    <w:rPr>
                      <w:rFonts w:eastAsiaTheme="minorEastAsia"/>
                      <w:szCs w:val="21"/>
                    </w:rPr>
                  </w:pPr>
                  <w:r>
                    <w:rPr>
                      <w:rFonts w:eastAsiaTheme="minorEastAsia"/>
                      <w:szCs w:val="21"/>
                    </w:rPr>
                    <w:t>8</w:t>
                  </w:r>
                </w:p>
              </w:tc>
              <w:tc>
                <w:tcPr>
                  <w:tcW w:w="671" w:type="pct"/>
                  <w:vMerge w:val="restart"/>
                  <w:vAlign w:val="center"/>
                </w:tcPr>
                <w:p>
                  <w:pPr>
                    <w:widowControl/>
                    <w:jc w:val="center"/>
                    <w:textAlignment w:val="center"/>
                    <w:rPr>
                      <w:rFonts w:eastAsiaTheme="minorEastAsia"/>
                      <w:szCs w:val="21"/>
                    </w:rPr>
                  </w:pPr>
                  <w:r>
                    <w:rPr>
                      <w:rFonts w:hint="eastAsia" w:eastAsiaTheme="minorEastAsia"/>
                      <w:szCs w:val="21"/>
                    </w:rPr>
                    <w:t>2</w:t>
                  </w:r>
                  <w:r>
                    <w:rPr>
                      <w:color w:val="000000"/>
                      <w:kern w:val="0"/>
                      <w:szCs w:val="21"/>
                    </w:rPr>
                    <w:t>#</w:t>
                  </w:r>
                  <w:r>
                    <w:rPr>
                      <w:rFonts w:hAnsi="宋体"/>
                      <w:color w:val="000000"/>
                      <w:kern w:val="0"/>
                      <w:szCs w:val="21"/>
                    </w:rPr>
                    <w:t>厂房</w:t>
                  </w:r>
                </w:p>
              </w:tc>
              <w:tc>
                <w:tcPr>
                  <w:tcW w:w="1324" w:type="pct"/>
                  <w:vAlign w:val="center"/>
                </w:tcPr>
                <w:p>
                  <w:pPr>
                    <w:widowControl/>
                    <w:jc w:val="center"/>
                    <w:textAlignment w:val="center"/>
                    <w:rPr>
                      <w:rFonts w:eastAsiaTheme="minorEastAsia"/>
                      <w:szCs w:val="21"/>
                    </w:rPr>
                  </w:pPr>
                  <w:r>
                    <w:rPr>
                      <w:rFonts w:eastAsiaTheme="minorEastAsia"/>
                      <w:szCs w:val="21"/>
                    </w:rPr>
                    <w:t>储存矿物油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15</w:t>
                  </w:r>
                </w:p>
              </w:tc>
              <w:tc>
                <w:tcPr>
                  <w:tcW w:w="1281" w:type="pct"/>
                  <w:vAlign w:val="center"/>
                </w:tcPr>
                <w:p>
                  <w:pPr>
                    <w:widowControl/>
                    <w:jc w:val="center"/>
                    <w:textAlignment w:val="center"/>
                    <w:rPr>
                      <w:rFonts w:eastAsiaTheme="minorEastAsia"/>
                      <w:szCs w:val="21"/>
                    </w:rPr>
                  </w:pPr>
                  <w:r>
                    <w:rPr>
                      <w:rFonts w:eastAsiaTheme="minorEastAsia"/>
                      <w:szCs w:val="21"/>
                    </w:rPr>
                    <w:t>调和罐自动一体机</w:t>
                  </w:r>
                </w:p>
              </w:tc>
              <w:tc>
                <w:tcPr>
                  <w:tcW w:w="734" w:type="pct"/>
                  <w:vAlign w:val="center"/>
                </w:tcPr>
                <w:p>
                  <w:pPr>
                    <w:widowControl/>
                    <w:jc w:val="center"/>
                    <w:textAlignment w:val="center"/>
                    <w:rPr>
                      <w:rFonts w:eastAsiaTheme="minorEastAsia"/>
                      <w:szCs w:val="21"/>
                    </w:rPr>
                  </w:pPr>
                  <w:r>
                    <w:rPr>
                      <w:rFonts w:eastAsiaTheme="minorEastAsia"/>
                      <w:szCs w:val="21"/>
                    </w:rPr>
                    <w:t>5t</w:t>
                  </w:r>
                </w:p>
              </w:tc>
              <w:tc>
                <w:tcPr>
                  <w:tcW w:w="550" w:type="pct"/>
                  <w:vAlign w:val="center"/>
                </w:tcPr>
                <w:p>
                  <w:pPr>
                    <w:widowControl/>
                    <w:jc w:val="center"/>
                    <w:textAlignment w:val="center"/>
                    <w:rPr>
                      <w:rFonts w:eastAsiaTheme="minorEastAsia"/>
                      <w:szCs w:val="21"/>
                    </w:rPr>
                  </w:pPr>
                  <w:r>
                    <w:rPr>
                      <w:rFonts w:eastAsiaTheme="minorEastAsia"/>
                      <w:szCs w:val="21"/>
                    </w:rPr>
                    <w:t>8</w:t>
                  </w:r>
                </w:p>
              </w:tc>
              <w:tc>
                <w:tcPr>
                  <w:tcW w:w="671" w:type="pct"/>
                  <w:vMerge w:val="continue"/>
                  <w:vAlign w:val="center"/>
                </w:tcPr>
                <w:p>
                  <w:pPr>
                    <w:widowControl/>
                    <w:jc w:val="center"/>
                    <w:textAlignment w:val="center"/>
                    <w:rPr>
                      <w:rFonts w:eastAsiaTheme="minorEastAsia"/>
                      <w:szCs w:val="21"/>
                    </w:rPr>
                  </w:pPr>
                </w:p>
              </w:tc>
              <w:tc>
                <w:tcPr>
                  <w:tcW w:w="1324" w:type="pct"/>
                  <w:vAlign w:val="center"/>
                </w:tcPr>
                <w:p>
                  <w:pPr>
                    <w:widowControl/>
                    <w:jc w:val="center"/>
                    <w:textAlignment w:val="center"/>
                    <w:rPr>
                      <w:rFonts w:eastAsiaTheme="minorEastAsia"/>
                      <w:szCs w:val="21"/>
                    </w:rPr>
                  </w:pPr>
                  <w:r>
                    <w:rPr>
                      <w:rFonts w:eastAsiaTheme="minorEastAsia"/>
                      <w:szCs w:val="21"/>
                    </w:rPr>
                    <w:t>润滑油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40" w:type="pct"/>
                  <w:vAlign w:val="center"/>
                </w:tcPr>
                <w:p>
                  <w:pPr>
                    <w:jc w:val="center"/>
                    <w:rPr>
                      <w:rFonts w:eastAsiaTheme="minorEastAsia"/>
                      <w:szCs w:val="21"/>
                    </w:rPr>
                  </w:pPr>
                  <w:r>
                    <w:rPr>
                      <w:rFonts w:eastAsiaTheme="minorEastAsia"/>
                      <w:szCs w:val="21"/>
                    </w:rPr>
                    <w:t>16</w:t>
                  </w:r>
                </w:p>
              </w:tc>
              <w:tc>
                <w:tcPr>
                  <w:tcW w:w="1281" w:type="pct"/>
                  <w:vAlign w:val="center"/>
                </w:tcPr>
                <w:p>
                  <w:pPr>
                    <w:widowControl/>
                    <w:jc w:val="center"/>
                    <w:textAlignment w:val="center"/>
                    <w:rPr>
                      <w:rFonts w:eastAsiaTheme="minorEastAsia"/>
                      <w:szCs w:val="21"/>
                    </w:rPr>
                  </w:pPr>
                  <w:r>
                    <w:rPr>
                      <w:rFonts w:eastAsiaTheme="minorEastAsia"/>
                      <w:szCs w:val="21"/>
                    </w:rPr>
                    <w:t>均质机</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3</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均质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40" w:type="pct"/>
                  <w:vAlign w:val="center"/>
                </w:tcPr>
                <w:p>
                  <w:pPr>
                    <w:jc w:val="center"/>
                    <w:rPr>
                      <w:rFonts w:eastAsiaTheme="minorEastAsia"/>
                      <w:szCs w:val="21"/>
                    </w:rPr>
                  </w:pPr>
                  <w:r>
                    <w:rPr>
                      <w:rFonts w:eastAsiaTheme="minorEastAsia"/>
                      <w:szCs w:val="21"/>
                    </w:rPr>
                    <w:t>17</w:t>
                  </w:r>
                </w:p>
              </w:tc>
              <w:tc>
                <w:tcPr>
                  <w:tcW w:w="1281" w:type="pct"/>
                  <w:vAlign w:val="center"/>
                </w:tcPr>
                <w:p>
                  <w:pPr>
                    <w:widowControl/>
                    <w:jc w:val="center"/>
                    <w:textAlignment w:val="center"/>
                    <w:rPr>
                      <w:rFonts w:eastAsiaTheme="minorEastAsia"/>
                      <w:szCs w:val="21"/>
                    </w:rPr>
                  </w:pPr>
                  <w:r>
                    <w:rPr>
                      <w:rFonts w:eastAsiaTheme="minorEastAsia"/>
                      <w:szCs w:val="21"/>
                    </w:rPr>
                    <w:t>分装储罐</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3</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分装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18</w:t>
                  </w:r>
                </w:p>
              </w:tc>
              <w:tc>
                <w:tcPr>
                  <w:tcW w:w="1281" w:type="pct"/>
                  <w:vAlign w:val="center"/>
                </w:tcPr>
                <w:p>
                  <w:pPr>
                    <w:widowControl/>
                    <w:jc w:val="center"/>
                    <w:textAlignment w:val="center"/>
                    <w:rPr>
                      <w:rFonts w:eastAsiaTheme="minorEastAsia"/>
                      <w:szCs w:val="21"/>
                    </w:rPr>
                  </w:pPr>
                  <w:r>
                    <w:rPr>
                      <w:rFonts w:eastAsiaTheme="minorEastAsia"/>
                      <w:szCs w:val="21"/>
                    </w:rPr>
                    <w:t>过滤器</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3</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过滤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eastAsiaTheme="minorEastAsia"/>
                      <w:szCs w:val="21"/>
                    </w:rPr>
                    <w:t>19</w:t>
                  </w:r>
                </w:p>
              </w:tc>
              <w:tc>
                <w:tcPr>
                  <w:tcW w:w="1281" w:type="pct"/>
                  <w:vAlign w:val="center"/>
                </w:tcPr>
                <w:p>
                  <w:pPr>
                    <w:widowControl/>
                    <w:jc w:val="center"/>
                    <w:textAlignment w:val="center"/>
                    <w:rPr>
                      <w:rFonts w:eastAsiaTheme="minorEastAsia"/>
                      <w:szCs w:val="21"/>
                    </w:rPr>
                  </w:pPr>
                  <w:r>
                    <w:rPr>
                      <w:rFonts w:eastAsiaTheme="minorEastAsia"/>
                      <w:szCs w:val="21"/>
                    </w:rPr>
                    <w:t>全自动罐装线</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3</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罐装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20</w:t>
                  </w:r>
                </w:p>
              </w:tc>
              <w:tc>
                <w:tcPr>
                  <w:tcW w:w="1281" w:type="pct"/>
                  <w:vAlign w:val="center"/>
                </w:tcPr>
                <w:p>
                  <w:pPr>
                    <w:widowControl/>
                    <w:jc w:val="center"/>
                    <w:textAlignment w:val="center"/>
                    <w:rPr>
                      <w:rFonts w:eastAsiaTheme="minorEastAsia"/>
                      <w:szCs w:val="21"/>
                    </w:rPr>
                  </w:pPr>
                  <w:r>
                    <w:rPr>
                      <w:rFonts w:eastAsiaTheme="minorEastAsia"/>
                      <w:szCs w:val="21"/>
                    </w:rPr>
                    <w:t>高速搅拌机（带缸体）</w:t>
                  </w:r>
                </w:p>
              </w:tc>
              <w:tc>
                <w:tcPr>
                  <w:tcW w:w="734" w:type="pct"/>
                  <w:vAlign w:val="center"/>
                </w:tcPr>
                <w:p>
                  <w:pPr>
                    <w:widowControl/>
                    <w:jc w:val="center"/>
                    <w:textAlignment w:val="center"/>
                    <w:rPr>
                      <w:rFonts w:eastAsiaTheme="minorEastAsia"/>
                      <w:szCs w:val="21"/>
                    </w:rPr>
                  </w:pPr>
                  <w:r>
                    <w:rPr>
                      <w:rFonts w:eastAsiaTheme="minorEastAsia"/>
                      <w:szCs w:val="21"/>
                    </w:rPr>
                    <w:t>30kw/5t</w:t>
                  </w:r>
                </w:p>
              </w:tc>
              <w:tc>
                <w:tcPr>
                  <w:tcW w:w="550" w:type="pct"/>
                  <w:vAlign w:val="center"/>
                </w:tcPr>
                <w:p>
                  <w:pPr>
                    <w:widowControl/>
                    <w:jc w:val="center"/>
                    <w:textAlignment w:val="center"/>
                    <w:rPr>
                      <w:rFonts w:eastAsiaTheme="minorEastAsia"/>
                      <w:szCs w:val="21"/>
                    </w:rPr>
                  </w:pPr>
                  <w:r>
                    <w:rPr>
                      <w:rFonts w:hint="eastAsia" w:eastAsiaTheme="minorEastAsia"/>
                      <w:szCs w:val="21"/>
                    </w:rPr>
                    <w:t>11</w:t>
                  </w:r>
                </w:p>
              </w:tc>
              <w:tc>
                <w:tcPr>
                  <w:tcW w:w="671" w:type="pct"/>
                  <w:vMerge w:val="restart"/>
                  <w:vAlign w:val="center"/>
                </w:tcPr>
                <w:p>
                  <w:pPr>
                    <w:widowControl/>
                    <w:jc w:val="center"/>
                    <w:textAlignment w:val="center"/>
                    <w:rPr>
                      <w:color w:val="000000"/>
                      <w:kern w:val="0"/>
                      <w:sz w:val="22"/>
                      <w:szCs w:val="22"/>
                    </w:rPr>
                  </w:pPr>
                  <w:r>
                    <w:rPr>
                      <w:rFonts w:hint="eastAsia" w:eastAsiaTheme="minorEastAsia"/>
                      <w:szCs w:val="21"/>
                    </w:rPr>
                    <w:t>3</w:t>
                  </w:r>
                  <w:r>
                    <w:rPr>
                      <w:color w:val="000000"/>
                      <w:kern w:val="0"/>
                      <w:szCs w:val="21"/>
                    </w:rPr>
                    <w:t>#</w:t>
                  </w:r>
                  <w:r>
                    <w:rPr>
                      <w:rFonts w:hAnsi="宋体"/>
                      <w:color w:val="000000"/>
                      <w:kern w:val="0"/>
                      <w:szCs w:val="21"/>
                    </w:rPr>
                    <w:t>厂房</w:t>
                  </w:r>
                </w:p>
              </w:tc>
              <w:tc>
                <w:tcPr>
                  <w:tcW w:w="1324" w:type="pct"/>
                  <w:vAlign w:val="center"/>
                </w:tcPr>
                <w:p>
                  <w:pPr>
                    <w:widowControl/>
                    <w:jc w:val="center"/>
                    <w:textAlignment w:val="center"/>
                    <w:rPr>
                      <w:rFonts w:eastAsiaTheme="minorEastAsia"/>
                      <w:szCs w:val="21"/>
                    </w:rPr>
                  </w:pPr>
                  <w:r>
                    <w:rPr>
                      <w:rFonts w:hAnsi="宋体"/>
                      <w:color w:val="000000"/>
                      <w:kern w:val="0"/>
                      <w:szCs w:val="21"/>
                    </w:rPr>
                    <w:t>工业清洗剂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21</w:t>
                  </w:r>
                </w:p>
              </w:tc>
              <w:tc>
                <w:tcPr>
                  <w:tcW w:w="1281" w:type="pct"/>
                  <w:vAlign w:val="center"/>
                </w:tcPr>
                <w:p>
                  <w:pPr>
                    <w:widowControl/>
                    <w:jc w:val="center"/>
                    <w:textAlignment w:val="center"/>
                    <w:rPr>
                      <w:rFonts w:eastAsiaTheme="minorEastAsia"/>
                      <w:szCs w:val="21"/>
                    </w:rPr>
                  </w:pPr>
                  <w:r>
                    <w:rPr>
                      <w:rFonts w:eastAsiaTheme="minorEastAsia"/>
                      <w:szCs w:val="21"/>
                    </w:rPr>
                    <w:t>均质机</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1</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均质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40" w:type="pct"/>
                  <w:vAlign w:val="center"/>
                </w:tcPr>
                <w:p>
                  <w:pPr>
                    <w:jc w:val="center"/>
                    <w:rPr>
                      <w:rFonts w:eastAsiaTheme="minorEastAsia"/>
                      <w:szCs w:val="21"/>
                    </w:rPr>
                  </w:pPr>
                  <w:r>
                    <w:rPr>
                      <w:rFonts w:hint="eastAsia" w:eastAsiaTheme="minorEastAsia"/>
                      <w:szCs w:val="21"/>
                    </w:rPr>
                    <w:t>22</w:t>
                  </w:r>
                </w:p>
              </w:tc>
              <w:tc>
                <w:tcPr>
                  <w:tcW w:w="1281" w:type="pct"/>
                  <w:vAlign w:val="center"/>
                </w:tcPr>
                <w:p>
                  <w:pPr>
                    <w:widowControl/>
                    <w:jc w:val="center"/>
                    <w:textAlignment w:val="center"/>
                    <w:rPr>
                      <w:rFonts w:eastAsiaTheme="minorEastAsia"/>
                      <w:szCs w:val="21"/>
                    </w:rPr>
                  </w:pPr>
                  <w:r>
                    <w:rPr>
                      <w:rFonts w:eastAsiaTheme="minorEastAsia"/>
                      <w:szCs w:val="21"/>
                    </w:rPr>
                    <w:t>分装储罐</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1</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分装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23</w:t>
                  </w:r>
                </w:p>
              </w:tc>
              <w:tc>
                <w:tcPr>
                  <w:tcW w:w="1281" w:type="pct"/>
                  <w:vAlign w:val="center"/>
                </w:tcPr>
                <w:p>
                  <w:pPr>
                    <w:widowControl/>
                    <w:jc w:val="center"/>
                    <w:textAlignment w:val="center"/>
                    <w:rPr>
                      <w:rFonts w:eastAsiaTheme="minorEastAsia"/>
                      <w:szCs w:val="21"/>
                    </w:rPr>
                  </w:pPr>
                  <w:r>
                    <w:rPr>
                      <w:rFonts w:eastAsiaTheme="minorEastAsia"/>
                      <w:szCs w:val="21"/>
                    </w:rPr>
                    <w:t>过滤器</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1</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过滤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24</w:t>
                  </w:r>
                </w:p>
              </w:tc>
              <w:tc>
                <w:tcPr>
                  <w:tcW w:w="1281" w:type="pct"/>
                  <w:vAlign w:val="center"/>
                </w:tcPr>
                <w:p>
                  <w:pPr>
                    <w:widowControl/>
                    <w:jc w:val="center"/>
                    <w:textAlignment w:val="center"/>
                    <w:rPr>
                      <w:rFonts w:eastAsiaTheme="minorEastAsia"/>
                      <w:szCs w:val="21"/>
                    </w:rPr>
                  </w:pPr>
                  <w:r>
                    <w:rPr>
                      <w:rFonts w:eastAsiaTheme="minorEastAsia"/>
                      <w:szCs w:val="21"/>
                    </w:rPr>
                    <w:t>全自动罐装线</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1</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罐装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25</w:t>
                  </w:r>
                </w:p>
              </w:tc>
              <w:tc>
                <w:tcPr>
                  <w:tcW w:w="1281" w:type="pct"/>
                  <w:vAlign w:val="center"/>
                </w:tcPr>
                <w:p>
                  <w:pPr>
                    <w:widowControl/>
                    <w:jc w:val="center"/>
                    <w:textAlignment w:val="center"/>
                    <w:rPr>
                      <w:rFonts w:eastAsiaTheme="minorEastAsia"/>
                      <w:szCs w:val="21"/>
                    </w:rPr>
                  </w:pPr>
                  <w:r>
                    <w:rPr>
                      <w:rFonts w:eastAsiaTheme="minorEastAsia"/>
                      <w:szCs w:val="21"/>
                    </w:rPr>
                    <w:t>饱和烷烃储存罐</w:t>
                  </w:r>
                </w:p>
              </w:tc>
              <w:tc>
                <w:tcPr>
                  <w:tcW w:w="734" w:type="pct"/>
                  <w:vAlign w:val="center"/>
                </w:tcPr>
                <w:p>
                  <w:pPr>
                    <w:jc w:val="center"/>
                  </w:pPr>
                  <w:r>
                    <w:rPr>
                      <w:rFonts w:eastAsiaTheme="minorEastAsia"/>
                      <w:szCs w:val="21"/>
                    </w:rPr>
                    <w:t>60t</w:t>
                  </w:r>
                </w:p>
              </w:tc>
              <w:tc>
                <w:tcPr>
                  <w:tcW w:w="550" w:type="pct"/>
                  <w:vAlign w:val="center"/>
                </w:tcPr>
                <w:p>
                  <w:pPr>
                    <w:widowControl/>
                    <w:jc w:val="center"/>
                    <w:textAlignment w:val="center"/>
                    <w:rPr>
                      <w:rFonts w:eastAsiaTheme="minorEastAsia"/>
                      <w:szCs w:val="21"/>
                    </w:rPr>
                  </w:pPr>
                  <w:r>
                    <w:rPr>
                      <w:rFonts w:hint="eastAsia" w:eastAsiaTheme="minorEastAsia"/>
                      <w:szCs w:val="21"/>
                    </w:rPr>
                    <w:t>7</w:t>
                  </w:r>
                </w:p>
              </w:tc>
              <w:tc>
                <w:tcPr>
                  <w:tcW w:w="671" w:type="pct"/>
                  <w:vMerge w:val="restart"/>
                  <w:vAlign w:val="center"/>
                </w:tcPr>
                <w:p>
                  <w:pPr>
                    <w:widowControl/>
                    <w:jc w:val="center"/>
                    <w:textAlignment w:val="center"/>
                    <w:rPr>
                      <w:rFonts w:eastAsiaTheme="minorEastAsia"/>
                      <w:szCs w:val="21"/>
                    </w:rPr>
                  </w:pPr>
                  <w:r>
                    <w:rPr>
                      <w:rFonts w:hint="eastAsia" w:eastAsiaTheme="minorEastAsia"/>
                      <w:szCs w:val="21"/>
                    </w:rPr>
                    <w:t>4</w:t>
                  </w:r>
                  <w:r>
                    <w:rPr>
                      <w:color w:val="000000"/>
                      <w:kern w:val="0"/>
                      <w:szCs w:val="21"/>
                    </w:rPr>
                    <w:t>#</w:t>
                  </w:r>
                  <w:r>
                    <w:rPr>
                      <w:rFonts w:hAnsi="宋体"/>
                      <w:color w:val="000000"/>
                      <w:kern w:val="0"/>
                      <w:szCs w:val="21"/>
                    </w:rPr>
                    <w:t>厂房</w:t>
                  </w:r>
                </w:p>
              </w:tc>
              <w:tc>
                <w:tcPr>
                  <w:tcW w:w="1324" w:type="pct"/>
                  <w:vAlign w:val="center"/>
                </w:tcPr>
                <w:p>
                  <w:pPr>
                    <w:widowControl/>
                    <w:jc w:val="center"/>
                    <w:textAlignment w:val="center"/>
                    <w:rPr>
                      <w:rFonts w:eastAsiaTheme="minorEastAsia"/>
                      <w:szCs w:val="21"/>
                    </w:rPr>
                  </w:pPr>
                  <w:r>
                    <w:rPr>
                      <w:rFonts w:eastAsiaTheme="minorEastAsia"/>
                      <w:szCs w:val="21"/>
                    </w:rPr>
                    <w:t>储存饱和烷烃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26</w:t>
                  </w:r>
                </w:p>
              </w:tc>
              <w:tc>
                <w:tcPr>
                  <w:tcW w:w="1281" w:type="pct"/>
                  <w:vAlign w:val="center"/>
                </w:tcPr>
                <w:p>
                  <w:pPr>
                    <w:widowControl/>
                    <w:jc w:val="center"/>
                    <w:textAlignment w:val="center"/>
                    <w:rPr>
                      <w:rFonts w:eastAsiaTheme="minorEastAsia"/>
                      <w:szCs w:val="21"/>
                    </w:rPr>
                  </w:pPr>
                  <w:r>
                    <w:rPr>
                      <w:rFonts w:eastAsiaTheme="minorEastAsia"/>
                      <w:szCs w:val="21"/>
                    </w:rPr>
                    <w:t>调和罐自动一体机</w:t>
                  </w:r>
                </w:p>
              </w:tc>
              <w:tc>
                <w:tcPr>
                  <w:tcW w:w="734" w:type="pct"/>
                  <w:vAlign w:val="center"/>
                </w:tcPr>
                <w:p>
                  <w:pPr>
                    <w:widowControl/>
                    <w:jc w:val="center"/>
                    <w:textAlignment w:val="center"/>
                    <w:rPr>
                      <w:rFonts w:eastAsiaTheme="minorEastAsia"/>
                      <w:szCs w:val="21"/>
                    </w:rPr>
                  </w:pPr>
                  <w:r>
                    <w:rPr>
                      <w:rFonts w:eastAsiaTheme="minorEastAsia"/>
                      <w:szCs w:val="21"/>
                    </w:rPr>
                    <w:t>6t</w:t>
                  </w:r>
                </w:p>
              </w:tc>
              <w:tc>
                <w:tcPr>
                  <w:tcW w:w="550" w:type="pct"/>
                  <w:vAlign w:val="center"/>
                </w:tcPr>
                <w:p>
                  <w:pPr>
                    <w:widowControl/>
                    <w:jc w:val="center"/>
                    <w:textAlignment w:val="center"/>
                    <w:rPr>
                      <w:rFonts w:eastAsiaTheme="minorEastAsia"/>
                      <w:szCs w:val="21"/>
                    </w:rPr>
                  </w:pPr>
                  <w:r>
                    <w:rPr>
                      <w:rFonts w:hint="eastAsia" w:eastAsiaTheme="minorEastAsia"/>
                      <w:szCs w:val="21"/>
                    </w:rPr>
                    <w:t>7</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eastAsiaTheme="minorEastAsia"/>
                      <w:szCs w:val="21"/>
                    </w:rPr>
                  </w:pPr>
                  <w:r>
                    <w:rPr>
                      <w:rFonts w:hAnsi="宋体"/>
                      <w:color w:val="000000"/>
                      <w:kern w:val="0"/>
                      <w:sz w:val="22"/>
                      <w:szCs w:val="22"/>
                    </w:rPr>
                    <w:t>环保</w:t>
                  </w:r>
                  <w:r>
                    <w:rPr>
                      <w:rFonts w:eastAsiaTheme="minorEastAsia"/>
                      <w:szCs w:val="21"/>
                    </w:rPr>
                    <w:t>碳氢清洗剂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27</w:t>
                  </w:r>
                </w:p>
              </w:tc>
              <w:tc>
                <w:tcPr>
                  <w:tcW w:w="1281" w:type="pct"/>
                  <w:vAlign w:val="center"/>
                </w:tcPr>
                <w:p>
                  <w:pPr>
                    <w:widowControl/>
                    <w:jc w:val="center"/>
                    <w:textAlignment w:val="center"/>
                    <w:rPr>
                      <w:rFonts w:eastAsiaTheme="minorEastAsia"/>
                      <w:szCs w:val="21"/>
                    </w:rPr>
                  </w:pPr>
                  <w:r>
                    <w:rPr>
                      <w:rFonts w:eastAsiaTheme="minorEastAsia"/>
                      <w:szCs w:val="21"/>
                    </w:rPr>
                    <w:t>均质机</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1</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均质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28</w:t>
                  </w:r>
                </w:p>
              </w:tc>
              <w:tc>
                <w:tcPr>
                  <w:tcW w:w="1281" w:type="pct"/>
                  <w:vAlign w:val="center"/>
                </w:tcPr>
                <w:p>
                  <w:pPr>
                    <w:widowControl/>
                    <w:jc w:val="center"/>
                    <w:textAlignment w:val="center"/>
                    <w:rPr>
                      <w:rFonts w:eastAsiaTheme="minorEastAsia"/>
                      <w:szCs w:val="21"/>
                    </w:rPr>
                  </w:pPr>
                  <w:r>
                    <w:rPr>
                      <w:rFonts w:eastAsiaTheme="minorEastAsia"/>
                      <w:szCs w:val="21"/>
                    </w:rPr>
                    <w:t>分装储罐</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1</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分装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29</w:t>
                  </w:r>
                </w:p>
              </w:tc>
              <w:tc>
                <w:tcPr>
                  <w:tcW w:w="1281" w:type="pct"/>
                  <w:vAlign w:val="center"/>
                </w:tcPr>
                <w:p>
                  <w:pPr>
                    <w:widowControl/>
                    <w:jc w:val="center"/>
                    <w:textAlignment w:val="center"/>
                    <w:rPr>
                      <w:rFonts w:eastAsiaTheme="minorEastAsia"/>
                      <w:szCs w:val="21"/>
                    </w:rPr>
                  </w:pPr>
                  <w:r>
                    <w:rPr>
                      <w:rFonts w:eastAsiaTheme="minorEastAsia"/>
                      <w:szCs w:val="21"/>
                    </w:rPr>
                    <w:t>过滤器</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1</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过滤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30</w:t>
                  </w:r>
                </w:p>
              </w:tc>
              <w:tc>
                <w:tcPr>
                  <w:tcW w:w="1281" w:type="pct"/>
                  <w:vAlign w:val="center"/>
                </w:tcPr>
                <w:p>
                  <w:pPr>
                    <w:widowControl/>
                    <w:jc w:val="center"/>
                    <w:textAlignment w:val="center"/>
                    <w:rPr>
                      <w:rFonts w:eastAsiaTheme="minorEastAsia"/>
                      <w:szCs w:val="21"/>
                    </w:rPr>
                  </w:pPr>
                  <w:r>
                    <w:rPr>
                      <w:rFonts w:eastAsiaTheme="minorEastAsia"/>
                      <w:szCs w:val="21"/>
                    </w:rPr>
                    <w:t>全自动罐装线</w:t>
                  </w:r>
                </w:p>
              </w:tc>
              <w:tc>
                <w:tcPr>
                  <w:tcW w:w="734" w:type="pct"/>
                  <w:vAlign w:val="center"/>
                </w:tcPr>
                <w:p>
                  <w:pPr>
                    <w:widowControl/>
                    <w:jc w:val="center"/>
                    <w:textAlignment w:val="center"/>
                    <w:rPr>
                      <w:rFonts w:eastAsiaTheme="minorEastAsia"/>
                      <w:szCs w:val="21"/>
                    </w:rPr>
                  </w:pPr>
                </w:p>
              </w:tc>
              <w:tc>
                <w:tcPr>
                  <w:tcW w:w="550" w:type="pct"/>
                  <w:vAlign w:val="center"/>
                </w:tcPr>
                <w:p>
                  <w:pPr>
                    <w:widowControl/>
                    <w:jc w:val="center"/>
                    <w:textAlignment w:val="center"/>
                    <w:rPr>
                      <w:rFonts w:eastAsiaTheme="minorEastAsia"/>
                      <w:szCs w:val="21"/>
                    </w:rPr>
                  </w:pPr>
                  <w:r>
                    <w:rPr>
                      <w:rFonts w:hint="eastAsia" w:eastAsiaTheme="minorEastAsia"/>
                      <w:szCs w:val="21"/>
                    </w:rPr>
                    <w:t>1</w:t>
                  </w:r>
                </w:p>
              </w:tc>
              <w:tc>
                <w:tcPr>
                  <w:tcW w:w="671" w:type="pct"/>
                  <w:vMerge w:val="continue"/>
                  <w:vAlign w:val="center"/>
                </w:tcPr>
                <w:p>
                  <w:pPr>
                    <w:widowControl/>
                    <w:jc w:val="center"/>
                    <w:textAlignment w:val="center"/>
                    <w:rPr>
                      <w:color w:val="000000"/>
                      <w:kern w:val="0"/>
                      <w:sz w:val="22"/>
                      <w:szCs w:val="22"/>
                    </w:rPr>
                  </w:pPr>
                </w:p>
              </w:tc>
              <w:tc>
                <w:tcPr>
                  <w:tcW w:w="1324" w:type="pct"/>
                  <w:vAlign w:val="center"/>
                </w:tcPr>
                <w:p>
                  <w:pPr>
                    <w:widowControl/>
                    <w:jc w:val="center"/>
                    <w:textAlignment w:val="center"/>
                    <w:rPr>
                      <w:rFonts w:hAnsi="宋体"/>
                      <w:color w:val="000000"/>
                      <w:kern w:val="0"/>
                      <w:sz w:val="22"/>
                      <w:szCs w:val="22"/>
                    </w:rPr>
                  </w:pPr>
                  <w:r>
                    <w:rPr>
                      <w:rFonts w:eastAsiaTheme="minorEastAsia"/>
                      <w:szCs w:val="21"/>
                    </w:rPr>
                    <w:t>罐装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31</w:t>
                  </w:r>
                </w:p>
              </w:tc>
              <w:tc>
                <w:tcPr>
                  <w:tcW w:w="1281" w:type="pct"/>
                  <w:vAlign w:val="center"/>
                </w:tcPr>
                <w:p>
                  <w:pPr>
                    <w:widowControl/>
                    <w:jc w:val="center"/>
                    <w:textAlignment w:val="center"/>
                    <w:rPr>
                      <w:rFonts w:eastAsiaTheme="minorEastAsia"/>
                      <w:szCs w:val="21"/>
                    </w:rPr>
                  </w:pPr>
                  <w:r>
                    <w:rPr>
                      <w:rFonts w:eastAsiaTheme="minorEastAsia"/>
                      <w:szCs w:val="21"/>
                    </w:rPr>
                    <w:t>纯水机</w:t>
                  </w:r>
                </w:p>
              </w:tc>
              <w:tc>
                <w:tcPr>
                  <w:tcW w:w="734" w:type="pct"/>
                  <w:vAlign w:val="center"/>
                </w:tcPr>
                <w:p>
                  <w:pPr>
                    <w:widowControl/>
                    <w:jc w:val="center"/>
                    <w:textAlignment w:val="center"/>
                    <w:rPr>
                      <w:rFonts w:eastAsiaTheme="minorEastAsia"/>
                      <w:szCs w:val="21"/>
                    </w:rPr>
                  </w:pPr>
                  <w:r>
                    <w:rPr>
                      <w:rFonts w:eastAsiaTheme="minorEastAsia"/>
                      <w:szCs w:val="21"/>
                    </w:rPr>
                    <w:t>1t/h</w:t>
                  </w:r>
                </w:p>
              </w:tc>
              <w:tc>
                <w:tcPr>
                  <w:tcW w:w="550" w:type="pct"/>
                  <w:vAlign w:val="center"/>
                </w:tcPr>
                <w:p>
                  <w:pPr>
                    <w:widowControl/>
                    <w:jc w:val="center"/>
                    <w:textAlignment w:val="center"/>
                    <w:rPr>
                      <w:rFonts w:eastAsiaTheme="minorEastAsia"/>
                      <w:szCs w:val="21"/>
                    </w:rPr>
                  </w:pPr>
                  <w:r>
                    <w:rPr>
                      <w:rFonts w:eastAsiaTheme="minorEastAsia"/>
                      <w:szCs w:val="21"/>
                    </w:rPr>
                    <w:t>4</w:t>
                  </w:r>
                </w:p>
              </w:tc>
              <w:tc>
                <w:tcPr>
                  <w:tcW w:w="671" w:type="pct"/>
                  <w:vMerge w:val="restart"/>
                  <w:vAlign w:val="center"/>
                </w:tcPr>
                <w:p>
                  <w:pPr>
                    <w:widowControl/>
                    <w:jc w:val="center"/>
                    <w:textAlignment w:val="center"/>
                    <w:rPr>
                      <w:rFonts w:eastAsiaTheme="minorEastAsia"/>
                      <w:szCs w:val="21"/>
                    </w:rPr>
                  </w:pPr>
                  <w:r>
                    <w:rPr>
                      <w:rFonts w:eastAsiaTheme="minorEastAsia"/>
                      <w:szCs w:val="21"/>
                    </w:rPr>
                    <w:t>公用设施</w:t>
                  </w:r>
                </w:p>
              </w:tc>
              <w:tc>
                <w:tcPr>
                  <w:tcW w:w="1324" w:type="pct"/>
                  <w:vAlign w:val="center"/>
                </w:tcPr>
                <w:p>
                  <w:pPr>
                    <w:widowControl/>
                    <w:jc w:val="center"/>
                    <w:textAlignment w:val="center"/>
                    <w:rPr>
                      <w:rFonts w:eastAsiaTheme="minorEastAsia"/>
                      <w:szCs w:val="21"/>
                    </w:rPr>
                  </w:pPr>
                  <w:r>
                    <w:rPr>
                      <w:rFonts w:eastAsiaTheme="minorEastAsia"/>
                      <w:szCs w:val="21"/>
                    </w:rPr>
                    <w:t>生产纯水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32</w:t>
                  </w:r>
                </w:p>
              </w:tc>
              <w:tc>
                <w:tcPr>
                  <w:tcW w:w="1281" w:type="pct"/>
                  <w:vAlign w:val="center"/>
                </w:tcPr>
                <w:p>
                  <w:pPr>
                    <w:widowControl/>
                    <w:jc w:val="center"/>
                    <w:textAlignment w:val="center"/>
                    <w:rPr>
                      <w:rFonts w:eastAsiaTheme="minorEastAsia"/>
                      <w:szCs w:val="21"/>
                    </w:rPr>
                  </w:pPr>
                  <w:r>
                    <w:rPr>
                      <w:rFonts w:eastAsiaTheme="minorEastAsia"/>
                      <w:szCs w:val="21"/>
                    </w:rPr>
                    <w:t>纯电动防爆叉车</w:t>
                  </w:r>
                </w:p>
              </w:tc>
              <w:tc>
                <w:tcPr>
                  <w:tcW w:w="734" w:type="pct"/>
                  <w:vAlign w:val="center"/>
                </w:tcPr>
                <w:p>
                  <w:pPr>
                    <w:widowControl/>
                    <w:jc w:val="center"/>
                    <w:textAlignment w:val="center"/>
                    <w:rPr>
                      <w:rFonts w:eastAsiaTheme="minorEastAsia"/>
                      <w:szCs w:val="21"/>
                    </w:rPr>
                  </w:pPr>
                  <w:r>
                    <w:rPr>
                      <w:rFonts w:eastAsiaTheme="minorEastAsia"/>
                      <w:szCs w:val="21"/>
                    </w:rPr>
                    <w:t>2.5t</w:t>
                  </w:r>
                </w:p>
              </w:tc>
              <w:tc>
                <w:tcPr>
                  <w:tcW w:w="550" w:type="pct"/>
                  <w:vAlign w:val="center"/>
                </w:tcPr>
                <w:p>
                  <w:pPr>
                    <w:widowControl/>
                    <w:jc w:val="center"/>
                    <w:textAlignment w:val="center"/>
                    <w:rPr>
                      <w:rFonts w:eastAsiaTheme="minorEastAsia"/>
                      <w:szCs w:val="21"/>
                    </w:rPr>
                  </w:pPr>
                  <w:r>
                    <w:rPr>
                      <w:rFonts w:eastAsiaTheme="minorEastAsia"/>
                      <w:szCs w:val="21"/>
                    </w:rPr>
                    <w:t>2</w:t>
                  </w:r>
                </w:p>
              </w:tc>
              <w:tc>
                <w:tcPr>
                  <w:tcW w:w="671" w:type="pct"/>
                  <w:vMerge w:val="continue"/>
                  <w:vAlign w:val="center"/>
                </w:tcPr>
                <w:p>
                  <w:pPr>
                    <w:widowControl/>
                    <w:jc w:val="center"/>
                    <w:textAlignment w:val="center"/>
                    <w:rPr>
                      <w:rFonts w:eastAsiaTheme="minorEastAsia"/>
                      <w:szCs w:val="21"/>
                    </w:rPr>
                  </w:pPr>
                </w:p>
              </w:tc>
              <w:tc>
                <w:tcPr>
                  <w:tcW w:w="1324" w:type="pct"/>
                  <w:vAlign w:val="center"/>
                </w:tcPr>
                <w:p>
                  <w:pPr>
                    <w:widowControl/>
                    <w:jc w:val="center"/>
                    <w:textAlignment w:val="center"/>
                    <w:rPr>
                      <w:rFonts w:eastAsiaTheme="minorEastAsia"/>
                      <w:szCs w:val="21"/>
                    </w:rPr>
                  </w:pPr>
                  <w:r>
                    <w:rPr>
                      <w:rFonts w:eastAsiaTheme="minorEastAsia"/>
                      <w:szCs w:val="21"/>
                    </w:rPr>
                    <w:t>搬运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33</w:t>
                  </w:r>
                </w:p>
              </w:tc>
              <w:tc>
                <w:tcPr>
                  <w:tcW w:w="1281" w:type="pct"/>
                  <w:vAlign w:val="center"/>
                </w:tcPr>
                <w:p>
                  <w:pPr>
                    <w:widowControl/>
                    <w:jc w:val="center"/>
                    <w:textAlignment w:val="center"/>
                    <w:rPr>
                      <w:rFonts w:eastAsiaTheme="minorEastAsia"/>
                      <w:szCs w:val="21"/>
                    </w:rPr>
                  </w:pPr>
                  <w:r>
                    <w:rPr>
                      <w:rFonts w:eastAsiaTheme="minorEastAsia"/>
                      <w:szCs w:val="21"/>
                    </w:rPr>
                    <w:t>纯电动防爆叉车</w:t>
                  </w:r>
                </w:p>
              </w:tc>
              <w:tc>
                <w:tcPr>
                  <w:tcW w:w="734" w:type="pct"/>
                  <w:vAlign w:val="center"/>
                </w:tcPr>
                <w:p>
                  <w:pPr>
                    <w:widowControl/>
                    <w:jc w:val="center"/>
                    <w:textAlignment w:val="center"/>
                    <w:rPr>
                      <w:rFonts w:eastAsiaTheme="minorEastAsia"/>
                      <w:szCs w:val="21"/>
                    </w:rPr>
                  </w:pPr>
                  <w:r>
                    <w:rPr>
                      <w:rFonts w:eastAsiaTheme="minorEastAsia"/>
                      <w:szCs w:val="21"/>
                    </w:rPr>
                    <w:t>3t</w:t>
                  </w:r>
                </w:p>
              </w:tc>
              <w:tc>
                <w:tcPr>
                  <w:tcW w:w="550" w:type="pct"/>
                  <w:vAlign w:val="center"/>
                </w:tcPr>
                <w:p>
                  <w:pPr>
                    <w:widowControl/>
                    <w:jc w:val="center"/>
                    <w:textAlignment w:val="center"/>
                    <w:rPr>
                      <w:rFonts w:eastAsiaTheme="minorEastAsia"/>
                      <w:szCs w:val="21"/>
                    </w:rPr>
                  </w:pPr>
                  <w:r>
                    <w:rPr>
                      <w:rFonts w:eastAsiaTheme="minorEastAsia"/>
                      <w:szCs w:val="21"/>
                    </w:rPr>
                    <w:t>2</w:t>
                  </w:r>
                </w:p>
              </w:tc>
              <w:tc>
                <w:tcPr>
                  <w:tcW w:w="671" w:type="pct"/>
                  <w:vMerge w:val="continue"/>
                  <w:vAlign w:val="center"/>
                </w:tcPr>
                <w:p>
                  <w:pPr>
                    <w:widowControl/>
                    <w:jc w:val="center"/>
                    <w:textAlignment w:val="center"/>
                    <w:rPr>
                      <w:rFonts w:eastAsiaTheme="minorEastAsia"/>
                      <w:szCs w:val="21"/>
                    </w:rPr>
                  </w:pPr>
                </w:p>
              </w:tc>
              <w:tc>
                <w:tcPr>
                  <w:tcW w:w="1324" w:type="pct"/>
                  <w:vAlign w:val="center"/>
                </w:tcPr>
                <w:p>
                  <w:pPr>
                    <w:widowControl/>
                    <w:jc w:val="center"/>
                    <w:textAlignment w:val="center"/>
                    <w:rPr>
                      <w:rFonts w:eastAsiaTheme="minorEastAsia"/>
                      <w:szCs w:val="21"/>
                    </w:rPr>
                  </w:pPr>
                  <w:r>
                    <w:rPr>
                      <w:rFonts w:eastAsiaTheme="minorEastAsia"/>
                      <w:szCs w:val="21"/>
                    </w:rPr>
                    <w:t>搬运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34</w:t>
                  </w:r>
                </w:p>
              </w:tc>
              <w:tc>
                <w:tcPr>
                  <w:tcW w:w="1281" w:type="pct"/>
                  <w:vAlign w:val="center"/>
                </w:tcPr>
                <w:p>
                  <w:pPr>
                    <w:widowControl/>
                    <w:jc w:val="center"/>
                    <w:textAlignment w:val="center"/>
                    <w:rPr>
                      <w:rFonts w:eastAsiaTheme="minorEastAsia"/>
                      <w:szCs w:val="21"/>
                    </w:rPr>
                  </w:pPr>
                  <w:r>
                    <w:rPr>
                      <w:rFonts w:eastAsiaTheme="minorEastAsia"/>
                      <w:szCs w:val="21"/>
                    </w:rPr>
                    <w:t>磅秤</w:t>
                  </w:r>
                </w:p>
              </w:tc>
              <w:tc>
                <w:tcPr>
                  <w:tcW w:w="734" w:type="pct"/>
                  <w:vAlign w:val="center"/>
                </w:tcPr>
                <w:p>
                  <w:pPr>
                    <w:widowControl/>
                    <w:jc w:val="center"/>
                    <w:textAlignment w:val="center"/>
                    <w:rPr>
                      <w:rFonts w:eastAsiaTheme="minorEastAsia"/>
                      <w:szCs w:val="21"/>
                    </w:rPr>
                  </w:pPr>
                  <w:r>
                    <w:rPr>
                      <w:rFonts w:eastAsiaTheme="minorEastAsia"/>
                      <w:szCs w:val="21"/>
                    </w:rPr>
                    <w:t>200kg</w:t>
                  </w:r>
                </w:p>
              </w:tc>
              <w:tc>
                <w:tcPr>
                  <w:tcW w:w="550" w:type="pct"/>
                  <w:vAlign w:val="center"/>
                </w:tcPr>
                <w:p>
                  <w:pPr>
                    <w:widowControl/>
                    <w:jc w:val="center"/>
                    <w:textAlignment w:val="center"/>
                    <w:rPr>
                      <w:rFonts w:eastAsiaTheme="minorEastAsia"/>
                      <w:szCs w:val="21"/>
                    </w:rPr>
                  </w:pPr>
                  <w:r>
                    <w:rPr>
                      <w:rFonts w:eastAsiaTheme="minorEastAsia"/>
                      <w:szCs w:val="21"/>
                    </w:rPr>
                    <w:t>8</w:t>
                  </w:r>
                </w:p>
              </w:tc>
              <w:tc>
                <w:tcPr>
                  <w:tcW w:w="671" w:type="pct"/>
                  <w:vMerge w:val="continue"/>
                  <w:vAlign w:val="center"/>
                </w:tcPr>
                <w:p>
                  <w:pPr>
                    <w:widowControl/>
                    <w:jc w:val="center"/>
                    <w:textAlignment w:val="center"/>
                    <w:rPr>
                      <w:rFonts w:eastAsiaTheme="minorEastAsia"/>
                      <w:szCs w:val="21"/>
                    </w:rPr>
                  </w:pPr>
                </w:p>
              </w:tc>
              <w:tc>
                <w:tcPr>
                  <w:tcW w:w="1324" w:type="pct"/>
                  <w:vAlign w:val="center"/>
                </w:tcPr>
                <w:p>
                  <w:pPr>
                    <w:widowControl/>
                    <w:jc w:val="center"/>
                    <w:textAlignment w:val="center"/>
                    <w:rPr>
                      <w:rFonts w:eastAsiaTheme="minorEastAsia"/>
                      <w:szCs w:val="21"/>
                    </w:rPr>
                  </w:pPr>
                  <w:r>
                    <w:rPr>
                      <w:rFonts w:eastAsiaTheme="minorEastAsia"/>
                      <w:szCs w:val="21"/>
                    </w:rPr>
                    <w:t>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0" w:type="pct"/>
                  <w:vAlign w:val="center"/>
                </w:tcPr>
                <w:p>
                  <w:pPr>
                    <w:jc w:val="center"/>
                    <w:rPr>
                      <w:rFonts w:eastAsiaTheme="minorEastAsia"/>
                      <w:szCs w:val="21"/>
                    </w:rPr>
                  </w:pPr>
                  <w:r>
                    <w:rPr>
                      <w:rFonts w:hint="eastAsia" w:eastAsiaTheme="minorEastAsia"/>
                      <w:szCs w:val="21"/>
                    </w:rPr>
                    <w:t>35</w:t>
                  </w:r>
                </w:p>
              </w:tc>
              <w:tc>
                <w:tcPr>
                  <w:tcW w:w="1281" w:type="pct"/>
                  <w:vAlign w:val="center"/>
                </w:tcPr>
                <w:p>
                  <w:pPr>
                    <w:widowControl/>
                    <w:jc w:val="center"/>
                    <w:textAlignment w:val="center"/>
                    <w:rPr>
                      <w:rFonts w:eastAsiaTheme="minorEastAsia"/>
                      <w:szCs w:val="21"/>
                    </w:rPr>
                  </w:pPr>
                  <w:r>
                    <w:rPr>
                      <w:rFonts w:eastAsiaTheme="minorEastAsia"/>
                      <w:szCs w:val="21"/>
                    </w:rPr>
                    <w:t>磅秤</w:t>
                  </w:r>
                </w:p>
              </w:tc>
              <w:tc>
                <w:tcPr>
                  <w:tcW w:w="734" w:type="pct"/>
                  <w:vAlign w:val="center"/>
                </w:tcPr>
                <w:p>
                  <w:pPr>
                    <w:widowControl/>
                    <w:jc w:val="center"/>
                    <w:textAlignment w:val="center"/>
                    <w:rPr>
                      <w:rFonts w:eastAsiaTheme="minorEastAsia"/>
                      <w:szCs w:val="21"/>
                    </w:rPr>
                  </w:pPr>
                  <w:r>
                    <w:rPr>
                      <w:rFonts w:eastAsiaTheme="minorEastAsia"/>
                      <w:szCs w:val="21"/>
                    </w:rPr>
                    <w:t>500kg</w:t>
                  </w:r>
                </w:p>
              </w:tc>
              <w:tc>
                <w:tcPr>
                  <w:tcW w:w="550" w:type="pct"/>
                  <w:vAlign w:val="center"/>
                </w:tcPr>
                <w:p>
                  <w:pPr>
                    <w:widowControl/>
                    <w:jc w:val="center"/>
                    <w:textAlignment w:val="center"/>
                    <w:rPr>
                      <w:rFonts w:eastAsiaTheme="minorEastAsia"/>
                      <w:szCs w:val="21"/>
                    </w:rPr>
                  </w:pPr>
                  <w:r>
                    <w:rPr>
                      <w:rFonts w:eastAsiaTheme="minorEastAsia"/>
                      <w:szCs w:val="21"/>
                    </w:rPr>
                    <w:t>8</w:t>
                  </w:r>
                </w:p>
              </w:tc>
              <w:tc>
                <w:tcPr>
                  <w:tcW w:w="671" w:type="pct"/>
                  <w:vMerge w:val="continue"/>
                  <w:vAlign w:val="center"/>
                </w:tcPr>
                <w:p>
                  <w:pPr>
                    <w:widowControl/>
                    <w:jc w:val="center"/>
                    <w:textAlignment w:val="center"/>
                    <w:rPr>
                      <w:rFonts w:eastAsiaTheme="minorEastAsia"/>
                      <w:szCs w:val="21"/>
                    </w:rPr>
                  </w:pPr>
                </w:p>
              </w:tc>
              <w:tc>
                <w:tcPr>
                  <w:tcW w:w="1324" w:type="pct"/>
                  <w:vAlign w:val="center"/>
                </w:tcPr>
                <w:p>
                  <w:pPr>
                    <w:widowControl/>
                    <w:jc w:val="center"/>
                    <w:textAlignment w:val="center"/>
                    <w:rPr>
                      <w:rFonts w:eastAsiaTheme="minorEastAsia"/>
                      <w:szCs w:val="21"/>
                    </w:rPr>
                  </w:pPr>
                  <w:r>
                    <w:rPr>
                      <w:rFonts w:eastAsiaTheme="minorEastAsia"/>
                      <w:szCs w:val="21"/>
                    </w:rPr>
                    <w:t>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40" w:type="pct"/>
                  <w:vAlign w:val="center"/>
                </w:tcPr>
                <w:p>
                  <w:pPr>
                    <w:jc w:val="center"/>
                    <w:rPr>
                      <w:rFonts w:eastAsiaTheme="minorEastAsia"/>
                      <w:szCs w:val="21"/>
                    </w:rPr>
                  </w:pPr>
                  <w:r>
                    <w:rPr>
                      <w:rFonts w:hint="eastAsia" w:eastAsiaTheme="minorEastAsia"/>
                      <w:szCs w:val="21"/>
                    </w:rPr>
                    <w:t>36</w:t>
                  </w:r>
                </w:p>
              </w:tc>
              <w:tc>
                <w:tcPr>
                  <w:tcW w:w="1281" w:type="pct"/>
                  <w:vAlign w:val="center"/>
                </w:tcPr>
                <w:p>
                  <w:pPr>
                    <w:widowControl/>
                    <w:jc w:val="center"/>
                    <w:textAlignment w:val="center"/>
                    <w:rPr>
                      <w:rFonts w:eastAsiaTheme="minorEastAsia"/>
                      <w:szCs w:val="21"/>
                    </w:rPr>
                  </w:pPr>
                  <w:r>
                    <w:rPr>
                      <w:rFonts w:eastAsiaTheme="minorEastAsia"/>
                      <w:szCs w:val="21"/>
                    </w:rPr>
                    <w:t>磅秤</w:t>
                  </w:r>
                </w:p>
              </w:tc>
              <w:tc>
                <w:tcPr>
                  <w:tcW w:w="734" w:type="pct"/>
                  <w:vAlign w:val="center"/>
                </w:tcPr>
                <w:p>
                  <w:pPr>
                    <w:widowControl/>
                    <w:jc w:val="center"/>
                    <w:textAlignment w:val="center"/>
                    <w:rPr>
                      <w:rFonts w:eastAsiaTheme="minorEastAsia"/>
                      <w:szCs w:val="21"/>
                    </w:rPr>
                  </w:pPr>
                  <w:r>
                    <w:rPr>
                      <w:rFonts w:eastAsiaTheme="minorEastAsia"/>
                      <w:szCs w:val="21"/>
                    </w:rPr>
                    <w:t>2t</w:t>
                  </w:r>
                </w:p>
              </w:tc>
              <w:tc>
                <w:tcPr>
                  <w:tcW w:w="550" w:type="pct"/>
                  <w:vAlign w:val="center"/>
                </w:tcPr>
                <w:p>
                  <w:pPr>
                    <w:widowControl/>
                    <w:jc w:val="center"/>
                    <w:textAlignment w:val="center"/>
                    <w:rPr>
                      <w:rFonts w:eastAsiaTheme="minorEastAsia"/>
                      <w:szCs w:val="21"/>
                    </w:rPr>
                  </w:pPr>
                  <w:r>
                    <w:rPr>
                      <w:rFonts w:eastAsiaTheme="minorEastAsia"/>
                      <w:szCs w:val="21"/>
                    </w:rPr>
                    <w:t>2</w:t>
                  </w:r>
                </w:p>
              </w:tc>
              <w:tc>
                <w:tcPr>
                  <w:tcW w:w="671" w:type="pct"/>
                  <w:vMerge w:val="continue"/>
                  <w:vAlign w:val="center"/>
                </w:tcPr>
                <w:p>
                  <w:pPr>
                    <w:widowControl/>
                    <w:jc w:val="center"/>
                    <w:textAlignment w:val="center"/>
                    <w:rPr>
                      <w:rFonts w:eastAsiaTheme="minorEastAsia"/>
                      <w:szCs w:val="21"/>
                    </w:rPr>
                  </w:pPr>
                </w:p>
              </w:tc>
              <w:tc>
                <w:tcPr>
                  <w:tcW w:w="1324" w:type="pct"/>
                  <w:vAlign w:val="center"/>
                </w:tcPr>
                <w:p>
                  <w:pPr>
                    <w:widowControl/>
                    <w:jc w:val="center"/>
                    <w:textAlignment w:val="center"/>
                    <w:rPr>
                      <w:rFonts w:eastAsiaTheme="minorEastAsia"/>
                      <w:szCs w:val="21"/>
                    </w:rPr>
                  </w:pPr>
                  <w:r>
                    <w:rPr>
                      <w:rFonts w:eastAsiaTheme="minorEastAsia"/>
                      <w:szCs w:val="21"/>
                    </w:rPr>
                    <w:t>称量</w:t>
                  </w:r>
                </w:p>
              </w:tc>
            </w:tr>
          </w:tbl>
          <w:p>
            <w:pPr>
              <w:adjustRightInd w:val="0"/>
              <w:snapToGrid w:val="0"/>
              <w:spacing w:line="360" w:lineRule="auto"/>
              <w:ind w:firstLine="456" w:firstLineChars="200"/>
              <w:rPr>
                <w:b/>
                <w:bCs/>
                <w:sz w:val="24"/>
              </w:rPr>
            </w:pPr>
            <w:r>
              <w:rPr>
                <w:rFonts w:hint="eastAsia"/>
                <w:spacing w:val="-6"/>
                <w:sz w:val="24"/>
              </w:rPr>
              <w:t>注：①项目各产品搅拌罐及调和罐专罐专用，不交叉使用；②本项目所用的生产设备均以电为能源。</w:t>
            </w:r>
          </w:p>
          <w:p>
            <w:pPr>
              <w:adjustRightInd w:val="0"/>
              <w:snapToGrid w:val="0"/>
              <w:spacing w:line="360" w:lineRule="auto"/>
              <w:ind w:firstLine="482" w:firstLineChars="200"/>
              <w:rPr>
                <w:b/>
                <w:bCs/>
                <w:sz w:val="24"/>
              </w:rPr>
            </w:pPr>
            <w:r>
              <w:rPr>
                <w:rFonts w:hint="eastAsia"/>
                <w:b/>
                <w:bCs/>
                <w:sz w:val="24"/>
              </w:rPr>
              <w:t>工艺设备“三化一流”先进性分析及设备合规性分析</w:t>
            </w:r>
          </w:p>
          <w:p>
            <w:pPr>
              <w:adjustRightInd w:val="0"/>
              <w:snapToGrid w:val="0"/>
              <w:spacing w:line="360" w:lineRule="auto"/>
              <w:ind w:firstLine="480" w:firstLineChars="200"/>
              <w:rPr>
                <w:b/>
                <w:bCs/>
                <w:sz w:val="24"/>
              </w:rPr>
            </w:pPr>
            <w:r>
              <w:rPr>
                <w:rFonts w:hint="eastAsia"/>
                <w:bCs/>
                <w:sz w:val="24"/>
              </w:rPr>
              <w:t>本项目采用标准化厂房，生产设施采用垂直设计，旨在加强化工企业清洁生产，从源头降低污染物排放强度，引导企业提升智能化水平，液体采用计量泵计量后自动输送至搅拌罐内，粉料称重后采用固体投料机投料，随后自动密闭搅拌，搅拌均匀后泵送至分装储罐，最后分装至包装桶内，生产体系整体采用密闭化、物料输送管道化、危险工艺自动化、企业管理信息化等生产模式，符合“三化一流”设计理念，设备较为先进。</w:t>
            </w:r>
          </w:p>
          <w:p>
            <w:pPr>
              <w:adjustRightInd w:val="0"/>
              <w:snapToGrid w:val="0"/>
              <w:spacing w:line="360" w:lineRule="auto"/>
              <w:ind w:firstLine="480" w:firstLineChars="200"/>
              <w:rPr>
                <w:bCs/>
                <w:sz w:val="24"/>
              </w:rPr>
            </w:pPr>
            <w:r>
              <w:rPr>
                <w:rFonts w:hint="eastAsia"/>
                <w:bCs/>
                <w:sz w:val="24"/>
              </w:rPr>
              <w:t>项目产品、生产工艺、所用设备均不属于《产业结构调整指导目录（2024年版）》、中淘汰类、限制类，所用原辅料均不在危险化学品“禁限控”目录，因此本项目符合相关文件要求。</w:t>
            </w:r>
          </w:p>
          <w:p>
            <w:pPr>
              <w:adjustRightInd w:val="0"/>
              <w:snapToGrid w:val="0"/>
              <w:spacing w:line="360" w:lineRule="auto"/>
              <w:ind w:firstLine="482" w:firstLineChars="200"/>
              <w:rPr>
                <w:b/>
                <w:bCs/>
                <w:sz w:val="24"/>
              </w:rPr>
            </w:pPr>
            <w:r>
              <w:rPr>
                <w:rFonts w:hint="eastAsia"/>
                <w:b/>
                <w:bCs/>
                <w:sz w:val="24"/>
              </w:rPr>
              <w:t>4、原辅材料</w:t>
            </w:r>
          </w:p>
          <w:p>
            <w:pPr>
              <w:pStyle w:val="30"/>
              <w:spacing w:line="360" w:lineRule="auto"/>
              <w:ind w:firstLine="480" w:firstLineChars="200"/>
              <w:rPr>
                <w:rFonts w:ascii="Times New Roman" w:hAnsi="Times New Roman"/>
                <w:kern w:val="0"/>
                <w:sz w:val="24"/>
                <w:szCs w:val="22"/>
              </w:rPr>
            </w:pPr>
            <w:r>
              <w:rPr>
                <w:rFonts w:hint="eastAsia" w:ascii="Times New Roman" w:hAnsi="Times New Roman"/>
                <w:kern w:val="0"/>
                <w:sz w:val="24"/>
                <w:szCs w:val="22"/>
              </w:rPr>
              <w:t>本项目所用各类化学原料均暂存在车间西部原料仓库内，产品中润滑油（导轨油、冲压油、拉伸油）、碳氢清洗剂（多功能碳氢清洗剂、环保碳氢清洗剂）无需加水，其他产品均需添加一定比例纯水，纯水由纯水机自行制备，各产品原辅材料及能（资）源用量情况见下表</w:t>
            </w:r>
            <w:r>
              <w:rPr>
                <w:rFonts w:ascii="Times New Roman" w:hAnsi="Times New Roman"/>
                <w:kern w:val="0"/>
                <w:sz w:val="24"/>
                <w:szCs w:val="22"/>
              </w:rPr>
              <w:t>见表</w:t>
            </w:r>
            <w:r>
              <w:rPr>
                <w:rFonts w:hint="eastAsia" w:ascii="Times New Roman" w:hAnsi="Times New Roman"/>
                <w:kern w:val="0"/>
                <w:sz w:val="24"/>
                <w:szCs w:val="22"/>
              </w:rPr>
              <w:t>2-4</w:t>
            </w:r>
            <w:r>
              <w:rPr>
                <w:rFonts w:ascii="Times New Roman" w:hAnsi="Times New Roman"/>
                <w:kern w:val="0"/>
                <w:sz w:val="24"/>
                <w:szCs w:val="22"/>
              </w:rPr>
              <w:t>。</w:t>
            </w:r>
          </w:p>
          <w:p>
            <w:pPr>
              <w:spacing w:beforeLines="50"/>
              <w:jc w:val="center"/>
              <w:rPr>
                <w:b/>
              </w:rPr>
            </w:pPr>
            <w:r>
              <w:rPr>
                <w:rFonts w:hint="eastAsia"/>
                <w:b/>
              </w:rPr>
              <w:t>表2-4  项目主要原辅料消耗一览表</w:t>
            </w:r>
          </w:p>
          <w:tbl>
            <w:tblPr>
              <w:tblStyle w:val="3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876"/>
              <w:gridCol w:w="1254"/>
              <w:gridCol w:w="963"/>
              <w:gridCol w:w="737"/>
              <w:gridCol w:w="1151"/>
              <w:gridCol w:w="1151"/>
              <w:gridCol w:w="11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vAlign w:val="center"/>
                </w:tcPr>
                <w:p>
                  <w:pPr>
                    <w:jc w:val="center"/>
                    <w:rPr>
                      <w:b/>
                      <w:bCs/>
                      <w:szCs w:val="21"/>
                    </w:rPr>
                  </w:pPr>
                  <w:r>
                    <w:rPr>
                      <w:b/>
                      <w:bCs/>
                      <w:szCs w:val="21"/>
                    </w:rPr>
                    <w:t>原料名称</w:t>
                  </w:r>
                </w:p>
              </w:tc>
              <w:tc>
                <w:tcPr>
                  <w:tcW w:w="676" w:type="pct"/>
                  <w:tcBorders>
                    <w:tl2br w:val="nil"/>
                    <w:tr2bl w:val="nil"/>
                  </w:tcBorders>
                  <w:vAlign w:val="center"/>
                </w:tcPr>
                <w:p>
                  <w:pPr>
                    <w:jc w:val="center"/>
                    <w:rPr>
                      <w:b/>
                      <w:bCs/>
                      <w:szCs w:val="21"/>
                    </w:rPr>
                  </w:pPr>
                  <w:r>
                    <w:rPr>
                      <w:b/>
                      <w:bCs/>
                      <w:szCs w:val="21"/>
                    </w:rPr>
                    <w:t>年用量（t）</w:t>
                  </w:r>
                </w:p>
              </w:tc>
              <w:tc>
                <w:tcPr>
                  <w:tcW w:w="519" w:type="pct"/>
                  <w:tcBorders>
                    <w:tl2br w:val="nil"/>
                    <w:tr2bl w:val="nil"/>
                  </w:tcBorders>
                  <w:vAlign w:val="center"/>
                </w:tcPr>
                <w:p>
                  <w:pPr>
                    <w:jc w:val="center"/>
                    <w:rPr>
                      <w:b/>
                      <w:bCs/>
                      <w:szCs w:val="21"/>
                    </w:rPr>
                  </w:pPr>
                  <w:r>
                    <w:rPr>
                      <w:b/>
                      <w:bCs/>
                      <w:szCs w:val="21"/>
                    </w:rPr>
                    <w:t>原料</w:t>
                  </w:r>
                </w:p>
                <w:p>
                  <w:pPr>
                    <w:jc w:val="center"/>
                    <w:rPr>
                      <w:b/>
                      <w:bCs/>
                      <w:szCs w:val="21"/>
                    </w:rPr>
                  </w:pPr>
                  <w:r>
                    <w:rPr>
                      <w:b/>
                      <w:bCs/>
                      <w:szCs w:val="21"/>
                    </w:rPr>
                    <w:t>形态</w:t>
                  </w:r>
                </w:p>
              </w:tc>
              <w:tc>
                <w:tcPr>
                  <w:tcW w:w="397" w:type="pct"/>
                  <w:tcBorders>
                    <w:tl2br w:val="nil"/>
                    <w:tr2bl w:val="nil"/>
                  </w:tcBorders>
                  <w:vAlign w:val="center"/>
                </w:tcPr>
                <w:p>
                  <w:pPr>
                    <w:jc w:val="center"/>
                    <w:rPr>
                      <w:b/>
                      <w:bCs/>
                      <w:szCs w:val="21"/>
                    </w:rPr>
                  </w:pPr>
                  <w:r>
                    <w:rPr>
                      <w:b/>
                      <w:bCs/>
                      <w:szCs w:val="21"/>
                    </w:rPr>
                    <w:t>包装</w:t>
                  </w:r>
                </w:p>
                <w:p>
                  <w:pPr>
                    <w:jc w:val="center"/>
                    <w:rPr>
                      <w:b/>
                      <w:bCs/>
                      <w:szCs w:val="21"/>
                    </w:rPr>
                  </w:pPr>
                  <w:r>
                    <w:rPr>
                      <w:b/>
                      <w:bCs/>
                      <w:szCs w:val="21"/>
                    </w:rPr>
                    <w:t>方式</w:t>
                  </w:r>
                </w:p>
              </w:tc>
              <w:tc>
                <w:tcPr>
                  <w:tcW w:w="620" w:type="pct"/>
                  <w:tcBorders>
                    <w:tl2br w:val="nil"/>
                    <w:tr2bl w:val="nil"/>
                  </w:tcBorders>
                  <w:vAlign w:val="center"/>
                </w:tcPr>
                <w:p>
                  <w:pPr>
                    <w:jc w:val="center"/>
                    <w:rPr>
                      <w:b/>
                      <w:bCs/>
                      <w:szCs w:val="21"/>
                    </w:rPr>
                  </w:pPr>
                  <w:r>
                    <w:rPr>
                      <w:b/>
                      <w:bCs/>
                      <w:szCs w:val="21"/>
                    </w:rPr>
                    <w:t>厂区最大暂存量（t）</w:t>
                  </w:r>
                </w:p>
              </w:tc>
              <w:tc>
                <w:tcPr>
                  <w:tcW w:w="620" w:type="pct"/>
                  <w:tcBorders>
                    <w:tl2br w:val="nil"/>
                    <w:tr2bl w:val="nil"/>
                  </w:tcBorders>
                  <w:vAlign w:val="center"/>
                </w:tcPr>
                <w:p>
                  <w:pPr>
                    <w:jc w:val="center"/>
                    <w:rPr>
                      <w:b/>
                      <w:bCs/>
                      <w:szCs w:val="21"/>
                    </w:rPr>
                  </w:pPr>
                  <w:r>
                    <w:rPr>
                      <w:b/>
                      <w:bCs/>
                      <w:szCs w:val="21"/>
                    </w:rPr>
                    <w:t>产品中占比%</w:t>
                  </w:r>
                </w:p>
              </w:tc>
              <w:tc>
                <w:tcPr>
                  <w:tcW w:w="618" w:type="pct"/>
                  <w:tcBorders>
                    <w:tl2br w:val="nil"/>
                    <w:tr2bl w:val="nil"/>
                  </w:tcBorders>
                  <w:vAlign w:val="center"/>
                </w:tcPr>
                <w:p>
                  <w:pPr>
                    <w:jc w:val="center"/>
                    <w:rPr>
                      <w:b/>
                      <w:bCs/>
                      <w:szCs w:val="21"/>
                    </w:rPr>
                  </w:pPr>
                  <w:r>
                    <w:rPr>
                      <w:b/>
                      <w:bCs/>
                      <w:szCs w:val="21"/>
                    </w:rPr>
                    <w:t>是否为挥发性物料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tcBorders>
                    <w:tl2br w:val="nil"/>
                    <w:tr2bl w:val="nil"/>
                  </w:tcBorders>
                  <w:vAlign w:val="center"/>
                </w:tcPr>
                <w:p>
                  <w:pPr>
                    <w:widowControl/>
                    <w:jc w:val="center"/>
                    <w:textAlignment w:val="center"/>
                    <w:rPr>
                      <w:b/>
                      <w:szCs w:val="21"/>
                    </w:rPr>
                  </w:pPr>
                  <w:r>
                    <w:rPr>
                      <w:rStyle w:val="112"/>
                      <w:rFonts w:hint="default" w:ascii="Times New Roman" w:cs="Times New Roman"/>
                      <w:b/>
                    </w:rPr>
                    <w:t>动力电池结构件专用清洗剂</w:t>
                  </w:r>
                  <w:r>
                    <w:rPr>
                      <w:rStyle w:val="112"/>
                      <w:rFonts w:hint="default" w:ascii="Times New Roman" w:hAnsi="Times New Roman" w:cs="Times New Roman"/>
                      <w:b/>
                    </w:rPr>
                    <w:t>2400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vAlign w:val="center"/>
                </w:tcPr>
                <w:p>
                  <w:pPr>
                    <w:jc w:val="center"/>
                    <w:rPr>
                      <w:szCs w:val="21"/>
                    </w:rPr>
                  </w:pPr>
                  <w:r>
                    <w:rPr>
                      <w:szCs w:val="21"/>
                    </w:rPr>
                    <w:t>纯水</w:t>
                  </w:r>
                </w:p>
              </w:tc>
              <w:tc>
                <w:tcPr>
                  <w:tcW w:w="676" w:type="pct"/>
                  <w:tcBorders>
                    <w:tl2br w:val="nil"/>
                    <w:tr2bl w:val="nil"/>
                  </w:tcBorders>
                  <w:vAlign w:val="center"/>
                </w:tcPr>
                <w:p>
                  <w:pPr>
                    <w:jc w:val="center"/>
                    <w:rPr>
                      <w:color w:val="000000"/>
                      <w:szCs w:val="21"/>
                    </w:rPr>
                  </w:pPr>
                  <w:r>
                    <w:rPr>
                      <w:color w:val="000000"/>
                      <w:szCs w:val="21"/>
                    </w:rPr>
                    <w:t>1632</w:t>
                  </w:r>
                </w:p>
              </w:tc>
              <w:tc>
                <w:tcPr>
                  <w:tcW w:w="519" w:type="pct"/>
                  <w:tcBorders>
                    <w:tl2br w:val="nil"/>
                    <w:tr2bl w:val="nil"/>
                  </w:tcBorders>
                  <w:vAlign w:val="center"/>
                </w:tcPr>
                <w:p>
                  <w:pPr>
                    <w:widowControl/>
                    <w:jc w:val="center"/>
                    <w:textAlignment w:val="center"/>
                    <w:rPr>
                      <w:szCs w:val="21"/>
                    </w:rPr>
                  </w:pPr>
                  <w:r>
                    <w:rPr>
                      <w:szCs w:val="21"/>
                    </w:rPr>
                    <w:t>液</w:t>
                  </w:r>
                </w:p>
              </w:tc>
              <w:tc>
                <w:tcPr>
                  <w:tcW w:w="397" w:type="pct"/>
                  <w:tcBorders>
                    <w:tl2br w:val="nil"/>
                    <w:tr2bl w:val="nil"/>
                  </w:tcBorders>
                  <w:vAlign w:val="center"/>
                </w:tcPr>
                <w:p>
                  <w:pPr>
                    <w:jc w:val="center"/>
                    <w:rPr>
                      <w:szCs w:val="21"/>
                    </w:rPr>
                  </w:pPr>
                  <w:r>
                    <w:rPr>
                      <w:szCs w:val="21"/>
                    </w:rPr>
                    <w:t>/</w:t>
                  </w:r>
                </w:p>
              </w:tc>
              <w:tc>
                <w:tcPr>
                  <w:tcW w:w="620" w:type="pct"/>
                  <w:tcBorders>
                    <w:tl2br w:val="nil"/>
                    <w:tr2bl w:val="nil"/>
                  </w:tcBorders>
                  <w:vAlign w:val="center"/>
                </w:tcPr>
                <w:p>
                  <w:pPr>
                    <w:jc w:val="center"/>
                    <w:rPr>
                      <w:color w:val="000000"/>
                      <w:szCs w:val="21"/>
                    </w:rPr>
                  </w:pPr>
                  <w:r>
                    <w:rPr>
                      <w:color w:val="000000"/>
                      <w:szCs w:val="21"/>
                    </w:rPr>
                    <w:t>/</w:t>
                  </w:r>
                </w:p>
              </w:tc>
              <w:tc>
                <w:tcPr>
                  <w:tcW w:w="620" w:type="pct"/>
                  <w:tcBorders>
                    <w:tl2br w:val="nil"/>
                    <w:tr2bl w:val="nil"/>
                  </w:tcBorders>
                  <w:vAlign w:val="center"/>
                </w:tcPr>
                <w:p>
                  <w:pPr>
                    <w:jc w:val="center"/>
                    <w:rPr>
                      <w:szCs w:val="21"/>
                    </w:rPr>
                  </w:pPr>
                  <w:r>
                    <w:rPr>
                      <w:szCs w:val="21"/>
                    </w:rPr>
                    <w:t>68</w:t>
                  </w:r>
                </w:p>
              </w:tc>
              <w:tc>
                <w:tcPr>
                  <w:tcW w:w="618" w:type="pct"/>
                  <w:tcBorders>
                    <w:tl2br w:val="nil"/>
                    <w:tr2bl w:val="nil"/>
                  </w:tcBorders>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vAlign w:val="center"/>
                </w:tcPr>
                <w:p>
                  <w:pPr>
                    <w:jc w:val="center"/>
                    <w:rPr>
                      <w:szCs w:val="21"/>
                    </w:rPr>
                  </w:pPr>
                  <w:r>
                    <w:rPr>
                      <w:szCs w:val="21"/>
                    </w:rPr>
                    <w:t>异构醇油酸皂DF-20</w:t>
                  </w:r>
                </w:p>
              </w:tc>
              <w:tc>
                <w:tcPr>
                  <w:tcW w:w="676" w:type="pct"/>
                  <w:tcBorders>
                    <w:tl2br w:val="nil"/>
                    <w:tr2bl w:val="nil"/>
                  </w:tcBorders>
                  <w:vAlign w:val="center"/>
                </w:tcPr>
                <w:p>
                  <w:pPr>
                    <w:jc w:val="center"/>
                    <w:rPr>
                      <w:color w:val="000000"/>
                      <w:szCs w:val="21"/>
                    </w:rPr>
                  </w:pPr>
                  <w:r>
                    <w:rPr>
                      <w:color w:val="000000"/>
                      <w:szCs w:val="21"/>
                    </w:rPr>
                    <w:t>72</w:t>
                  </w:r>
                </w:p>
              </w:tc>
              <w:tc>
                <w:tcPr>
                  <w:tcW w:w="519" w:type="pct"/>
                  <w:tcBorders>
                    <w:tl2br w:val="nil"/>
                    <w:tr2bl w:val="nil"/>
                  </w:tcBorders>
                  <w:vAlign w:val="center"/>
                </w:tcPr>
                <w:p>
                  <w:pPr>
                    <w:widowControl/>
                    <w:jc w:val="center"/>
                    <w:textAlignment w:val="center"/>
                    <w:rPr>
                      <w:szCs w:val="21"/>
                    </w:rPr>
                  </w:pPr>
                  <w:r>
                    <w:rPr>
                      <w:szCs w:val="21"/>
                    </w:rPr>
                    <w:t>液</w:t>
                  </w:r>
                </w:p>
              </w:tc>
              <w:tc>
                <w:tcPr>
                  <w:tcW w:w="397" w:type="pct"/>
                  <w:tcBorders>
                    <w:tl2br w:val="nil"/>
                    <w:tr2bl w:val="nil"/>
                  </w:tcBorders>
                  <w:vAlign w:val="center"/>
                </w:tcPr>
                <w:p>
                  <w:pPr>
                    <w:jc w:val="center"/>
                    <w:rPr>
                      <w:szCs w:val="21"/>
                    </w:rPr>
                  </w:pPr>
                  <w:r>
                    <w:rPr>
                      <w:szCs w:val="21"/>
                    </w:rPr>
                    <w:t>桶装</w:t>
                  </w:r>
                </w:p>
              </w:tc>
              <w:tc>
                <w:tcPr>
                  <w:tcW w:w="620" w:type="pct"/>
                  <w:tcBorders>
                    <w:tl2br w:val="nil"/>
                    <w:tr2bl w:val="nil"/>
                  </w:tcBorders>
                  <w:vAlign w:val="center"/>
                </w:tcPr>
                <w:p>
                  <w:pPr>
                    <w:jc w:val="center"/>
                    <w:rPr>
                      <w:color w:val="000000"/>
                      <w:szCs w:val="21"/>
                    </w:rPr>
                  </w:pPr>
                  <w:r>
                    <w:rPr>
                      <w:color w:val="000000"/>
                      <w:szCs w:val="21"/>
                    </w:rPr>
                    <w:t>6</w:t>
                  </w:r>
                </w:p>
              </w:tc>
              <w:tc>
                <w:tcPr>
                  <w:tcW w:w="620" w:type="pct"/>
                  <w:tcBorders>
                    <w:tl2br w:val="nil"/>
                    <w:tr2bl w:val="nil"/>
                  </w:tcBorders>
                  <w:vAlign w:val="center"/>
                </w:tcPr>
                <w:p>
                  <w:pPr>
                    <w:jc w:val="center"/>
                    <w:rPr>
                      <w:szCs w:val="21"/>
                    </w:rPr>
                  </w:pPr>
                  <w:r>
                    <w:rPr>
                      <w:szCs w:val="21"/>
                    </w:rPr>
                    <w:t>3</w:t>
                  </w:r>
                </w:p>
              </w:tc>
              <w:tc>
                <w:tcPr>
                  <w:tcW w:w="618" w:type="pct"/>
                  <w:tcBorders>
                    <w:tl2br w:val="nil"/>
                    <w:tr2bl w:val="nil"/>
                  </w:tcBorders>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vAlign w:val="center"/>
                </w:tcPr>
                <w:p>
                  <w:pPr>
                    <w:jc w:val="center"/>
                    <w:rPr>
                      <w:szCs w:val="21"/>
                    </w:rPr>
                  </w:pPr>
                  <w:r>
                    <w:rPr>
                      <w:color w:val="000000"/>
                      <w:kern w:val="0"/>
                      <w:szCs w:val="21"/>
                    </w:rPr>
                    <w:t>氢氧化钠</w:t>
                  </w:r>
                </w:p>
              </w:tc>
              <w:tc>
                <w:tcPr>
                  <w:tcW w:w="676" w:type="pct"/>
                  <w:tcBorders>
                    <w:tl2br w:val="nil"/>
                    <w:tr2bl w:val="nil"/>
                  </w:tcBorders>
                  <w:vAlign w:val="center"/>
                </w:tcPr>
                <w:p>
                  <w:pPr>
                    <w:jc w:val="center"/>
                    <w:rPr>
                      <w:color w:val="000000"/>
                      <w:szCs w:val="21"/>
                    </w:rPr>
                  </w:pPr>
                  <w:r>
                    <w:rPr>
                      <w:color w:val="000000"/>
                      <w:szCs w:val="21"/>
                    </w:rPr>
                    <w:t>480</w:t>
                  </w:r>
                </w:p>
              </w:tc>
              <w:tc>
                <w:tcPr>
                  <w:tcW w:w="519" w:type="pct"/>
                  <w:tcBorders>
                    <w:tl2br w:val="nil"/>
                    <w:tr2bl w:val="nil"/>
                  </w:tcBorders>
                  <w:vAlign w:val="center"/>
                </w:tcPr>
                <w:p>
                  <w:pPr>
                    <w:widowControl/>
                    <w:jc w:val="center"/>
                    <w:textAlignment w:val="center"/>
                    <w:rPr>
                      <w:szCs w:val="21"/>
                    </w:rPr>
                  </w:pPr>
                  <w:r>
                    <w:rPr>
                      <w:szCs w:val="21"/>
                    </w:rPr>
                    <w:t>液</w:t>
                  </w:r>
                </w:p>
              </w:tc>
              <w:tc>
                <w:tcPr>
                  <w:tcW w:w="397" w:type="pct"/>
                  <w:tcBorders>
                    <w:tl2br w:val="nil"/>
                    <w:tr2bl w:val="nil"/>
                  </w:tcBorders>
                  <w:vAlign w:val="center"/>
                </w:tcPr>
                <w:p>
                  <w:pPr>
                    <w:jc w:val="center"/>
                    <w:rPr>
                      <w:szCs w:val="21"/>
                    </w:rPr>
                  </w:pPr>
                  <w:r>
                    <w:rPr>
                      <w:szCs w:val="21"/>
                    </w:rPr>
                    <w:t>桶装</w:t>
                  </w:r>
                </w:p>
              </w:tc>
              <w:tc>
                <w:tcPr>
                  <w:tcW w:w="620" w:type="pct"/>
                  <w:tcBorders>
                    <w:tl2br w:val="nil"/>
                    <w:tr2bl w:val="nil"/>
                  </w:tcBorders>
                  <w:vAlign w:val="center"/>
                </w:tcPr>
                <w:p>
                  <w:pPr>
                    <w:jc w:val="center"/>
                    <w:rPr>
                      <w:color w:val="000000"/>
                      <w:szCs w:val="21"/>
                    </w:rPr>
                  </w:pPr>
                  <w:r>
                    <w:rPr>
                      <w:color w:val="000000"/>
                      <w:szCs w:val="21"/>
                    </w:rPr>
                    <w:t>40</w:t>
                  </w:r>
                </w:p>
              </w:tc>
              <w:tc>
                <w:tcPr>
                  <w:tcW w:w="620" w:type="pct"/>
                  <w:tcBorders>
                    <w:tl2br w:val="nil"/>
                    <w:tr2bl w:val="nil"/>
                  </w:tcBorders>
                  <w:vAlign w:val="center"/>
                </w:tcPr>
                <w:p>
                  <w:pPr>
                    <w:jc w:val="center"/>
                    <w:rPr>
                      <w:szCs w:val="21"/>
                    </w:rPr>
                  </w:pPr>
                  <w:r>
                    <w:rPr>
                      <w:szCs w:val="21"/>
                    </w:rPr>
                    <w:t>2</w:t>
                  </w:r>
                </w:p>
              </w:tc>
              <w:tc>
                <w:tcPr>
                  <w:tcW w:w="618" w:type="pct"/>
                  <w:tcBorders>
                    <w:tl2br w:val="nil"/>
                    <w:tr2bl w:val="nil"/>
                  </w:tcBorders>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vAlign w:val="center"/>
                </w:tcPr>
                <w:p>
                  <w:pPr>
                    <w:jc w:val="center"/>
                    <w:rPr>
                      <w:szCs w:val="21"/>
                    </w:rPr>
                  </w:pPr>
                  <w:r>
                    <w:rPr>
                      <w:color w:val="000000"/>
                      <w:kern w:val="0"/>
                      <w:szCs w:val="21"/>
                    </w:rPr>
                    <w:t>五水偏硅酸钠</w:t>
                  </w:r>
                </w:p>
              </w:tc>
              <w:tc>
                <w:tcPr>
                  <w:tcW w:w="676" w:type="pct"/>
                  <w:tcBorders>
                    <w:tl2br w:val="nil"/>
                    <w:tr2bl w:val="nil"/>
                  </w:tcBorders>
                  <w:vAlign w:val="center"/>
                </w:tcPr>
                <w:p>
                  <w:pPr>
                    <w:jc w:val="center"/>
                    <w:rPr>
                      <w:color w:val="000000"/>
                      <w:szCs w:val="21"/>
                    </w:rPr>
                  </w:pPr>
                  <w:r>
                    <w:rPr>
                      <w:color w:val="000000"/>
                      <w:szCs w:val="21"/>
                    </w:rPr>
                    <w:t>48</w:t>
                  </w:r>
                </w:p>
              </w:tc>
              <w:tc>
                <w:tcPr>
                  <w:tcW w:w="519" w:type="pct"/>
                  <w:tcBorders>
                    <w:tl2br w:val="nil"/>
                    <w:tr2bl w:val="nil"/>
                  </w:tcBorders>
                  <w:vAlign w:val="center"/>
                </w:tcPr>
                <w:p>
                  <w:pPr>
                    <w:widowControl/>
                    <w:jc w:val="center"/>
                    <w:textAlignment w:val="center"/>
                    <w:rPr>
                      <w:szCs w:val="21"/>
                    </w:rPr>
                  </w:pPr>
                  <w:r>
                    <w:rPr>
                      <w:szCs w:val="21"/>
                    </w:rPr>
                    <w:t>粉</w:t>
                  </w:r>
                </w:p>
              </w:tc>
              <w:tc>
                <w:tcPr>
                  <w:tcW w:w="397" w:type="pct"/>
                  <w:tcBorders>
                    <w:tl2br w:val="nil"/>
                    <w:tr2bl w:val="nil"/>
                  </w:tcBorders>
                  <w:vAlign w:val="center"/>
                </w:tcPr>
                <w:p>
                  <w:pPr>
                    <w:jc w:val="center"/>
                    <w:rPr>
                      <w:szCs w:val="21"/>
                    </w:rPr>
                  </w:pPr>
                  <w:r>
                    <w:rPr>
                      <w:szCs w:val="21"/>
                    </w:rPr>
                    <w:t>袋装</w:t>
                  </w:r>
                </w:p>
              </w:tc>
              <w:tc>
                <w:tcPr>
                  <w:tcW w:w="620" w:type="pct"/>
                  <w:tcBorders>
                    <w:tl2br w:val="nil"/>
                    <w:tr2bl w:val="nil"/>
                  </w:tcBorders>
                  <w:vAlign w:val="center"/>
                </w:tcPr>
                <w:p>
                  <w:pPr>
                    <w:jc w:val="center"/>
                    <w:rPr>
                      <w:color w:val="000000"/>
                      <w:szCs w:val="21"/>
                    </w:rPr>
                  </w:pPr>
                  <w:r>
                    <w:rPr>
                      <w:color w:val="000000"/>
                      <w:szCs w:val="21"/>
                    </w:rPr>
                    <w:t>4</w:t>
                  </w:r>
                </w:p>
              </w:tc>
              <w:tc>
                <w:tcPr>
                  <w:tcW w:w="620" w:type="pct"/>
                  <w:tcBorders>
                    <w:tl2br w:val="nil"/>
                    <w:tr2bl w:val="nil"/>
                  </w:tcBorders>
                  <w:vAlign w:val="center"/>
                </w:tcPr>
                <w:p>
                  <w:pPr>
                    <w:jc w:val="center"/>
                    <w:rPr>
                      <w:szCs w:val="21"/>
                    </w:rPr>
                  </w:pPr>
                  <w:r>
                    <w:rPr>
                      <w:szCs w:val="21"/>
                    </w:rPr>
                    <w:t>5</w:t>
                  </w:r>
                </w:p>
              </w:tc>
              <w:tc>
                <w:tcPr>
                  <w:tcW w:w="618" w:type="pct"/>
                  <w:tcBorders>
                    <w:tl2br w:val="nil"/>
                    <w:tr2bl w:val="nil"/>
                  </w:tcBorders>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vAlign w:val="center"/>
                </w:tcPr>
                <w:p>
                  <w:pPr>
                    <w:jc w:val="center"/>
                    <w:rPr>
                      <w:szCs w:val="21"/>
                    </w:rPr>
                  </w:pPr>
                  <w:r>
                    <w:rPr>
                      <w:color w:val="000000"/>
                      <w:kern w:val="0"/>
                      <w:szCs w:val="21"/>
                    </w:rPr>
                    <w:t>异构醇聚氧乙烯醚1309</w:t>
                  </w:r>
                </w:p>
              </w:tc>
              <w:tc>
                <w:tcPr>
                  <w:tcW w:w="676" w:type="pct"/>
                  <w:tcBorders>
                    <w:tl2br w:val="nil"/>
                    <w:tr2bl w:val="nil"/>
                  </w:tcBorders>
                  <w:vAlign w:val="center"/>
                </w:tcPr>
                <w:p>
                  <w:pPr>
                    <w:jc w:val="center"/>
                    <w:rPr>
                      <w:color w:val="000000"/>
                      <w:szCs w:val="21"/>
                    </w:rPr>
                  </w:pPr>
                  <w:r>
                    <w:rPr>
                      <w:color w:val="000000"/>
                      <w:szCs w:val="21"/>
                    </w:rPr>
                    <w:t>120</w:t>
                  </w:r>
                </w:p>
              </w:tc>
              <w:tc>
                <w:tcPr>
                  <w:tcW w:w="519" w:type="pct"/>
                  <w:tcBorders>
                    <w:tl2br w:val="nil"/>
                    <w:tr2bl w:val="nil"/>
                  </w:tcBorders>
                  <w:vAlign w:val="center"/>
                </w:tcPr>
                <w:p>
                  <w:pPr>
                    <w:widowControl/>
                    <w:jc w:val="center"/>
                    <w:textAlignment w:val="center"/>
                    <w:rPr>
                      <w:szCs w:val="21"/>
                    </w:rPr>
                  </w:pPr>
                  <w:r>
                    <w:rPr>
                      <w:szCs w:val="21"/>
                    </w:rPr>
                    <w:t>液</w:t>
                  </w:r>
                </w:p>
              </w:tc>
              <w:tc>
                <w:tcPr>
                  <w:tcW w:w="397" w:type="pct"/>
                  <w:tcBorders>
                    <w:tl2br w:val="nil"/>
                    <w:tr2bl w:val="nil"/>
                  </w:tcBorders>
                  <w:vAlign w:val="center"/>
                </w:tcPr>
                <w:p>
                  <w:pPr>
                    <w:jc w:val="center"/>
                    <w:rPr>
                      <w:szCs w:val="21"/>
                    </w:rPr>
                  </w:pPr>
                  <w:r>
                    <w:rPr>
                      <w:szCs w:val="21"/>
                    </w:rPr>
                    <w:t>桶装</w:t>
                  </w:r>
                </w:p>
              </w:tc>
              <w:tc>
                <w:tcPr>
                  <w:tcW w:w="620" w:type="pct"/>
                  <w:tcBorders>
                    <w:tl2br w:val="nil"/>
                    <w:tr2bl w:val="nil"/>
                  </w:tcBorders>
                  <w:vAlign w:val="center"/>
                </w:tcPr>
                <w:p>
                  <w:pPr>
                    <w:jc w:val="center"/>
                    <w:rPr>
                      <w:color w:val="000000"/>
                      <w:szCs w:val="21"/>
                    </w:rPr>
                  </w:pPr>
                  <w:r>
                    <w:rPr>
                      <w:color w:val="000000"/>
                      <w:szCs w:val="21"/>
                    </w:rPr>
                    <w:t>10</w:t>
                  </w:r>
                </w:p>
              </w:tc>
              <w:tc>
                <w:tcPr>
                  <w:tcW w:w="620" w:type="pct"/>
                  <w:tcBorders>
                    <w:tl2br w:val="nil"/>
                    <w:tr2bl w:val="nil"/>
                  </w:tcBorders>
                  <w:vAlign w:val="center"/>
                </w:tcPr>
                <w:p>
                  <w:pPr>
                    <w:jc w:val="center"/>
                    <w:rPr>
                      <w:szCs w:val="21"/>
                    </w:rPr>
                  </w:pPr>
                  <w:r>
                    <w:rPr>
                      <w:szCs w:val="21"/>
                    </w:rPr>
                    <w:t>20</w:t>
                  </w:r>
                </w:p>
              </w:tc>
              <w:tc>
                <w:tcPr>
                  <w:tcW w:w="618" w:type="pct"/>
                  <w:tcBorders>
                    <w:tl2br w:val="nil"/>
                    <w:tr2bl w:val="nil"/>
                  </w:tcBorders>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vAlign w:val="center"/>
                </w:tcPr>
                <w:p>
                  <w:pPr>
                    <w:jc w:val="center"/>
                    <w:rPr>
                      <w:szCs w:val="21"/>
                    </w:rPr>
                  </w:pPr>
                  <w:r>
                    <w:rPr>
                      <w:color w:val="000000"/>
                      <w:kern w:val="0"/>
                      <w:szCs w:val="21"/>
                    </w:rPr>
                    <w:t>葡萄糖酸钠</w:t>
                  </w:r>
                </w:p>
              </w:tc>
              <w:tc>
                <w:tcPr>
                  <w:tcW w:w="676" w:type="pct"/>
                  <w:tcBorders>
                    <w:tl2br w:val="nil"/>
                    <w:tr2bl w:val="nil"/>
                  </w:tcBorders>
                  <w:vAlign w:val="center"/>
                </w:tcPr>
                <w:p>
                  <w:pPr>
                    <w:jc w:val="center"/>
                    <w:rPr>
                      <w:color w:val="000000"/>
                      <w:szCs w:val="21"/>
                    </w:rPr>
                  </w:pPr>
                  <w:r>
                    <w:rPr>
                      <w:color w:val="000000"/>
                      <w:szCs w:val="21"/>
                    </w:rPr>
                    <w:t>48</w:t>
                  </w:r>
                </w:p>
              </w:tc>
              <w:tc>
                <w:tcPr>
                  <w:tcW w:w="519" w:type="pct"/>
                  <w:tcBorders>
                    <w:tl2br w:val="nil"/>
                    <w:tr2bl w:val="nil"/>
                  </w:tcBorders>
                  <w:vAlign w:val="center"/>
                </w:tcPr>
                <w:p>
                  <w:pPr>
                    <w:widowControl/>
                    <w:jc w:val="center"/>
                    <w:textAlignment w:val="center"/>
                    <w:rPr>
                      <w:szCs w:val="21"/>
                    </w:rPr>
                  </w:pPr>
                  <w:r>
                    <w:rPr>
                      <w:szCs w:val="21"/>
                    </w:rPr>
                    <w:t>粉</w:t>
                  </w:r>
                </w:p>
              </w:tc>
              <w:tc>
                <w:tcPr>
                  <w:tcW w:w="397" w:type="pct"/>
                  <w:tcBorders>
                    <w:tl2br w:val="nil"/>
                    <w:tr2bl w:val="nil"/>
                  </w:tcBorders>
                  <w:vAlign w:val="center"/>
                </w:tcPr>
                <w:p>
                  <w:pPr>
                    <w:jc w:val="center"/>
                    <w:rPr>
                      <w:szCs w:val="21"/>
                    </w:rPr>
                  </w:pPr>
                  <w:r>
                    <w:rPr>
                      <w:szCs w:val="21"/>
                    </w:rPr>
                    <w:t>袋装</w:t>
                  </w:r>
                </w:p>
              </w:tc>
              <w:tc>
                <w:tcPr>
                  <w:tcW w:w="620" w:type="pct"/>
                  <w:tcBorders>
                    <w:tl2br w:val="nil"/>
                    <w:tr2bl w:val="nil"/>
                  </w:tcBorders>
                  <w:vAlign w:val="center"/>
                </w:tcPr>
                <w:p>
                  <w:pPr>
                    <w:jc w:val="center"/>
                    <w:rPr>
                      <w:color w:val="000000"/>
                      <w:szCs w:val="21"/>
                    </w:rPr>
                  </w:pPr>
                  <w:r>
                    <w:rPr>
                      <w:color w:val="000000"/>
                      <w:szCs w:val="21"/>
                    </w:rPr>
                    <w:t>4</w:t>
                  </w:r>
                </w:p>
              </w:tc>
              <w:tc>
                <w:tcPr>
                  <w:tcW w:w="620" w:type="pct"/>
                  <w:tcBorders>
                    <w:tl2br w:val="nil"/>
                    <w:tr2bl w:val="nil"/>
                  </w:tcBorders>
                  <w:vAlign w:val="center"/>
                </w:tcPr>
                <w:p>
                  <w:pPr>
                    <w:jc w:val="center"/>
                    <w:rPr>
                      <w:szCs w:val="21"/>
                    </w:rPr>
                  </w:pPr>
                  <w:r>
                    <w:rPr>
                      <w:szCs w:val="21"/>
                    </w:rPr>
                    <w:t>2</w:t>
                  </w:r>
                </w:p>
              </w:tc>
              <w:tc>
                <w:tcPr>
                  <w:tcW w:w="618" w:type="pct"/>
                  <w:tcBorders>
                    <w:tl2br w:val="nil"/>
                    <w:tr2bl w:val="nil"/>
                  </w:tcBorders>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tcBorders>
                    <w:tl2br w:val="nil"/>
                    <w:tr2bl w:val="nil"/>
                  </w:tcBorders>
                  <w:vAlign w:val="center"/>
                </w:tcPr>
                <w:p>
                  <w:pPr>
                    <w:widowControl/>
                    <w:jc w:val="center"/>
                    <w:textAlignment w:val="center"/>
                    <w:rPr>
                      <w:szCs w:val="21"/>
                    </w:rPr>
                  </w:pPr>
                  <w:r>
                    <w:rPr>
                      <w:rStyle w:val="112"/>
                      <w:rFonts w:hint="default" w:ascii="Times New Roman" w:cs="Times New Roman"/>
                      <w:b/>
                    </w:rPr>
                    <w:t>除蜡水120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vAlign w:val="center"/>
                </w:tcPr>
                <w:p>
                  <w:pPr>
                    <w:jc w:val="center"/>
                    <w:rPr>
                      <w:szCs w:val="21"/>
                    </w:rPr>
                  </w:pPr>
                  <w:r>
                    <w:rPr>
                      <w:szCs w:val="21"/>
                    </w:rPr>
                    <w:t>纯水</w:t>
                  </w:r>
                </w:p>
              </w:tc>
              <w:tc>
                <w:tcPr>
                  <w:tcW w:w="676" w:type="pct"/>
                  <w:tcBorders>
                    <w:tl2br w:val="nil"/>
                    <w:tr2bl w:val="nil"/>
                  </w:tcBorders>
                  <w:vAlign w:val="center"/>
                </w:tcPr>
                <w:p>
                  <w:pPr>
                    <w:jc w:val="center"/>
                    <w:rPr>
                      <w:color w:val="000000"/>
                      <w:szCs w:val="21"/>
                    </w:rPr>
                  </w:pPr>
                  <w:r>
                    <w:rPr>
                      <w:color w:val="000000"/>
                      <w:szCs w:val="21"/>
                    </w:rPr>
                    <w:t>85.2</w:t>
                  </w:r>
                </w:p>
              </w:tc>
              <w:tc>
                <w:tcPr>
                  <w:tcW w:w="519" w:type="pct"/>
                  <w:tcBorders>
                    <w:tl2br w:val="nil"/>
                    <w:tr2bl w:val="nil"/>
                  </w:tcBorders>
                  <w:vAlign w:val="center"/>
                </w:tcPr>
                <w:p>
                  <w:pPr>
                    <w:widowControl/>
                    <w:jc w:val="center"/>
                    <w:textAlignment w:val="center"/>
                    <w:rPr>
                      <w:szCs w:val="21"/>
                    </w:rPr>
                  </w:pPr>
                  <w:r>
                    <w:rPr>
                      <w:szCs w:val="21"/>
                    </w:rPr>
                    <w:t>液</w:t>
                  </w:r>
                </w:p>
              </w:tc>
              <w:tc>
                <w:tcPr>
                  <w:tcW w:w="397" w:type="pct"/>
                  <w:tcBorders>
                    <w:tl2br w:val="nil"/>
                    <w:tr2bl w:val="nil"/>
                  </w:tcBorders>
                  <w:vAlign w:val="center"/>
                </w:tcPr>
                <w:p>
                  <w:pPr>
                    <w:jc w:val="center"/>
                    <w:rPr>
                      <w:szCs w:val="21"/>
                    </w:rPr>
                  </w:pPr>
                  <w:r>
                    <w:rPr>
                      <w:szCs w:val="21"/>
                    </w:rPr>
                    <w:t>/</w:t>
                  </w:r>
                </w:p>
              </w:tc>
              <w:tc>
                <w:tcPr>
                  <w:tcW w:w="620" w:type="pct"/>
                  <w:tcBorders>
                    <w:tl2br w:val="nil"/>
                    <w:tr2bl w:val="nil"/>
                  </w:tcBorders>
                  <w:vAlign w:val="center"/>
                </w:tcPr>
                <w:p>
                  <w:pPr>
                    <w:jc w:val="center"/>
                    <w:rPr>
                      <w:color w:val="000000"/>
                      <w:szCs w:val="21"/>
                    </w:rPr>
                  </w:pPr>
                  <w:r>
                    <w:rPr>
                      <w:color w:val="000000"/>
                      <w:szCs w:val="21"/>
                    </w:rPr>
                    <w:t>/</w:t>
                  </w:r>
                </w:p>
              </w:tc>
              <w:tc>
                <w:tcPr>
                  <w:tcW w:w="620" w:type="pct"/>
                  <w:tcBorders>
                    <w:tl2br w:val="nil"/>
                    <w:tr2bl w:val="nil"/>
                  </w:tcBorders>
                  <w:vAlign w:val="center"/>
                </w:tcPr>
                <w:p>
                  <w:pPr>
                    <w:jc w:val="center"/>
                    <w:rPr>
                      <w:szCs w:val="21"/>
                    </w:rPr>
                  </w:pPr>
                  <w:r>
                    <w:rPr>
                      <w:szCs w:val="21"/>
                    </w:rPr>
                    <w:t>71</w:t>
                  </w:r>
                </w:p>
              </w:tc>
              <w:tc>
                <w:tcPr>
                  <w:tcW w:w="618" w:type="pct"/>
                  <w:tcBorders>
                    <w:tl2br w:val="nil"/>
                    <w:tr2bl w:val="nil"/>
                  </w:tcBorders>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szCs w:val="21"/>
                    </w:rPr>
                    <w:t>异构醇聚氧乙烯醚1309</w:t>
                  </w:r>
                </w:p>
              </w:tc>
              <w:tc>
                <w:tcPr>
                  <w:tcW w:w="676" w:type="pct"/>
                  <w:tcBorders>
                    <w:tl2br w:val="nil"/>
                    <w:tr2bl w:val="nil"/>
                  </w:tcBorders>
                  <w:vAlign w:val="center"/>
                </w:tcPr>
                <w:p>
                  <w:pPr>
                    <w:jc w:val="center"/>
                    <w:rPr>
                      <w:color w:val="000000"/>
                      <w:szCs w:val="21"/>
                    </w:rPr>
                  </w:pPr>
                  <w:r>
                    <w:rPr>
                      <w:color w:val="000000"/>
                      <w:szCs w:val="21"/>
                    </w:rPr>
                    <w:t>16.8</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Cs w:val="21"/>
                    </w:rPr>
                  </w:pPr>
                  <w:r>
                    <w:rPr>
                      <w:color w:val="000000"/>
                      <w:szCs w:val="21"/>
                    </w:rPr>
                    <w:t>1.4</w:t>
                  </w:r>
                </w:p>
              </w:tc>
              <w:tc>
                <w:tcPr>
                  <w:tcW w:w="620" w:type="pct"/>
                  <w:tcBorders>
                    <w:tl2br w:val="nil"/>
                    <w:tr2bl w:val="nil"/>
                  </w:tcBorders>
                  <w:noWrap/>
                  <w:vAlign w:val="center"/>
                </w:tcPr>
                <w:p>
                  <w:pPr>
                    <w:jc w:val="center"/>
                    <w:rPr>
                      <w:szCs w:val="21"/>
                    </w:rPr>
                  </w:pPr>
                  <w:r>
                    <w:rPr>
                      <w:szCs w:val="21"/>
                    </w:rPr>
                    <w:t>14</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szCs w:val="21"/>
                    </w:rPr>
                    <w:t>乙二胺四乙酸二钠（EDTA）</w:t>
                  </w:r>
                </w:p>
              </w:tc>
              <w:tc>
                <w:tcPr>
                  <w:tcW w:w="676" w:type="pct"/>
                  <w:tcBorders>
                    <w:tl2br w:val="nil"/>
                    <w:tr2bl w:val="nil"/>
                  </w:tcBorders>
                  <w:vAlign w:val="center"/>
                </w:tcPr>
                <w:p>
                  <w:pPr>
                    <w:jc w:val="center"/>
                    <w:rPr>
                      <w:color w:val="000000"/>
                      <w:szCs w:val="21"/>
                    </w:rPr>
                  </w:pPr>
                  <w:r>
                    <w:rPr>
                      <w:color w:val="000000"/>
                      <w:szCs w:val="21"/>
                    </w:rPr>
                    <w:t>6</w:t>
                  </w:r>
                </w:p>
              </w:tc>
              <w:tc>
                <w:tcPr>
                  <w:tcW w:w="519" w:type="pct"/>
                  <w:tcBorders>
                    <w:tl2br w:val="nil"/>
                    <w:tr2bl w:val="nil"/>
                  </w:tcBorders>
                  <w:noWrap/>
                  <w:vAlign w:val="center"/>
                </w:tcPr>
                <w:p>
                  <w:pPr>
                    <w:widowControl/>
                    <w:jc w:val="center"/>
                    <w:textAlignment w:val="center"/>
                    <w:rPr>
                      <w:szCs w:val="21"/>
                    </w:rPr>
                  </w:pPr>
                  <w:r>
                    <w:rPr>
                      <w:szCs w:val="21"/>
                    </w:rPr>
                    <w:t>粉</w:t>
                  </w:r>
                </w:p>
              </w:tc>
              <w:tc>
                <w:tcPr>
                  <w:tcW w:w="397" w:type="pct"/>
                  <w:tcBorders>
                    <w:tl2br w:val="nil"/>
                    <w:tr2bl w:val="nil"/>
                  </w:tcBorders>
                  <w:noWrap/>
                  <w:vAlign w:val="center"/>
                </w:tcPr>
                <w:p>
                  <w:pPr>
                    <w:jc w:val="center"/>
                    <w:rPr>
                      <w:szCs w:val="21"/>
                    </w:rPr>
                  </w:pPr>
                  <w:r>
                    <w:rPr>
                      <w:szCs w:val="21"/>
                    </w:rPr>
                    <w:t>袋装</w:t>
                  </w:r>
                </w:p>
              </w:tc>
              <w:tc>
                <w:tcPr>
                  <w:tcW w:w="620" w:type="pct"/>
                  <w:tcBorders>
                    <w:tl2br w:val="nil"/>
                    <w:tr2bl w:val="nil"/>
                  </w:tcBorders>
                  <w:noWrap/>
                  <w:vAlign w:val="center"/>
                </w:tcPr>
                <w:p>
                  <w:pPr>
                    <w:jc w:val="center"/>
                    <w:rPr>
                      <w:color w:val="000000"/>
                      <w:szCs w:val="21"/>
                    </w:rPr>
                  </w:pPr>
                  <w:r>
                    <w:rPr>
                      <w:color w:val="000000"/>
                      <w:szCs w:val="21"/>
                    </w:rPr>
                    <w:t>0.5</w:t>
                  </w:r>
                </w:p>
              </w:tc>
              <w:tc>
                <w:tcPr>
                  <w:tcW w:w="620" w:type="pct"/>
                  <w:tcBorders>
                    <w:tl2br w:val="nil"/>
                    <w:tr2bl w:val="nil"/>
                  </w:tcBorders>
                  <w:noWrap/>
                  <w:vAlign w:val="center"/>
                </w:tcPr>
                <w:p>
                  <w:pPr>
                    <w:jc w:val="center"/>
                    <w:rPr>
                      <w:szCs w:val="21"/>
                    </w:rPr>
                  </w:pPr>
                  <w:r>
                    <w:rPr>
                      <w:szCs w:val="21"/>
                    </w:rPr>
                    <w:t>2</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烷基糖苷APG</w:t>
                  </w:r>
                </w:p>
              </w:tc>
              <w:tc>
                <w:tcPr>
                  <w:tcW w:w="676" w:type="pct"/>
                  <w:tcBorders>
                    <w:tl2br w:val="nil"/>
                    <w:tr2bl w:val="nil"/>
                  </w:tcBorders>
                  <w:vAlign w:val="center"/>
                </w:tcPr>
                <w:p>
                  <w:pPr>
                    <w:jc w:val="center"/>
                    <w:rPr>
                      <w:color w:val="000000"/>
                      <w:szCs w:val="21"/>
                    </w:rPr>
                  </w:pPr>
                  <w:r>
                    <w:rPr>
                      <w:color w:val="000000"/>
                      <w:szCs w:val="21"/>
                    </w:rPr>
                    <w:t>7.2</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Cs w:val="21"/>
                    </w:rPr>
                  </w:pPr>
                  <w:r>
                    <w:rPr>
                      <w:color w:val="000000"/>
                      <w:szCs w:val="21"/>
                    </w:rPr>
                    <w:t>0.6</w:t>
                  </w:r>
                </w:p>
              </w:tc>
              <w:tc>
                <w:tcPr>
                  <w:tcW w:w="620" w:type="pct"/>
                  <w:tcBorders>
                    <w:tl2br w:val="nil"/>
                    <w:tr2bl w:val="nil"/>
                  </w:tcBorders>
                  <w:noWrap/>
                  <w:vAlign w:val="center"/>
                </w:tcPr>
                <w:p>
                  <w:pPr>
                    <w:jc w:val="center"/>
                    <w:rPr>
                      <w:szCs w:val="21"/>
                    </w:rPr>
                  </w:pPr>
                  <w:r>
                    <w:rPr>
                      <w:szCs w:val="21"/>
                    </w:rPr>
                    <w:t>6</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柠檬酸</w:t>
                  </w:r>
                </w:p>
              </w:tc>
              <w:tc>
                <w:tcPr>
                  <w:tcW w:w="676" w:type="pct"/>
                  <w:tcBorders>
                    <w:tl2br w:val="nil"/>
                    <w:tr2bl w:val="nil"/>
                  </w:tcBorders>
                  <w:vAlign w:val="center"/>
                </w:tcPr>
                <w:p>
                  <w:pPr>
                    <w:jc w:val="center"/>
                    <w:rPr>
                      <w:color w:val="000000"/>
                      <w:szCs w:val="21"/>
                    </w:rPr>
                  </w:pPr>
                  <w:r>
                    <w:rPr>
                      <w:color w:val="000000"/>
                      <w:szCs w:val="21"/>
                    </w:rPr>
                    <w:t>2.4</w:t>
                  </w:r>
                </w:p>
              </w:tc>
              <w:tc>
                <w:tcPr>
                  <w:tcW w:w="519" w:type="pct"/>
                  <w:tcBorders>
                    <w:tl2br w:val="nil"/>
                    <w:tr2bl w:val="nil"/>
                  </w:tcBorders>
                  <w:noWrap/>
                  <w:vAlign w:val="center"/>
                </w:tcPr>
                <w:p>
                  <w:pPr>
                    <w:widowControl/>
                    <w:jc w:val="center"/>
                    <w:textAlignment w:val="center"/>
                    <w:rPr>
                      <w:szCs w:val="21"/>
                    </w:rPr>
                  </w:pPr>
                  <w:r>
                    <w:rPr>
                      <w:szCs w:val="21"/>
                    </w:rPr>
                    <w:t>粉</w:t>
                  </w:r>
                </w:p>
              </w:tc>
              <w:tc>
                <w:tcPr>
                  <w:tcW w:w="397" w:type="pct"/>
                  <w:tcBorders>
                    <w:tl2br w:val="nil"/>
                    <w:tr2bl w:val="nil"/>
                  </w:tcBorders>
                  <w:noWrap/>
                  <w:vAlign w:val="center"/>
                </w:tcPr>
                <w:p>
                  <w:pPr>
                    <w:jc w:val="center"/>
                    <w:rPr>
                      <w:szCs w:val="21"/>
                    </w:rPr>
                  </w:pPr>
                  <w:r>
                    <w:rPr>
                      <w:szCs w:val="21"/>
                    </w:rPr>
                    <w:t>袋装</w:t>
                  </w:r>
                </w:p>
              </w:tc>
              <w:tc>
                <w:tcPr>
                  <w:tcW w:w="620" w:type="pct"/>
                  <w:tcBorders>
                    <w:tl2br w:val="nil"/>
                    <w:tr2bl w:val="nil"/>
                  </w:tcBorders>
                  <w:noWrap/>
                  <w:vAlign w:val="center"/>
                </w:tcPr>
                <w:p>
                  <w:pPr>
                    <w:jc w:val="center"/>
                    <w:rPr>
                      <w:color w:val="000000"/>
                      <w:szCs w:val="21"/>
                    </w:rPr>
                  </w:pPr>
                  <w:r>
                    <w:rPr>
                      <w:color w:val="000000"/>
                      <w:szCs w:val="21"/>
                    </w:rPr>
                    <w:t>0.2</w:t>
                  </w:r>
                </w:p>
              </w:tc>
              <w:tc>
                <w:tcPr>
                  <w:tcW w:w="620" w:type="pct"/>
                  <w:tcBorders>
                    <w:tl2br w:val="nil"/>
                    <w:tr2bl w:val="nil"/>
                  </w:tcBorders>
                  <w:noWrap/>
                  <w:vAlign w:val="center"/>
                </w:tcPr>
                <w:p>
                  <w:pPr>
                    <w:jc w:val="center"/>
                    <w:rPr>
                      <w:szCs w:val="21"/>
                    </w:rPr>
                  </w:pPr>
                  <w:r>
                    <w:rPr>
                      <w:szCs w:val="21"/>
                    </w:rPr>
                    <w:t>2</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椰子油酸二乙醇酰胺</w:t>
                  </w:r>
                </w:p>
              </w:tc>
              <w:tc>
                <w:tcPr>
                  <w:tcW w:w="676" w:type="pct"/>
                  <w:tcBorders>
                    <w:tl2br w:val="nil"/>
                    <w:tr2bl w:val="nil"/>
                  </w:tcBorders>
                  <w:vAlign w:val="center"/>
                </w:tcPr>
                <w:p>
                  <w:pPr>
                    <w:jc w:val="center"/>
                    <w:rPr>
                      <w:color w:val="000000"/>
                      <w:szCs w:val="21"/>
                    </w:rPr>
                  </w:pPr>
                  <w:r>
                    <w:rPr>
                      <w:color w:val="000000"/>
                      <w:szCs w:val="21"/>
                    </w:rPr>
                    <w:t>2.4</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Cs w:val="21"/>
                    </w:rPr>
                  </w:pPr>
                  <w:r>
                    <w:rPr>
                      <w:color w:val="000000"/>
                      <w:szCs w:val="21"/>
                    </w:rPr>
                    <w:t>0.2</w:t>
                  </w:r>
                </w:p>
              </w:tc>
              <w:tc>
                <w:tcPr>
                  <w:tcW w:w="620" w:type="pct"/>
                  <w:tcBorders>
                    <w:tl2br w:val="nil"/>
                    <w:tr2bl w:val="nil"/>
                  </w:tcBorders>
                  <w:noWrap/>
                  <w:vAlign w:val="center"/>
                </w:tcPr>
                <w:p>
                  <w:pPr>
                    <w:jc w:val="center"/>
                    <w:rPr>
                      <w:szCs w:val="21"/>
                    </w:rPr>
                  </w:pPr>
                  <w:r>
                    <w:rPr>
                      <w:szCs w:val="21"/>
                    </w:rPr>
                    <w:t>5</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tcBorders>
                    <w:tl2br w:val="nil"/>
                    <w:tr2bl w:val="nil"/>
                  </w:tcBorders>
                  <w:noWrap/>
                  <w:vAlign w:val="center"/>
                </w:tcPr>
                <w:p>
                  <w:pPr>
                    <w:jc w:val="center"/>
                    <w:rPr>
                      <w:b/>
                      <w:szCs w:val="21"/>
                    </w:rPr>
                  </w:pPr>
                  <w:r>
                    <w:rPr>
                      <w:b/>
                      <w:szCs w:val="21"/>
                    </w:rPr>
                    <w:t>工业清洗剂</w:t>
                  </w:r>
                  <w:r>
                    <w:rPr>
                      <w:rFonts w:hint="eastAsia"/>
                      <w:b/>
                      <w:szCs w:val="21"/>
                    </w:rPr>
                    <w:t>11700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szCs w:val="21"/>
                    </w:rPr>
                    <w:t>纯水</w:t>
                  </w:r>
                </w:p>
              </w:tc>
              <w:tc>
                <w:tcPr>
                  <w:tcW w:w="676" w:type="pct"/>
                  <w:tcBorders>
                    <w:tl2br w:val="nil"/>
                    <w:tr2bl w:val="nil"/>
                  </w:tcBorders>
                  <w:vAlign w:val="center"/>
                </w:tcPr>
                <w:p>
                  <w:pPr>
                    <w:jc w:val="center"/>
                    <w:rPr>
                      <w:color w:val="000000"/>
                      <w:sz w:val="24"/>
                    </w:rPr>
                  </w:pPr>
                  <w:r>
                    <w:rPr>
                      <w:color w:val="000000"/>
                    </w:rPr>
                    <w:t>9009</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w:t>
                  </w:r>
                </w:p>
              </w:tc>
              <w:tc>
                <w:tcPr>
                  <w:tcW w:w="620" w:type="pct"/>
                  <w:tcBorders>
                    <w:tl2br w:val="nil"/>
                    <w:tr2bl w:val="nil"/>
                  </w:tcBorders>
                  <w:noWrap/>
                  <w:vAlign w:val="center"/>
                </w:tcPr>
                <w:p>
                  <w:pPr>
                    <w:jc w:val="center"/>
                    <w:rPr>
                      <w:color w:val="000000"/>
                      <w:szCs w:val="21"/>
                    </w:rPr>
                  </w:pPr>
                  <w:r>
                    <w:rPr>
                      <w:color w:val="000000"/>
                      <w:szCs w:val="21"/>
                    </w:rPr>
                    <w:t>/</w:t>
                  </w:r>
                </w:p>
              </w:tc>
              <w:tc>
                <w:tcPr>
                  <w:tcW w:w="620" w:type="pct"/>
                  <w:tcBorders>
                    <w:tl2br w:val="nil"/>
                    <w:tr2bl w:val="nil"/>
                  </w:tcBorders>
                  <w:noWrap/>
                  <w:vAlign w:val="center"/>
                </w:tcPr>
                <w:p>
                  <w:pPr>
                    <w:jc w:val="center"/>
                    <w:rPr>
                      <w:szCs w:val="21"/>
                    </w:rPr>
                  </w:pPr>
                  <w:r>
                    <w:rPr>
                      <w:szCs w:val="21"/>
                    </w:rPr>
                    <w:t>77</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五水偏硅酸钠</w:t>
                  </w:r>
                </w:p>
              </w:tc>
              <w:tc>
                <w:tcPr>
                  <w:tcW w:w="676" w:type="pct"/>
                  <w:tcBorders>
                    <w:tl2br w:val="nil"/>
                    <w:tr2bl w:val="nil"/>
                  </w:tcBorders>
                  <w:vAlign w:val="center"/>
                </w:tcPr>
                <w:p>
                  <w:pPr>
                    <w:jc w:val="center"/>
                    <w:rPr>
                      <w:color w:val="000000"/>
                      <w:sz w:val="24"/>
                    </w:rPr>
                  </w:pPr>
                  <w:r>
                    <w:rPr>
                      <w:color w:val="000000"/>
                    </w:rPr>
                    <w:t>585</w:t>
                  </w:r>
                </w:p>
              </w:tc>
              <w:tc>
                <w:tcPr>
                  <w:tcW w:w="519" w:type="pct"/>
                  <w:tcBorders>
                    <w:tl2br w:val="nil"/>
                    <w:tr2bl w:val="nil"/>
                  </w:tcBorders>
                  <w:noWrap/>
                  <w:vAlign w:val="center"/>
                </w:tcPr>
                <w:p>
                  <w:pPr>
                    <w:widowControl/>
                    <w:jc w:val="center"/>
                    <w:textAlignment w:val="center"/>
                    <w:rPr>
                      <w:szCs w:val="21"/>
                    </w:rPr>
                  </w:pPr>
                  <w:r>
                    <w:rPr>
                      <w:szCs w:val="21"/>
                    </w:rPr>
                    <w:t>粉</w:t>
                  </w:r>
                </w:p>
              </w:tc>
              <w:tc>
                <w:tcPr>
                  <w:tcW w:w="397" w:type="pct"/>
                  <w:tcBorders>
                    <w:tl2br w:val="nil"/>
                    <w:tr2bl w:val="nil"/>
                  </w:tcBorders>
                  <w:noWrap/>
                  <w:vAlign w:val="center"/>
                </w:tcPr>
                <w:p>
                  <w:pPr>
                    <w:jc w:val="center"/>
                    <w:rPr>
                      <w:szCs w:val="21"/>
                    </w:rPr>
                  </w:pPr>
                  <w:r>
                    <w:rPr>
                      <w:szCs w:val="21"/>
                    </w:rPr>
                    <w:t>袋装</w:t>
                  </w:r>
                </w:p>
              </w:tc>
              <w:tc>
                <w:tcPr>
                  <w:tcW w:w="620" w:type="pct"/>
                  <w:tcBorders>
                    <w:tl2br w:val="nil"/>
                    <w:tr2bl w:val="nil"/>
                  </w:tcBorders>
                  <w:noWrap/>
                  <w:vAlign w:val="center"/>
                </w:tcPr>
                <w:p>
                  <w:pPr>
                    <w:jc w:val="center"/>
                    <w:rPr>
                      <w:color w:val="000000"/>
                      <w:sz w:val="24"/>
                    </w:rPr>
                  </w:pPr>
                  <w:r>
                    <w:rPr>
                      <w:color w:val="000000"/>
                    </w:rPr>
                    <w:t>48.75</w:t>
                  </w:r>
                </w:p>
              </w:tc>
              <w:tc>
                <w:tcPr>
                  <w:tcW w:w="620" w:type="pct"/>
                  <w:tcBorders>
                    <w:tl2br w:val="nil"/>
                    <w:tr2bl w:val="nil"/>
                  </w:tcBorders>
                  <w:noWrap/>
                  <w:vAlign w:val="center"/>
                </w:tcPr>
                <w:p>
                  <w:pPr>
                    <w:jc w:val="center"/>
                    <w:rPr>
                      <w:szCs w:val="21"/>
                    </w:rPr>
                  </w:pPr>
                  <w:r>
                    <w:rPr>
                      <w:szCs w:val="21"/>
                    </w:rPr>
                    <w:t>5</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三乙醇胺</w:t>
                  </w:r>
                </w:p>
              </w:tc>
              <w:tc>
                <w:tcPr>
                  <w:tcW w:w="676" w:type="pct"/>
                  <w:tcBorders>
                    <w:tl2br w:val="nil"/>
                    <w:tr2bl w:val="nil"/>
                  </w:tcBorders>
                  <w:vAlign w:val="center"/>
                </w:tcPr>
                <w:p>
                  <w:pPr>
                    <w:jc w:val="center"/>
                    <w:rPr>
                      <w:color w:val="000000"/>
                      <w:sz w:val="24"/>
                    </w:rPr>
                  </w:pPr>
                  <w:r>
                    <w:rPr>
                      <w:color w:val="000000"/>
                    </w:rPr>
                    <w:t>936</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 w:val="24"/>
                    </w:rPr>
                  </w:pPr>
                  <w:r>
                    <w:rPr>
                      <w:color w:val="000000"/>
                    </w:rPr>
                    <w:t>78</w:t>
                  </w:r>
                </w:p>
              </w:tc>
              <w:tc>
                <w:tcPr>
                  <w:tcW w:w="620" w:type="pct"/>
                  <w:tcBorders>
                    <w:tl2br w:val="nil"/>
                    <w:tr2bl w:val="nil"/>
                  </w:tcBorders>
                  <w:noWrap/>
                  <w:vAlign w:val="center"/>
                </w:tcPr>
                <w:p>
                  <w:pPr>
                    <w:jc w:val="center"/>
                    <w:rPr>
                      <w:szCs w:val="21"/>
                    </w:rPr>
                  </w:pPr>
                  <w:r>
                    <w:rPr>
                      <w:szCs w:val="21"/>
                    </w:rPr>
                    <w:t>8</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乙二胺四乙酸二钠（EDTA）</w:t>
                  </w:r>
                </w:p>
              </w:tc>
              <w:tc>
                <w:tcPr>
                  <w:tcW w:w="676" w:type="pct"/>
                  <w:tcBorders>
                    <w:tl2br w:val="nil"/>
                    <w:tr2bl w:val="nil"/>
                  </w:tcBorders>
                  <w:vAlign w:val="center"/>
                </w:tcPr>
                <w:p>
                  <w:pPr>
                    <w:jc w:val="center"/>
                    <w:rPr>
                      <w:color w:val="000000"/>
                      <w:sz w:val="24"/>
                    </w:rPr>
                  </w:pPr>
                  <w:r>
                    <w:rPr>
                      <w:color w:val="000000"/>
                    </w:rPr>
                    <w:t>234</w:t>
                  </w:r>
                </w:p>
              </w:tc>
              <w:tc>
                <w:tcPr>
                  <w:tcW w:w="519" w:type="pct"/>
                  <w:tcBorders>
                    <w:tl2br w:val="nil"/>
                    <w:tr2bl w:val="nil"/>
                  </w:tcBorders>
                  <w:noWrap/>
                  <w:vAlign w:val="center"/>
                </w:tcPr>
                <w:p>
                  <w:pPr>
                    <w:widowControl/>
                    <w:jc w:val="center"/>
                    <w:textAlignment w:val="center"/>
                    <w:rPr>
                      <w:szCs w:val="21"/>
                    </w:rPr>
                  </w:pPr>
                  <w:r>
                    <w:rPr>
                      <w:szCs w:val="21"/>
                    </w:rPr>
                    <w:t>粉</w:t>
                  </w:r>
                </w:p>
              </w:tc>
              <w:tc>
                <w:tcPr>
                  <w:tcW w:w="397" w:type="pct"/>
                  <w:tcBorders>
                    <w:tl2br w:val="nil"/>
                    <w:tr2bl w:val="nil"/>
                  </w:tcBorders>
                  <w:noWrap/>
                  <w:vAlign w:val="center"/>
                </w:tcPr>
                <w:p>
                  <w:pPr>
                    <w:jc w:val="center"/>
                    <w:rPr>
                      <w:szCs w:val="21"/>
                    </w:rPr>
                  </w:pPr>
                  <w:r>
                    <w:rPr>
                      <w:szCs w:val="21"/>
                    </w:rPr>
                    <w:t>袋装</w:t>
                  </w:r>
                </w:p>
              </w:tc>
              <w:tc>
                <w:tcPr>
                  <w:tcW w:w="620" w:type="pct"/>
                  <w:tcBorders>
                    <w:tl2br w:val="nil"/>
                    <w:tr2bl w:val="nil"/>
                  </w:tcBorders>
                  <w:noWrap/>
                  <w:vAlign w:val="center"/>
                </w:tcPr>
                <w:p>
                  <w:pPr>
                    <w:jc w:val="center"/>
                    <w:rPr>
                      <w:color w:val="000000"/>
                      <w:sz w:val="24"/>
                    </w:rPr>
                  </w:pPr>
                  <w:r>
                    <w:rPr>
                      <w:color w:val="000000"/>
                    </w:rPr>
                    <w:t>19.5</w:t>
                  </w:r>
                </w:p>
              </w:tc>
              <w:tc>
                <w:tcPr>
                  <w:tcW w:w="620" w:type="pct"/>
                  <w:tcBorders>
                    <w:tl2br w:val="nil"/>
                    <w:tr2bl w:val="nil"/>
                  </w:tcBorders>
                  <w:noWrap/>
                  <w:vAlign w:val="center"/>
                </w:tcPr>
                <w:p>
                  <w:pPr>
                    <w:jc w:val="center"/>
                    <w:rPr>
                      <w:szCs w:val="21"/>
                    </w:rPr>
                  </w:pPr>
                  <w:r>
                    <w:rPr>
                      <w:szCs w:val="21"/>
                    </w:rPr>
                    <w:t>2</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异构醇聚氧乙烯醚1309</w:t>
                  </w:r>
                </w:p>
              </w:tc>
              <w:tc>
                <w:tcPr>
                  <w:tcW w:w="676" w:type="pct"/>
                  <w:tcBorders>
                    <w:tl2br w:val="nil"/>
                    <w:tr2bl w:val="nil"/>
                  </w:tcBorders>
                  <w:vAlign w:val="center"/>
                </w:tcPr>
                <w:p>
                  <w:pPr>
                    <w:jc w:val="center"/>
                    <w:rPr>
                      <w:color w:val="000000"/>
                      <w:sz w:val="24"/>
                    </w:rPr>
                  </w:pPr>
                  <w:r>
                    <w:rPr>
                      <w:color w:val="000000"/>
                    </w:rPr>
                    <w:t>351</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 w:val="24"/>
                    </w:rPr>
                  </w:pPr>
                  <w:r>
                    <w:rPr>
                      <w:color w:val="000000"/>
                    </w:rPr>
                    <w:t>29.25</w:t>
                  </w:r>
                </w:p>
              </w:tc>
              <w:tc>
                <w:tcPr>
                  <w:tcW w:w="620" w:type="pct"/>
                  <w:tcBorders>
                    <w:tl2br w:val="nil"/>
                    <w:tr2bl w:val="nil"/>
                  </w:tcBorders>
                  <w:noWrap/>
                  <w:vAlign w:val="center"/>
                </w:tcPr>
                <w:p>
                  <w:pPr>
                    <w:jc w:val="center"/>
                    <w:rPr>
                      <w:szCs w:val="21"/>
                    </w:rPr>
                  </w:pPr>
                  <w:r>
                    <w:rPr>
                      <w:szCs w:val="21"/>
                    </w:rPr>
                    <w:t>3</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柠檬酸钠</w:t>
                  </w:r>
                </w:p>
              </w:tc>
              <w:tc>
                <w:tcPr>
                  <w:tcW w:w="676" w:type="pct"/>
                  <w:tcBorders>
                    <w:tl2br w:val="nil"/>
                    <w:tr2bl w:val="nil"/>
                  </w:tcBorders>
                  <w:vAlign w:val="center"/>
                </w:tcPr>
                <w:p>
                  <w:pPr>
                    <w:jc w:val="center"/>
                    <w:rPr>
                      <w:color w:val="000000"/>
                      <w:sz w:val="24"/>
                    </w:rPr>
                  </w:pPr>
                  <w:r>
                    <w:rPr>
                      <w:color w:val="000000"/>
                    </w:rPr>
                    <w:t>585</w:t>
                  </w:r>
                </w:p>
              </w:tc>
              <w:tc>
                <w:tcPr>
                  <w:tcW w:w="519" w:type="pct"/>
                  <w:tcBorders>
                    <w:tl2br w:val="nil"/>
                    <w:tr2bl w:val="nil"/>
                  </w:tcBorders>
                  <w:noWrap/>
                  <w:vAlign w:val="center"/>
                </w:tcPr>
                <w:p>
                  <w:pPr>
                    <w:widowControl/>
                    <w:jc w:val="center"/>
                    <w:textAlignment w:val="center"/>
                    <w:rPr>
                      <w:szCs w:val="21"/>
                    </w:rPr>
                  </w:pPr>
                  <w:r>
                    <w:rPr>
                      <w:szCs w:val="21"/>
                    </w:rPr>
                    <w:t>粉</w:t>
                  </w:r>
                </w:p>
              </w:tc>
              <w:tc>
                <w:tcPr>
                  <w:tcW w:w="397" w:type="pct"/>
                  <w:tcBorders>
                    <w:tl2br w:val="nil"/>
                    <w:tr2bl w:val="nil"/>
                  </w:tcBorders>
                  <w:noWrap/>
                  <w:vAlign w:val="center"/>
                </w:tcPr>
                <w:p>
                  <w:pPr>
                    <w:jc w:val="center"/>
                    <w:rPr>
                      <w:szCs w:val="21"/>
                    </w:rPr>
                  </w:pPr>
                  <w:r>
                    <w:rPr>
                      <w:szCs w:val="21"/>
                    </w:rPr>
                    <w:t>袋装</w:t>
                  </w:r>
                </w:p>
              </w:tc>
              <w:tc>
                <w:tcPr>
                  <w:tcW w:w="620" w:type="pct"/>
                  <w:tcBorders>
                    <w:tl2br w:val="nil"/>
                    <w:tr2bl w:val="nil"/>
                  </w:tcBorders>
                  <w:noWrap/>
                  <w:vAlign w:val="center"/>
                </w:tcPr>
                <w:p>
                  <w:pPr>
                    <w:jc w:val="center"/>
                    <w:rPr>
                      <w:color w:val="000000"/>
                      <w:sz w:val="24"/>
                    </w:rPr>
                  </w:pPr>
                  <w:r>
                    <w:rPr>
                      <w:color w:val="000000"/>
                    </w:rPr>
                    <w:t>48.75</w:t>
                  </w:r>
                </w:p>
              </w:tc>
              <w:tc>
                <w:tcPr>
                  <w:tcW w:w="620" w:type="pct"/>
                  <w:tcBorders>
                    <w:tl2br w:val="nil"/>
                    <w:tr2bl w:val="nil"/>
                  </w:tcBorders>
                  <w:noWrap/>
                  <w:vAlign w:val="center"/>
                </w:tcPr>
                <w:p>
                  <w:pPr>
                    <w:jc w:val="center"/>
                    <w:rPr>
                      <w:szCs w:val="21"/>
                    </w:rPr>
                  </w:pPr>
                  <w:r>
                    <w:rPr>
                      <w:szCs w:val="21"/>
                    </w:rPr>
                    <w:t>5</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tcBorders>
                    <w:tl2br w:val="nil"/>
                    <w:tr2bl w:val="nil"/>
                  </w:tcBorders>
                  <w:noWrap/>
                  <w:vAlign w:val="center"/>
                </w:tcPr>
                <w:p>
                  <w:pPr>
                    <w:jc w:val="center"/>
                    <w:rPr>
                      <w:b/>
                      <w:szCs w:val="21"/>
                    </w:rPr>
                  </w:pPr>
                  <w:r>
                    <w:rPr>
                      <w:b/>
                      <w:szCs w:val="21"/>
                    </w:rPr>
                    <w:t>半合成切削液</w:t>
                  </w:r>
                  <w:r>
                    <w:rPr>
                      <w:rFonts w:hint="eastAsia"/>
                      <w:b/>
                      <w:szCs w:val="21"/>
                    </w:rPr>
                    <w:t>720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szCs w:val="21"/>
                    </w:rPr>
                    <w:t>纯水</w:t>
                  </w:r>
                </w:p>
              </w:tc>
              <w:tc>
                <w:tcPr>
                  <w:tcW w:w="676" w:type="pct"/>
                  <w:tcBorders>
                    <w:tl2br w:val="nil"/>
                    <w:tr2bl w:val="nil"/>
                  </w:tcBorders>
                  <w:vAlign w:val="center"/>
                </w:tcPr>
                <w:p>
                  <w:pPr>
                    <w:jc w:val="center"/>
                    <w:rPr>
                      <w:color w:val="000000"/>
                      <w:sz w:val="24"/>
                    </w:rPr>
                  </w:pPr>
                  <w:r>
                    <w:rPr>
                      <w:color w:val="000000"/>
                    </w:rPr>
                    <w:t>306</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w:t>
                  </w:r>
                </w:p>
              </w:tc>
              <w:tc>
                <w:tcPr>
                  <w:tcW w:w="620" w:type="pct"/>
                  <w:tcBorders>
                    <w:tl2br w:val="nil"/>
                    <w:tr2bl w:val="nil"/>
                  </w:tcBorders>
                  <w:noWrap/>
                  <w:vAlign w:val="center"/>
                </w:tcPr>
                <w:p>
                  <w:pPr>
                    <w:jc w:val="center"/>
                    <w:rPr>
                      <w:color w:val="000000"/>
                      <w:szCs w:val="21"/>
                    </w:rPr>
                  </w:pPr>
                  <w:r>
                    <w:rPr>
                      <w:color w:val="000000"/>
                      <w:szCs w:val="21"/>
                    </w:rPr>
                    <w:t>/</w:t>
                  </w:r>
                </w:p>
              </w:tc>
              <w:tc>
                <w:tcPr>
                  <w:tcW w:w="620" w:type="pct"/>
                  <w:tcBorders>
                    <w:tl2br w:val="nil"/>
                    <w:tr2bl w:val="nil"/>
                  </w:tcBorders>
                  <w:noWrap/>
                  <w:vAlign w:val="center"/>
                </w:tcPr>
                <w:p>
                  <w:pPr>
                    <w:jc w:val="center"/>
                    <w:rPr>
                      <w:szCs w:val="21"/>
                    </w:rPr>
                  </w:pPr>
                  <w:r>
                    <w:rPr>
                      <w:szCs w:val="21"/>
                    </w:rPr>
                    <w:t>42.5</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color w:val="000000"/>
                      <w:kern w:val="0"/>
                      <w:szCs w:val="21"/>
                    </w:rPr>
                  </w:pPr>
                  <w:r>
                    <w:rPr>
                      <w:color w:val="000000"/>
                      <w:kern w:val="0"/>
                      <w:szCs w:val="21"/>
                    </w:rPr>
                    <w:t>三乙醇胺</w:t>
                  </w:r>
                </w:p>
              </w:tc>
              <w:tc>
                <w:tcPr>
                  <w:tcW w:w="676" w:type="pct"/>
                  <w:tcBorders>
                    <w:tl2br w:val="nil"/>
                    <w:tr2bl w:val="nil"/>
                  </w:tcBorders>
                  <w:vAlign w:val="center"/>
                </w:tcPr>
                <w:p>
                  <w:pPr>
                    <w:jc w:val="center"/>
                    <w:rPr>
                      <w:color w:val="000000"/>
                      <w:sz w:val="24"/>
                    </w:rPr>
                  </w:pPr>
                  <w:r>
                    <w:rPr>
                      <w:color w:val="000000"/>
                    </w:rPr>
                    <w:t>72</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 w:val="24"/>
                    </w:rPr>
                  </w:pPr>
                  <w:r>
                    <w:rPr>
                      <w:color w:val="000000"/>
                    </w:rPr>
                    <w:t>6</w:t>
                  </w:r>
                </w:p>
              </w:tc>
              <w:tc>
                <w:tcPr>
                  <w:tcW w:w="620" w:type="pct"/>
                  <w:tcBorders>
                    <w:tl2br w:val="nil"/>
                    <w:tr2bl w:val="nil"/>
                  </w:tcBorders>
                  <w:noWrap/>
                  <w:vAlign w:val="center"/>
                </w:tcPr>
                <w:p>
                  <w:pPr>
                    <w:jc w:val="center"/>
                    <w:rPr>
                      <w:szCs w:val="21"/>
                    </w:rPr>
                  </w:pPr>
                  <w:r>
                    <w:rPr>
                      <w:szCs w:val="21"/>
                    </w:rPr>
                    <w:t>10</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环烷油K30</w:t>
                  </w:r>
                </w:p>
              </w:tc>
              <w:tc>
                <w:tcPr>
                  <w:tcW w:w="676" w:type="pct"/>
                  <w:tcBorders>
                    <w:tl2br w:val="nil"/>
                    <w:tr2bl w:val="nil"/>
                  </w:tcBorders>
                  <w:vAlign w:val="center"/>
                </w:tcPr>
                <w:p>
                  <w:pPr>
                    <w:jc w:val="center"/>
                    <w:rPr>
                      <w:color w:val="000000"/>
                      <w:sz w:val="24"/>
                    </w:rPr>
                  </w:pPr>
                  <w:r>
                    <w:rPr>
                      <w:color w:val="000000"/>
                    </w:rPr>
                    <w:t>201.6</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 w:val="24"/>
                    </w:rPr>
                  </w:pPr>
                  <w:r>
                    <w:rPr>
                      <w:color w:val="000000"/>
                    </w:rPr>
                    <w:t>16.8</w:t>
                  </w:r>
                </w:p>
              </w:tc>
              <w:tc>
                <w:tcPr>
                  <w:tcW w:w="620" w:type="pct"/>
                  <w:tcBorders>
                    <w:tl2br w:val="nil"/>
                    <w:tr2bl w:val="nil"/>
                  </w:tcBorders>
                  <w:noWrap/>
                  <w:vAlign w:val="center"/>
                </w:tcPr>
                <w:p>
                  <w:pPr>
                    <w:jc w:val="center"/>
                    <w:rPr>
                      <w:szCs w:val="21"/>
                    </w:rPr>
                  </w:pPr>
                  <w:r>
                    <w:rPr>
                      <w:szCs w:val="21"/>
                    </w:rPr>
                    <w:t>5</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妥尔油</w:t>
                  </w:r>
                </w:p>
              </w:tc>
              <w:tc>
                <w:tcPr>
                  <w:tcW w:w="676" w:type="pct"/>
                  <w:tcBorders>
                    <w:tl2br w:val="nil"/>
                    <w:tr2bl w:val="nil"/>
                  </w:tcBorders>
                  <w:vAlign w:val="center"/>
                </w:tcPr>
                <w:p>
                  <w:pPr>
                    <w:jc w:val="center"/>
                    <w:rPr>
                      <w:color w:val="000000"/>
                      <w:sz w:val="24"/>
                    </w:rPr>
                  </w:pPr>
                  <w:r>
                    <w:rPr>
                      <w:color w:val="000000"/>
                    </w:rPr>
                    <w:t>28.8</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 w:val="24"/>
                    </w:rPr>
                  </w:pPr>
                  <w:r>
                    <w:rPr>
                      <w:color w:val="000000"/>
                    </w:rPr>
                    <w:t>2.4</w:t>
                  </w:r>
                </w:p>
              </w:tc>
              <w:tc>
                <w:tcPr>
                  <w:tcW w:w="620" w:type="pct"/>
                  <w:tcBorders>
                    <w:tl2br w:val="nil"/>
                    <w:tr2bl w:val="nil"/>
                  </w:tcBorders>
                  <w:noWrap/>
                  <w:vAlign w:val="center"/>
                </w:tcPr>
                <w:p>
                  <w:pPr>
                    <w:jc w:val="center"/>
                    <w:rPr>
                      <w:szCs w:val="21"/>
                    </w:rPr>
                  </w:pPr>
                  <w:r>
                    <w:rPr>
                      <w:szCs w:val="21"/>
                    </w:rPr>
                    <w:t>28</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司盘80</w:t>
                  </w:r>
                </w:p>
              </w:tc>
              <w:tc>
                <w:tcPr>
                  <w:tcW w:w="676" w:type="pct"/>
                  <w:tcBorders>
                    <w:tl2br w:val="nil"/>
                    <w:tr2bl w:val="nil"/>
                  </w:tcBorders>
                  <w:vAlign w:val="center"/>
                </w:tcPr>
                <w:p>
                  <w:pPr>
                    <w:jc w:val="center"/>
                    <w:rPr>
                      <w:color w:val="000000"/>
                      <w:sz w:val="24"/>
                    </w:rPr>
                  </w:pPr>
                  <w:r>
                    <w:rPr>
                      <w:color w:val="000000"/>
                    </w:rPr>
                    <w:t>14.4</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 w:val="24"/>
                    </w:rPr>
                  </w:pPr>
                  <w:r>
                    <w:rPr>
                      <w:color w:val="000000"/>
                    </w:rPr>
                    <w:t>1.2</w:t>
                  </w:r>
                </w:p>
              </w:tc>
              <w:tc>
                <w:tcPr>
                  <w:tcW w:w="620" w:type="pct"/>
                  <w:tcBorders>
                    <w:tl2br w:val="nil"/>
                    <w:tr2bl w:val="nil"/>
                  </w:tcBorders>
                  <w:noWrap/>
                  <w:vAlign w:val="center"/>
                </w:tcPr>
                <w:p>
                  <w:pPr>
                    <w:jc w:val="center"/>
                    <w:rPr>
                      <w:szCs w:val="21"/>
                    </w:rPr>
                  </w:pPr>
                  <w:r>
                    <w:rPr>
                      <w:szCs w:val="21"/>
                    </w:rPr>
                    <w:t>4</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color w:val="000000"/>
                      <w:kern w:val="0"/>
                      <w:szCs w:val="21"/>
                    </w:rPr>
                  </w:pPr>
                  <w:r>
                    <w:rPr>
                      <w:color w:val="000000"/>
                      <w:kern w:val="0"/>
                      <w:szCs w:val="21"/>
                    </w:rPr>
                    <w:t>石油磺酸钠T702</w:t>
                  </w:r>
                </w:p>
              </w:tc>
              <w:tc>
                <w:tcPr>
                  <w:tcW w:w="676" w:type="pct"/>
                  <w:tcBorders>
                    <w:tl2br w:val="nil"/>
                    <w:tr2bl w:val="nil"/>
                  </w:tcBorders>
                  <w:vAlign w:val="center"/>
                </w:tcPr>
                <w:p>
                  <w:pPr>
                    <w:jc w:val="center"/>
                    <w:rPr>
                      <w:color w:val="000000"/>
                      <w:sz w:val="24"/>
                    </w:rPr>
                  </w:pPr>
                  <w:r>
                    <w:rPr>
                      <w:color w:val="000000"/>
                    </w:rPr>
                    <w:t>57.6</w:t>
                  </w:r>
                </w:p>
              </w:tc>
              <w:tc>
                <w:tcPr>
                  <w:tcW w:w="519" w:type="pct"/>
                  <w:tcBorders>
                    <w:tl2br w:val="nil"/>
                    <w:tr2bl w:val="nil"/>
                  </w:tcBorders>
                  <w:noWrap/>
                  <w:vAlign w:val="center"/>
                </w:tcPr>
                <w:p>
                  <w:pPr>
                    <w:widowControl/>
                    <w:jc w:val="center"/>
                    <w:textAlignment w:val="center"/>
                    <w:rPr>
                      <w:szCs w:val="21"/>
                    </w:rPr>
                  </w:pPr>
                  <w:r>
                    <w:rPr>
                      <w:szCs w:val="21"/>
                    </w:rPr>
                    <w:t>液</w:t>
                  </w:r>
                </w:p>
              </w:tc>
              <w:tc>
                <w:tcPr>
                  <w:tcW w:w="397" w:type="pct"/>
                  <w:tcBorders>
                    <w:tl2br w:val="nil"/>
                    <w:tr2bl w:val="nil"/>
                  </w:tcBorders>
                  <w:noWrap/>
                  <w:vAlign w:val="center"/>
                </w:tcPr>
                <w:p>
                  <w:pPr>
                    <w:jc w:val="center"/>
                    <w:rPr>
                      <w:szCs w:val="21"/>
                    </w:rPr>
                  </w:pPr>
                  <w:r>
                    <w:rPr>
                      <w:szCs w:val="21"/>
                    </w:rPr>
                    <w:t>桶装</w:t>
                  </w:r>
                </w:p>
              </w:tc>
              <w:tc>
                <w:tcPr>
                  <w:tcW w:w="620" w:type="pct"/>
                  <w:tcBorders>
                    <w:tl2br w:val="nil"/>
                    <w:tr2bl w:val="nil"/>
                  </w:tcBorders>
                  <w:noWrap/>
                  <w:vAlign w:val="center"/>
                </w:tcPr>
                <w:p>
                  <w:pPr>
                    <w:jc w:val="center"/>
                    <w:rPr>
                      <w:color w:val="000000"/>
                      <w:sz w:val="24"/>
                    </w:rPr>
                  </w:pPr>
                  <w:r>
                    <w:rPr>
                      <w:color w:val="000000"/>
                    </w:rPr>
                    <w:t>4.8</w:t>
                  </w:r>
                </w:p>
              </w:tc>
              <w:tc>
                <w:tcPr>
                  <w:tcW w:w="620" w:type="pct"/>
                  <w:tcBorders>
                    <w:tl2br w:val="nil"/>
                    <w:tr2bl w:val="nil"/>
                  </w:tcBorders>
                  <w:noWrap/>
                  <w:vAlign w:val="center"/>
                </w:tcPr>
                <w:p>
                  <w:pPr>
                    <w:jc w:val="center"/>
                    <w:rPr>
                      <w:szCs w:val="21"/>
                    </w:rPr>
                  </w:pPr>
                  <w:r>
                    <w:rPr>
                      <w:szCs w:val="21"/>
                    </w:rPr>
                    <w:t>2</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tcBorders>
                    <w:tl2br w:val="nil"/>
                    <w:tr2bl w:val="nil"/>
                  </w:tcBorders>
                  <w:noWrap/>
                  <w:vAlign w:val="center"/>
                </w:tcPr>
                <w:p>
                  <w:pPr>
                    <w:jc w:val="center"/>
                    <w:rPr>
                      <w:szCs w:val="21"/>
                    </w:rPr>
                  </w:pPr>
                  <w:r>
                    <w:rPr>
                      <w:color w:val="000000"/>
                      <w:kern w:val="0"/>
                      <w:szCs w:val="21"/>
                    </w:rPr>
                    <w:t>三元羧酸</w:t>
                  </w:r>
                </w:p>
              </w:tc>
              <w:tc>
                <w:tcPr>
                  <w:tcW w:w="676" w:type="pct"/>
                  <w:tcBorders>
                    <w:tl2br w:val="nil"/>
                    <w:tr2bl w:val="nil"/>
                  </w:tcBorders>
                  <w:vAlign w:val="center"/>
                </w:tcPr>
                <w:p>
                  <w:pPr>
                    <w:jc w:val="center"/>
                    <w:rPr>
                      <w:color w:val="000000"/>
                      <w:sz w:val="24"/>
                    </w:rPr>
                  </w:pPr>
                  <w:r>
                    <w:rPr>
                      <w:color w:val="000000"/>
                    </w:rPr>
                    <w:t>36</w:t>
                  </w:r>
                </w:p>
              </w:tc>
              <w:tc>
                <w:tcPr>
                  <w:tcW w:w="519" w:type="pct"/>
                  <w:tcBorders>
                    <w:tl2br w:val="nil"/>
                    <w:tr2bl w:val="nil"/>
                  </w:tcBorders>
                  <w:noWrap/>
                  <w:vAlign w:val="center"/>
                </w:tcPr>
                <w:p>
                  <w:pPr>
                    <w:widowControl/>
                    <w:jc w:val="center"/>
                    <w:textAlignment w:val="center"/>
                    <w:rPr>
                      <w:szCs w:val="21"/>
                    </w:rPr>
                  </w:pPr>
                  <w:r>
                    <w:rPr>
                      <w:szCs w:val="21"/>
                    </w:rPr>
                    <w:t>粉</w:t>
                  </w:r>
                </w:p>
              </w:tc>
              <w:tc>
                <w:tcPr>
                  <w:tcW w:w="397" w:type="pct"/>
                  <w:tcBorders>
                    <w:tl2br w:val="nil"/>
                    <w:tr2bl w:val="nil"/>
                  </w:tcBorders>
                  <w:noWrap/>
                  <w:vAlign w:val="center"/>
                </w:tcPr>
                <w:p>
                  <w:pPr>
                    <w:jc w:val="center"/>
                    <w:rPr>
                      <w:szCs w:val="21"/>
                    </w:rPr>
                  </w:pPr>
                  <w:r>
                    <w:rPr>
                      <w:szCs w:val="21"/>
                    </w:rPr>
                    <w:t>袋装</w:t>
                  </w:r>
                </w:p>
              </w:tc>
              <w:tc>
                <w:tcPr>
                  <w:tcW w:w="620" w:type="pct"/>
                  <w:tcBorders>
                    <w:tl2br w:val="nil"/>
                    <w:tr2bl w:val="nil"/>
                  </w:tcBorders>
                  <w:noWrap/>
                  <w:vAlign w:val="center"/>
                </w:tcPr>
                <w:p>
                  <w:pPr>
                    <w:jc w:val="center"/>
                    <w:rPr>
                      <w:color w:val="000000"/>
                      <w:sz w:val="24"/>
                    </w:rPr>
                  </w:pPr>
                  <w:r>
                    <w:rPr>
                      <w:color w:val="000000"/>
                    </w:rPr>
                    <w:t>3</w:t>
                  </w:r>
                </w:p>
              </w:tc>
              <w:tc>
                <w:tcPr>
                  <w:tcW w:w="620" w:type="pct"/>
                  <w:tcBorders>
                    <w:tl2br w:val="nil"/>
                    <w:tr2bl w:val="nil"/>
                  </w:tcBorders>
                  <w:noWrap/>
                  <w:vAlign w:val="center"/>
                </w:tcPr>
                <w:p>
                  <w:pPr>
                    <w:jc w:val="center"/>
                    <w:rPr>
                      <w:szCs w:val="21"/>
                    </w:rPr>
                  </w:pPr>
                  <w:r>
                    <w:rPr>
                      <w:szCs w:val="21"/>
                    </w:rPr>
                    <w:t>8</w:t>
                  </w:r>
                </w:p>
              </w:tc>
              <w:tc>
                <w:tcPr>
                  <w:tcW w:w="618" w:type="pct"/>
                  <w:tcBorders>
                    <w:tl2br w:val="nil"/>
                    <w:tr2bl w:val="nil"/>
                  </w:tcBorders>
                  <w:noWrap/>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苯并三氮唑</w:t>
                  </w:r>
                </w:p>
              </w:tc>
              <w:tc>
                <w:tcPr>
                  <w:tcW w:w="676" w:type="pct"/>
                  <w:vAlign w:val="center"/>
                </w:tcPr>
                <w:p>
                  <w:pPr>
                    <w:jc w:val="center"/>
                    <w:rPr>
                      <w:color w:val="000000"/>
                      <w:sz w:val="24"/>
                    </w:rPr>
                  </w:pPr>
                  <w:r>
                    <w:rPr>
                      <w:color w:val="000000"/>
                    </w:rPr>
                    <w:t>3.6</w:t>
                  </w:r>
                </w:p>
              </w:tc>
              <w:tc>
                <w:tcPr>
                  <w:tcW w:w="519" w:type="pct"/>
                  <w:vAlign w:val="center"/>
                </w:tcPr>
                <w:p>
                  <w:pPr>
                    <w:widowControl/>
                    <w:jc w:val="center"/>
                    <w:textAlignment w:val="center"/>
                    <w:rPr>
                      <w:szCs w:val="21"/>
                    </w:rPr>
                  </w:pPr>
                  <w:r>
                    <w:rPr>
                      <w:szCs w:val="21"/>
                    </w:rPr>
                    <w:t>粉</w:t>
                  </w:r>
                </w:p>
              </w:tc>
              <w:tc>
                <w:tcPr>
                  <w:tcW w:w="397" w:type="pct"/>
                  <w:vAlign w:val="center"/>
                </w:tcPr>
                <w:p>
                  <w:pPr>
                    <w:jc w:val="center"/>
                    <w:rPr>
                      <w:szCs w:val="21"/>
                    </w:rPr>
                  </w:pPr>
                  <w:r>
                    <w:rPr>
                      <w:szCs w:val="21"/>
                    </w:rPr>
                    <w:t>袋装</w:t>
                  </w:r>
                </w:p>
              </w:tc>
              <w:tc>
                <w:tcPr>
                  <w:tcW w:w="620" w:type="pct"/>
                  <w:vAlign w:val="center"/>
                </w:tcPr>
                <w:p>
                  <w:pPr>
                    <w:jc w:val="center"/>
                    <w:rPr>
                      <w:color w:val="000000"/>
                      <w:sz w:val="24"/>
                    </w:rPr>
                  </w:pPr>
                  <w:r>
                    <w:rPr>
                      <w:color w:val="000000"/>
                    </w:rPr>
                    <w:t>0.3</w:t>
                  </w:r>
                </w:p>
              </w:tc>
              <w:tc>
                <w:tcPr>
                  <w:tcW w:w="620" w:type="pct"/>
                  <w:vAlign w:val="center"/>
                </w:tcPr>
                <w:p>
                  <w:pPr>
                    <w:jc w:val="center"/>
                    <w:rPr>
                      <w:szCs w:val="21"/>
                    </w:rPr>
                  </w:pPr>
                  <w:r>
                    <w:rPr>
                      <w:szCs w:val="21"/>
                    </w:rPr>
                    <w:t>0.5</w:t>
                  </w:r>
                </w:p>
              </w:tc>
              <w:tc>
                <w:tcPr>
                  <w:tcW w:w="618" w:type="pct"/>
                  <w:vAlign w:val="center"/>
                </w:tcPr>
                <w:p>
                  <w:pPr>
                    <w:jc w:val="center"/>
                    <w:rPr>
                      <w:szCs w:val="21"/>
                    </w:rPr>
                  </w:pPr>
                  <w:r>
                    <w:rPr>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vAlign w:val="center"/>
                </w:tcPr>
                <w:p>
                  <w:pPr>
                    <w:jc w:val="center"/>
                    <w:rPr>
                      <w:b/>
                      <w:szCs w:val="21"/>
                    </w:rPr>
                  </w:pPr>
                  <w:r>
                    <w:rPr>
                      <w:rStyle w:val="112"/>
                      <w:rFonts w:hint="default" w:ascii="Times New Roman" w:cs="Times New Roman"/>
                      <w:b/>
                    </w:rPr>
                    <w:t>全合成切削液600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szCs w:val="21"/>
                    </w:rPr>
                    <w:t>纯水</w:t>
                  </w:r>
                </w:p>
              </w:tc>
              <w:tc>
                <w:tcPr>
                  <w:tcW w:w="676" w:type="pct"/>
                  <w:vAlign w:val="center"/>
                </w:tcPr>
                <w:p>
                  <w:pPr>
                    <w:jc w:val="center"/>
                    <w:rPr>
                      <w:color w:val="000000"/>
                      <w:sz w:val="24"/>
                    </w:rPr>
                  </w:pPr>
                  <w:r>
                    <w:rPr>
                      <w:color w:val="000000"/>
                    </w:rPr>
                    <w:t>306</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w:t>
                  </w:r>
                </w:p>
              </w:tc>
              <w:tc>
                <w:tcPr>
                  <w:tcW w:w="620" w:type="pct"/>
                  <w:vAlign w:val="center"/>
                </w:tcPr>
                <w:p>
                  <w:pPr>
                    <w:jc w:val="center"/>
                    <w:rPr>
                      <w:color w:val="000000"/>
                      <w:szCs w:val="21"/>
                    </w:rPr>
                  </w:pPr>
                  <w:r>
                    <w:rPr>
                      <w:color w:val="000000"/>
                      <w:szCs w:val="21"/>
                    </w:rPr>
                    <w:t>/</w:t>
                  </w:r>
                </w:p>
              </w:tc>
              <w:tc>
                <w:tcPr>
                  <w:tcW w:w="620" w:type="pct"/>
                  <w:vAlign w:val="center"/>
                </w:tcPr>
                <w:p>
                  <w:pPr>
                    <w:jc w:val="center"/>
                    <w:rPr>
                      <w:szCs w:val="21"/>
                    </w:rPr>
                  </w:pPr>
                  <w:r>
                    <w:rPr>
                      <w:szCs w:val="21"/>
                    </w:rPr>
                    <w:t>51</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三乙醇胺</w:t>
                  </w:r>
                </w:p>
              </w:tc>
              <w:tc>
                <w:tcPr>
                  <w:tcW w:w="676" w:type="pct"/>
                  <w:vAlign w:val="center"/>
                </w:tcPr>
                <w:p>
                  <w:pPr>
                    <w:jc w:val="center"/>
                    <w:rPr>
                      <w:color w:val="000000"/>
                      <w:sz w:val="24"/>
                    </w:rPr>
                  </w:pPr>
                  <w:r>
                    <w:rPr>
                      <w:color w:val="000000"/>
                    </w:rPr>
                    <w:t>96</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8</w:t>
                  </w:r>
                </w:p>
              </w:tc>
              <w:tc>
                <w:tcPr>
                  <w:tcW w:w="620" w:type="pct"/>
                  <w:vAlign w:val="center"/>
                </w:tcPr>
                <w:p>
                  <w:pPr>
                    <w:jc w:val="center"/>
                    <w:rPr>
                      <w:szCs w:val="21"/>
                    </w:rPr>
                  </w:pPr>
                  <w:r>
                    <w:rPr>
                      <w:szCs w:val="21"/>
                    </w:rPr>
                    <w:t>16</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color w:val="000000"/>
                      <w:kern w:val="0"/>
                      <w:szCs w:val="21"/>
                    </w:rPr>
                  </w:pPr>
                  <w:r>
                    <w:rPr>
                      <w:color w:val="000000"/>
                      <w:kern w:val="0"/>
                      <w:szCs w:val="21"/>
                    </w:rPr>
                    <w:t>一乙醇胺</w:t>
                  </w:r>
                </w:p>
              </w:tc>
              <w:tc>
                <w:tcPr>
                  <w:tcW w:w="676" w:type="pct"/>
                  <w:vAlign w:val="center"/>
                </w:tcPr>
                <w:p>
                  <w:pPr>
                    <w:jc w:val="center"/>
                    <w:rPr>
                      <w:color w:val="000000"/>
                      <w:sz w:val="24"/>
                    </w:rPr>
                  </w:pPr>
                  <w:r>
                    <w:rPr>
                      <w:color w:val="000000"/>
                    </w:rPr>
                    <w:t>30</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2.5</w:t>
                  </w:r>
                </w:p>
              </w:tc>
              <w:tc>
                <w:tcPr>
                  <w:tcW w:w="620" w:type="pct"/>
                  <w:vAlign w:val="center"/>
                </w:tcPr>
                <w:p>
                  <w:pPr>
                    <w:jc w:val="center"/>
                    <w:rPr>
                      <w:szCs w:val="21"/>
                    </w:rPr>
                  </w:pPr>
                  <w:r>
                    <w:rPr>
                      <w:szCs w:val="21"/>
                    </w:rPr>
                    <w:t>5</w:t>
                  </w:r>
                </w:p>
              </w:tc>
              <w:tc>
                <w:tcPr>
                  <w:tcW w:w="618" w:type="pct"/>
                  <w:vAlign w:val="center"/>
                </w:tcPr>
                <w:p>
                  <w:pPr>
                    <w:jc w:val="center"/>
                    <w:rPr>
                      <w:szCs w:val="21"/>
                    </w:rPr>
                  </w:pPr>
                  <w:r>
                    <w:rPr>
                      <w:kern w:val="0"/>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三元羧酸</w:t>
                  </w:r>
                </w:p>
              </w:tc>
              <w:tc>
                <w:tcPr>
                  <w:tcW w:w="676" w:type="pct"/>
                  <w:vAlign w:val="center"/>
                </w:tcPr>
                <w:p>
                  <w:pPr>
                    <w:jc w:val="center"/>
                    <w:rPr>
                      <w:color w:val="000000"/>
                      <w:sz w:val="24"/>
                    </w:rPr>
                  </w:pPr>
                  <w:r>
                    <w:rPr>
                      <w:rFonts w:hint="eastAsia"/>
                      <w:color w:val="000000"/>
                    </w:rPr>
                    <w:t>36</w:t>
                  </w:r>
                </w:p>
              </w:tc>
              <w:tc>
                <w:tcPr>
                  <w:tcW w:w="519" w:type="pct"/>
                  <w:vAlign w:val="center"/>
                </w:tcPr>
                <w:p>
                  <w:pPr>
                    <w:widowControl/>
                    <w:jc w:val="center"/>
                    <w:textAlignment w:val="center"/>
                    <w:rPr>
                      <w:szCs w:val="21"/>
                    </w:rPr>
                  </w:pPr>
                  <w:r>
                    <w:rPr>
                      <w:szCs w:val="21"/>
                    </w:rPr>
                    <w:t>粉</w:t>
                  </w:r>
                </w:p>
              </w:tc>
              <w:tc>
                <w:tcPr>
                  <w:tcW w:w="397" w:type="pct"/>
                  <w:vAlign w:val="center"/>
                </w:tcPr>
                <w:p>
                  <w:pPr>
                    <w:jc w:val="center"/>
                    <w:rPr>
                      <w:szCs w:val="21"/>
                    </w:rPr>
                  </w:pPr>
                  <w:r>
                    <w:rPr>
                      <w:szCs w:val="21"/>
                    </w:rPr>
                    <w:t>袋装</w:t>
                  </w:r>
                </w:p>
              </w:tc>
              <w:tc>
                <w:tcPr>
                  <w:tcW w:w="620" w:type="pct"/>
                  <w:vAlign w:val="center"/>
                </w:tcPr>
                <w:p>
                  <w:pPr>
                    <w:jc w:val="center"/>
                    <w:rPr>
                      <w:color w:val="000000"/>
                      <w:sz w:val="24"/>
                    </w:rPr>
                  </w:pPr>
                  <w:r>
                    <w:rPr>
                      <w:rFonts w:hint="eastAsia"/>
                      <w:color w:val="000000"/>
                    </w:rPr>
                    <w:t>3</w:t>
                  </w:r>
                </w:p>
              </w:tc>
              <w:tc>
                <w:tcPr>
                  <w:tcW w:w="620" w:type="pct"/>
                  <w:vAlign w:val="center"/>
                </w:tcPr>
                <w:p>
                  <w:pPr>
                    <w:jc w:val="center"/>
                    <w:rPr>
                      <w:szCs w:val="21"/>
                    </w:rPr>
                  </w:pPr>
                  <w:r>
                    <w:rPr>
                      <w:szCs w:val="21"/>
                    </w:rPr>
                    <w:t>6</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聚醚1740</w:t>
                  </w:r>
                </w:p>
              </w:tc>
              <w:tc>
                <w:tcPr>
                  <w:tcW w:w="676" w:type="pct"/>
                  <w:vAlign w:val="center"/>
                </w:tcPr>
                <w:p>
                  <w:pPr>
                    <w:jc w:val="center"/>
                    <w:rPr>
                      <w:color w:val="000000"/>
                      <w:sz w:val="24"/>
                    </w:rPr>
                  </w:pPr>
                  <w:r>
                    <w:rPr>
                      <w:color w:val="000000"/>
                    </w:rPr>
                    <w:t>90</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7.5</w:t>
                  </w:r>
                </w:p>
              </w:tc>
              <w:tc>
                <w:tcPr>
                  <w:tcW w:w="620" w:type="pct"/>
                  <w:vAlign w:val="center"/>
                </w:tcPr>
                <w:p>
                  <w:pPr>
                    <w:jc w:val="center"/>
                    <w:rPr>
                      <w:szCs w:val="21"/>
                    </w:rPr>
                  </w:pPr>
                  <w:r>
                    <w:rPr>
                      <w:szCs w:val="21"/>
                    </w:rPr>
                    <w:t>15</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三乙醇胺硼酸酯</w:t>
                  </w:r>
                </w:p>
              </w:tc>
              <w:tc>
                <w:tcPr>
                  <w:tcW w:w="676" w:type="pct"/>
                  <w:vAlign w:val="center"/>
                </w:tcPr>
                <w:p>
                  <w:pPr>
                    <w:jc w:val="center"/>
                    <w:rPr>
                      <w:color w:val="000000"/>
                      <w:sz w:val="24"/>
                    </w:rPr>
                  </w:pPr>
                  <w:r>
                    <w:rPr>
                      <w:rFonts w:hint="eastAsia"/>
                      <w:color w:val="000000"/>
                    </w:rPr>
                    <w:t>18</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rFonts w:hint="eastAsia"/>
                      <w:color w:val="000000"/>
                    </w:rPr>
                    <w:t>1.5</w:t>
                  </w:r>
                </w:p>
              </w:tc>
              <w:tc>
                <w:tcPr>
                  <w:tcW w:w="620" w:type="pct"/>
                  <w:vAlign w:val="center"/>
                </w:tcPr>
                <w:p>
                  <w:pPr>
                    <w:jc w:val="center"/>
                    <w:rPr>
                      <w:szCs w:val="21"/>
                    </w:rPr>
                  </w:pPr>
                  <w:r>
                    <w:rPr>
                      <w:szCs w:val="21"/>
                    </w:rPr>
                    <w:t>3</w:t>
                  </w:r>
                </w:p>
              </w:tc>
              <w:tc>
                <w:tcPr>
                  <w:tcW w:w="618" w:type="pct"/>
                  <w:vAlign w:val="center"/>
                </w:tcPr>
                <w:p>
                  <w:pPr>
                    <w:jc w:val="center"/>
                    <w:rPr>
                      <w:szCs w:val="21"/>
                    </w:rPr>
                  </w:pPr>
                  <w:r>
                    <w:rPr>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癸二酸</w:t>
                  </w:r>
                </w:p>
              </w:tc>
              <w:tc>
                <w:tcPr>
                  <w:tcW w:w="676" w:type="pct"/>
                  <w:vAlign w:val="center"/>
                </w:tcPr>
                <w:p>
                  <w:pPr>
                    <w:jc w:val="center"/>
                    <w:rPr>
                      <w:color w:val="000000"/>
                      <w:sz w:val="24"/>
                    </w:rPr>
                  </w:pPr>
                  <w:r>
                    <w:rPr>
                      <w:color w:val="000000"/>
                    </w:rPr>
                    <w:t>21</w:t>
                  </w:r>
                </w:p>
              </w:tc>
              <w:tc>
                <w:tcPr>
                  <w:tcW w:w="519" w:type="pct"/>
                  <w:vAlign w:val="center"/>
                </w:tcPr>
                <w:p>
                  <w:pPr>
                    <w:widowControl/>
                    <w:jc w:val="center"/>
                    <w:textAlignment w:val="center"/>
                    <w:rPr>
                      <w:szCs w:val="21"/>
                    </w:rPr>
                  </w:pPr>
                  <w:r>
                    <w:rPr>
                      <w:szCs w:val="21"/>
                    </w:rPr>
                    <w:t>粉</w:t>
                  </w:r>
                </w:p>
              </w:tc>
              <w:tc>
                <w:tcPr>
                  <w:tcW w:w="397" w:type="pct"/>
                  <w:vAlign w:val="center"/>
                </w:tcPr>
                <w:p>
                  <w:pPr>
                    <w:jc w:val="center"/>
                    <w:rPr>
                      <w:szCs w:val="21"/>
                    </w:rPr>
                  </w:pPr>
                  <w:r>
                    <w:rPr>
                      <w:szCs w:val="21"/>
                    </w:rPr>
                    <w:t>袋装</w:t>
                  </w:r>
                </w:p>
              </w:tc>
              <w:tc>
                <w:tcPr>
                  <w:tcW w:w="620" w:type="pct"/>
                  <w:vAlign w:val="center"/>
                </w:tcPr>
                <w:p>
                  <w:pPr>
                    <w:jc w:val="center"/>
                    <w:rPr>
                      <w:color w:val="000000"/>
                      <w:sz w:val="24"/>
                    </w:rPr>
                  </w:pPr>
                  <w:r>
                    <w:rPr>
                      <w:color w:val="000000"/>
                    </w:rPr>
                    <w:t>1.75</w:t>
                  </w:r>
                </w:p>
              </w:tc>
              <w:tc>
                <w:tcPr>
                  <w:tcW w:w="620" w:type="pct"/>
                  <w:vAlign w:val="center"/>
                </w:tcPr>
                <w:p>
                  <w:pPr>
                    <w:jc w:val="center"/>
                    <w:rPr>
                      <w:szCs w:val="21"/>
                    </w:rPr>
                  </w:pPr>
                  <w:r>
                    <w:rPr>
                      <w:szCs w:val="21"/>
                    </w:rPr>
                    <w:t>3.5</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苯并三氮唑</w:t>
                  </w:r>
                </w:p>
              </w:tc>
              <w:tc>
                <w:tcPr>
                  <w:tcW w:w="676" w:type="pct"/>
                  <w:vAlign w:val="center"/>
                </w:tcPr>
                <w:p>
                  <w:pPr>
                    <w:jc w:val="center"/>
                    <w:rPr>
                      <w:color w:val="000000"/>
                      <w:sz w:val="24"/>
                    </w:rPr>
                  </w:pPr>
                  <w:r>
                    <w:rPr>
                      <w:color w:val="000000"/>
                    </w:rPr>
                    <w:t>3</w:t>
                  </w:r>
                </w:p>
              </w:tc>
              <w:tc>
                <w:tcPr>
                  <w:tcW w:w="519" w:type="pct"/>
                  <w:vAlign w:val="center"/>
                </w:tcPr>
                <w:p>
                  <w:pPr>
                    <w:widowControl/>
                    <w:jc w:val="center"/>
                    <w:textAlignment w:val="center"/>
                    <w:rPr>
                      <w:szCs w:val="21"/>
                    </w:rPr>
                  </w:pPr>
                  <w:r>
                    <w:rPr>
                      <w:szCs w:val="21"/>
                    </w:rPr>
                    <w:t>粉</w:t>
                  </w:r>
                </w:p>
              </w:tc>
              <w:tc>
                <w:tcPr>
                  <w:tcW w:w="397" w:type="pct"/>
                  <w:vAlign w:val="center"/>
                </w:tcPr>
                <w:p>
                  <w:pPr>
                    <w:jc w:val="center"/>
                    <w:rPr>
                      <w:szCs w:val="21"/>
                    </w:rPr>
                  </w:pPr>
                  <w:r>
                    <w:rPr>
                      <w:szCs w:val="21"/>
                    </w:rPr>
                    <w:t>袋装</w:t>
                  </w:r>
                </w:p>
              </w:tc>
              <w:tc>
                <w:tcPr>
                  <w:tcW w:w="620" w:type="pct"/>
                  <w:vAlign w:val="center"/>
                </w:tcPr>
                <w:p>
                  <w:pPr>
                    <w:jc w:val="center"/>
                    <w:rPr>
                      <w:color w:val="000000"/>
                      <w:sz w:val="24"/>
                    </w:rPr>
                  </w:pPr>
                  <w:r>
                    <w:rPr>
                      <w:color w:val="000000"/>
                    </w:rPr>
                    <w:t>0.25</w:t>
                  </w:r>
                </w:p>
              </w:tc>
              <w:tc>
                <w:tcPr>
                  <w:tcW w:w="620" w:type="pct"/>
                  <w:vAlign w:val="center"/>
                </w:tcPr>
                <w:p>
                  <w:pPr>
                    <w:jc w:val="center"/>
                    <w:rPr>
                      <w:szCs w:val="21"/>
                    </w:rPr>
                  </w:pPr>
                  <w:r>
                    <w:rPr>
                      <w:szCs w:val="21"/>
                    </w:rPr>
                    <w:t>0.5</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vAlign w:val="center"/>
                </w:tcPr>
                <w:p>
                  <w:pPr>
                    <w:jc w:val="center"/>
                    <w:rPr>
                      <w:b/>
                      <w:szCs w:val="21"/>
                    </w:rPr>
                  </w:pPr>
                  <w:r>
                    <w:rPr>
                      <w:b/>
                      <w:szCs w:val="21"/>
                    </w:rPr>
                    <w:t>导轨油</w:t>
                  </w:r>
                  <w:r>
                    <w:rPr>
                      <w:rFonts w:hint="eastAsia"/>
                      <w:b/>
                      <w:szCs w:val="21"/>
                    </w:rPr>
                    <w:t>360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150N基础白油</w:t>
                  </w:r>
                </w:p>
              </w:tc>
              <w:tc>
                <w:tcPr>
                  <w:tcW w:w="676" w:type="pct"/>
                  <w:vAlign w:val="center"/>
                </w:tcPr>
                <w:p>
                  <w:pPr>
                    <w:jc w:val="center"/>
                    <w:rPr>
                      <w:color w:val="000000"/>
                      <w:sz w:val="24"/>
                    </w:rPr>
                  </w:pPr>
                  <w:r>
                    <w:rPr>
                      <w:color w:val="000000"/>
                    </w:rPr>
                    <w:t>180</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槽罐</w:t>
                  </w:r>
                </w:p>
              </w:tc>
              <w:tc>
                <w:tcPr>
                  <w:tcW w:w="620" w:type="pct"/>
                  <w:vAlign w:val="center"/>
                </w:tcPr>
                <w:p>
                  <w:pPr>
                    <w:jc w:val="center"/>
                    <w:rPr>
                      <w:color w:val="000000"/>
                      <w:sz w:val="24"/>
                    </w:rPr>
                  </w:pPr>
                  <w:r>
                    <w:rPr>
                      <w:color w:val="000000"/>
                    </w:rPr>
                    <w:t>15</w:t>
                  </w:r>
                </w:p>
              </w:tc>
              <w:tc>
                <w:tcPr>
                  <w:tcW w:w="620" w:type="pct"/>
                  <w:vAlign w:val="center"/>
                </w:tcPr>
                <w:p>
                  <w:pPr>
                    <w:jc w:val="center"/>
                    <w:rPr>
                      <w:szCs w:val="21"/>
                    </w:rPr>
                  </w:pPr>
                  <w:r>
                    <w:rPr>
                      <w:szCs w:val="21"/>
                    </w:rPr>
                    <w:t>50</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500N基础白油</w:t>
                  </w:r>
                </w:p>
              </w:tc>
              <w:tc>
                <w:tcPr>
                  <w:tcW w:w="676" w:type="pct"/>
                  <w:vAlign w:val="center"/>
                </w:tcPr>
                <w:p>
                  <w:pPr>
                    <w:jc w:val="center"/>
                    <w:rPr>
                      <w:color w:val="000000"/>
                      <w:sz w:val="24"/>
                    </w:rPr>
                  </w:pPr>
                  <w:r>
                    <w:rPr>
                      <w:color w:val="000000"/>
                    </w:rPr>
                    <w:t>165.6</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槽罐</w:t>
                  </w:r>
                </w:p>
              </w:tc>
              <w:tc>
                <w:tcPr>
                  <w:tcW w:w="620" w:type="pct"/>
                  <w:vAlign w:val="center"/>
                </w:tcPr>
                <w:p>
                  <w:pPr>
                    <w:jc w:val="center"/>
                    <w:rPr>
                      <w:color w:val="000000"/>
                      <w:sz w:val="24"/>
                    </w:rPr>
                  </w:pPr>
                  <w:r>
                    <w:rPr>
                      <w:color w:val="000000"/>
                    </w:rPr>
                    <w:t>13.8</w:t>
                  </w:r>
                </w:p>
              </w:tc>
              <w:tc>
                <w:tcPr>
                  <w:tcW w:w="620" w:type="pct"/>
                  <w:vAlign w:val="center"/>
                </w:tcPr>
                <w:p>
                  <w:pPr>
                    <w:jc w:val="center"/>
                    <w:rPr>
                      <w:szCs w:val="21"/>
                    </w:rPr>
                  </w:pPr>
                  <w:r>
                    <w:rPr>
                      <w:szCs w:val="21"/>
                    </w:rPr>
                    <w:t>46</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三羟甲基丙烷油酸脂</w:t>
                  </w:r>
                </w:p>
              </w:tc>
              <w:tc>
                <w:tcPr>
                  <w:tcW w:w="676" w:type="pct"/>
                  <w:vAlign w:val="center"/>
                </w:tcPr>
                <w:p>
                  <w:pPr>
                    <w:jc w:val="center"/>
                    <w:rPr>
                      <w:color w:val="000000"/>
                      <w:sz w:val="24"/>
                    </w:rPr>
                  </w:pPr>
                  <w:r>
                    <w:rPr>
                      <w:color w:val="000000"/>
                    </w:rPr>
                    <w:t>14.4</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1.2</w:t>
                  </w:r>
                </w:p>
              </w:tc>
              <w:tc>
                <w:tcPr>
                  <w:tcW w:w="620" w:type="pct"/>
                  <w:vAlign w:val="center"/>
                </w:tcPr>
                <w:p>
                  <w:pPr>
                    <w:jc w:val="center"/>
                    <w:rPr>
                      <w:szCs w:val="21"/>
                    </w:rPr>
                  </w:pPr>
                  <w:r>
                    <w:rPr>
                      <w:szCs w:val="21"/>
                    </w:rPr>
                    <w:t>4</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vAlign w:val="center"/>
                </w:tcPr>
                <w:p>
                  <w:pPr>
                    <w:jc w:val="center"/>
                    <w:rPr>
                      <w:szCs w:val="21"/>
                    </w:rPr>
                  </w:pPr>
                  <w:r>
                    <w:rPr>
                      <w:b/>
                      <w:szCs w:val="21"/>
                    </w:rPr>
                    <w:t>冲压油</w:t>
                  </w:r>
                  <w:r>
                    <w:rPr>
                      <w:rFonts w:hint="eastAsia"/>
                      <w:b/>
                      <w:szCs w:val="21"/>
                    </w:rPr>
                    <w:t>480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轻质白油</w:t>
                  </w:r>
                </w:p>
              </w:tc>
              <w:tc>
                <w:tcPr>
                  <w:tcW w:w="676" w:type="pct"/>
                  <w:vAlign w:val="center"/>
                </w:tcPr>
                <w:p>
                  <w:pPr>
                    <w:jc w:val="center"/>
                    <w:rPr>
                      <w:color w:val="000000"/>
                      <w:sz w:val="24"/>
                    </w:rPr>
                  </w:pPr>
                  <w:r>
                    <w:rPr>
                      <w:color w:val="000000"/>
                    </w:rPr>
                    <w:t>374.4</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31.2</w:t>
                  </w:r>
                </w:p>
              </w:tc>
              <w:tc>
                <w:tcPr>
                  <w:tcW w:w="620" w:type="pct"/>
                  <w:vAlign w:val="center"/>
                </w:tcPr>
                <w:p>
                  <w:pPr>
                    <w:jc w:val="center"/>
                    <w:rPr>
                      <w:szCs w:val="21"/>
                    </w:rPr>
                  </w:pPr>
                  <w:r>
                    <w:rPr>
                      <w:szCs w:val="21"/>
                    </w:rPr>
                    <w:t>78</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10#基础白油</w:t>
                  </w:r>
                </w:p>
              </w:tc>
              <w:tc>
                <w:tcPr>
                  <w:tcW w:w="676" w:type="pct"/>
                  <w:vAlign w:val="center"/>
                </w:tcPr>
                <w:p>
                  <w:pPr>
                    <w:jc w:val="center"/>
                    <w:rPr>
                      <w:color w:val="000000"/>
                      <w:sz w:val="24"/>
                    </w:rPr>
                  </w:pPr>
                  <w:r>
                    <w:rPr>
                      <w:color w:val="000000"/>
                    </w:rPr>
                    <w:t>72</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6</w:t>
                  </w:r>
                </w:p>
              </w:tc>
              <w:tc>
                <w:tcPr>
                  <w:tcW w:w="620" w:type="pct"/>
                  <w:vAlign w:val="center"/>
                </w:tcPr>
                <w:p>
                  <w:pPr>
                    <w:jc w:val="center"/>
                    <w:rPr>
                      <w:szCs w:val="21"/>
                    </w:rPr>
                  </w:pPr>
                  <w:r>
                    <w:rPr>
                      <w:szCs w:val="21"/>
                    </w:rPr>
                    <w:t>15</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三羟甲基丙烷油酸脂</w:t>
                  </w:r>
                </w:p>
              </w:tc>
              <w:tc>
                <w:tcPr>
                  <w:tcW w:w="676" w:type="pct"/>
                  <w:vAlign w:val="center"/>
                </w:tcPr>
                <w:p>
                  <w:pPr>
                    <w:jc w:val="center"/>
                    <w:rPr>
                      <w:color w:val="000000"/>
                      <w:sz w:val="24"/>
                    </w:rPr>
                  </w:pPr>
                  <w:r>
                    <w:rPr>
                      <w:color w:val="000000"/>
                    </w:rPr>
                    <w:t>33.6</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2.8</w:t>
                  </w:r>
                </w:p>
              </w:tc>
              <w:tc>
                <w:tcPr>
                  <w:tcW w:w="620" w:type="pct"/>
                  <w:vAlign w:val="center"/>
                </w:tcPr>
                <w:p>
                  <w:pPr>
                    <w:jc w:val="center"/>
                    <w:rPr>
                      <w:szCs w:val="21"/>
                    </w:rPr>
                  </w:pPr>
                  <w:r>
                    <w:rPr>
                      <w:szCs w:val="21"/>
                    </w:rPr>
                    <w:t>7</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vAlign w:val="center"/>
                </w:tcPr>
                <w:p>
                  <w:pPr>
                    <w:jc w:val="center"/>
                    <w:rPr>
                      <w:szCs w:val="21"/>
                    </w:rPr>
                  </w:pPr>
                  <w:r>
                    <w:rPr>
                      <w:b/>
                      <w:szCs w:val="21"/>
                    </w:rPr>
                    <w:t>拉伸油</w:t>
                  </w:r>
                  <w:r>
                    <w:rPr>
                      <w:rFonts w:hint="eastAsia"/>
                      <w:b/>
                      <w:szCs w:val="21"/>
                    </w:rPr>
                    <w:t>600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菜籽油</w:t>
                  </w:r>
                </w:p>
              </w:tc>
              <w:tc>
                <w:tcPr>
                  <w:tcW w:w="676" w:type="pct"/>
                  <w:vAlign w:val="center"/>
                </w:tcPr>
                <w:p>
                  <w:pPr>
                    <w:jc w:val="center"/>
                    <w:rPr>
                      <w:color w:val="000000"/>
                      <w:sz w:val="24"/>
                    </w:rPr>
                  </w:pPr>
                  <w:r>
                    <w:rPr>
                      <w:color w:val="000000"/>
                    </w:rPr>
                    <w:t>78</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6.5</w:t>
                  </w:r>
                </w:p>
              </w:tc>
              <w:tc>
                <w:tcPr>
                  <w:tcW w:w="620" w:type="pct"/>
                  <w:vAlign w:val="center"/>
                </w:tcPr>
                <w:p>
                  <w:pPr>
                    <w:jc w:val="center"/>
                    <w:rPr>
                      <w:szCs w:val="21"/>
                    </w:rPr>
                  </w:pPr>
                  <w:r>
                    <w:rPr>
                      <w:szCs w:val="21"/>
                    </w:rPr>
                    <w:t>13</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三羟甲基丙烷油酸脂</w:t>
                  </w:r>
                </w:p>
              </w:tc>
              <w:tc>
                <w:tcPr>
                  <w:tcW w:w="676" w:type="pct"/>
                  <w:vAlign w:val="center"/>
                </w:tcPr>
                <w:p>
                  <w:pPr>
                    <w:jc w:val="center"/>
                    <w:rPr>
                      <w:color w:val="000000"/>
                      <w:sz w:val="24"/>
                    </w:rPr>
                  </w:pPr>
                  <w:r>
                    <w:rPr>
                      <w:color w:val="000000"/>
                    </w:rPr>
                    <w:t>48</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4</w:t>
                  </w:r>
                </w:p>
              </w:tc>
              <w:tc>
                <w:tcPr>
                  <w:tcW w:w="620" w:type="pct"/>
                  <w:vAlign w:val="center"/>
                </w:tcPr>
                <w:p>
                  <w:pPr>
                    <w:jc w:val="center"/>
                    <w:rPr>
                      <w:szCs w:val="21"/>
                    </w:rPr>
                  </w:pPr>
                  <w:r>
                    <w:rPr>
                      <w:szCs w:val="21"/>
                    </w:rPr>
                    <w:t>8</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500N基础白油</w:t>
                  </w:r>
                </w:p>
              </w:tc>
              <w:tc>
                <w:tcPr>
                  <w:tcW w:w="676" w:type="pct"/>
                  <w:vAlign w:val="center"/>
                </w:tcPr>
                <w:p>
                  <w:pPr>
                    <w:jc w:val="center"/>
                    <w:rPr>
                      <w:color w:val="000000"/>
                      <w:sz w:val="24"/>
                    </w:rPr>
                  </w:pPr>
                  <w:r>
                    <w:rPr>
                      <w:color w:val="000000"/>
                    </w:rPr>
                    <w:t>300</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槽罐</w:t>
                  </w:r>
                </w:p>
              </w:tc>
              <w:tc>
                <w:tcPr>
                  <w:tcW w:w="620" w:type="pct"/>
                  <w:vAlign w:val="center"/>
                </w:tcPr>
                <w:p>
                  <w:pPr>
                    <w:jc w:val="center"/>
                    <w:rPr>
                      <w:color w:val="000000"/>
                      <w:sz w:val="24"/>
                    </w:rPr>
                  </w:pPr>
                  <w:r>
                    <w:rPr>
                      <w:color w:val="000000"/>
                    </w:rPr>
                    <w:t>25</w:t>
                  </w:r>
                </w:p>
              </w:tc>
              <w:tc>
                <w:tcPr>
                  <w:tcW w:w="620" w:type="pct"/>
                  <w:vAlign w:val="center"/>
                </w:tcPr>
                <w:p>
                  <w:pPr>
                    <w:jc w:val="center"/>
                    <w:rPr>
                      <w:szCs w:val="21"/>
                    </w:rPr>
                  </w:pPr>
                  <w:r>
                    <w:rPr>
                      <w:szCs w:val="21"/>
                    </w:rPr>
                    <w:t>50</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150BS基础白油</w:t>
                  </w:r>
                </w:p>
              </w:tc>
              <w:tc>
                <w:tcPr>
                  <w:tcW w:w="676" w:type="pct"/>
                  <w:vAlign w:val="center"/>
                </w:tcPr>
                <w:p>
                  <w:pPr>
                    <w:jc w:val="center"/>
                    <w:rPr>
                      <w:color w:val="000000"/>
                      <w:sz w:val="24"/>
                    </w:rPr>
                  </w:pPr>
                  <w:r>
                    <w:rPr>
                      <w:color w:val="000000"/>
                    </w:rPr>
                    <w:t>90</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7.5</w:t>
                  </w:r>
                </w:p>
              </w:tc>
              <w:tc>
                <w:tcPr>
                  <w:tcW w:w="620" w:type="pct"/>
                  <w:vAlign w:val="center"/>
                </w:tcPr>
                <w:p>
                  <w:pPr>
                    <w:jc w:val="center"/>
                    <w:rPr>
                      <w:szCs w:val="21"/>
                    </w:rPr>
                  </w:pPr>
                  <w:r>
                    <w:rPr>
                      <w:szCs w:val="21"/>
                    </w:rPr>
                    <w:t>15</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150N基础白油</w:t>
                  </w:r>
                </w:p>
              </w:tc>
              <w:tc>
                <w:tcPr>
                  <w:tcW w:w="676" w:type="pct"/>
                  <w:vAlign w:val="center"/>
                </w:tcPr>
                <w:p>
                  <w:pPr>
                    <w:jc w:val="center"/>
                    <w:rPr>
                      <w:color w:val="000000"/>
                      <w:sz w:val="24"/>
                    </w:rPr>
                  </w:pPr>
                  <w:r>
                    <w:rPr>
                      <w:color w:val="000000"/>
                    </w:rPr>
                    <w:t>18</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1.5</w:t>
                  </w:r>
                </w:p>
              </w:tc>
              <w:tc>
                <w:tcPr>
                  <w:tcW w:w="620" w:type="pct"/>
                  <w:vAlign w:val="center"/>
                </w:tcPr>
                <w:p>
                  <w:pPr>
                    <w:jc w:val="center"/>
                    <w:rPr>
                      <w:szCs w:val="21"/>
                    </w:rPr>
                  </w:pPr>
                  <w:r>
                    <w:rPr>
                      <w:szCs w:val="21"/>
                    </w:rPr>
                    <w:t>3</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聚异丁烯1300</w:t>
                  </w:r>
                </w:p>
              </w:tc>
              <w:tc>
                <w:tcPr>
                  <w:tcW w:w="676" w:type="pct"/>
                  <w:vAlign w:val="center"/>
                </w:tcPr>
                <w:p>
                  <w:pPr>
                    <w:jc w:val="center"/>
                    <w:rPr>
                      <w:color w:val="000000"/>
                      <w:sz w:val="24"/>
                    </w:rPr>
                  </w:pPr>
                  <w:r>
                    <w:rPr>
                      <w:color w:val="000000"/>
                    </w:rPr>
                    <w:t>66</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5.5</w:t>
                  </w:r>
                </w:p>
              </w:tc>
              <w:tc>
                <w:tcPr>
                  <w:tcW w:w="620" w:type="pct"/>
                  <w:vAlign w:val="center"/>
                </w:tcPr>
                <w:p>
                  <w:pPr>
                    <w:jc w:val="center"/>
                    <w:rPr>
                      <w:szCs w:val="21"/>
                    </w:rPr>
                  </w:pPr>
                  <w:r>
                    <w:rPr>
                      <w:szCs w:val="21"/>
                    </w:rPr>
                    <w:t>11</w:t>
                  </w:r>
                </w:p>
              </w:tc>
              <w:tc>
                <w:tcPr>
                  <w:tcW w:w="618" w:type="pct"/>
                  <w:vAlign w:val="center"/>
                </w:tcPr>
                <w:p>
                  <w:pPr>
                    <w:jc w:val="center"/>
                    <w:rPr>
                      <w:szCs w:val="21"/>
                    </w:rPr>
                  </w:pPr>
                  <w:r>
                    <w:rPr>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vAlign w:val="center"/>
                </w:tcPr>
                <w:p>
                  <w:pPr>
                    <w:jc w:val="center"/>
                    <w:rPr>
                      <w:b/>
                      <w:szCs w:val="21"/>
                    </w:rPr>
                  </w:pPr>
                  <w:r>
                    <w:rPr>
                      <w:b/>
                      <w:szCs w:val="21"/>
                    </w:rPr>
                    <w:t>多功能碳氢清洗剂</w:t>
                  </w:r>
                  <w:r>
                    <w:rPr>
                      <w:rFonts w:hint="eastAsia"/>
                      <w:b/>
                      <w:szCs w:val="21"/>
                    </w:rPr>
                    <w:t>1800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异构烷烃</w:t>
                  </w:r>
                  <w:r>
                    <w:rPr>
                      <w:rFonts w:hint="eastAsia"/>
                      <w:color w:val="000000"/>
                      <w:kern w:val="0"/>
                      <w:szCs w:val="21"/>
                    </w:rPr>
                    <w:t>IP</w:t>
                  </w:r>
                  <w:r>
                    <w:rPr>
                      <w:color w:val="000000"/>
                      <w:kern w:val="0"/>
                      <w:szCs w:val="21"/>
                    </w:rPr>
                    <w:t>60</w:t>
                  </w:r>
                </w:p>
              </w:tc>
              <w:tc>
                <w:tcPr>
                  <w:tcW w:w="676" w:type="pct"/>
                  <w:vAlign w:val="center"/>
                </w:tcPr>
                <w:p>
                  <w:pPr>
                    <w:jc w:val="center"/>
                    <w:rPr>
                      <w:color w:val="000000"/>
                      <w:sz w:val="24"/>
                    </w:rPr>
                  </w:pPr>
                  <w:r>
                    <w:rPr>
                      <w:color w:val="000000"/>
                    </w:rPr>
                    <w:t>1530</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槽罐</w:t>
                  </w:r>
                </w:p>
              </w:tc>
              <w:tc>
                <w:tcPr>
                  <w:tcW w:w="620" w:type="pct"/>
                  <w:vAlign w:val="center"/>
                </w:tcPr>
                <w:p>
                  <w:pPr>
                    <w:jc w:val="center"/>
                    <w:rPr>
                      <w:color w:val="000000"/>
                      <w:sz w:val="24"/>
                    </w:rPr>
                  </w:pPr>
                  <w:r>
                    <w:rPr>
                      <w:rFonts w:hint="eastAsia"/>
                      <w:color w:val="000000"/>
                    </w:rPr>
                    <w:t xml:space="preserve"> </w:t>
                  </w:r>
                </w:p>
              </w:tc>
              <w:tc>
                <w:tcPr>
                  <w:tcW w:w="620" w:type="pct"/>
                  <w:vAlign w:val="center"/>
                </w:tcPr>
                <w:p>
                  <w:pPr>
                    <w:jc w:val="center"/>
                    <w:rPr>
                      <w:szCs w:val="21"/>
                    </w:rPr>
                  </w:pPr>
                  <w:r>
                    <w:rPr>
                      <w:szCs w:val="21"/>
                    </w:rPr>
                    <w:t>85</w:t>
                  </w:r>
                </w:p>
              </w:tc>
              <w:tc>
                <w:tcPr>
                  <w:tcW w:w="618" w:type="pct"/>
                  <w:vAlign w:val="center"/>
                </w:tcPr>
                <w:p>
                  <w:pPr>
                    <w:jc w:val="center"/>
                    <w:rPr>
                      <w:szCs w:val="21"/>
                    </w:rPr>
                  </w:pPr>
                  <w:r>
                    <w:rPr>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二丙二醇二甲醚</w:t>
                  </w:r>
                </w:p>
              </w:tc>
              <w:tc>
                <w:tcPr>
                  <w:tcW w:w="676" w:type="pct"/>
                  <w:vAlign w:val="center"/>
                </w:tcPr>
                <w:p>
                  <w:pPr>
                    <w:jc w:val="center"/>
                    <w:rPr>
                      <w:color w:val="000000"/>
                      <w:sz w:val="24"/>
                    </w:rPr>
                  </w:pPr>
                  <w:r>
                    <w:rPr>
                      <w:color w:val="000000"/>
                    </w:rPr>
                    <w:t>270</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22.5</w:t>
                  </w:r>
                </w:p>
              </w:tc>
              <w:tc>
                <w:tcPr>
                  <w:tcW w:w="620" w:type="pct"/>
                  <w:vAlign w:val="center"/>
                </w:tcPr>
                <w:p>
                  <w:pPr>
                    <w:jc w:val="center"/>
                    <w:rPr>
                      <w:szCs w:val="21"/>
                    </w:rPr>
                  </w:pPr>
                  <w:r>
                    <w:rPr>
                      <w:szCs w:val="21"/>
                    </w:rPr>
                    <w:t>15</w:t>
                  </w:r>
                </w:p>
              </w:tc>
              <w:tc>
                <w:tcPr>
                  <w:tcW w:w="618" w:type="pct"/>
                  <w:vAlign w:val="center"/>
                </w:tcPr>
                <w:p>
                  <w:pPr>
                    <w:jc w:val="center"/>
                    <w:rPr>
                      <w:szCs w:val="21"/>
                    </w:rPr>
                  </w:pPr>
                  <w:r>
                    <w:rPr>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000" w:type="pct"/>
                  <w:gridSpan w:val="7"/>
                  <w:vAlign w:val="center"/>
                </w:tcPr>
                <w:p>
                  <w:pPr>
                    <w:jc w:val="center"/>
                    <w:rPr>
                      <w:szCs w:val="21"/>
                    </w:rPr>
                  </w:pPr>
                  <w:r>
                    <w:rPr>
                      <w:b/>
                      <w:szCs w:val="21"/>
                    </w:rPr>
                    <w:t>环保碳氢清洗剂</w:t>
                  </w:r>
                  <w:r>
                    <w:rPr>
                      <w:rFonts w:hint="eastAsia"/>
                      <w:b/>
                      <w:szCs w:val="21"/>
                    </w:rPr>
                    <w:t>4860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饱和烷烃</w:t>
                  </w:r>
                </w:p>
              </w:tc>
              <w:tc>
                <w:tcPr>
                  <w:tcW w:w="676" w:type="pct"/>
                  <w:vAlign w:val="center"/>
                </w:tcPr>
                <w:p>
                  <w:pPr>
                    <w:jc w:val="center"/>
                    <w:rPr>
                      <w:color w:val="000000"/>
                      <w:sz w:val="24"/>
                    </w:rPr>
                  </w:pPr>
                  <w:r>
                    <w:rPr>
                      <w:color w:val="000000"/>
                    </w:rPr>
                    <w:t>4374</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槽罐</w:t>
                  </w:r>
                </w:p>
              </w:tc>
              <w:tc>
                <w:tcPr>
                  <w:tcW w:w="620" w:type="pct"/>
                  <w:vAlign w:val="center"/>
                </w:tcPr>
                <w:p>
                  <w:pPr>
                    <w:jc w:val="center"/>
                    <w:rPr>
                      <w:color w:val="000000"/>
                      <w:sz w:val="24"/>
                    </w:rPr>
                  </w:pPr>
                  <w:r>
                    <w:rPr>
                      <w:color w:val="000000"/>
                    </w:rPr>
                    <w:t>364.5</w:t>
                  </w:r>
                </w:p>
              </w:tc>
              <w:tc>
                <w:tcPr>
                  <w:tcW w:w="620" w:type="pct"/>
                  <w:vAlign w:val="center"/>
                </w:tcPr>
                <w:p>
                  <w:pPr>
                    <w:jc w:val="center"/>
                    <w:rPr>
                      <w:szCs w:val="21"/>
                    </w:rPr>
                  </w:pPr>
                  <w:r>
                    <w:rPr>
                      <w:szCs w:val="21"/>
                    </w:rPr>
                    <w:t>90</w:t>
                  </w:r>
                </w:p>
              </w:tc>
              <w:tc>
                <w:tcPr>
                  <w:tcW w:w="618" w:type="pct"/>
                  <w:vAlign w:val="center"/>
                </w:tcPr>
                <w:p>
                  <w:pPr>
                    <w:jc w:val="center"/>
                    <w:rPr>
                      <w:szCs w:val="21"/>
                    </w:rPr>
                  </w:pPr>
                  <w:r>
                    <w:rPr>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550" w:type="pct"/>
                  <w:vAlign w:val="center"/>
                </w:tcPr>
                <w:p>
                  <w:pPr>
                    <w:jc w:val="center"/>
                    <w:rPr>
                      <w:szCs w:val="21"/>
                    </w:rPr>
                  </w:pPr>
                  <w:r>
                    <w:rPr>
                      <w:color w:val="000000"/>
                      <w:kern w:val="0"/>
                      <w:szCs w:val="21"/>
                    </w:rPr>
                    <w:t>二丙二醇二甲醚</w:t>
                  </w:r>
                </w:p>
              </w:tc>
              <w:tc>
                <w:tcPr>
                  <w:tcW w:w="676" w:type="pct"/>
                  <w:vAlign w:val="center"/>
                </w:tcPr>
                <w:p>
                  <w:pPr>
                    <w:jc w:val="center"/>
                    <w:rPr>
                      <w:color w:val="000000"/>
                      <w:sz w:val="24"/>
                    </w:rPr>
                  </w:pPr>
                  <w:r>
                    <w:rPr>
                      <w:color w:val="000000"/>
                    </w:rPr>
                    <w:t>486</w:t>
                  </w:r>
                </w:p>
              </w:tc>
              <w:tc>
                <w:tcPr>
                  <w:tcW w:w="519" w:type="pct"/>
                  <w:vAlign w:val="center"/>
                </w:tcPr>
                <w:p>
                  <w:pPr>
                    <w:widowControl/>
                    <w:jc w:val="center"/>
                    <w:textAlignment w:val="center"/>
                    <w:rPr>
                      <w:szCs w:val="21"/>
                    </w:rPr>
                  </w:pPr>
                  <w:r>
                    <w:rPr>
                      <w:szCs w:val="21"/>
                    </w:rPr>
                    <w:t>液</w:t>
                  </w:r>
                </w:p>
              </w:tc>
              <w:tc>
                <w:tcPr>
                  <w:tcW w:w="397" w:type="pct"/>
                  <w:vAlign w:val="center"/>
                </w:tcPr>
                <w:p>
                  <w:pPr>
                    <w:jc w:val="center"/>
                    <w:rPr>
                      <w:szCs w:val="21"/>
                    </w:rPr>
                  </w:pPr>
                  <w:r>
                    <w:rPr>
                      <w:szCs w:val="21"/>
                    </w:rPr>
                    <w:t>桶装</w:t>
                  </w:r>
                </w:p>
              </w:tc>
              <w:tc>
                <w:tcPr>
                  <w:tcW w:w="620" w:type="pct"/>
                  <w:vAlign w:val="center"/>
                </w:tcPr>
                <w:p>
                  <w:pPr>
                    <w:jc w:val="center"/>
                    <w:rPr>
                      <w:color w:val="000000"/>
                      <w:sz w:val="24"/>
                    </w:rPr>
                  </w:pPr>
                  <w:r>
                    <w:rPr>
                      <w:color w:val="000000"/>
                    </w:rPr>
                    <w:t>40.5</w:t>
                  </w:r>
                </w:p>
              </w:tc>
              <w:tc>
                <w:tcPr>
                  <w:tcW w:w="620" w:type="pct"/>
                  <w:vAlign w:val="center"/>
                </w:tcPr>
                <w:p>
                  <w:pPr>
                    <w:jc w:val="center"/>
                    <w:rPr>
                      <w:szCs w:val="21"/>
                    </w:rPr>
                  </w:pPr>
                  <w:r>
                    <w:rPr>
                      <w:szCs w:val="21"/>
                    </w:rPr>
                    <w:t>10</w:t>
                  </w:r>
                </w:p>
              </w:tc>
              <w:tc>
                <w:tcPr>
                  <w:tcW w:w="618" w:type="pct"/>
                  <w:vAlign w:val="center"/>
                </w:tcPr>
                <w:p>
                  <w:pPr>
                    <w:jc w:val="center"/>
                    <w:rPr>
                      <w:szCs w:val="21"/>
                    </w:rPr>
                  </w:pPr>
                  <w:r>
                    <w:rPr>
                      <w:szCs w:val="21"/>
                    </w:rPr>
                    <w:t>是</w:t>
                  </w:r>
                </w:p>
              </w:tc>
            </w:tr>
          </w:tbl>
          <w:p>
            <w:pPr>
              <w:spacing w:beforeLines="50"/>
              <w:jc w:val="center"/>
              <w:rPr>
                <w:b/>
              </w:rPr>
            </w:pPr>
            <w:r>
              <w:rPr>
                <w:rFonts w:hint="eastAsia"/>
                <w:b/>
              </w:rPr>
              <w:t>表2-5  项目能源及公用单元辅料消耗表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17"/>
              <w:gridCol w:w="2320"/>
              <w:gridCol w:w="2320"/>
              <w:gridCol w:w="23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9" w:type="pct"/>
                  <w:vAlign w:val="center"/>
                </w:tcPr>
                <w:p>
                  <w:pPr>
                    <w:pStyle w:val="30"/>
                    <w:adjustRightInd w:val="0"/>
                    <w:snapToGrid w:val="0"/>
                    <w:spacing w:after="0"/>
                    <w:ind w:firstLine="0" w:firstLineChars="0"/>
                    <w:jc w:val="center"/>
                    <w:rPr>
                      <w:rFonts w:ascii="Times New Roman" w:hAnsiTheme="majorEastAsia" w:eastAsiaTheme="majorEastAsia"/>
                      <w:b/>
                      <w:szCs w:val="21"/>
                    </w:rPr>
                  </w:pPr>
                  <w:r>
                    <w:rPr>
                      <w:rFonts w:hint="eastAsia" w:ascii="Times New Roman" w:hAnsiTheme="majorEastAsia" w:eastAsiaTheme="majorEastAsia"/>
                      <w:b/>
                      <w:szCs w:val="21"/>
                    </w:rPr>
                    <w:t>序号</w:t>
                  </w:r>
                </w:p>
              </w:tc>
              <w:tc>
                <w:tcPr>
                  <w:tcW w:w="1250" w:type="pct"/>
                  <w:vAlign w:val="center"/>
                </w:tcPr>
                <w:p>
                  <w:pPr>
                    <w:pStyle w:val="30"/>
                    <w:adjustRightInd w:val="0"/>
                    <w:snapToGrid w:val="0"/>
                    <w:spacing w:after="0"/>
                    <w:ind w:firstLine="0" w:firstLineChars="0"/>
                    <w:jc w:val="center"/>
                    <w:rPr>
                      <w:rFonts w:ascii="Times New Roman" w:hAnsiTheme="majorEastAsia" w:eastAsiaTheme="majorEastAsia"/>
                      <w:b/>
                      <w:szCs w:val="21"/>
                    </w:rPr>
                  </w:pPr>
                  <w:r>
                    <w:rPr>
                      <w:rFonts w:hint="eastAsia" w:ascii="Times New Roman" w:hAnsiTheme="majorEastAsia" w:eastAsiaTheme="majorEastAsia"/>
                      <w:b/>
                      <w:szCs w:val="21"/>
                    </w:rPr>
                    <w:t>原辅料名称</w:t>
                  </w:r>
                </w:p>
              </w:tc>
              <w:tc>
                <w:tcPr>
                  <w:tcW w:w="1250" w:type="pct"/>
                  <w:vAlign w:val="center"/>
                </w:tcPr>
                <w:p>
                  <w:pPr>
                    <w:pStyle w:val="30"/>
                    <w:adjustRightInd w:val="0"/>
                    <w:snapToGrid w:val="0"/>
                    <w:spacing w:after="0"/>
                    <w:ind w:firstLine="0" w:firstLineChars="0"/>
                    <w:jc w:val="center"/>
                    <w:rPr>
                      <w:rFonts w:ascii="Times New Roman" w:hAnsiTheme="majorEastAsia" w:eastAsiaTheme="majorEastAsia"/>
                      <w:b/>
                      <w:szCs w:val="21"/>
                    </w:rPr>
                  </w:pPr>
                  <w:r>
                    <w:rPr>
                      <w:rFonts w:hint="eastAsia" w:ascii="Times New Roman" w:hAnsiTheme="majorEastAsia" w:eastAsiaTheme="majorEastAsia"/>
                      <w:b/>
                      <w:szCs w:val="21"/>
                    </w:rPr>
                    <w:t>年消耗量t/a</w:t>
                  </w:r>
                </w:p>
              </w:tc>
              <w:tc>
                <w:tcPr>
                  <w:tcW w:w="1251" w:type="pct"/>
                  <w:vAlign w:val="center"/>
                </w:tcPr>
                <w:p>
                  <w:pPr>
                    <w:pStyle w:val="30"/>
                    <w:adjustRightInd w:val="0"/>
                    <w:snapToGrid w:val="0"/>
                    <w:spacing w:after="0"/>
                    <w:ind w:firstLine="0" w:firstLineChars="0"/>
                    <w:jc w:val="center"/>
                    <w:rPr>
                      <w:rFonts w:ascii="Times New Roman" w:hAnsiTheme="majorEastAsia" w:eastAsiaTheme="majorEastAsia"/>
                      <w:b/>
                      <w:szCs w:val="21"/>
                    </w:rPr>
                  </w:pPr>
                  <w:r>
                    <w:rPr>
                      <w:rFonts w:hint="eastAsia" w:ascii="Times New Roman" w:hAnsiTheme="majorEastAsia" w:eastAsiaTheme="majorEastAsia"/>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9" w:type="pct"/>
                  <w:vAlign w:val="center"/>
                </w:tcPr>
                <w:p>
                  <w:pPr>
                    <w:pStyle w:val="30"/>
                    <w:adjustRightInd w:val="0"/>
                    <w:snapToGrid w:val="0"/>
                    <w:spacing w:after="0"/>
                    <w:ind w:firstLine="0" w:firstLineChars="0"/>
                    <w:jc w:val="center"/>
                    <w:rPr>
                      <w:rFonts w:ascii="Times New Roman" w:hAnsiTheme="majorEastAsia" w:eastAsiaTheme="majorEastAsia"/>
                      <w:szCs w:val="21"/>
                    </w:rPr>
                  </w:pPr>
                  <w:r>
                    <w:rPr>
                      <w:rFonts w:hint="eastAsia" w:ascii="Times New Roman" w:hAnsiTheme="majorEastAsia" w:eastAsiaTheme="majorEastAsia"/>
                      <w:szCs w:val="21"/>
                    </w:rPr>
                    <w:t>1</w:t>
                  </w:r>
                </w:p>
              </w:tc>
              <w:tc>
                <w:tcPr>
                  <w:tcW w:w="1250" w:type="pct"/>
                  <w:vAlign w:val="center"/>
                </w:tcPr>
                <w:p>
                  <w:pPr>
                    <w:pStyle w:val="30"/>
                    <w:adjustRightInd w:val="0"/>
                    <w:snapToGrid w:val="0"/>
                    <w:spacing w:after="0"/>
                    <w:ind w:firstLine="0" w:firstLineChars="0"/>
                    <w:jc w:val="center"/>
                    <w:rPr>
                      <w:rFonts w:ascii="Times New Roman" w:hAnsiTheme="majorEastAsia" w:eastAsiaTheme="majorEastAsia"/>
                      <w:szCs w:val="21"/>
                    </w:rPr>
                  </w:pPr>
                  <w:r>
                    <w:rPr>
                      <w:rFonts w:hint="eastAsia" w:ascii="Times New Roman" w:hAnsiTheme="majorEastAsia" w:eastAsiaTheme="majorEastAsia"/>
                      <w:szCs w:val="21"/>
                    </w:rPr>
                    <w:t>自来水</w:t>
                  </w:r>
                </w:p>
              </w:tc>
              <w:tc>
                <w:tcPr>
                  <w:tcW w:w="1250" w:type="pct"/>
                  <w:vAlign w:val="center"/>
                </w:tcPr>
                <w:p>
                  <w:pPr>
                    <w:pStyle w:val="30"/>
                    <w:adjustRightInd w:val="0"/>
                    <w:snapToGrid w:val="0"/>
                    <w:spacing w:after="0"/>
                    <w:ind w:firstLine="0" w:firstLineChars="0"/>
                    <w:jc w:val="center"/>
                    <w:rPr>
                      <w:rFonts w:ascii="Times New Roman" w:hAnsiTheme="majorEastAsia" w:eastAsiaTheme="majorEastAsia"/>
                      <w:szCs w:val="21"/>
                    </w:rPr>
                  </w:pPr>
                  <w:r>
                    <w:rPr>
                      <w:rFonts w:hint="eastAsia" w:ascii="Times New Roman" w:hAnsiTheme="majorEastAsia" w:eastAsiaTheme="majorEastAsia"/>
                      <w:szCs w:val="21"/>
                    </w:rPr>
                    <w:t>25394.61</w:t>
                  </w:r>
                  <w:r>
                    <w:rPr>
                      <w:rFonts w:ascii="Times New Roman" w:hAnsiTheme="majorEastAsia" w:eastAsiaTheme="majorEastAsia"/>
                      <w:szCs w:val="21"/>
                    </w:rPr>
                    <w:t>m</w:t>
                  </w:r>
                  <w:r>
                    <w:rPr>
                      <w:rFonts w:hint="eastAsia" w:ascii="Times New Roman" w:hAnsiTheme="majorEastAsia" w:eastAsiaTheme="majorEastAsia"/>
                      <w:szCs w:val="21"/>
                      <w:vertAlign w:val="superscript"/>
                    </w:rPr>
                    <w:t>3</w:t>
                  </w:r>
                  <w:r>
                    <w:rPr>
                      <w:rFonts w:ascii="Times New Roman" w:hAnsiTheme="majorEastAsia" w:eastAsiaTheme="majorEastAsia"/>
                      <w:szCs w:val="21"/>
                    </w:rPr>
                    <w:t>/a</w:t>
                  </w:r>
                </w:p>
              </w:tc>
              <w:tc>
                <w:tcPr>
                  <w:tcW w:w="1251" w:type="pct"/>
                  <w:vAlign w:val="center"/>
                </w:tcPr>
                <w:p>
                  <w:pPr>
                    <w:pStyle w:val="30"/>
                    <w:adjustRightInd w:val="0"/>
                    <w:snapToGrid w:val="0"/>
                    <w:ind w:firstLine="210"/>
                    <w:jc w:val="center"/>
                    <w:rPr>
                      <w:rFonts w:ascii="Times New Roman" w:hAnsiTheme="majorEastAsia" w:eastAsiaTheme="majorEastAsia"/>
                      <w:szCs w:val="21"/>
                    </w:rPr>
                  </w:pPr>
                  <w:r>
                    <w:rPr>
                      <w:rFonts w:hint="eastAsia" w:ascii="Times New Roman" w:hAnsiTheme="majorEastAsia" w:eastAsiaTheme="majorEastAsia"/>
                      <w:szCs w:val="21"/>
                    </w:rPr>
                    <w:t>生产及生活用水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9" w:type="pct"/>
                  <w:vAlign w:val="center"/>
                </w:tcPr>
                <w:p>
                  <w:pPr>
                    <w:pStyle w:val="30"/>
                    <w:adjustRightInd w:val="0"/>
                    <w:snapToGrid w:val="0"/>
                    <w:spacing w:after="0"/>
                    <w:ind w:firstLine="0" w:firstLineChars="0"/>
                    <w:jc w:val="center"/>
                    <w:rPr>
                      <w:rFonts w:ascii="Times New Roman" w:hAnsiTheme="majorEastAsia" w:eastAsiaTheme="majorEastAsia"/>
                      <w:szCs w:val="21"/>
                    </w:rPr>
                  </w:pPr>
                  <w:r>
                    <w:rPr>
                      <w:rFonts w:hint="eastAsia" w:ascii="Times New Roman" w:hAnsiTheme="majorEastAsia" w:eastAsiaTheme="majorEastAsia"/>
                      <w:szCs w:val="21"/>
                    </w:rPr>
                    <w:t>2</w:t>
                  </w:r>
                </w:p>
              </w:tc>
              <w:tc>
                <w:tcPr>
                  <w:tcW w:w="1250" w:type="pct"/>
                  <w:vAlign w:val="center"/>
                </w:tcPr>
                <w:p>
                  <w:pPr>
                    <w:pStyle w:val="30"/>
                    <w:adjustRightInd w:val="0"/>
                    <w:snapToGrid w:val="0"/>
                    <w:spacing w:after="0"/>
                    <w:ind w:firstLine="0" w:firstLineChars="0"/>
                    <w:jc w:val="center"/>
                    <w:rPr>
                      <w:rFonts w:ascii="Times New Roman" w:hAnsiTheme="majorEastAsia" w:eastAsiaTheme="majorEastAsia"/>
                      <w:szCs w:val="21"/>
                    </w:rPr>
                  </w:pPr>
                  <w:r>
                    <w:rPr>
                      <w:rFonts w:hint="eastAsia" w:ascii="Times New Roman" w:hAnsiTheme="majorEastAsia" w:eastAsiaTheme="majorEastAsia"/>
                      <w:szCs w:val="21"/>
                    </w:rPr>
                    <w:t>电</w:t>
                  </w:r>
                </w:p>
              </w:tc>
              <w:tc>
                <w:tcPr>
                  <w:tcW w:w="1250" w:type="pct"/>
                  <w:vAlign w:val="center"/>
                </w:tcPr>
                <w:p>
                  <w:pPr>
                    <w:pStyle w:val="30"/>
                    <w:adjustRightInd w:val="0"/>
                    <w:snapToGrid w:val="0"/>
                    <w:spacing w:after="0"/>
                    <w:ind w:firstLine="0" w:firstLineChars="0"/>
                    <w:jc w:val="center"/>
                    <w:rPr>
                      <w:rFonts w:ascii="Times New Roman" w:hAnsiTheme="majorEastAsia" w:eastAsiaTheme="majorEastAsia"/>
                      <w:szCs w:val="21"/>
                    </w:rPr>
                  </w:pPr>
                  <w:r>
                    <w:rPr>
                      <w:rFonts w:hint="eastAsia" w:ascii="Times New Roman" w:hAnsiTheme="majorEastAsia" w:eastAsiaTheme="majorEastAsia"/>
                      <w:szCs w:val="21"/>
                    </w:rPr>
                    <w:t>30万kWh/a</w:t>
                  </w:r>
                </w:p>
              </w:tc>
              <w:tc>
                <w:tcPr>
                  <w:tcW w:w="1251" w:type="pct"/>
                  <w:vAlign w:val="center"/>
                </w:tcPr>
                <w:p>
                  <w:pPr>
                    <w:pStyle w:val="30"/>
                    <w:adjustRightInd w:val="0"/>
                    <w:snapToGrid w:val="0"/>
                    <w:spacing w:after="0"/>
                    <w:ind w:firstLine="0" w:firstLineChars="0"/>
                    <w:jc w:val="center"/>
                    <w:rPr>
                      <w:rFonts w:ascii="Times New Roman" w:hAnsiTheme="majorEastAsia" w:eastAsiaTheme="majorEastAsia"/>
                      <w:szCs w:val="21"/>
                    </w:rPr>
                  </w:pPr>
                </w:p>
              </w:tc>
            </w:tr>
          </w:tbl>
          <w:p>
            <w:pPr>
              <w:pStyle w:val="30"/>
              <w:adjustRightInd w:val="0"/>
              <w:snapToGrid w:val="0"/>
              <w:spacing w:after="0" w:line="360" w:lineRule="auto"/>
              <w:ind w:firstLine="480" w:firstLineChars="200"/>
              <w:rPr>
                <w:rFonts w:ascii="Times New Roman" w:hAnsiTheme="majorEastAsia" w:eastAsiaTheme="majorEastAsia"/>
                <w:sz w:val="24"/>
              </w:rPr>
            </w:pPr>
            <w:r>
              <w:rPr>
                <w:rFonts w:hint="eastAsia" w:ascii="Times New Roman" w:hAnsiTheme="majorEastAsia" w:eastAsiaTheme="majorEastAsia"/>
                <w:sz w:val="24"/>
              </w:rPr>
              <w:t>根据《危险化学品重大危险源辨识》（GB18218-2018）及《建设项目环境风险评价技术导则》（HJT169-2018）附录 B判定其是否属于危化品或危险物质。</w:t>
            </w:r>
          </w:p>
          <w:p>
            <w:pPr>
              <w:pStyle w:val="30"/>
              <w:spacing w:after="0" w:line="360" w:lineRule="auto"/>
              <w:ind w:firstLine="480" w:firstLineChars="200"/>
              <w:rPr>
                <w:rFonts w:ascii="Times New Roman" w:hAnsi="Times New Roman"/>
                <w:kern w:val="0"/>
                <w:sz w:val="24"/>
                <w:szCs w:val="22"/>
              </w:rPr>
            </w:pPr>
            <w:r>
              <w:rPr>
                <w:rFonts w:hint="eastAsia" w:ascii="Times New Roman" w:hAnsi="Times New Roman"/>
                <w:kern w:val="0"/>
                <w:sz w:val="24"/>
                <w:szCs w:val="22"/>
              </w:rPr>
              <w:t>主要原辅材料理化性质详见表2-6。</w:t>
            </w:r>
          </w:p>
          <w:p>
            <w:pPr>
              <w:spacing w:beforeLines="50"/>
              <w:jc w:val="center"/>
              <w:rPr>
                <w:b/>
              </w:rPr>
            </w:pPr>
            <w:r>
              <w:rPr>
                <w:rFonts w:hint="eastAsia"/>
                <w:b/>
              </w:rPr>
              <w:t>表2-6  项目主要原辅材料理化性质一览表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10"/>
              <w:gridCol w:w="4875"/>
              <w:gridCol w:w="1301"/>
              <w:gridCol w:w="14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b/>
                      <w:bCs/>
                      <w:kern w:val="0"/>
                      <w:szCs w:val="21"/>
                    </w:rPr>
                  </w:pPr>
                  <w:r>
                    <w:rPr>
                      <w:b/>
                      <w:bCs/>
                      <w:kern w:val="0"/>
                      <w:szCs w:val="21"/>
                    </w:rPr>
                    <w:t>序号</w:t>
                  </w:r>
                </w:p>
              </w:tc>
              <w:tc>
                <w:tcPr>
                  <w:tcW w:w="652" w:type="pct"/>
                  <w:tcBorders>
                    <w:tl2br w:val="nil"/>
                    <w:tr2bl w:val="nil"/>
                  </w:tcBorders>
                  <w:vAlign w:val="center"/>
                </w:tcPr>
                <w:p>
                  <w:pPr>
                    <w:jc w:val="center"/>
                    <w:rPr>
                      <w:b/>
                      <w:bCs/>
                      <w:kern w:val="0"/>
                      <w:szCs w:val="21"/>
                    </w:rPr>
                  </w:pPr>
                  <w:r>
                    <w:rPr>
                      <w:b/>
                      <w:bCs/>
                      <w:kern w:val="0"/>
                      <w:szCs w:val="21"/>
                    </w:rPr>
                    <w:t>原料名称</w:t>
                  </w:r>
                </w:p>
              </w:tc>
              <w:tc>
                <w:tcPr>
                  <w:tcW w:w="2627" w:type="pct"/>
                  <w:tcBorders>
                    <w:tl2br w:val="nil"/>
                    <w:tr2bl w:val="nil"/>
                  </w:tcBorders>
                  <w:vAlign w:val="center"/>
                </w:tcPr>
                <w:p>
                  <w:pPr>
                    <w:jc w:val="center"/>
                    <w:rPr>
                      <w:b/>
                      <w:bCs/>
                      <w:kern w:val="0"/>
                      <w:szCs w:val="21"/>
                    </w:rPr>
                  </w:pPr>
                  <w:r>
                    <w:rPr>
                      <w:rFonts w:hint="eastAsia"/>
                      <w:b/>
                      <w:bCs/>
                      <w:kern w:val="0"/>
                      <w:szCs w:val="21"/>
                    </w:rPr>
                    <w:t>成分</w:t>
                  </w:r>
                </w:p>
              </w:tc>
              <w:tc>
                <w:tcPr>
                  <w:tcW w:w="701" w:type="pct"/>
                  <w:tcBorders>
                    <w:tl2br w:val="nil"/>
                    <w:tr2bl w:val="nil"/>
                  </w:tcBorders>
                  <w:vAlign w:val="center"/>
                </w:tcPr>
                <w:p>
                  <w:pPr>
                    <w:jc w:val="center"/>
                    <w:rPr>
                      <w:b/>
                      <w:bCs/>
                      <w:kern w:val="0"/>
                      <w:szCs w:val="21"/>
                    </w:rPr>
                  </w:pPr>
                  <w:r>
                    <w:rPr>
                      <w:rFonts w:hint="eastAsia"/>
                      <w:b/>
                      <w:bCs/>
                      <w:kern w:val="0"/>
                      <w:szCs w:val="21"/>
                    </w:rPr>
                    <w:t>CAS号</w:t>
                  </w:r>
                </w:p>
              </w:tc>
              <w:tc>
                <w:tcPr>
                  <w:tcW w:w="790" w:type="pct"/>
                  <w:tcBorders>
                    <w:tl2br w:val="nil"/>
                    <w:tr2bl w:val="nil"/>
                  </w:tcBorders>
                  <w:vAlign w:val="center"/>
                </w:tcPr>
                <w:p>
                  <w:pPr>
                    <w:jc w:val="center"/>
                    <w:rPr>
                      <w:b/>
                      <w:bCs/>
                      <w:kern w:val="0"/>
                      <w:szCs w:val="21"/>
                    </w:rPr>
                  </w:pPr>
                  <w:r>
                    <w:rPr>
                      <w:rFonts w:hint="eastAsia"/>
                      <w:b/>
                      <w:bCs/>
                      <w:kern w:val="0"/>
                      <w:szCs w:val="21"/>
                    </w:rPr>
                    <w:t>是否为危险物质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1</w:t>
                  </w:r>
                </w:p>
              </w:tc>
              <w:tc>
                <w:tcPr>
                  <w:tcW w:w="652" w:type="pct"/>
                  <w:tcBorders>
                    <w:tl2br w:val="nil"/>
                    <w:tr2bl w:val="nil"/>
                  </w:tcBorders>
                  <w:vAlign w:val="center"/>
                </w:tcPr>
                <w:p>
                  <w:pPr>
                    <w:widowControl/>
                    <w:jc w:val="center"/>
                    <w:textAlignment w:val="center"/>
                    <w:rPr>
                      <w:kern w:val="0"/>
                      <w:szCs w:val="21"/>
                    </w:rPr>
                  </w:pPr>
                  <w:r>
                    <w:rPr>
                      <w:rFonts w:hint="eastAsia"/>
                      <w:kern w:val="0"/>
                      <w:szCs w:val="21"/>
                    </w:rPr>
                    <w:t>异构醇油酸皂DF-20</w:t>
                  </w:r>
                </w:p>
              </w:tc>
              <w:tc>
                <w:tcPr>
                  <w:tcW w:w="2627" w:type="pct"/>
                  <w:tcBorders>
                    <w:tl2br w:val="nil"/>
                    <w:tr2bl w:val="nil"/>
                  </w:tcBorders>
                  <w:vAlign w:val="center"/>
                </w:tcPr>
                <w:p>
                  <w:pPr>
                    <w:jc w:val="center"/>
                    <w:rPr>
                      <w:kern w:val="0"/>
                      <w:szCs w:val="21"/>
                    </w:rPr>
                  </w:pPr>
                  <w:r>
                    <w:rPr>
                      <w:rFonts w:hint="eastAsia"/>
                      <w:kern w:val="0"/>
                      <w:szCs w:val="21"/>
                    </w:rPr>
                    <w:t>由混胺与高脂酸经异构合成工艺完成，皂化值高，防锈润滑性优异，在工业金属表面处理剂中发挥着不可替代的作用；耐磨性、防锈性、皂化、去污、除蜡、研磨、切割、润滑等金属加工液使用中优于三乙醇胺油酸皂（油酸三乙醇胺）。</w:t>
                  </w:r>
                </w:p>
              </w:tc>
              <w:tc>
                <w:tcPr>
                  <w:tcW w:w="701" w:type="pct"/>
                  <w:tcBorders>
                    <w:tl2br w:val="nil"/>
                    <w:tr2bl w:val="nil"/>
                  </w:tcBorders>
                  <w:vAlign w:val="center"/>
                </w:tcPr>
                <w:p>
                  <w:pPr>
                    <w:jc w:val="center"/>
                    <w:rPr>
                      <w:kern w:val="0"/>
                      <w:szCs w:val="21"/>
                    </w:rPr>
                  </w:pPr>
                  <w:r>
                    <w:rPr>
                      <w:rFonts w:hint="eastAsia"/>
                      <w:kern w:val="0"/>
                      <w:szCs w:val="21"/>
                    </w:rPr>
                    <w:t>/</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2</w:t>
                  </w:r>
                </w:p>
              </w:tc>
              <w:tc>
                <w:tcPr>
                  <w:tcW w:w="652" w:type="pct"/>
                  <w:tcBorders>
                    <w:tl2br w:val="nil"/>
                    <w:tr2bl w:val="nil"/>
                  </w:tcBorders>
                  <w:vAlign w:val="center"/>
                </w:tcPr>
                <w:p>
                  <w:pPr>
                    <w:widowControl/>
                    <w:jc w:val="center"/>
                    <w:textAlignment w:val="center"/>
                    <w:rPr>
                      <w:kern w:val="0"/>
                      <w:szCs w:val="21"/>
                    </w:rPr>
                  </w:pPr>
                  <w:r>
                    <w:rPr>
                      <w:rFonts w:hint="eastAsia"/>
                      <w:kern w:val="0"/>
                      <w:szCs w:val="21"/>
                    </w:rPr>
                    <w:t>氢氧化钠</w:t>
                  </w:r>
                </w:p>
              </w:tc>
              <w:tc>
                <w:tcPr>
                  <w:tcW w:w="2627" w:type="pct"/>
                  <w:tcBorders>
                    <w:tl2br w:val="nil"/>
                    <w:tr2bl w:val="nil"/>
                  </w:tcBorders>
                  <w:vAlign w:val="center"/>
                </w:tcPr>
                <w:p>
                  <w:pPr>
                    <w:jc w:val="center"/>
                    <w:rPr>
                      <w:kern w:val="0"/>
                      <w:szCs w:val="21"/>
                    </w:rPr>
                  </w:pPr>
                  <w:r>
                    <w:rPr>
                      <w:rFonts w:hint="eastAsia"/>
                      <w:kern w:val="0"/>
                      <w:szCs w:val="21"/>
                    </w:rPr>
                    <w:t>也称苛性钠、烧碱、火碱，是一种无机化合物，化学式NaOH，氢氧化钠具有强碱性，腐蚀性极强，可作酸中和剂、配合掩蔽剂、沉淀剂、沉淀掩蔽剂、显色剂、皂化剂、去皮剂、洗涤剂等，用途非常广泛，密度：2.13g/cm</w:t>
                  </w:r>
                  <w:r>
                    <w:rPr>
                      <w:rFonts w:hint="eastAsia"/>
                      <w:kern w:val="0"/>
                      <w:szCs w:val="21"/>
                      <w:vertAlign w:val="superscript"/>
                    </w:rPr>
                    <w:t>3</w:t>
                  </w:r>
                  <w:r>
                    <w:rPr>
                      <w:rFonts w:hint="eastAsia"/>
                      <w:kern w:val="0"/>
                      <w:szCs w:val="21"/>
                    </w:rPr>
                    <w:t>，熔点：318℃，沸点：1388℃，临界压力：25MPa，饱和蒸气压：0.13kPa（739℃）外观：白色结晶性粉末。</w:t>
                  </w:r>
                </w:p>
              </w:tc>
              <w:tc>
                <w:tcPr>
                  <w:tcW w:w="701" w:type="pct"/>
                  <w:tcBorders>
                    <w:tl2br w:val="nil"/>
                    <w:tr2bl w:val="nil"/>
                  </w:tcBorders>
                  <w:vAlign w:val="center"/>
                </w:tcPr>
                <w:p>
                  <w:pPr>
                    <w:jc w:val="center"/>
                    <w:rPr>
                      <w:kern w:val="0"/>
                      <w:szCs w:val="21"/>
                    </w:rPr>
                  </w:pPr>
                  <w:r>
                    <w:rPr>
                      <w:szCs w:val="21"/>
                    </w:rPr>
                    <w:t>1310-73-2</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30" w:type="pct"/>
                  <w:tcBorders>
                    <w:tl2br w:val="nil"/>
                    <w:tr2bl w:val="nil"/>
                  </w:tcBorders>
                  <w:vAlign w:val="center"/>
                </w:tcPr>
                <w:p>
                  <w:pPr>
                    <w:jc w:val="center"/>
                    <w:rPr>
                      <w:kern w:val="0"/>
                      <w:szCs w:val="21"/>
                    </w:rPr>
                  </w:pPr>
                  <w:r>
                    <w:rPr>
                      <w:kern w:val="0"/>
                      <w:szCs w:val="21"/>
                    </w:rPr>
                    <w:t>3</w:t>
                  </w:r>
                </w:p>
              </w:tc>
              <w:tc>
                <w:tcPr>
                  <w:tcW w:w="652" w:type="pct"/>
                  <w:tcBorders>
                    <w:tl2br w:val="nil"/>
                    <w:tr2bl w:val="nil"/>
                  </w:tcBorders>
                  <w:vAlign w:val="center"/>
                </w:tcPr>
                <w:p>
                  <w:pPr>
                    <w:widowControl/>
                    <w:jc w:val="center"/>
                    <w:textAlignment w:val="center"/>
                    <w:rPr>
                      <w:kern w:val="0"/>
                      <w:szCs w:val="21"/>
                    </w:rPr>
                  </w:pPr>
                  <w:r>
                    <w:rPr>
                      <w:color w:val="000000"/>
                      <w:kern w:val="0"/>
                      <w:szCs w:val="21"/>
                    </w:rPr>
                    <w:t>五水偏硅酸钠</w:t>
                  </w:r>
                </w:p>
              </w:tc>
              <w:tc>
                <w:tcPr>
                  <w:tcW w:w="2627" w:type="pct"/>
                  <w:tcBorders>
                    <w:tl2br w:val="nil"/>
                    <w:tr2bl w:val="nil"/>
                  </w:tcBorders>
                  <w:vAlign w:val="center"/>
                </w:tcPr>
                <w:p>
                  <w:pPr>
                    <w:jc w:val="center"/>
                    <w:rPr>
                      <w:kern w:val="0"/>
                      <w:szCs w:val="21"/>
                    </w:rPr>
                  </w:pPr>
                  <w:r>
                    <w:rPr>
                      <w:kern w:val="0"/>
                      <w:szCs w:val="21"/>
                    </w:rPr>
                    <w:t>H</w:t>
                  </w:r>
                  <w:r>
                    <w:rPr>
                      <w:kern w:val="0"/>
                      <w:szCs w:val="21"/>
                      <w:vertAlign w:val="subscript"/>
                    </w:rPr>
                    <w:t>10</w:t>
                  </w:r>
                  <w:r>
                    <w:rPr>
                      <w:kern w:val="0"/>
                      <w:szCs w:val="21"/>
                    </w:rPr>
                    <w:t>Na</w:t>
                  </w:r>
                  <w:r>
                    <w:rPr>
                      <w:kern w:val="0"/>
                      <w:szCs w:val="21"/>
                      <w:vertAlign w:val="subscript"/>
                    </w:rPr>
                    <w:t>2</w:t>
                  </w:r>
                  <w:r>
                    <w:rPr>
                      <w:kern w:val="0"/>
                      <w:szCs w:val="21"/>
                    </w:rPr>
                    <w:t>O</w:t>
                  </w:r>
                  <w:r>
                    <w:rPr>
                      <w:kern w:val="0"/>
                      <w:szCs w:val="21"/>
                      <w:vertAlign w:val="subscript"/>
                    </w:rPr>
                    <w:t>8</w:t>
                  </w:r>
                  <w:r>
                    <w:rPr>
                      <w:kern w:val="0"/>
                      <w:szCs w:val="21"/>
                    </w:rPr>
                    <w:t>Si，</w:t>
                  </w:r>
                  <w:r>
                    <w:rPr>
                      <w:rFonts w:hint="eastAsia"/>
                      <w:kern w:val="0"/>
                      <w:szCs w:val="21"/>
                    </w:rPr>
                    <w:t>分子量为212.14，略带绿色或白色粉末，透明块状或粘稠液体。</w:t>
                  </w:r>
                </w:p>
              </w:tc>
              <w:tc>
                <w:tcPr>
                  <w:tcW w:w="701" w:type="pct"/>
                  <w:tcBorders>
                    <w:tl2br w:val="nil"/>
                    <w:tr2bl w:val="nil"/>
                  </w:tcBorders>
                  <w:vAlign w:val="center"/>
                </w:tcPr>
                <w:p>
                  <w:pPr>
                    <w:jc w:val="center"/>
                    <w:rPr>
                      <w:kern w:val="0"/>
                      <w:szCs w:val="21"/>
                    </w:rPr>
                  </w:pPr>
                  <w:r>
                    <w:rPr>
                      <w:rFonts w:hint="eastAsia"/>
                      <w:kern w:val="0"/>
                      <w:szCs w:val="21"/>
                    </w:rPr>
                    <w:t>/</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4</w:t>
                  </w:r>
                </w:p>
              </w:tc>
              <w:tc>
                <w:tcPr>
                  <w:tcW w:w="652" w:type="pct"/>
                  <w:tcBorders>
                    <w:tl2br w:val="nil"/>
                    <w:tr2bl w:val="nil"/>
                  </w:tcBorders>
                  <w:vAlign w:val="center"/>
                </w:tcPr>
                <w:p>
                  <w:pPr>
                    <w:widowControl/>
                    <w:jc w:val="center"/>
                    <w:textAlignment w:val="center"/>
                    <w:rPr>
                      <w:kern w:val="0"/>
                      <w:szCs w:val="21"/>
                    </w:rPr>
                  </w:pPr>
                  <w:r>
                    <w:rPr>
                      <w:rFonts w:hint="eastAsia"/>
                      <w:kern w:val="0"/>
                      <w:szCs w:val="21"/>
                    </w:rPr>
                    <w:t>异构醇醚</w:t>
                  </w:r>
                </w:p>
              </w:tc>
              <w:tc>
                <w:tcPr>
                  <w:tcW w:w="2627" w:type="pct"/>
                  <w:tcBorders>
                    <w:tl2br w:val="nil"/>
                    <w:tr2bl w:val="nil"/>
                  </w:tcBorders>
                  <w:vAlign w:val="center"/>
                </w:tcPr>
                <w:p>
                  <w:pPr>
                    <w:jc w:val="center"/>
                    <w:rPr>
                      <w:kern w:val="0"/>
                      <w:szCs w:val="21"/>
                    </w:rPr>
                  </w:pPr>
                  <w:r>
                    <w:rPr>
                      <w:rFonts w:hint="eastAsia"/>
                      <w:kern w:val="0"/>
                      <w:szCs w:val="21"/>
                    </w:rPr>
                    <w:t>作为表面活性剂一种的化工类产品，主要分为异构十醇聚氧乙烯醚、异构十一醇聚氧乙烯醚、异构十三醇聚氧乙烯醚等几种。广泛应用于纺织业、皮革、日化洗涤等，是高效的分散剂、润湿剂和乳化剂。</w:t>
                  </w:r>
                </w:p>
              </w:tc>
              <w:tc>
                <w:tcPr>
                  <w:tcW w:w="701" w:type="pct"/>
                  <w:tcBorders>
                    <w:tl2br w:val="nil"/>
                    <w:tr2bl w:val="nil"/>
                  </w:tcBorders>
                  <w:vAlign w:val="center"/>
                </w:tcPr>
                <w:p>
                  <w:pPr>
                    <w:jc w:val="center"/>
                    <w:rPr>
                      <w:kern w:val="0"/>
                      <w:szCs w:val="21"/>
                    </w:rPr>
                  </w:pPr>
                  <w:r>
                    <w:rPr>
                      <w:rFonts w:hint="eastAsia"/>
                      <w:kern w:val="0"/>
                      <w:szCs w:val="21"/>
                    </w:rPr>
                    <w:t>/</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5</w:t>
                  </w:r>
                </w:p>
              </w:tc>
              <w:tc>
                <w:tcPr>
                  <w:tcW w:w="652" w:type="pct"/>
                  <w:tcBorders>
                    <w:tl2br w:val="nil"/>
                    <w:tr2bl w:val="nil"/>
                  </w:tcBorders>
                  <w:vAlign w:val="center"/>
                </w:tcPr>
                <w:p>
                  <w:pPr>
                    <w:widowControl/>
                    <w:jc w:val="center"/>
                    <w:textAlignment w:val="center"/>
                    <w:rPr>
                      <w:kern w:val="0"/>
                      <w:szCs w:val="21"/>
                    </w:rPr>
                  </w:pPr>
                  <w:r>
                    <w:rPr>
                      <w:rFonts w:hint="eastAsia"/>
                      <w:kern w:val="0"/>
                      <w:szCs w:val="21"/>
                    </w:rPr>
                    <w:t>葡萄糖酸钠</w:t>
                  </w:r>
                </w:p>
              </w:tc>
              <w:tc>
                <w:tcPr>
                  <w:tcW w:w="2627" w:type="pct"/>
                  <w:tcBorders>
                    <w:tl2br w:val="nil"/>
                    <w:tr2bl w:val="nil"/>
                  </w:tcBorders>
                  <w:vAlign w:val="center"/>
                </w:tcPr>
                <w:p>
                  <w:pPr>
                    <w:jc w:val="center"/>
                    <w:rPr>
                      <w:kern w:val="0"/>
                      <w:szCs w:val="21"/>
                    </w:rPr>
                  </w:pPr>
                  <w:r>
                    <w:rPr>
                      <w:rFonts w:hint="eastAsia"/>
                      <w:kern w:val="0"/>
                      <w:szCs w:val="21"/>
                    </w:rPr>
                    <w:t>分子式：C</w:t>
                  </w:r>
                  <w:r>
                    <w:rPr>
                      <w:rFonts w:hint="eastAsia"/>
                      <w:kern w:val="0"/>
                      <w:szCs w:val="21"/>
                      <w:vertAlign w:val="subscript"/>
                    </w:rPr>
                    <w:t>6</w:t>
                  </w:r>
                  <w:r>
                    <w:rPr>
                      <w:rFonts w:hint="eastAsia"/>
                      <w:kern w:val="0"/>
                      <w:szCs w:val="21"/>
                    </w:rPr>
                    <w:t>H</w:t>
                  </w:r>
                  <w:r>
                    <w:rPr>
                      <w:rFonts w:hint="eastAsia"/>
                      <w:kern w:val="0"/>
                      <w:szCs w:val="21"/>
                      <w:vertAlign w:val="subscript"/>
                    </w:rPr>
                    <w:t>11</w:t>
                  </w:r>
                  <w:r>
                    <w:rPr>
                      <w:rFonts w:hint="eastAsia"/>
                      <w:kern w:val="0"/>
                      <w:szCs w:val="21"/>
                    </w:rPr>
                    <w:t>NaO</w:t>
                  </w:r>
                  <w:r>
                    <w:rPr>
                      <w:rFonts w:hint="eastAsia"/>
                      <w:kern w:val="0"/>
                      <w:szCs w:val="21"/>
                      <w:vertAlign w:val="subscript"/>
                    </w:rPr>
                    <w:t>7</w:t>
                  </w:r>
                  <w:r>
                    <w:rPr>
                      <w:rFonts w:hint="eastAsia"/>
                      <w:kern w:val="0"/>
                      <w:szCs w:val="21"/>
                    </w:rPr>
                    <w:t>；分子量：218.14；密度：1.763g/cm</w:t>
                  </w:r>
                  <w:r>
                    <w:rPr>
                      <w:rFonts w:hint="eastAsia"/>
                      <w:kern w:val="0"/>
                      <w:szCs w:val="21"/>
                      <w:vertAlign w:val="superscript"/>
                    </w:rPr>
                    <w:t>3</w:t>
                  </w:r>
                  <w:r>
                    <w:rPr>
                      <w:rFonts w:hint="eastAsia"/>
                      <w:kern w:val="0"/>
                      <w:szCs w:val="21"/>
                    </w:rPr>
                    <w:t>；闪点：375.2℃；熔点206℃（dec.）（lit.）；沸点：673.6℃at760mmHg；其外观为白色至褐色结晶颗粒或结晶粉末状。极易溶于水，略溶于酒精，不溶于乙醇。</w:t>
                  </w:r>
                </w:p>
              </w:tc>
              <w:tc>
                <w:tcPr>
                  <w:tcW w:w="701" w:type="pct"/>
                  <w:tcBorders>
                    <w:tl2br w:val="nil"/>
                    <w:tr2bl w:val="nil"/>
                  </w:tcBorders>
                  <w:vAlign w:val="center"/>
                </w:tcPr>
                <w:p>
                  <w:pPr>
                    <w:jc w:val="center"/>
                    <w:rPr>
                      <w:kern w:val="0"/>
                      <w:szCs w:val="21"/>
                    </w:rPr>
                  </w:pPr>
                  <w:r>
                    <w:rPr>
                      <w:szCs w:val="21"/>
                    </w:rPr>
                    <w:t>527-07-1</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6</w:t>
                  </w:r>
                </w:p>
              </w:tc>
              <w:tc>
                <w:tcPr>
                  <w:tcW w:w="652" w:type="pct"/>
                  <w:tcBorders>
                    <w:tl2br w:val="nil"/>
                    <w:tr2bl w:val="nil"/>
                  </w:tcBorders>
                  <w:vAlign w:val="center"/>
                </w:tcPr>
                <w:p>
                  <w:pPr>
                    <w:widowControl/>
                    <w:jc w:val="center"/>
                    <w:textAlignment w:val="center"/>
                    <w:rPr>
                      <w:kern w:val="0"/>
                      <w:szCs w:val="21"/>
                    </w:rPr>
                  </w:pPr>
                  <w:r>
                    <w:rPr>
                      <w:rFonts w:hint="eastAsia"/>
                      <w:kern w:val="0"/>
                      <w:szCs w:val="21"/>
                    </w:rPr>
                    <w:t>乙二胺四乙酸二钠（EDTA）</w:t>
                  </w:r>
                </w:p>
              </w:tc>
              <w:tc>
                <w:tcPr>
                  <w:tcW w:w="2627" w:type="pct"/>
                  <w:tcBorders>
                    <w:tl2br w:val="nil"/>
                    <w:tr2bl w:val="nil"/>
                  </w:tcBorders>
                  <w:vAlign w:val="center"/>
                </w:tcPr>
                <w:p>
                  <w:pPr>
                    <w:jc w:val="center"/>
                    <w:rPr>
                      <w:kern w:val="0"/>
                      <w:szCs w:val="21"/>
                    </w:rPr>
                  </w:pPr>
                  <w:r>
                    <w:rPr>
                      <w:rFonts w:hint="eastAsia"/>
                      <w:kern w:val="0"/>
                      <w:szCs w:val="21"/>
                    </w:rPr>
                    <w:t>乙二胺四乙酸二钠，又叫做EDTA-2Na，是化学中一种良好的配合剂。化学式为C</w:t>
                  </w:r>
                  <w:r>
                    <w:rPr>
                      <w:rFonts w:hint="eastAsia"/>
                      <w:kern w:val="0"/>
                      <w:szCs w:val="21"/>
                      <w:vertAlign w:val="subscript"/>
                    </w:rPr>
                    <w:t>10</w:t>
                  </w:r>
                  <w:r>
                    <w:rPr>
                      <w:rFonts w:hint="eastAsia"/>
                      <w:kern w:val="0"/>
                      <w:szCs w:val="21"/>
                    </w:rPr>
                    <w:t>H</w:t>
                  </w:r>
                  <w:r>
                    <w:rPr>
                      <w:rFonts w:hint="eastAsia"/>
                      <w:kern w:val="0"/>
                      <w:szCs w:val="21"/>
                      <w:vertAlign w:val="subscript"/>
                    </w:rPr>
                    <w:t>14</w:t>
                  </w:r>
                  <w:r>
                    <w:rPr>
                      <w:rFonts w:hint="eastAsia"/>
                      <w:kern w:val="0"/>
                      <w:szCs w:val="21"/>
                    </w:rPr>
                    <w:t>N</w:t>
                  </w:r>
                  <w:r>
                    <w:rPr>
                      <w:rFonts w:hint="eastAsia"/>
                      <w:kern w:val="0"/>
                      <w:szCs w:val="21"/>
                      <w:vertAlign w:val="subscript"/>
                    </w:rPr>
                    <w:t>2</w:t>
                  </w:r>
                  <w:r>
                    <w:rPr>
                      <w:rFonts w:hint="eastAsia"/>
                      <w:kern w:val="0"/>
                      <w:szCs w:val="21"/>
                    </w:rPr>
                    <w:t>Na</w:t>
                  </w:r>
                  <w:r>
                    <w:rPr>
                      <w:rFonts w:hint="eastAsia"/>
                      <w:kern w:val="0"/>
                      <w:szCs w:val="21"/>
                      <w:vertAlign w:val="subscript"/>
                    </w:rPr>
                    <w:t>2</w:t>
                  </w:r>
                  <w:r>
                    <w:rPr>
                      <w:rFonts w:hint="eastAsia"/>
                      <w:kern w:val="0"/>
                      <w:szCs w:val="21"/>
                    </w:rPr>
                    <w:t>O</w:t>
                  </w:r>
                  <w:r>
                    <w:rPr>
                      <w:rFonts w:hint="eastAsia"/>
                      <w:kern w:val="0"/>
                      <w:szCs w:val="21"/>
                      <w:vertAlign w:val="subscript"/>
                    </w:rPr>
                    <w:t>8</w:t>
                  </w:r>
                  <w:r>
                    <w:rPr>
                      <w:rFonts w:hint="eastAsia"/>
                      <w:kern w:val="0"/>
                      <w:szCs w:val="21"/>
                    </w:rPr>
                    <w:t>，分子量为336.206，熔点（℃）248（分解），它有六个配位原子，形成的配合物叫做螯合物，EDTA在配位滴定中经常用到，一般是测定金属离子的含量。EDTA在染料、食品、药品等工业上有重要用途。乙二胺四乙酸二钠为无味无臭或微咸的白色或乳白色结晶或颗粒状粉末，无臭、无味。它能溶于水，极难溶于乙醇。</w:t>
                  </w:r>
                </w:p>
              </w:tc>
              <w:tc>
                <w:tcPr>
                  <w:tcW w:w="701" w:type="pct"/>
                  <w:tcBorders>
                    <w:tl2br w:val="nil"/>
                    <w:tr2bl w:val="nil"/>
                  </w:tcBorders>
                  <w:vAlign w:val="center"/>
                </w:tcPr>
                <w:p>
                  <w:pPr>
                    <w:jc w:val="center"/>
                    <w:rPr>
                      <w:kern w:val="0"/>
                      <w:szCs w:val="21"/>
                    </w:rPr>
                  </w:pPr>
                  <w:r>
                    <w:rPr>
                      <w:rFonts w:hint="eastAsia"/>
                      <w:kern w:val="0"/>
                      <w:szCs w:val="21"/>
                    </w:rPr>
                    <w:t>/</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7</w:t>
                  </w:r>
                </w:p>
              </w:tc>
              <w:tc>
                <w:tcPr>
                  <w:tcW w:w="652" w:type="pct"/>
                  <w:tcBorders>
                    <w:tl2br w:val="nil"/>
                    <w:tr2bl w:val="nil"/>
                  </w:tcBorders>
                  <w:vAlign w:val="center"/>
                </w:tcPr>
                <w:p>
                  <w:pPr>
                    <w:widowControl/>
                    <w:jc w:val="center"/>
                    <w:textAlignment w:val="center"/>
                    <w:rPr>
                      <w:kern w:val="0"/>
                      <w:szCs w:val="21"/>
                    </w:rPr>
                  </w:pPr>
                  <w:r>
                    <w:rPr>
                      <w:rFonts w:hint="eastAsia"/>
                      <w:kern w:val="0"/>
                      <w:szCs w:val="21"/>
                    </w:rPr>
                    <w:t>烷基糖苷（APG）</w:t>
                  </w:r>
                </w:p>
              </w:tc>
              <w:tc>
                <w:tcPr>
                  <w:tcW w:w="2627" w:type="pct"/>
                  <w:tcBorders>
                    <w:tl2br w:val="nil"/>
                    <w:tr2bl w:val="nil"/>
                  </w:tcBorders>
                  <w:vAlign w:val="center"/>
                </w:tcPr>
                <w:p>
                  <w:pPr>
                    <w:jc w:val="center"/>
                    <w:rPr>
                      <w:kern w:val="0"/>
                      <w:szCs w:val="21"/>
                    </w:rPr>
                  </w:pPr>
                  <w:r>
                    <w:rPr>
                      <w:rFonts w:hint="eastAsia"/>
                      <w:kern w:val="0"/>
                      <w:szCs w:val="21"/>
                    </w:rPr>
                    <w:t>是由葡萄糖与脂肪醇通过复杂合成产生的非离子表面活性剂。它是由复杂糖苷化合物中糖单元至少为2的糖苷构成的烷基多糖苷，聚合度n范围在1.1~3，烃基R通常为C8~C16。APG的独特之处在于其在常温下可呈现白色固体粉末或淡黄色油状液体，具有极高的水溶性，但在常见有机溶剂中溶解度相对较低。</w:t>
                  </w:r>
                </w:p>
              </w:tc>
              <w:tc>
                <w:tcPr>
                  <w:tcW w:w="701" w:type="pct"/>
                  <w:tcBorders>
                    <w:tl2br w:val="nil"/>
                    <w:tr2bl w:val="nil"/>
                  </w:tcBorders>
                  <w:vAlign w:val="center"/>
                </w:tcPr>
                <w:p>
                  <w:pPr>
                    <w:jc w:val="center"/>
                    <w:rPr>
                      <w:kern w:val="0"/>
                      <w:szCs w:val="21"/>
                    </w:rPr>
                  </w:pPr>
                  <w:r>
                    <w:rPr>
                      <w:rFonts w:hint="eastAsia"/>
                      <w:kern w:val="0"/>
                      <w:szCs w:val="21"/>
                    </w:rPr>
                    <w:t>/</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8</w:t>
                  </w:r>
                </w:p>
              </w:tc>
              <w:tc>
                <w:tcPr>
                  <w:tcW w:w="652" w:type="pct"/>
                  <w:tcBorders>
                    <w:tl2br w:val="nil"/>
                    <w:tr2bl w:val="nil"/>
                  </w:tcBorders>
                  <w:vAlign w:val="center"/>
                </w:tcPr>
                <w:p>
                  <w:pPr>
                    <w:widowControl/>
                    <w:jc w:val="center"/>
                    <w:textAlignment w:val="center"/>
                    <w:rPr>
                      <w:kern w:val="0"/>
                      <w:szCs w:val="21"/>
                    </w:rPr>
                  </w:pPr>
                  <w:r>
                    <w:rPr>
                      <w:kern w:val="0"/>
                      <w:szCs w:val="21"/>
                    </w:rPr>
                    <w:t>柠檬酸</w:t>
                  </w:r>
                </w:p>
              </w:tc>
              <w:tc>
                <w:tcPr>
                  <w:tcW w:w="2627" w:type="pct"/>
                  <w:tcBorders>
                    <w:tl2br w:val="nil"/>
                    <w:tr2bl w:val="nil"/>
                  </w:tcBorders>
                  <w:vAlign w:val="center"/>
                </w:tcPr>
                <w:p>
                  <w:pPr>
                    <w:jc w:val="center"/>
                    <w:rPr>
                      <w:kern w:val="0"/>
                      <w:szCs w:val="21"/>
                    </w:rPr>
                  </w:pPr>
                  <w:r>
                    <w:rPr>
                      <w:rFonts w:hint="eastAsia"/>
                      <w:kern w:val="0"/>
                      <w:szCs w:val="21"/>
                    </w:rPr>
                    <w:t>分子式为</w:t>
                  </w:r>
                  <w:r>
                    <w:rPr>
                      <w:kern w:val="0"/>
                      <w:szCs w:val="21"/>
                    </w:rPr>
                    <w:t>C</w:t>
                  </w:r>
                  <w:r>
                    <w:rPr>
                      <w:rFonts w:eastAsiaTheme="majorEastAsia"/>
                      <w:kern w:val="0"/>
                      <w:szCs w:val="21"/>
                      <w:vertAlign w:val="subscript"/>
                    </w:rPr>
                    <w:t>6</w:t>
                  </w:r>
                  <w:r>
                    <w:rPr>
                      <w:kern w:val="0"/>
                      <w:szCs w:val="21"/>
                    </w:rPr>
                    <w:t>H</w:t>
                  </w:r>
                  <w:r>
                    <w:rPr>
                      <w:rFonts w:hint="eastAsia" w:eastAsiaTheme="majorEastAsia"/>
                      <w:kern w:val="0"/>
                      <w:szCs w:val="21"/>
                      <w:vertAlign w:val="subscript"/>
                    </w:rPr>
                    <w:t>8</w:t>
                  </w:r>
                  <w:r>
                    <w:rPr>
                      <w:kern w:val="0"/>
                      <w:szCs w:val="21"/>
                    </w:rPr>
                    <w:t>O</w:t>
                  </w:r>
                  <w:r>
                    <w:rPr>
                      <w:rFonts w:hint="eastAsia" w:eastAsiaTheme="majorEastAsia"/>
                      <w:kern w:val="0"/>
                      <w:szCs w:val="21"/>
                      <w:vertAlign w:val="subscript"/>
                    </w:rPr>
                    <w:t>7</w:t>
                  </w:r>
                  <w:r>
                    <w:rPr>
                      <w:rFonts w:hint="eastAsia"/>
                      <w:kern w:val="0"/>
                      <w:szCs w:val="21"/>
                    </w:rPr>
                    <w:t>，是一种重要的有机酸，为无色晶体，无臭，有很强的酸味，易溶于水，密度</w:t>
                  </w:r>
                  <w:r>
                    <w:rPr>
                      <w:kern w:val="0"/>
                      <w:szCs w:val="21"/>
                    </w:rPr>
                    <w:t>1.542</w:t>
                  </w:r>
                  <w:r>
                    <w:rPr>
                      <w:rFonts w:hint="eastAsia"/>
                      <w:kern w:val="0"/>
                      <w:szCs w:val="21"/>
                    </w:rPr>
                    <w:t>，闪点</w:t>
                  </w:r>
                  <w:r>
                    <w:rPr>
                      <w:kern w:val="0"/>
                      <w:szCs w:val="21"/>
                    </w:rPr>
                    <w:t>110</w:t>
                  </w:r>
                  <w:r>
                    <w:rPr>
                      <w:rFonts w:hint="eastAsia"/>
                      <w:kern w:val="0"/>
                      <w:szCs w:val="21"/>
                    </w:rPr>
                    <w:t>℃，沸点：309.6±42.0 ℃ （760 mmHg），熔点</w:t>
                  </w:r>
                  <w:r>
                    <w:rPr>
                      <w:kern w:val="0"/>
                      <w:szCs w:val="21"/>
                    </w:rPr>
                    <w:t>153-159</w:t>
                  </w:r>
                  <w:r>
                    <w:rPr>
                      <w:rFonts w:hint="eastAsia"/>
                      <w:kern w:val="0"/>
                      <w:szCs w:val="21"/>
                    </w:rPr>
                    <w:t>℃，</w:t>
                  </w:r>
                  <w:r>
                    <w:rPr>
                      <w:kern w:val="0"/>
                      <w:szCs w:val="21"/>
                    </w:rPr>
                    <w:t>175</w:t>
                  </w:r>
                  <w:r>
                    <w:rPr>
                      <w:rFonts w:hint="eastAsia"/>
                      <w:kern w:val="0"/>
                      <w:szCs w:val="21"/>
                    </w:rPr>
                    <w:t>℃以上分解释放出水及二氧化碳。柠檬酸易溶于水，</w:t>
                  </w:r>
                  <w:r>
                    <w:rPr>
                      <w:kern w:val="0"/>
                      <w:szCs w:val="21"/>
                    </w:rPr>
                    <w:t>20</w:t>
                  </w:r>
                  <w:r>
                    <w:rPr>
                      <w:rFonts w:hint="eastAsia"/>
                      <w:kern w:val="0"/>
                      <w:szCs w:val="21"/>
                    </w:rPr>
                    <w:t>℃时溶解度为</w:t>
                  </w:r>
                  <w:r>
                    <w:rPr>
                      <w:kern w:val="0"/>
                      <w:szCs w:val="21"/>
                    </w:rPr>
                    <w:t>59%</w:t>
                  </w:r>
                  <w:r>
                    <w:rPr>
                      <w:rFonts w:hint="eastAsia"/>
                      <w:kern w:val="0"/>
                      <w:szCs w:val="21"/>
                    </w:rPr>
                    <w:t>，其2%水溶液的pH为2.1。柠檬酸结晶形态因结晶条件不同而存在差异，在干燥空气中微有风化性，在潮湿空气中有吸湿性，加热可以分解成多种产物，可与酸、碱、甘油等发生反应。柠檬酸溶于乙醇时与乙醇反应，生成柠檬酸乙酯</w:t>
                  </w:r>
                  <w:r>
                    <w:rPr>
                      <w:kern w:val="0"/>
                      <w:szCs w:val="21"/>
                    </w:rPr>
                    <w:t>。</w:t>
                  </w:r>
                </w:p>
              </w:tc>
              <w:tc>
                <w:tcPr>
                  <w:tcW w:w="701" w:type="pct"/>
                  <w:tcBorders>
                    <w:tl2br w:val="nil"/>
                    <w:tr2bl w:val="nil"/>
                  </w:tcBorders>
                  <w:vAlign w:val="center"/>
                </w:tcPr>
                <w:p>
                  <w:pPr>
                    <w:jc w:val="center"/>
                    <w:rPr>
                      <w:kern w:val="0"/>
                      <w:szCs w:val="21"/>
                    </w:rPr>
                  </w:pPr>
                  <w:r>
                    <w:rPr>
                      <w:szCs w:val="21"/>
                    </w:rPr>
                    <w:t>77-92-9</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9</w:t>
                  </w:r>
                </w:p>
              </w:tc>
              <w:tc>
                <w:tcPr>
                  <w:tcW w:w="652" w:type="pct"/>
                  <w:tcBorders>
                    <w:tl2br w:val="nil"/>
                    <w:tr2bl w:val="nil"/>
                  </w:tcBorders>
                  <w:vAlign w:val="center"/>
                </w:tcPr>
                <w:p>
                  <w:pPr>
                    <w:widowControl/>
                    <w:jc w:val="center"/>
                    <w:textAlignment w:val="center"/>
                    <w:rPr>
                      <w:kern w:val="0"/>
                      <w:szCs w:val="21"/>
                    </w:rPr>
                  </w:pPr>
                  <w:r>
                    <w:rPr>
                      <w:color w:val="000000"/>
                      <w:kern w:val="0"/>
                      <w:szCs w:val="21"/>
                    </w:rPr>
                    <w:t>椰子油酸二乙醇酰胺</w:t>
                  </w:r>
                </w:p>
              </w:tc>
              <w:tc>
                <w:tcPr>
                  <w:tcW w:w="2627" w:type="pct"/>
                  <w:tcBorders>
                    <w:tl2br w:val="nil"/>
                    <w:tr2bl w:val="nil"/>
                  </w:tcBorders>
                  <w:vAlign w:val="center"/>
                </w:tcPr>
                <w:p>
                  <w:pPr>
                    <w:jc w:val="center"/>
                    <w:rPr>
                      <w:kern w:val="0"/>
                      <w:szCs w:val="21"/>
                    </w:rPr>
                  </w:pPr>
                  <w:r>
                    <w:rPr>
                      <w:rFonts w:hint="eastAsia"/>
                      <w:kern w:val="0"/>
                      <w:szCs w:val="21"/>
                    </w:rPr>
                    <w:t>别名6501，分子式C</w:t>
                  </w:r>
                  <w:r>
                    <w:rPr>
                      <w:rFonts w:hint="eastAsia"/>
                      <w:kern w:val="0"/>
                      <w:szCs w:val="21"/>
                      <w:vertAlign w:val="subscript"/>
                    </w:rPr>
                    <w:t>11</w:t>
                  </w:r>
                  <w:r>
                    <w:rPr>
                      <w:rFonts w:hint="eastAsia"/>
                      <w:kern w:val="0"/>
                      <w:szCs w:val="21"/>
                    </w:rPr>
                    <w:t>H</w:t>
                  </w:r>
                  <w:r>
                    <w:rPr>
                      <w:rFonts w:hint="eastAsia"/>
                      <w:kern w:val="0"/>
                      <w:szCs w:val="21"/>
                      <w:vertAlign w:val="subscript"/>
                    </w:rPr>
                    <w:t>23</w:t>
                  </w:r>
                  <w:r>
                    <w:rPr>
                      <w:rFonts w:hint="eastAsia"/>
                      <w:kern w:val="0"/>
                      <w:szCs w:val="21"/>
                    </w:rPr>
                    <w:t>CON</w:t>
                  </w:r>
                  <w:r>
                    <w:rPr>
                      <w:rFonts w:hint="eastAsia"/>
                      <w:szCs w:val="21"/>
                    </w:rPr>
                    <w:t>（</w:t>
                  </w:r>
                  <w:r>
                    <w:rPr>
                      <w:szCs w:val="21"/>
                    </w:rPr>
                    <w:t>CH</w:t>
                  </w:r>
                  <w:r>
                    <w:rPr>
                      <w:rFonts w:hint="eastAsia"/>
                      <w:szCs w:val="21"/>
                      <w:vertAlign w:val="subscript"/>
                    </w:rPr>
                    <w:t>2</w:t>
                  </w:r>
                  <w:r>
                    <w:rPr>
                      <w:szCs w:val="21"/>
                    </w:rPr>
                    <w:t>CH</w:t>
                  </w:r>
                  <w:r>
                    <w:rPr>
                      <w:rFonts w:hint="eastAsia"/>
                      <w:szCs w:val="21"/>
                      <w:vertAlign w:val="subscript"/>
                    </w:rPr>
                    <w:t>2</w:t>
                  </w:r>
                  <w:r>
                    <w:rPr>
                      <w:szCs w:val="21"/>
                    </w:rPr>
                    <w:t>OH</w:t>
                  </w:r>
                  <w:r>
                    <w:rPr>
                      <w:rFonts w:hint="eastAsia"/>
                      <w:szCs w:val="21"/>
                    </w:rPr>
                    <w:t>）</w:t>
                  </w:r>
                  <w:r>
                    <w:rPr>
                      <w:rFonts w:hint="eastAsia"/>
                      <w:szCs w:val="21"/>
                      <w:vertAlign w:val="subscript"/>
                    </w:rPr>
                    <w:t>2</w:t>
                  </w:r>
                  <w:r>
                    <w:rPr>
                      <w:rFonts w:hint="eastAsia"/>
                      <w:kern w:val="0"/>
                      <w:szCs w:val="21"/>
                    </w:rPr>
                    <w:t>，分子量287.16，属于非离子表面活性剂，沸点：268.4℃，闪点188℃。性状为淡黄色至琥珀色粘稠液体，易溶于水、具有良好的发泡、稳泡、渗透去污、抗硬水等功能。</w:t>
                  </w:r>
                </w:p>
              </w:tc>
              <w:tc>
                <w:tcPr>
                  <w:tcW w:w="701" w:type="pct"/>
                  <w:tcBorders>
                    <w:tl2br w:val="nil"/>
                    <w:tr2bl w:val="nil"/>
                  </w:tcBorders>
                  <w:vAlign w:val="center"/>
                </w:tcPr>
                <w:p>
                  <w:pPr>
                    <w:jc w:val="center"/>
                    <w:rPr>
                      <w:kern w:val="0"/>
                      <w:szCs w:val="21"/>
                    </w:rPr>
                  </w:pPr>
                  <w:r>
                    <w:rPr>
                      <w:szCs w:val="21"/>
                    </w:rPr>
                    <w:t>68603-42-9</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10</w:t>
                  </w:r>
                </w:p>
              </w:tc>
              <w:tc>
                <w:tcPr>
                  <w:tcW w:w="652" w:type="pct"/>
                  <w:tcBorders>
                    <w:tl2br w:val="nil"/>
                    <w:tr2bl w:val="nil"/>
                  </w:tcBorders>
                  <w:vAlign w:val="center"/>
                </w:tcPr>
                <w:p>
                  <w:pPr>
                    <w:widowControl/>
                    <w:jc w:val="center"/>
                    <w:textAlignment w:val="center"/>
                    <w:rPr>
                      <w:kern w:val="0"/>
                      <w:szCs w:val="21"/>
                    </w:rPr>
                  </w:pPr>
                  <w:r>
                    <w:rPr>
                      <w:rFonts w:hAnsi="宋体"/>
                      <w:color w:val="000000"/>
                      <w:kern w:val="0"/>
                      <w:szCs w:val="21"/>
                    </w:rPr>
                    <w:t>三乙醇胺</w:t>
                  </w:r>
                </w:p>
              </w:tc>
              <w:tc>
                <w:tcPr>
                  <w:tcW w:w="2627" w:type="pct"/>
                  <w:tcBorders>
                    <w:tl2br w:val="nil"/>
                    <w:tr2bl w:val="nil"/>
                  </w:tcBorders>
                  <w:vAlign w:val="center"/>
                </w:tcPr>
                <w:p>
                  <w:pPr>
                    <w:jc w:val="center"/>
                    <w:rPr>
                      <w:kern w:val="0"/>
                      <w:szCs w:val="21"/>
                    </w:rPr>
                  </w:pPr>
                  <w:r>
                    <w:rPr>
                      <w:rFonts w:hint="eastAsia"/>
                      <w:kern w:val="0"/>
                      <w:szCs w:val="21"/>
                    </w:rPr>
                    <w:t>分子式：</w:t>
                  </w:r>
                  <w:r>
                    <w:rPr>
                      <w:szCs w:val="21"/>
                    </w:rPr>
                    <w:t>C</w:t>
                  </w:r>
                  <w:r>
                    <w:rPr>
                      <w:szCs w:val="21"/>
                      <w:vertAlign w:val="subscript"/>
                    </w:rPr>
                    <w:t>6</w:t>
                  </w:r>
                  <w:r>
                    <w:rPr>
                      <w:szCs w:val="21"/>
                    </w:rPr>
                    <w:t>H</w:t>
                  </w:r>
                  <w:r>
                    <w:rPr>
                      <w:szCs w:val="21"/>
                      <w:vertAlign w:val="subscript"/>
                    </w:rPr>
                    <w:t>15</w:t>
                  </w:r>
                  <w:r>
                    <w:rPr>
                      <w:szCs w:val="21"/>
                    </w:rPr>
                    <w:t>NO</w:t>
                  </w:r>
                  <w:r>
                    <w:rPr>
                      <w:szCs w:val="21"/>
                      <w:vertAlign w:val="subscript"/>
                    </w:rPr>
                    <w:t>3</w:t>
                  </w:r>
                  <w:r>
                    <w:rPr>
                      <w:rFonts w:hint="eastAsia"/>
                      <w:kern w:val="0"/>
                      <w:szCs w:val="21"/>
                    </w:rPr>
                    <w:t>，分子量：149.1882，沸点：360℃，熔点：21.2℃，闪点：179℃，无色至淡黄色透明粘稠液体，微有氨味，低温时成为无色至淡黄色立方晶系晶体，露置于空气中时颜色渐渐变深，易溶于水、乙醇、丙酮、甘油及乙二醇等，微溶于苯、乙醚及四氯化碳等，在非极性溶剂中几乎不溶解，5℃时的溶解度：苯4.2%、乙醚1.6%、四氯化碳0.4%、正庚烷小于0.1%。呈强碱性，0.1mol/L的水溶液pH为10.5，有刺激性，具吸湿性，能吸收二氧化碳及硫化氢等酸性气体。纯三乙醇胺对钢、铁、镍等材料不起作用，而对铜、铝及其合金有较大腐蚀性。可燃。低毒。避免与氧化剂、酸类接触。</w:t>
                  </w:r>
                </w:p>
              </w:tc>
              <w:tc>
                <w:tcPr>
                  <w:tcW w:w="701" w:type="pct"/>
                  <w:tcBorders>
                    <w:tl2br w:val="nil"/>
                    <w:tr2bl w:val="nil"/>
                  </w:tcBorders>
                  <w:vAlign w:val="center"/>
                </w:tcPr>
                <w:p>
                  <w:pPr>
                    <w:jc w:val="center"/>
                    <w:rPr>
                      <w:kern w:val="0"/>
                      <w:szCs w:val="21"/>
                    </w:rPr>
                  </w:pPr>
                  <w:r>
                    <w:rPr>
                      <w:szCs w:val="21"/>
                    </w:rPr>
                    <w:t>102-71-6</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11</w:t>
                  </w:r>
                </w:p>
              </w:tc>
              <w:tc>
                <w:tcPr>
                  <w:tcW w:w="652" w:type="pct"/>
                  <w:tcBorders>
                    <w:tl2br w:val="nil"/>
                    <w:tr2bl w:val="nil"/>
                  </w:tcBorders>
                  <w:vAlign w:val="center"/>
                </w:tcPr>
                <w:p>
                  <w:pPr>
                    <w:widowControl/>
                    <w:jc w:val="center"/>
                    <w:textAlignment w:val="center"/>
                    <w:rPr>
                      <w:kern w:val="0"/>
                      <w:szCs w:val="21"/>
                    </w:rPr>
                  </w:pPr>
                  <w:r>
                    <w:rPr>
                      <w:rFonts w:hAnsi="宋体"/>
                      <w:color w:val="000000"/>
                      <w:kern w:val="0"/>
                      <w:szCs w:val="21"/>
                    </w:rPr>
                    <w:t>柠檬酸钠</w:t>
                  </w:r>
                </w:p>
              </w:tc>
              <w:tc>
                <w:tcPr>
                  <w:tcW w:w="2627" w:type="pct"/>
                  <w:tcBorders>
                    <w:tl2br w:val="nil"/>
                    <w:tr2bl w:val="nil"/>
                  </w:tcBorders>
                  <w:vAlign w:val="center"/>
                </w:tcPr>
                <w:p>
                  <w:pPr>
                    <w:jc w:val="center"/>
                    <w:rPr>
                      <w:kern w:val="0"/>
                      <w:szCs w:val="21"/>
                    </w:rPr>
                  </w:pPr>
                  <w:r>
                    <w:rPr>
                      <w:rFonts w:hint="eastAsia"/>
                      <w:kern w:val="0"/>
                      <w:szCs w:val="21"/>
                    </w:rPr>
                    <w:t>分子式：C</w:t>
                  </w:r>
                  <w:r>
                    <w:rPr>
                      <w:rFonts w:hint="eastAsia"/>
                      <w:kern w:val="0"/>
                      <w:szCs w:val="21"/>
                      <w:vertAlign w:val="subscript"/>
                    </w:rPr>
                    <w:t>6</w:t>
                  </w:r>
                  <w:r>
                    <w:rPr>
                      <w:rFonts w:hint="eastAsia"/>
                      <w:kern w:val="0"/>
                      <w:szCs w:val="21"/>
                    </w:rPr>
                    <w:t>H</w:t>
                  </w:r>
                  <w:r>
                    <w:rPr>
                      <w:rFonts w:hint="eastAsia"/>
                      <w:kern w:val="0"/>
                      <w:szCs w:val="21"/>
                      <w:vertAlign w:val="subscript"/>
                    </w:rPr>
                    <w:t>5</w:t>
                  </w:r>
                  <w:r>
                    <w:rPr>
                      <w:rFonts w:hint="eastAsia"/>
                      <w:kern w:val="0"/>
                      <w:szCs w:val="21"/>
                    </w:rPr>
                    <w:t>Na</w:t>
                  </w:r>
                  <w:r>
                    <w:rPr>
                      <w:rFonts w:hint="eastAsia"/>
                      <w:kern w:val="0"/>
                      <w:szCs w:val="21"/>
                      <w:vertAlign w:val="subscript"/>
                    </w:rPr>
                    <w:t>3</w:t>
                  </w:r>
                  <w:r>
                    <w:rPr>
                      <w:rFonts w:hint="eastAsia"/>
                      <w:kern w:val="0"/>
                      <w:szCs w:val="21"/>
                    </w:rPr>
                    <w:t>O</w:t>
                  </w:r>
                  <w:r>
                    <w:rPr>
                      <w:rFonts w:hint="eastAsia"/>
                      <w:kern w:val="0"/>
                      <w:szCs w:val="21"/>
                      <w:vertAlign w:val="subscript"/>
                    </w:rPr>
                    <w:t>7</w:t>
                  </w:r>
                  <w:r>
                    <w:rPr>
                      <w:rFonts w:hint="eastAsia"/>
                      <w:kern w:val="0"/>
                      <w:szCs w:val="21"/>
                    </w:rPr>
                    <w:t>；分子量：258.07；密度：1.008g/mLat20℃；熔点：300℃；无色结晶或白色结晶性粉末，无臭，味咸，微酸。易溶于水，不溶于乙醇。</w:t>
                  </w:r>
                </w:p>
              </w:tc>
              <w:tc>
                <w:tcPr>
                  <w:tcW w:w="701" w:type="pct"/>
                  <w:tcBorders>
                    <w:tl2br w:val="nil"/>
                    <w:tr2bl w:val="nil"/>
                  </w:tcBorders>
                  <w:vAlign w:val="center"/>
                </w:tcPr>
                <w:p>
                  <w:pPr>
                    <w:jc w:val="center"/>
                    <w:rPr>
                      <w:kern w:val="0"/>
                      <w:szCs w:val="21"/>
                    </w:rPr>
                  </w:pPr>
                  <w:r>
                    <w:rPr>
                      <w:kern w:val="0"/>
                      <w:szCs w:val="21"/>
                    </w:rPr>
                    <w:t>68-04-2</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tcBorders>
                    <w:tl2br w:val="nil"/>
                    <w:tr2bl w:val="nil"/>
                  </w:tcBorders>
                  <w:vAlign w:val="center"/>
                </w:tcPr>
                <w:p>
                  <w:pPr>
                    <w:jc w:val="center"/>
                    <w:rPr>
                      <w:kern w:val="0"/>
                      <w:szCs w:val="21"/>
                    </w:rPr>
                  </w:pPr>
                  <w:r>
                    <w:rPr>
                      <w:kern w:val="0"/>
                      <w:szCs w:val="21"/>
                    </w:rPr>
                    <w:t>12</w:t>
                  </w:r>
                </w:p>
              </w:tc>
              <w:tc>
                <w:tcPr>
                  <w:tcW w:w="652" w:type="pct"/>
                  <w:tcBorders>
                    <w:tl2br w:val="nil"/>
                    <w:tr2bl w:val="nil"/>
                  </w:tcBorders>
                  <w:vAlign w:val="center"/>
                </w:tcPr>
                <w:p>
                  <w:pPr>
                    <w:widowControl/>
                    <w:jc w:val="center"/>
                    <w:textAlignment w:val="center"/>
                    <w:rPr>
                      <w:kern w:val="0"/>
                      <w:szCs w:val="21"/>
                    </w:rPr>
                  </w:pPr>
                  <w:r>
                    <w:rPr>
                      <w:color w:val="000000"/>
                      <w:kern w:val="0"/>
                      <w:szCs w:val="21"/>
                    </w:rPr>
                    <w:t>三元羧酸</w:t>
                  </w:r>
                </w:p>
              </w:tc>
              <w:tc>
                <w:tcPr>
                  <w:tcW w:w="2627" w:type="pct"/>
                  <w:tcBorders>
                    <w:tl2br w:val="nil"/>
                    <w:tr2bl w:val="nil"/>
                  </w:tcBorders>
                  <w:vAlign w:val="center"/>
                </w:tcPr>
                <w:p>
                  <w:pPr>
                    <w:jc w:val="center"/>
                    <w:rPr>
                      <w:kern w:val="0"/>
                      <w:szCs w:val="21"/>
                    </w:rPr>
                  </w:pPr>
                  <w:r>
                    <w:rPr>
                      <w:rFonts w:hint="eastAsia"/>
                      <w:kern w:val="0"/>
                      <w:szCs w:val="21"/>
                    </w:rPr>
                    <w:t>分子量为468.6，在常温条件下为粘稠液体，挥发性低，沸点为773.8±70.0 °C，密度1.1g/cm（20℃），能溶于乙醇、乙醚和丙酮等多种有机溶剂，不溶于水。</w:t>
                  </w:r>
                </w:p>
              </w:tc>
              <w:tc>
                <w:tcPr>
                  <w:tcW w:w="701" w:type="pct"/>
                  <w:tcBorders>
                    <w:tl2br w:val="nil"/>
                    <w:tr2bl w:val="nil"/>
                  </w:tcBorders>
                  <w:vAlign w:val="center"/>
                </w:tcPr>
                <w:p>
                  <w:pPr>
                    <w:jc w:val="center"/>
                    <w:rPr>
                      <w:kern w:val="0"/>
                      <w:szCs w:val="21"/>
                    </w:rPr>
                  </w:pPr>
                  <w:r>
                    <w:rPr>
                      <w:rFonts w:hint="eastAsia"/>
                      <w:kern w:val="0"/>
                      <w:szCs w:val="21"/>
                    </w:rPr>
                    <w:t>/</w:t>
                  </w:r>
                </w:p>
              </w:tc>
              <w:tc>
                <w:tcPr>
                  <w:tcW w:w="790" w:type="pct"/>
                  <w:tcBorders>
                    <w:tl2br w:val="nil"/>
                    <w:tr2bl w:val="nil"/>
                  </w:tcBorders>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13</w:t>
                  </w:r>
                </w:p>
              </w:tc>
              <w:tc>
                <w:tcPr>
                  <w:tcW w:w="652" w:type="pct"/>
                  <w:vAlign w:val="center"/>
                </w:tcPr>
                <w:p>
                  <w:pPr>
                    <w:widowControl/>
                    <w:jc w:val="center"/>
                    <w:textAlignment w:val="center"/>
                    <w:rPr>
                      <w:kern w:val="0"/>
                      <w:szCs w:val="21"/>
                    </w:rPr>
                  </w:pPr>
                  <w:r>
                    <w:rPr>
                      <w:color w:val="000000"/>
                      <w:kern w:val="0"/>
                      <w:szCs w:val="21"/>
                    </w:rPr>
                    <w:t>环烷油</w:t>
                  </w:r>
                </w:p>
              </w:tc>
              <w:tc>
                <w:tcPr>
                  <w:tcW w:w="2627" w:type="pct"/>
                  <w:vAlign w:val="center"/>
                </w:tcPr>
                <w:p>
                  <w:pPr>
                    <w:jc w:val="center"/>
                    <w:rPr>
                      <w:kern w:val="0"/>
                      <w:szCs w:val="21"/>
                    </w:rPr>
                  </w:pPr>
                  <w:r>
                    <w:rPr>
                      <w:rFonts w:hint="eastAsia"/>
                      <w:kern w:val="0"/>
                      <w:szCs w:val="21"/>
                    </w:rPr>
                    <w:t>属于操作油（加工油、填充油）之类，是以环烷烃为主要成分的石油馏分。酸值&lt;0.15mgKOH/g。流动点-40~-12℃。饱和烃含量87.55%~93.86%，芳烃含量6.14%~11.96%，沥青质含量0~0.49%。闪点&gt;160℃。环烷油具有饱和环状碳链结构，具有低频点、高密度、高粘度、无毒副作用等特点，而且在它的环上通常还会连接着饱和支链。因为这种结构，使环烷油既具有芳香烃类的部分性质，又具有直链烃的部分性质，又由于环烷油来自天然石油，有价格低廉、来源可靠等优点，决定了环烷油能够在许多领域有着特殊的用途。</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14</w:t>
                  </w:r>
                </w:p>
              </w:tc>
              <w:tc>
                <w:tcPr>
                  <w:tcW w:w="652" w:type="pct"/>
                  <w:vAlign w:val="center"/>
                </w:tcPr>
                <w:p>
                  <w:pPr>
                    <w:jc w:val="center"/>
                    <w:rPr>
                      <w:szCs w:val="21"/>
                    </w:rPr>
                  </w:pPr>
                  <w:r>
                    <w:rPr>
                      <w:color w:val="000000"/>
                      <w:kern w:val="0"/>
                      <w:szCs w:val="21"/>
                    </w:rPr>
                    <w:t>妥尔油</w:t>
                  </w:r>
                </w:p>
              </w:tc>
              <w:tc>
                <w:tcPr>
                  <w:tcW w:w="2627" w:type="pct"/>
                  <w:vAlign w:val="center"/>
                </w:tcPr>
                <w:p>
                  <w:pPr>
                    <w:jc w:val="center"/>
                    <w:rPr>
                      <w:kern w:val="0"/>
                      <w:szCs w:val="21"/>
                    </w:rPr>
                  </w:pPr>
                  <w:r>
                    <w:rPr>
                      <w:rFonts w:hint="eastAsia"/>
                      <w:kern w:val="0"/>
                      <w:szCs w:val="21"/>
                    </w:rPr>
                    <w:t>暗黑色油状液体。密度0.950-1.024，沸点360.85℃。碘值135-216。皂化值142-185。主要成分是脂肪酸和松香酸。</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15</w:t>
                  </w:r>
                </w:p>
              </w:tc>
              <w:tc>
                <w:tcPr>
                  <w:tcW w:w="652" w:type="pct"/>
                  <w:vAlign w:val="center"/>
                </w:tcPr>
                <w:p>
                  <w:pPr>
                    <w:jc w:val="center"/>
                    <w:rPr>
                      <w:color w:val="000000"/>
                      <w:kern w:val="0"/>
                      <w:szCs w:val="21"/>
                    </w:rPr>
                  </w:pPr>
                  <w:r>
                    <w:rPr>
                      <w:rFonts w:hint="eastAsia"/>
                      <w:color w:val="000000"/>
                      <w:kern w:val="0"/>
                      <w:szCs w:val="21"/>
                    </w:rPr>
                    <w:t>司盘80</w:t>
                  </w:r>
                </w:p>
              </w:tc>
              <w:tc>
                <w:tcPr>
                  <w:tcW w:w="2627" w:type="pct"/>
                  <w:vAlign w:val="center"/>
                </w:tcPr>
                <w:p>
                  <w:pPr>
                    <w:jc w:val="center"/>
                    <w:rPr>
                      <w:kern w:val="0"/>
                      <w:szCs w:val="21"/>
                    </w:rPr>
                  </w:pPr>
                  <w:r>
                    <w:rPr>
                      <w:rFonts w:hint="eastAsia"/>
                      <w:kern w:val="0"/>
                      <w:szCs w:val="21"/>
                    </w:rPr>
                    <w:t>黄色油状液体，能分散于温水和乙醇中，溶于丙二醇、液体石蜡、乙醇、甲醇或醋酸乙酯等有机溶剂中，HLB=4.3，常用作油包水型乳剂的乳化剂。沸点</w:t>
                  </w:r>
                  <w:r>
                    <w:rPr>
                      <w:kern w:val="0"/>
                      <w:szCs w:val="21"/>
                    </w:rPr>
                    <w:t>579.3ºC at 760 mmHg。</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16</w:t>
                  </w:r>
                </w:p>
              </w:tc>
              <w:tc>
                <w:tcPr>
                  <w:tcW w:w="652" w:type="pct"/>
                  <w:vAlign w:val="center"/>
                </w:tcPr>
                <w:p>
                  <w:pPr>
                    <w:jc w:val="center"/>
                    <w:rPr>
                      <w:szCs w:val="21"/>
                    </w:rPr>
                  </w:pPr>
                  <w:r>
                    <w:rPr>
                      <w:color w:val="000000"/>
                      <w:kern w:val="0"/>
                      <w:szCs w:val="21"/>
                    </w:rPr>
                    <w:t>石油磺酸钠T702</w:t>
                  </w:r>
                </w:p>
              </w:tc>
              <w:tc>
                <w:tcPr>
                  <w:tcW w:w="2627" w:type="pct"/>
                  <w:vAlign w:val="center"/>
                </w:tcPr>
                <w:p>
                  <w:pPr>
                    <w:jc w:val="center"/>
                    <w:rPr>
                      <w:kern w:val="0"/>
                      <w:szCs w:val="21"/>
                    </w:rPr>
                  </w:pPr>
                  <w:r>
                    <w:rPr>
                      <w:rFonts w:hint="eastAsia"/>
                      <w:kern w:val="0"/>
                      <w:szCs w:val="21"/>
                    </w:rPr>
                    <w:t>别名：烷基磺酸钠，棕红色半透明粘稠体，无毒性，密度：1.09g/cm</w:t>
                  </w:r>
                  <w:r>
                    <w:rPr>
                      <w:rFonts w:hint="eastAsia"/>
                      <w:kern w:val="0"/>
                      <w:szCs w:val="21"/>
                      <w:vertAlign w:val="superscript"/>
                    </w:rPr>
                    <w:t>3</w:t>
                  </w:r>
                  <w:r>
                    <w:rPr>
                      <w:rFonts w:hint="eastAsia"/>
                      <w:kern w:val="0"/>
                      <w:szCs w:val="21"/>
                    </w:rPr>
                    <w:t>，沸点：1042.61℃，闪点＞160℃。溶解性：溶于水而成半透明液体，对酸碱和硬水都比较稳定。用做防锈添加剂，乳化剂，有相当抗盐水浸渍能力和相当好的油溶性，它对黑色金属和黄铜防锈性能较好，可作为多种极性物质在油中的助溶剂，较难挥发。</w:t>
                  </w:r>
                </w:p>
              </w:tc>
              <w:tc>
                <w:tcPr>
                  <w:tcW w:w="701" w:type="pct"/>
                  <w:vAlign w:val="center"/>
                </w:tcPr>
                <w:p>
                  <w:pPr>
                    <w:jc w:val="center"/>
                    <w:rPr>
                      <w:kern w:val="0"/>
                      <w:szCs w:val="21"/>
                    </w:rPr>
                  </w:pPr>
                  <w:r>
                    <w:rPr>
                      <w:kern w:val="0"/>
                      <w:szCs w:val="21"/>
                    </w:rPr>
                    <w:t>68608-26-4</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17</w:t>
                  </w:r>
                </w:p>
              </w:tc>
              <w:tc>
                <w:tcPr>
                  <w:tcW w:w="652" w:type="pct"/>
                  <w:vAlign w:val="center"/>
                </w:tcPr>
                <w:p>
                  <w:pPr>
                    <w:jc w:val="center"/>
                    <w:rPr>
                      <w:szCs w:val="21"/>
                    </w:rPr>
                  </w:pPr>
                  <w:r>
                    <w:rPr>
                      <w:color w:val="000000"/>
                      <w:kern w:val="0"/>
                      <w:szCs w:val="21"/>
                    </w:rPr>
                    <w:t>苯并三氮唑</w:t>
                  </w:r>
                </w:p>
              </w:tc>
              <w:tc>
                <w:tcPr>
                  <w:tcW w:w="2627" w:type="pct"/>
                  <w:vAlign w:val="center"/>
                </w:tcPr>
                <w:p>
                  <w:pPr>
                    <w:jc w:val="center"/>
                    <w:rPr>
                      <w:kern w:val="0"/>
                      <w:szCs w:val="21"/>
                    </w:rPr>
                  </w:pPr>
                  <w:r>
                    <w:rPr>
                      <w:rFonts w:hint="eastAsia"/>
                      <w:kern w:val="0"/>
                      <w:szCs w:val="21"/>
                    </w:rPr>
                    <w:t>化学式为C</w:t>
                  </w:r>
                  <w:r>
                    <w:rPr>
                      <w:rFonts w:hint="eastAsia"/>
                      <w:kern w:val="0"/>
                      <w:szCs w:val="21"/>
                      <w:vertAlign w:val="subscript"/>
                    </w:rPr>
                    <w:t>6</w:t>
                  </w:r>
                  <w:r>
                    <w:rPr>
                      <w:rFonts w:hint="eastAsia"/>
                      <w:kern w:val="0"/>
                      <w:szCs w:val="21"/>
                    </w:rPr>
                    <w:t>H</w:t>
                  </w:r>
                  <w:r>
                    <w:rPr>
                      <w:rFonts w:hint="eastAsia"/>
                      <w:kern w:val="0"/>
                      <w:szCs w:val="21"/>
                      <w:vertAlign w:val="subscript"/>
                    </w:rPr>
                    <w:t>5</w:t>
                  </w:r>
                  <w:r>
                    <w:rPr>
                      <w:rFonts w:hint="eastAsia"/>
                      <w:kern w:val="0"/>
                      <w:szCs w:val="21"/>
                    </w:rPr>
                    <w:t>N</w:t>
                  </w:r>
                  <w:r>
                    <w:rPr>
                      <w:rFonts w:hint="eastAsia"/>
                      <w:kern w:val="0"/>
                      <w:szCs w:val="21"/>
                      <w:vertAlign w:val="subscript"/>
                    </w:rPr>
                    <w:t>3</w:t>
                  </w:r>
                  <w:r>
                    <w:rPr>
                      <w:rFonts w:hint="eastAsia"/>
                      <w:kern w:val="0"/>
                      <w:szCs w:val="21"/>
                    </w:rPr>
                    <w:t>，微溶于水，溶于乙醇、苯等，熔点94-99℃，沸点201℃-204℃，闪点 170℃。遇明火、高热可燃。燃烧产生有毒氮氧化物烟雾。LD50：600mg/kg</w:t>
                  </w:r>
                  <w:r>
                    <w:rPr>
                      <w:rFonts w:hint="eastAsia"/>
                      <w:szCs w:val="21"/>
                    </w:rPr>
                    <w:t>（大鼠经口）</w:t>
                  </w:r>
                  <w:r>
                    <w:rPr>
                      <w:rFonts w:hint="eastAsia"/>
                      <w:kern w:val="0"/>
                      <w:szCs w:val="21"/>
                    </w:rPr>
                    <w:t>；615mg/kg</w:t>
                  </w:r>
                  <w:r>
                    <w:rPr>
                      <w:rFonts w:hint="eastAsia"/>
                      <w:szCs w:val="21"/>
                    </w:rPr>
                    <w:t>（小鼠经口）</w:t>
                  </w:r>
                  <w:r>
                    <w:rPr>
                      <w:rFonts w:hint="eastAsia"/>
                      <w:kern w:val="0"/>
                      <w:szCs w:val="21"/>
                    </w:rPr>
                    <w:t>。</w:t>
                  </w:r>
                </w:p>
              </w:tc>
              <w:tc>
                <w:tcPr>
                  <w:tcW w:w="701" w:type="pct"/>
                  <w:vAlign w:val="center"/>
                </w:tcPr>
                <w:p>
                  <w:pPr>
                    <w:jc w:val="center"/>
                    <w:rPr>
                      <w:kern w:val="0"/>
                      <w:szCs w:val="21"/>
                    </w:rPr>
                  </w:pPr>
                  <w:r>
                    <w:rPr>
                      <w:kern w:val="0"/>
                      <w:szCs w:val="21"/>
                    </w:rPr>
                    <w:t>95-14-7</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18</w:t>
                  </w:r>
                </w:p>
              </w:tc>
              <w:tc>
                <w:tcPr>
                  <w:tcW w:w="652" w:type="pct"/>
                  <w:vAlign w:val="center"/>
                </w:tcPr>
                <w:p>
                  <w:pPr>
                    <w:widowControl/>
                    <w:jc w:val="center"/>
                    <w:textAlignment w:val="center"/>
                    <w:rPr>
                      <w:kern w:val="0"/>
                      <w:szCs w:val="21"/>
                    </w:rPr>
                  </w:pPr>
                  <w:r>
                    <w:rPr>
                      <w:color w:val="000000"/>
                      <w:kern w:val="0"/>
                      <w:szCs w:val="21"/>
                    </w:rPr>
                    <w:t>一乙醇胺</w:t>
                  </w:r>
                </w:p>
              </w:tc>
              <w:tc>
                <w:tcPr>
                  <w:tcW w:w="2627" w:type="pct"/>
                  <w:vAlign w:val="center"/>
                </w:tcPr>
                <w:p>
                  <w:pPr>
                    <w:jc w:val="center"/>
                    <w:rPr>
                      <w:kern w:val="0"/>
                      <w:szCs w:val="21"/>
                    </w:rPr>
                  </w:pPr>
                  <w:r>
                    <w:rPr>
                      <w:rFonts w:hint="eastAsia"/>
                      <w:kern w:val="0"/>
                      <w:szCs w:val="21"/>
                    </w:rPr>
                    <w:t>别名：单乙醇胺、2-羟基乙胺、2-氨基乙醇，化学式为C</w:t>
                  </w:r>
                  <w:r>
                    <w:rPr>
                      <w:rFonts w:hint="eastAsia"/>
                      <w:kern w:val="0"/>
                      <w:szCs w:val="21"/>
                      <w:vertAlign w:val="subscript"/>
                    </w:rPr>
                    <w:t>2</w:t>
                  </w:r>
                  <w:r>
                    <w:rPr>
                      <w:rFonts w:hint="eastAsia"/>
                      <w:kern w:val="0"/>
                      <w:szCs w:val="21"/>
                    </w:rPr>
                    <w:t>H</w:t>
                  </w:r>
                  <w:r>
                    <w:rPr>
                      <w:rFonts w:hint="eastAsia"/>
                      <w:kern w:val="0"/>
                      <w:szCs w:val="21"/>
                      <w:vertAlign w:val="subscript"/>
                    </w:rPr>
                    <w:t>7</w:t>
                  </w:r>
                  <w:r>
                    <w:rPr>
                      <w:rFonts w:hint="eastAsia"/>
                      <w:kern w:val="0"/>
                      <w:szCs w:val="21"/>
                    </w:rPr>
                    <w:t>NO，无色透明粘稠状液体，熔点：10-11℃，闪点：93.3℃，沸点：170.9℃，能与水、乙醇和丙酮等混溶，微溶于乙醚和四氯化碳，乙醇胺的稀溶液具有非常弱的碱性和刺激性，随着其浓度的增大，对眼、皮肤和黏膜有刺激性 ，小 鼠 经 口 LD50 为 700mg/kg，大 鼠 经 口 LD50 为</w:t>
                  </w:r>
                  <w:r>
                    <w:rPr>
                      <w:kern w:val="0"/>
                      <w:szCs w:val="21"/>
                    </w:rPr>
                    <w:t>2100MG/KG</w:t>
                  </w:r>
                </w:p>
              </w:tc>
              <w:tc>
                <w:tcPr>
                  <w:tcW w:w="701" w:type="pct"/>
                  <w:vAlign w:val="center"/>
                </w:tcPr>
                <w:p>
                  <w:pPr>
                    <w:jc w:val="center"/>
                    <w:rPr>
                      <w:kern w:val="0"/>
                      <w:szCs w:val="21"/>
                    </w:rPr>
                  </w:pPr>
                  <w:r>
                    <w:rPr>
                      <w:kern w:val="0"/>
                      <w:szCs w:val="21"/>
                    </w:rPr>
                    <w:t>141-43-5</w:t>
                  </w:r>
                </w:p>
              </w:tc>
              <w:tc>
                <w:tcPr>
                  <w:tcW w:w="790" w:type="pct"/>
                  <w:vAlign w:val="center"/>
                </w:tcPr>
                <w:p>
                  <w:pPr>
                    <w:jc w:val="center"/>
                    <w:rPr>
                      <w:kern w:val="0"/>
                      <w:szCs w:val="21"/>
                    </w:rPr>
                  </w:pPr>
                  <w:r>
                    <w:rPr>
                      <w:rFonts w:hint="eastAsia"/>
                      <w:kern w:val="0"/>
                      <w:szCs w:val="21"/>
                    </w:rPr>
                    <w:t>（HJ169-2018 附录B 表 B.2健康危险急性毒性物质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19</w:t>
                  </w:r>
                </w:p>
              </w:tc>
              <w:tc>
                <w:tcPr>
                  <w:tcW w:w="652" w:type="pct"/>
                  <w:vAlign w:val="center"/>
                </w:tcPr>
                <w:p>
                  <w:pPr>
                    <w:jc w:val="center"/>
                    <w:rPr>
                      <w:szCs w:val="21"/>
                    </w:rPr>
                  </w:pPr>
                  <w:r>
                    <w:rPr>
                      <w:color w:val="000000"/>
                      <w:kern w:val="0"/>
                      <w:szCs w:val="21"/>
                    </w:rPr>
                    <w:t>聚醚</w:t>
                  </w:r>
                  <w:r>
                    <w:rPr>
                      <w:rFonts w:hint="eastAsia"/>
                      <w:color w:val="000000"/>
                      <w:kern w:val="0"/>
                      <w:szCs w:val="21"/>
                    </w:rPr>
                    <w:t>1740</w:t>
                  </w:r>
                </w:p>
              </w:tc>
              <w:tc>
                <w:tcPr>
                  <w:tcW w:w="2627" w:type="pct"/>
                  <w:vAlign w:val="center"/>
                </w:tcPr>
                <w:p>
                  <w:pPr>
                    <w:jc w:val="center"/>
                    <w:rPr>
                      <w:kern w:val="0"/>
                      <w:szCs w:val="21"/>
                    </w:rPr>
                  </w:pPr>
                  <w:r>
                    <w:rPr>
                      <w:rFonts w:hint="eastAsia"/>
                      <w:kern w:val="0"/>
                      <w:szCs w:val="21"/>
                    </w:rPr>
                    <w:t>是一种无色透明液体至白色膏体至白色固体并可降解的非离子表面活性剂。不溶于水至溶于水。溶于乙醇、甲苯等有机溶剂。大鼠口服 LD50：2300/5000/9380/22400mg/Kg；小鼠口服LD50：1830/15000mg/Kg；大鼠口服 LD50：5700/16000mg/Kg；小鼠口服LD50：3000/45000mg/Kg。</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20</w:t>
                  </w:r>
                </w:p>
              </w:tc>
              <w:tc>
                <w:tcPr>
                  <w:tcW w:w="652" w:type="pct"/>
                  <w:vAlign w:val="center"/>
                </w:tcPr>
                <w:p>
                  <w:pPr>
                    <w:jc w:val="center"/>
                    <w:rPr>
                      <w:szCs w:val="21"/>
                    </w:rPr>
                  </w:pPr>
                  <w:r>
                    <w:rPr>
                      <w:color w:val="000000"/>
                      <w:kern w:val="0"/>
                      <w:szCs w:val="21"/>
                    </w:rPr>
                    <w:t>三乙醇胺硼酸酯</w:t>
                  </w:r>
                </w:p>
              </w:tc>
              <w:tc>
                <w:tcPr>
                  <w:tcW w:w="2627" w:type="pct"/>
                  <w:vAlign w:val="center"/>
                </w:tcPr>
                <w:p>
                  <w:pPr>
                    <w:jc w:val="center"/>
                    <w:rPr>
                      <w:kern w:val="0"/>
                      <w:szCs w:val="21"/>
                    </w:rPr>
                  </w:pPr>
                  <w:r>
                    <w:rPr>
                      <w:rFonts w:hint="eastAsia"/>
                      <w:kern w:val="0"/>
                      <w:szCs w:val="21"/>
                    </w:rPr>
                    <w:t>分子式是C</w:t>
                  </w:r>
                  <w:r>
                    <w:rPr>
                      <w:rFonts w:hint="eastAsia"/>
                      <w:kern w:val="0"/>
                      <w:szCs w:val="21"/>
                      <w:vertAlign w:val="subscript"/>
                    </w:rPr>
                    <w:t>6</w:t>
                  </w:r>
                  <w:r>
                    <w:rPr>
                      <w:rFonts w:hint="eastAsia"/>
                      <w:kern w:val="0"/>
                      <w:szCs w:val="21"/>
                    </w:rPr>
                    <w:t>H</w:t>
                  </w:r>
                  <w:r>
                    <w:rPr>
                      <w:rFonts w:hint="eastAsia"/>
                      <w:kern w:val="0"/>
                      <w:szCs w:val="21"/>
                      <w:vertAlign w:val="subscript"/>
                    </w:rPr>
                    <w:t>12</w:t>
                  </w:r>
                  <w:r>
                    <w:rPr>
                      <w:rFonts w:hint="eastAsia"/>
                      <w:kern w:val="0"/>
                      <w:szCs w:val="21"/>
                    </w:rPr>
                    <w:t>BNO</w:t>
                  </w:r>
                  <w:r>
                    <w:rPr>
                      <w:rFonts w:hint="eastAsia"/>
                      <w:kern w:val="0"/>
                      <w:szCs w:val="21"/>
                      <w:vertAlign w:val="subscript"/>
                    </w:rPr>
                    <w:t>3</w:t>
                  </w:r>
                  <w:r>
                    <w:rPr>
                      <w:rFonts w:hint="eastAsia"/>
                      <w:kern w:val="0"/>
                      <w:szCs w:val="21"/>
                    </w:rPr>
                    <w:t>。沸点：149.6℃，闪点：44.3℃，密度：1.1g/cm</w:t>
                  </w:r>
                  <w:r>
                    <w:rPr>
                      <w:rFonts w:hint="eastAsia"/>
                      <w:kern w:val="0"/>
                      <w:szCs w:val="21"/>
                      <w:vertAlign w:val="superscript"/>
                    </w:rPr>
                    <w:t>3</w:t>
                  </w:r>
                  <w:r>
                    <w:rPr>
                      <w:rFonts w:hint="eastAsia"/>
                      <w:kern w:val="0"/>
                      <w:szCs w:val="21"/>
                    </w:rPr>
                    <w:t>，黄色透明至无色透明膏状体，广泛应用于机械、冶金、石油化工等行业中，并在切削液、轧制油、乳化油、防锈剂中，具有良好的防锈性能。</w:t>
                  </w:r>
                </w:p>
              </w:tc>
              <w:tc>
                <w:tcPr>
                  <w:tcW w:w="701" w:type="pct"/>
                  <w:vAlign w:val="center"/>
                </w:tcPr>
                <w:p>
                  <w:pPr>
                    <w:jc w:val="center"/>
                    <w:rPr>
                      <w:kern w:val="0"/>
                      <w:szCs w:val="21"/>
                    </w:rPr>
                  </w:pPr>
                  <w:r>
                    <w:rPr>
                      <w:kern w:val="0"/>
                      <w:szCs w:val="21"/>
                    </w:rPr>
                    <w:t>283-56-7</w:t>
                  </w:r>
                </w:p>
              </w:tc>
              <w:tc>
                <w:tcPr>
                  <w:tcW w:w="790" w:type="pct"/>
                  <w:vAlign w:val="center"/>
                </w:tcPr>
                <w:p>
                  <w:pPr>
                    <w:jc w:val="center"/>
                    <w:rPr>
                      <w:kern w:val="0"/>
                      <w:szCs w:val="21"/>
                    </w:rPr>
                  </w:pPr>
                  <w:r>
                    <w:rPr>
                      <w:rFonts w:hint="eastAsia"/>
                      <w:kern w:val="0"/>
                      <w:szCs w:val="21"/>
                    </w:rPr>
                    <w:t>（HJ169-2018 附录B 表 B.2健康危险急性毒性物质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21</w:t>
                  </w:r>
                </w:p>
              </w:tc>
              <w:tc>
                <w:tcPr>
                  <w:tcW w:w="652" w:type="pct"/>
                  <w:vAlign w:val="center"/>
                </w:tcPr>
                <w:p>
                  <w:pPr>
                    <w:jc w:val="center"/>
                    <w:rPr>
                      <w:szCs w:val="21"/>
                    </w:rPr>
                  </w:pPr>
                  <w:r>
                    <w:rPr>
                      <w:color w:val="000000"/>
                      <w:kern w:val="0"/>
                      <w:szCs w:val="21"/>
                    </w:rPr>
                    <w:t>癸二酸</w:t>
                  </w:r>
                </w:p>
              </w:tc>
              <w:tc>
                <w:tcPr>
                  <w:tcW w:w="2627" w:type="pct"/>
                  <w:vAlign w:val="center"/>
                </w:tcPr>
                <w:p>
                  <w:pPr>
                    <w:jc w:val="center"/>
                    <w:rPr>
                      <w:kern w:val="0"/>
                      <w:szCs w:val="21"/>
                    </w:rPr>
                  </w:pPr>
                  <w:r>
                    <w:rPr>
                      <w:rFonts w:hint="eastAsia"/>
                      <w:kern w:val="0"/>
                      <w:szCs w:val="21"/>
                    </w:rPr>
                    <w:t>白色片状结晶。沸点374.3</w:t>
                  </w:r>
                  <w:r>
                    <w:rPr>
                      <w:kern w:val="0"/>
                      <w:szCs w:val="21"/>
                    </w:rPr>
                    <w:t>ºC at 760 mmHg。</w:t>
                  </w:r>
                  <w:r>
                    <w:rPr>
                      <w:rFonts w:hint="eastAsia"/>
                      <w:kern w:val="0"/>
                      <w:szCs w:val="21"/>
                    </w:rPr>
                    <w:t>微溶于水，溶于乙醇、乙醚。可燃，基本无毒。存放时避免与液酸和碱接触，于阴凉通风处贮存，防火防潮。</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22</w:t>
                  </w:r>
                </w:p>
              </w:tc>
              <w:tc>
                <w:tcPr>
                  <w:tcW w:w="652" w:type="pct"/>
                  <w:vAlign w:val="center"/>
                </w:tcPr>
                <w:p>
                  <w:pPr>
                    <w:widowControl/>
                    <w:jc w:val="center"/>
                    <w:textAlignment w:val="center"/>
                    <w:rPr>
                      <w:kern w:val="0"/>
                      <w:szCs w:val="21"/>
                    </w:rPr>
                  </w:pPr>
                  <w:r>
                    <w:rPr>
                      <w:color w:val="000000"/>
                      <w:kern w:val="0"/>
                      <w:szCs w:val="21"/>
                    </w:rPr>
                    <w:t>基础白油</w:t>
                  </w:r>
                </w:p>
              </w:tc>
              <w:tc>
                <w:tcPr>
                  <w:tcW w:w="2627" w:type="pct"/>
                  <w:vAlign w:val="center"/>
                </w:tcPr>
                <w:p>
                  <w:pPr>
                    <w:jc w:val="center"/>
                    <w:rPr>
                      <w:kern w:val="0"/>
                      <w:szCs w:val="21"/>
                    </w:rPr>
                  </w:pPr>
                  <w:r>
                    <w:rPr>
                      <w:rFonts w:hint="eastAsia"/>
                      <w:kern w:val="0"/>
                      <w:szCs w:val="21"/>
                    </w:rPr>
                    <w:t>包括150N、500N、150BS、10#等基础油是由石油所得精炼液态烃的混合物，主要为饱和的环烷烃与链烷烃混合物，不同型号的基础油粘稠度不同，数值越高，粘稠度越高，燃点在200℃左右，化学性质稳定，常温下不易挥发，溶于苯、乙醇等有机溶剂；遇明火、高温可燃，密度为0.93~0.98g/cm</w:t>
                  </w:r>
                  <w:r>
                    <w:rPr>
                      <w:rFonts w:hint="eastAsia"/>
                      <w:kern w:val="0"/>
                      <w:szCs w:val="21"/>
                      <w:vertAlign w:val="superscript"/>
                    </w:rPr>
                    <w:t>3</w:t>
                  </w:r>
                  <w:r>
                    <w:rPr>
                      <w:rFonts w:hint="eastAsia"/>
                      <w:kern w:val="0"/>
                      <w:szCs w:val="21"/>
                    </w:rPr>
                    <w:t>。</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23</w:t>
                  </w:r>
                </w:p>
              </w:tc>
              <w:tc>
                <w:tcPr>
                  <w:tcW w:w="652" w:type="pct"/>
                  <w:vAlign w:val="center"/>
                </w:tcPr>
                <w:p>
                  <w:pPr>
                    <w:widowControl/>
                    <w:jc w:val="center"/>
                    <w:textAlignment w:val="center"/>
                    <w:rPr>
                      <w:kern w:val="0"/>
                      <w:szCs w:val="21"/>
                    </w:rPr>
                  </w:pPr>
                  <w:r>
                    <w:rPr>
                      <w:color w:val="000000"/>
                      <w:kern w:val="0"/>
                      <w:szCs w:val="21"/>
                    </w:rPr>
                    <w:t>三羟甲基丙烷油酸脂</w:t>
                  </w:r>
                </w:p>
              </w:tc>
              <w:tc>
                <w:tcPr>
                  <w:tcW w:w="2627" w:type="pct"/>
                  <w:vAlign w:val="center"/>
                </w:tcPr>
                <w:p>
                  <w:pPr>
                    <w:jc w:val="center"/>
                    <w:rPr>
                      <w:kern w:val="0"/>
                      <w:szCs w:val="21"/>
                    </w:rPr>
                  </w:pPr>
                  <w:r>
                    <w:rPr>
                      <w:rFonts w:hint="eastAsia"/>
                      <w:kern w:val="0"/>
                      <w:szCs w:val="21"/>
                    </w:rPr>
                    <w:t>分子式是C</w:t>
                  </w:r>
                  <w:r>
                    <w:rPr>
                      <w:rFonts w:hint="eastAsia"/>
                      <w:kern w:val="0"/>
                      <w:szCs w:val="21"/>
                      <w:vertAlign w:val="subscript"/>
                    </w:rPr>
                    <w:t>24</w:t>
                  </w:r>
                  <w:r>
                    <w:rPr>
                      <w:rFonts w:hint="eastAsia"/>
                      <w:kern w:val="0"/>
                      <w:szCs w:val="21"/>
                    </w:rPr>
                    <w:t>H</w:t>
                  </w:r>
                  <w:r>
                    <w:rPr>
                      <w:rFonts w:hint="eastAsia"/>
                      <w:kern w:val="0"/>
                      <w:szCs w:val="21"/>
                      <w:vertAlign w:val="subscript"/>
                    </w:rPr>
                    <w:t>50</w:t>
                  </w:r>
                  <w:r>
                    <w:rPr>
                      <w:rFonts w:hint="eastAsia"/>
                      <w:kern w:val="0"/>
                      <w:szCs w:val="21"/>
                    </w:rPr>
                    <w:t>O</w:t>
                  </w:r>
                  <w:r>
                    <w:rPr>
                      <w:rFonts w:hint="eastAsia"/>
                      <w:kern w:val="0"/>
                      <w:szCs w:val="21"/>
                      <w:vertAlign w:val="subscript"/>
                    </w:rPr>
                    <w:t>7</w:t>
                  </w:r>
                  <w:r>
                    <w:rPr>
                      <w:rFonts w:hint="eastAsia"/>
                      <w:kern w:val="0"/>
                      <w:szCs w:val="21"/>
                    </w:rPr>
                    <w:t>。分子量为 450.66，油状液体，浅黄色至绿色，气味微弱。主要成分：三羟甲基丙烷三油酸酯折射率 1.46，沸点587.4℃；闪点 238.4℃；饱合蒸气压（kPa）：8.9E-14mmHgat 25°C。溶解性：在水中漂浮，不溶。用作润滑油、金属用油添加剂，化纤油剂，塑料润滑剂等。</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30" w:type="pct"/>
                  <w:vAlign w:val="center"/>
                </w:tcPr>
                <w:p>
                  <w:pPr>
                    <w:jc w:val="center"/>
                    <w:rPr>
                      <w:kern w:val="0"/>
                      <w:szCs w:val="21"/>
                    </w:rPr>
                  </w:pPr>
                  <w:r>
                    <w:rPr>
                      <w:kern w:val="0"/>
                      <w:szCs w:val="21"/>
                    </w:rPr>
                    <w:t>24</w:t>
                  </w:r>
                </w:p>
              </w:tc>
              <w:tc>
                <w:tcPr>
                  <w:tcW w:w="652" w:type="pct"/>
                  <w:vAlign w:val="center"/>
                </w:tcPr>
                <w:p>
                  <w:pPr>
                    <w:widowControl/>
                    <w:jc w:val="center"/>
                    <w:textAlignment w:val="center"/>
                    <w:rPr>
                      <w:kern w:val="0"/>
                      <w:szCs w:val="21"/>
                    </w:rPr>
                  </w:pPr>
                  <w:r>
                    <w:rPr>
                      <w:color w:val="000000"/>
                      <w:kern w:val="0"/>
                      <w:szCs w:val="21"/>
                    </w:rPr>
                    <w:t>菜籽油</w:t>
                  </w:r>
                </w:p>
              </w:tc>
              <w:tc>
                <w:tcPr>
                  <w:tcW w:w="2627" w:type="pct"/>
                  <w:vAlign w:val="center"/>
                </w:tcPr>
                <w:p>
                  <w:pPr>
                    <w:jc w:val="center"/>
                    <w:rPr>
                      <w:kern w:val="0"/>
                      <w:szCs w:val="21"/>
                    </w:rPr>
                  </w:pPr>
                  <w:r>
                    <w:rPr>
                      <w:color w:val="000000"/>
                    </w:rPr>
                    <w:t>由菜籽油脂酸化而得。其比重小于1，闪点305℃，燃点445℃，沸点335℃，倾点-5℃，产品性能：菜籽油的工业应用大都基于利用其所含的芥酸。高芥酸油脂具有较好的润滑性能。闪点和着火点也相应增高。沸点高，挥发损失小，闪点、着火点高，允许在高温下使用。因此，高芥酸油脂的高温使用性能一般比较良好。高芥酸油脂具有更强的疏水性和防水性，适宜特种乳化剂使用。</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25</w:t>
                  </w:r>
                </w:p>
              </w:tc>
              <w:tc>
                <w:tcPr>
                  <w:tcW w:w="652" w:type="pct"/>
                  <w:vAlign w:val="center"/>
                </w:tcPr>
                <w:p>
                  <w:pPr>
                    <w:widowControl/>
                    <w:jc w:val="center"/>
                    <w:textAlignment w:val="center"/>
                    <w:rPr>
                      <w:kern w:val="0"/>
                      <w:szCs w:val="21"/>
                    </w:rPr>
                  </w:pPr>
                  <w:r>
                    <w:rPr>
                      <w:color w:val="000000"/>
                      <w:kern w:val="0"/>
                      <w:szCs w:val="21"/>
                    </w:rPr>
                    <w:t>聚异丁烯</w:t>
                  </w:r>
                  <w:r>
                    <w:rPr>
                      <w:rFonts w:hint="eastAsia"/>
                      <w:color w:val="000000"/>
                      <w:kern w:val="0"/>
                      <w:szCs w:val="21"/>
                    </w:rPr>
                    <w:t>1300</w:t>
                  </w:r>
                </w:p>
              </w:tc>
              <w:tc>
                <w:tcPr>
                  <w:tcW w:w="2627" w:type="pct"/>
                  <w:vAlign w:val="center"/>
                </w:tcPr>
                <w:p>
                  <w:pPr>
                    <w:jc w:val="center"/>
                    <w:rPr>
                      <w:kern w:val="0"/>
                      <w:szCs w:val="21"/>
                    </w:rPr>
                  </w:pPr>
                  <w:r>
                    <w:rPr>
                      <w:rFonts w:hint="eastAsia"/>
                      <w:kern w:val="0"/>
                      <w:szCs w:val="21"/>
                    </w:rPr>
                    <w:t>聚异丁烯具有饱和烃类化合物的化学特性，侧链甲基紧密对称分布，是一种性能独特的聚合物。聚异丁烯可溶于脂肪烃、芳香烃、汽油、环烷烃、矿物油、氯代烃、一硫化碳中，不溶于低级的醇类和冰醋酸。通常，低分子量聚异丁烯和中分子量聚异丁烯可以用作油品添加剂、胶薪剂、密封剂、涂料、润滑剂、增塑剂和电缆浸渍剂。基本不挥发。</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26</w:t>
                  </w:r>
                </w:p>
              </w:tc>
              <w:tc>
                <w:tcPr>
                  <w:tcW w:w="652" w:type="pct"/>
                  <w:vAlign w:val="center"/>
                </w:tcPr>
                <w:p>
                  <w:pPr>
                    <w:jc w:val="center"/>
                    <w:rPr>
                      <w:szCs w:val="21"/>
                    </w:rPr>
                  </w:pPr>
                  <w:r>
                    <w:rPr>
                      <w:color w:val="000000"/>
                      <w:kern w:val="0"/>
                      <w:szCs w:val="21"/>
                    </w:rPr>
                    <w:t>异构烷烃IP60</w:t>
                  </w:r>
                </w:p>
              </w:tc>
              <w:tc>
                <w:tcPr>
                  <w:tcW w:w="2627" w:type="pct"/>
                  <w:vAlign w:val="center"/>
                </w:tcPr>
                <w:p>
                  <w:pPr>
                    <w:jc w:val="center"/>
                    <w:rPr>
                      <w:kern w:val="0"/>
                      <w:szCs w:val="21"/>
                    </w:rPr>
                  </w:pPr>
                  <w:r>
                    <w:rPr>
                      <w:rFonts w:hint="eastAsia"/>
                      <w:kern w:val="0"/>
                      <w:szCs w:val="21"/>
                    </w:rPr>
                    <w:t>是一种高端环保型碳氢溶剂，属于溶剂油类别。由于这类产品经精制加工，去除了芳烃、硫等成分，几乎无气味，毒性低，稳定性好。</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kern w:val="0"/>
                      <w:szCs w:val="21"/>
                    </w:rPr>
                    <w:t>27</w:t>
                  </w:r>
                </w:p>
              </w:tc>
              <w:tc>
                <w:tcPr>
                  <w:tcW w:w="652" w:type="pct"/>
                  <w:vAlign w:val="center"/>
                </w:tcPr>
                <w:p>
                  <w:pPr>
                    <w:jc w:val="center"/>
                    <w:rPr>
                      <w:color w:val="000000"/>
                      <w:kern w:val="0"/>
                      <w:szCs w:val="21"/>
                    </w:rPr>
                  </w:pPr>
                  <w:r>
                    <w:rPr>
                      <w:rFonts w:hint="eastAsia"/>
                      <w:color w:val="000000"/>
                      <w:kern w:val="0"/>
                      <w:szCs w:val="21"/>
                    </w:rPr>
                    <w:t>饱和烷烃</w:t>
                  </w:r>
                </w:p>
              </w:tc>
              <w:tc>
                <w:tcPr>
                  <w:tcW w:w="2627" w:type="pct"/>
                  <w:vAlign w:val="center"/>
                </w:tcPr>
                <w:p>
                  <w:pPr>
                    <w:jc w:val="center"/>
                    <w:rPr>
                      <w:kern w:val="0"/>
                      <w:szCs w:val="21"/>
                    </w:rPr>
                  </w:pPr>
                  <w:r>
                    <w:rPr>
                      <w:rFonts w:hint="eastAsia"/>
                      <w:kern w:val="0"/>
                      <w:szCs w:val="21"/>
                    </w:rPr>
                    <w:t>是一类有机化合物，其分子中的碳原子都以碳碳单键相连，其余的价键都与氢结合。</w:t>
                  </w:r>
                  <w:r>
                    <w:rPr>
                      <w:rFonts w:hint="eastAsia" w:ascii="宋体" w:hAnsi="宋体" w:cs="宋体"/>
                      <w:kern w:val="0"/>
                      <w:szCs w:val="21"/>
                    </w:rPr>
                    <w:t>这类化合物包括环烷烃和链烷烃两类，其中链烷烃的通式为</w:t>
                  </w:r>
                  <w:r>
                    <w:rPr>
                      <w:kern w:val="0"/>
                      <w:szCs w:val="21"/>
                    </w:rPr>
                    <w:t>CnH</w:t>
                  </w:r>
                  <w:r>
                    <w:rPr>
                      <w:kern w:val="0"/>
                      <w:szCs w:val="21"/>
                      <w:vertAlign w:val="subscript"/>
                    </w:rPr>
                    <w:t>2n+2</w:t>
                  </w:r>
                  <w:r>
                    <w:rPr>
                      <w:rFonts w:hint="eastAsia"/>
                      <w:kern w:val="0"/>
                      <w:szCs w:val="21"/>
                    </w:rPr>
                    <w:t>，环烷烃的通式为</w:t>
                  </w:r>
                  <w:r>
                    <w:rPr>
                      <w:kern w:val="0"/>
                      <w:szCs w:val="21"/>
                    </w:rPr>
                    <w:t>C</w:t>
                  </w:r>
                  <w:r>
                    <w:rPr>
                      <w:kern w:val="0"/>
                      <w:szCs w:val="21"/>
                      <w:vertAlign w:val="subscript"/>
                    </w:rPr>
                    <w:t>n</w:t>
                  </w:r>
                  <w:r>
                    <w:rPr>
                      <w:kern w:val="0"/>
                      <w:szCs w:val="21"/>
                    </w:rPr>
                    <w:t>H</w:t>
                  </w:r>
                  <w:r>
                    <w:rPr>
                      <w:kern w:val="0"/>
                      <w:szCs w:val="21"/>
                      <w:vertAlign w:val="subscript"/>
                    </w:rPr>
                    <w:t>2n</w:t>
                  </w:r>
                  <w:r>
                    <w:rPr>
                      <w:rFonts w:hint="eastAsia"/>
                      <w:kern w:val="0"/>
                      <w:szCs w:val="21"/>
                    </w:rPr>
                    <w:t>。饱和烷烃的主要来源是石油和天然气，是重要的化工原料和能源物质。</w:t>
                  </w:r>
                </w:p>
              </w:tc>
              <w:tc>
                <w:tcPr>
                  <w:tcW w:w="701" w:type="pct"/>
                  <w:vAlign w:val="center"/>
                </w:tcPr>
                <w:p>
                  <w:pPr>
                    <w:jc w:val="center"/>
                    <w:rPr>
                      <w:kern w:val="0"/>
                      <w:szCs w:val="21"/>
                    </w:rPr>
                  </w:pPr>
                  <w:r>
                    <w:rPr>
                      <w:rFonts w:hint="eastAsia"/>
                      <w:kern w:val="0"/>
                      <w:szCs w:val="21"/>
                    </w:rPr>
                    <w:t>/</w:t>
                  </w:r>
                </w:p>
              </w:tc>
              <w:tc>
                <w:tcPr>
                  <w:tcW w:w="790" w:type="pct"/>
                  <w:vAlign w:val="center"/>
                </w:tcPr>
                <w:p>
                  <w:pPr>
                    <w:jc w:val="center"/>
                    <w:rPr>
                      <w:kern w:val="0"/>
                      <w:szCs w:val="21"/>
                    </w:rPr>
                  </w:pPr>
                  <w:r>
                    <w:rPr>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jc w:val="center"/>
                    <w:rPr>
                      <w:kern w:val="0"/>
                      <w:szCs w:val="21"/>
                    </w:rPr>
                  </w:pPr>
                  <w:r>
                    <w:rPr>
                      <w:rFonts w:hint="eastAsia"/>
                      <w:kern w:val="0"/>
                      <w:szCs w:val="21"/>
                    </w:rPr>
                    <w:t>28</w:t>
                  </w:r>
                </w:p>
              </w:tc>
              <w:tc>
                <w:tcPr>
                  <w:tcW w:w="652" w:type="pct"/>
                  <w:vAlign w:val="center"/>
                </w:tcPr>
                <w:p>
                  <w:pPr>
                    <w:jc w:val="center"/>
                    <w:rPr>
                      <w:szCs w:val="21"/>
                    </w:rPr>
                  </w:pPr>
                  <w:r>
                    <w:rPr>
                      <w:color w:val="000000"/>
                      <w:kern w:val="0"/>
                      <w:szCs w:val="21"/>
                    </w:rPr>
                    <w:t>二丙二醇二甲醚</w:t>
                  </w:r>
                </w:p>
              </w:tc>
              <w:tc>
                <w:tcPr>
                  <w:tcW w:w="2627" w:type="pct"/>
                  <w:vAlign w:val="center"/>
                </w:tcPr>
                <w:p>
                  <w:pPr>
                    <w:jc w:val="center"/>
                    <w:rPr>
                      <w:kern w:val="0"/>
                      <w:szCs w:val="21"/>
                    </w:rPr>
                  </w:pPr>
                  <w:r>
                    <w:rPr>
                      <w:rFonts w:hint="eastAsia"/>
                      <w:kern w:val="0"/>
                      <w:szCs w:val="21"/>
                    </w:rPr>
                    <w:t>别名：双丙甘醇二甲醚。分子式：C</w:t>
                  </w:r>
                  <w:r>
                    <w:rPr>
                      <w:rFonts w:hint="eastAsia"/>
                      <w:kern w:val="0"/>
                      <w:szCs w:val="21"/>
                      <w:vertAlign w:val="subscript"/>
                    </w:rPr>
                    <w:t>8</w:t>
                  </w:r>
                  <w:r>
                    <w:rPr>
                      <w:rFonts w:hint="eastAsia"/>
                      <w:kern w:val="0"/>
                      <w:szCs w:val="21"/>
                    </w:rPr>
                    <w:t>H</w:t>
                  </w:r>
                  <w:r>
                    <w:rPr>
                      <w:rFonts w:hint="eastAsia"/>
                      <w:kern w:val="0"/>
                      <w:szCs w:val="21"/>
                      <w:vertAlign w:val="subscript"/>
                    </w:rPr>
                    <w:t>18</w:t>
                  </w:r>
                  <w:r>
                    <w:rPr>
                      <w:rFonts w:hint="eastAsia"/>
                      <w:kern w:val="0"/>
                      <w:szCs w:val="21"/>
                    </w:rPr>
                    <w:t>O</w:t>
                  </w:r>
                  <w:r>
                    <w:rPr>
                      <w:rFonts w:hint="eastAsia"/>
                      <w:kern w:val="0"/>
                      <w:szCs w:val="21"/>
                      <w:vertAlign w:val="subscript"/>
                    </w:rPr>
                    <w:t>3</w:t>
                  </w:r>
                  <w:r>
                    <w:rPr>
                      <w:rFonts w:hint="eastAsia"/>
                      <w:kern w:val="0"/>
                      <w:szCs w:val="21"/>
                    </w:rPr>
                    <w:t>，分子量162.13，闪点65℃，沸点175℃，无色液体，一种多用途环保型溶剂，有微弱的醚类气味，适当的挥发速度，化学上优异的稳定性，极优异的溶解性能，对人较高的安全性。通常二丙二醇二甲醚可用于水性和固化涂料中，可代替N-甲基吡咯烷酮用于电子工业用清洗剂，此外还可用于合成聚亚胺酯等。</w:t>
                  </w:r>
                </w:p>
              </w:tc>
              <w:tc>
                <w:tcPr>
                  <w:tcW w:w="701" w:type="pct"/>
                  <w:vAlign w:val="center"/>
                </w:tcPr>
                <w:p>
                  <w:pPr>
                    <w:jc w:val="center"/>
                    <w:rPr>
                      <w:kern w:val="0"/>
                      <w:szCs w:val="21"/>
                    </w:rPr>
                  </w:pPr>
                  <w:r>
                    <w:rPr>
                      <w:kern w:val="0"/>
                      <w:szCs w:val="21"/>
                    </w:rPr>
                    <w:t>111109-77-4</w:t>
                  </w:r>
                </w:p>
              </w:tc>
              <w:tc>
                <w:tcPr>
                  <w:tcW w:w="790" w:type="pct"/>
                  <w:vAlign w:val="center"/>
                </w:tcPr>
                <w:p>
                  <w:pPr>
                    <w:jc w:val="center"/>
                    <w:rPr>
                      <w:kern w:val="0"/>
                      <w:szCs w:val="21"/>
                    </w:rPr>
                  </w:pPr>
                  <w:r>
                    <w:rPr>
                      <w:kern w:val="0"/>
                      <w:szCs w:val="21"/>
                    </w:rPr>
                    <w:t>否</w:t>
                  </w:r>
                </w:p>
              </w:tc>
            </w:tr>
          </w:tbl>
          <w:p>
            <w:pPr>
              <w:pStyle w:val="30"/>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根据（GB38507-2020）中 3.2 关于挥发性有机化合物的定义为：在 101.3kPa 标准压力下，任何初沸点低于或等于 250℃的有机化合物。项目使用的异构醇油酸皂DF-20、异构醇聚氧乙烯醚1309、烷基糖苷（APG）、柠檬酸、椰子油酸二乙醇酰胺、三乙醇胺、三元羧酸、环烷油、妥尔油、司盘80、石油磺酸钠T702、聚醚1740、癸二酸、基础白油、三羟甲基丙烷油酸脂、菜籽油、聚异丁烯1300等原料沸点均大于250℃，属于不挥发有机物；氢氧化钠、五水偏硅酸钠、葡萄糖酸钠、柠檬酸钠、乙二胺四乙酸二钠（EDTA）主要成分为无机盐、有机盐等，不属于有机化合物；本项目产生挥发性有机物的有一乙醇胺、三乙醇胺硼酸酯、苯并三氮唑、二丙二醇二甲醚、异构烷烃</w:t>
            </w:r>
            <w:r>
              <w:rPr>
                <w:rFonts w:ascii="Times New Roman" w:hAnsi="Times New Roman"/>
                <w:sz w:val="24"/>
              </w:rPr>
              <w:t>IP60</w:t>
            </w:r>
            <w:r>
              <w:rPr>
                <w:rFonts w:hint="eastAsia" w:ascii="Times New Roman" w:hAnsi="Times New Roman"/>
                <w:sz w:val="24"/>
              </w:rPr>
              <w:t>、饱和烷烃。</w:t>
            </w:r>
          </w:p>
          <w:p>
            <w:pPr>
              <w:adjustRightInd w:val="0"/>
              <w:snapToGrid w:val="0"/>
              <w:spacing w:line="360" w:lineRule="auto"/>
              <w:ind w:firstLine="482" w:firstLineChars="200"/>
              <w:rPr>
                <w:b/>
                <w:bCs/>
                <w:sz w:val="24"/>
              </w:rPr>
            </w:pPr>
            <w:r>
              <w:rPr>
                <w:rFonts w:hint="eastAsia"/>
                <w:b/>
                <w:bCs/>
                <w:sz w:val="24"/>
              </w:rPr>
              <w:t>5、生产设备产能匹配性分析</w:t>
            </w:r>
          </w:p>
          <w:p>
            <w:pPr>
              <w:pStyle w:val="2"/>
              <w:spacing w:line="360" w:lineRule="auto"/>
              <w:ind w:firstLine="480" w:firstLineChars="200"/>
              <w:jc w:val="both"/>
              <w:rPr>
                <w:rFonts w:ascii="Times New Roman" w:cs="Times New Roman"/>
                <w:color w:val="auto"/>
              </w:rPr>
            </w:pPr>
            <w:r>
              <w:rPr>
                <w:rFonts w:hint="eastAsia" w:ascii="Times New Roman" w:cs="Times New Roman"/>
                <w:color w:val="auto"/>
              </w:rPr>
              <w:t>企业实行白班单班制生产，年工作时间280天，每天工作8h。各产品每天最多生产两批次，水基清洗剂、水性切削液及环保碳氢清洗剂每批次生产时间约2h，其中配料投料0.5h、搅拌1.0h、分装0.5h，润滑油每批次生产时间约3h，其中配料投料0.5h、搅拌2.0h、分装0.5h，其余时间进行原料、成品转运及装卸等，搅拌罐有效容积取设备容积60%，设备产能匹配分析如下：</w:t>
            </w:r>
          </w:p>
          <w:p>
            <w:pPr>
              <w:spacing w:beforeLines="50"/>
              <w:jc w:val="center"/>
              <w:rPr>
                <w:b/>
              </w:rPr>
            </w:pPr>
            <w:r>
              <w:rPr>
                <w:rFonts w:hint="eastAsia"/>
                <w:b/>
              </w:rPr>
              <w:t>表2-7  关键设备产能和产品规模匹配性分析一览表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1206"/>
              <w:gridCol w:w="740"/>
              <w:gridCol w:w="752"/>
              <w:gridCol w:w="761"/>
              <w:gridCol w:w="694"/>
              <w:gridCol w:w="856"/>
              <w:gridCol w:w="761"/>
              <w:gridCol w:w="765"/>
              <w:gridCol w:w="765"/>
              <w:gridCol w:w="766"/>
              <w:gridCol w:w="7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 w:type="pct"/>
                  <w:vAlign w:val="center"/>
                </w:tcPr>
                <w:p>
                  <w:pPr>
                    <w:jc w:val="center"/>
                    <w:rPr>
                      <w:b/>
                      <w:szCs w:val="21"/>
                    </w:rPr>
                  </w:pPr>
                  <w:r>
                    <w:rPr>
                      <w:rFonts w:hAnsi="宋体"/>
                      <w:b/>
                      <w:szCs w:val="21"/>
                    </w:rPr>
                    <w:t>序号</w:t>
                  </w:r>
                </w:p>
              </w:tc>
              <w:tc>
                <w:tcPr>
                  <w:tcW w:w="650" w:type="pct"/>
                  <w:vAlign w:val="center"/>
                </w:tcPr>
                <w:p>
                  <w:pPr>
                    <w:jc w:val="center"/>
                    <w:rPr>
                      <w:b/>
                      <w:szCs w:val="21"/>
                    </w:rPr>
                  </w:pPr>
                  <w:r>
                    <w:rPr>
                      <w:rFonts w:hAnsi="宋体"/>
                      <w:b/>
                      <w:szCs w:val="21"/>
                    </w:rPr>
                    <w:t>产品名称</w:t>
                  </w:r>
                </w:p>
              </w:tc>
              <w:tc>
                <w:tcPr>
                  <w:tcW w:w="399" w:type="pct"/>
                  <w:vAlign w:val="center"/>
                </w:tcPr>
                <w:p>
                  <w:pPr>
                    <w:jc w:val="center"/>
                    <w:rPr>
                      <w:b/>
                      <w:szCs w:val="21"/>
                    </w:rPr>
                  </w:pPr>
                  <w:r>
                    <w:rPr>
                      <w:rFonts w:hint="eastAsia"/>
                      <w:b/>
                      <w:szCs w:val="21"/>
                    </w:rPr>
                    <w:t>设计产能/t/a</w:t>
                  </w:r>
                </w:p>
              </w:tc>
              <w:tc>
                <w:tcPr>
                  <w:tcW w:w="405" w:type="pct"/>
                  <w:vAlign w:val="center"/>
                </w:tcPr>
                <w:p>
                  <w:pPr>
                    <w:jc w:val="center"/>
                    <w:rPr>
                      <w:b/>
                      <w:szCs w:val="21"/>
                    </w:rPr>
                  </w:pPr>
                  <w:r>
                    <w:rPr>
                      <w:b/>
                      <w:szCs w:val="21"/>
                    </w:rPr>
                    <w:t>设备容积/</w:t>
                  </w:r>
                  <w:r>
                    <w:rPr>
                      <w:rFonts w:hint="eastAsia"/>
                      <w:b/>
                      <w:szCs w:val="21"/>
                    </w:rPr>
                    <w:t>t</w:t>
                  </w:r>
                </w:p>
              </w:tc>
              <w:tc>
                <w:tcPr>
                  <w:tcW w:w="410" w:type="pct"/>
                  <w:vAlign w:val="center"/>
                </w:tcPr>
                <w:p>
                  <w:pPr>
                    <w:jc w:val="center"/>
                    <w:rPr>
                      <w:b/>
                      <w:szCs w:val="21"/>
                    </w:rPr>
                  </w:pPr>
                  <w:r>
                    <w:rPr>
                      <w:rFonts w:hint="eastAsia"/>
                      <w:b/>
                      <w:szCs w:val="21"/>
                    </w:rPr>
                    <w:t>有效</w:t>
                  </w:r>
                  <w:r>
                    <w:rPr>
                      <w:b/>
                      <w:szCs w:val="21"/>
                    </w:rPr>
                    <w:t>容积/</w:t>
                  </w:r>
                  <w:r>
                    <w:rPr>
                      <w:rFonts w:hint="eastAsia"/>
                      <w:b/>
                      <w:szCs w:val="21"/>
                    </w:rPr>
                    <w:t>t</w:t>
                  </w:r>
                </w:p>
              </w:tc>
              <w:tc>
                <w:tcPr>
                  <w:tcW w:w="374" w:type="pct"/>
                  <w:vAlign w:val="center"/>
                </w:tcPr>
                <w:p>
                  <w:pPr>
                    <w:jc w:val="center"/>
                    <w:rPr>
                      <w:b/>
                      <w:szCs w:val="21"/>
                    </w:rPr>
                  </w:pPr>
                  <w:r>
                    <w:rPr>
                      <w:rFonts w:hint="eastAsia"/>
                      <w:b/>
                      <w:szCs w:val="21"/>
                    </w:rPr>
                    <w:t>设备数量/台</w:t>
                  </w:r>
                </w:p>
              </w:tc>
              <w:tc>
                <w:tcPr>
                  <w:tcW w:w="461" w:type="pct"/>
                  <w:vAlign w:val="center"/>
                </w:tcPr>
                <w:p>
                  <w:pPr>
                    <w:jc w:val="center"/>
                    <w:rPr>
                      <w:b/>
                      <w:szCs w:val="21"/>
                    </w:rPr>
                  </w:pPr>
                  <w:r>
                    <w:rPr>
                      <w:rFonts w:hint="eastAsia"/>
                      <w:b/>
                      <w:szCs w:val="21"/>
                    </w:rPr>
                    <w:t>加工能力/t-批次</w:t>
                  </w:r>
                </w:p>
              </w:tc>
              <w:tc>
                <w:tcPr>
                  <w:tcW w:w="410" w:type="pct"/>
                  <w:vAlign w:val="center"/>
                </w:tcPr>
                <w:p>
                  <w:pPr>
                    <w:jc w:val="center"/>
                    <w:rPr>
                      <w:b/>
                      <w:szCs w:val="21"/>
                    </w:rPr>
                  </w:pPr>
                  <w:r>
                    <w:rPr>
                      <w:b/>
                      <w:szCs w:val="21"/>
                    </w:rPr>
                    <w:t>单批次生产时间</w:t>
                  </w:r>
                  <w:r>
                    <w:rPr>
                      <w:rFonts w:hint="eastAsia"/>
                      <w:b/>
                      <w:szCs w:val="21"/>
                    </w:rPr>
                    <w:t>/h</w:t>
                  </w:r>
                </w:p>
              </w:tc>
              <w:tc>
                <w:tcPr>
                  <w:tcW w:w="412" w:type="pct"/>
                  <w:vAlign w:val="center"/>
                </w:tcPr>
                <w:p>
                  <w:pPr>
                    <w:jc w:val="center"/>
                    <w:rPr>
                      <w:b/>
                      <w:szCs w:val="21"/>
                    </w:rPr>
                  </w:pPr>
                  <w:r>
                    <w:rPr>
                      <w:b/>
                      <w:szCs w:val="21"/>
                    </w:rPr>
                    <w:t>日生产批次</w:t>
                  </w:r>
                  <w:r>
                    <w:rPr>
                      <w:rFonts w:hint="eastAsia"/>
                      <w:b/>
                      <w:szCs w:val="21"/>
                    </w:rPr>
                    <w:t>/批次</w:t>
                  </w:r>
                </w:p>
              </w:tc>
              <w:tc>
                <w:tcPr>
                  <w:tcW w:w="412" w:type="pct"/>
                  <w:vAlign w:val="center"/>
                </w:tcPr>
                <w:p>
                  <w:pPr>
                    <w:jc w:val="center"/>
                    <w:rPr>
                      <w:b/>
                      <w:szCs w:val="21"/>
                    </w:rPr>
                  </w:pPr>
                  <w:r>
                    <w:rPr>
                      <w:b/>
                      <w:szCs w:val="21"/>
                    </w:rPr>
                    <w:t>年生产批次</w:t>
                  </w:r>
                  <w:r>
                    <w:rPr>
                      <w:rFonts w:hint="eastAsia"/>
                      <w:b/>
                      <w:szCs w:val="21"/>
                    </w:rPr>
                    <w:t>/批次</w:t>
                  </w:r>
                </w:p>
              </w:tc>
              <w:tc>
                <w:tcPr>
                  <w:tcW w:w="413" w:type="pct"/>
                  <w:vAlign w:val="center"/>
                </w:tcPr>
                <w:p>
                  <w:pPr>
                    <w:jc w:val="center"/>
                    <w:rPr>
                      <w:b/>
                      <w:szCs w:val="21"/>
                    </w:rPr>
                  </w:pPr>
                  <w:r>
                    <w:rPr>
                      <w:b/>
                      <w:szCs w:val="21"/>
                    </w:rPr>
                    <w:t>理论年产量</w:t>
                  </w:r>
                  <w:r>
                    <w:rPr>
                      <w:rFonts w:hint="eastAsia"/>
                      <w:b/>
                      <w:szCs w:val="21"/>
                    </w:rPr>
                    <w:t>/t</w:t>
                  </w:r>
                </w:p>
              </w:tc>
              <w:tc>
                <w:tcPr>
                  <w:tcW w:w="409" w:type="pct"/>
                  <w:vAlign w:val="center"/>
                </w:tcPr>
                <w:p>
                  <w:pPr>
                    <w:jc w:val="center"/>
                    <w:rPr>
                      <w:b/>
                      <w:szCs w:val="21"/>
                    </w:rPr>
                  </w:pPr>
                  <w:r>
                    <w:rPr>
                      <w:rFonts w:hint="eastAsia"/>
                      <w:b/>
                      <w:szCs w:val="21"/>
                    </w:rPr>
                    <w:t>是否满足设计产能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 w:type="pct"/>
                  <w:vAlign w:val="center"/>
                </w:tcPr>
                <w:p>
                  <w:pPr>
                    <w:jc w:val="center"/>
                    <w:rPr>
                      <w:szCs w:val="21"/>
                    </w:rPr>
                  </w:pPr>
                  <w:r>
                    <w:rPr>
                      <w:szCs w:val="21"/>
                    </w:rPr>
                    <w:t>1</w:t>
                  </w:r>
                </w:p>
              </w:tc>
              <w:tc>
                <w:tcPr>
                  <w:tcW w:w="650" w:type="pct"/>
                  <w:vAlign w:val="center"/>
                </w:tcPr>
                <w:p>
                  <w:pPr>
                    <w:widowControl/>
                    <w:jc w:val="center"/>
                    <w:textAlignment w:val="center"/>
                    <w:rPr>
                      <w:szCs w:val="21"/>
                    </w:rPr>
                  </w:pPr>
                  <w:r>
                    <w:rPr>
                      <w:rFonts w:hint="eastAsia" w:ascii="宋体" w:hAnsi="宋体" w:cs="宋体"/>
                      <w:color w:val="000000"/>
                      <w:kern w:val="0"/>
                      <w:szCs w:val="21"/>
                    </w:rPr>
                    <w:t>动力电池结构件专用清洗剂</w:t>
                  </w:r>
                </w:p>
              </w:tc>
              <w:tc>
                <w:tcPr>
                  <w:tcW w:w="399" w:type="pct"/>
                  <w:vAlign w:val="center"/>
                </w:tcPr>
                <w:p>
                  <w:pPr>
                    <w:jc w:val="center"/>
                    <w:rPr>
                      <w:szCs w:val="21"/>
                    </w:rPr>
                  </w:pPr>
                  <w:r>
                    <w:rPr>
                      <w:rFonts w:hint="eastAsia"/>
                      <w:szCs w:val="21"/>
                    </w:rPr>
                    <w:t>2400</w:t>
                  </w:r>
                </w:p>
              </w:tc>
              <w:tc>
                <w:tcPr>
                  <w:tcW w:w="405" w:type="pct"/>
                  <w:vAlign w:val="center"/>
                </w:tcPr>
                <w:p>
                  <w:pPr>
                    <w:jc w:val="center"/>
                    <w:rPr>
                      <w:szCs w:val="21"/>
                    </w:rPr>
                  </w:pPr>
                  <w:r>
                    <w:rPr>
                      <w:rFonts w:hint="eastAsia"/>
                      <w:szCs w:val="21"/>
                    </w:rPr>
                    <w:t>5</w:t>
                  </w:r>
                </w:p>
              </w:tc>
              <w:tc>
                <w:tcPr>
                  <w:tcW w:w="410" w:type="pct"/>
                  <w:vAlign w:val="center"/>
                </w:tcPr>
                <w:p>
                  <w:pPr>
                    <w:jc w:val="center"/>
                    <w:rPr>
                      <w:szCs w:val="21"/>
                    </w:rPr>
                  </w:pPr>
                  <w:r>
                    <w:rPr>
                      <w:rFonts w:hint="eastAsia"/>
                      <w:szCs w:val="21"/>
                    </w:rPr>
                    <w:t>3</w:t>
                  </w:r>
                </w:p>
              </w:tc>
              <w:tc>
                <w:tcPr>
                  <w:tcW w:w="374" w:type="pct"/>
                  <w:vAlign w:val="center"/>
                </w:tcPr>
                <w:p>
                  <w:pPr>
                    <w:jc w:val="center"/>
                    <w:rPr>
                      <w:szCs w:val="21"/>
                    </w:rPr>
                  </w:pPr>
                  <w:r>
                    <w:rPr>
                      <w:rFonts w:hint="eastAsia"/>
                      <w:szCs w:val="21"/>
                    </w:rPr>
                    <w:t>3</w:t>
                  </w:r>
                </w:p>
              </w:tc>
              <w:tc>
                <w:tcPr>
                  <w:tcW w:w="461" w:type="pct"/>
                  <w:vAlign w:val="center"/>
                </w:tcPr>
                <w:p>
                  <w:pPr>
                    <w:jc w:val="center"/>
                    <w:rPr>
                      <w:szCs w:val="21"/>
                    </w:rPr>
                  </w:pPr>
                  <w:r>
                    <w:rPr>
                      <w:rFonts w:hint="eastAsia"/>
                      <w:szCs w:val="21"/>
                    </w:rPr>
                    <w:t>9</w:t>
                  </w:r>
                </w:p>
              </w:tc>
              <w:tc>
                <w:tcPr>
                  <w:tcW w:w="410"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300</w:t>
                  </w:r>
                </w:p>
              </w:tc>
              <w:tc>
                <w:tcPr>
                  <w:tcW w:w="413" w:type="pct"/>
                  <w:vAlign w:val="center"/>
                </w:tcPr>
                <w:p>
                  <w:pPr>
                    <w:jc w:val="center"/>
                    <w:rPr>
                      <w:szCs w:val="21"/>
                    </w:rPr>
                  </w:pPr>
                  <w:r>
                    <w:rPr>
                      <w:rFonts w:hint="eastAsia"/>
                      <w:szCs w:val="21"/>
                    </w:rPr>
                    <w:t>2700</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246" w:type="pct"/>
                  <w:vAlign w:val="center"/>
                </w:tcPr>
                <w:p>
                  <w:pPr>
                    <w:jc w:val="center"/>
                    <w:rPr>
                      <w:szCs w:val="21"/>
                    </w:rPr>
                  </w:pPr>
                  <w:r>
                    <w:rPr>
                      <w:szCs w:val="21"/>
                    </w:rPr>
                    <w:t>2</w:t>
                  </w:r>
                </w:p>
              </w:tc>
              <w:tc>
                <w:tcPr>
                  <w:tcW w:w="650" w:type="pct"/>
                  <w:vAlign w:val="center"/>
                </w:tcPr>
                <w:p>
                  <w:pPr>
                    <w:widowControl/>
                    <w:jc w:val="center"/>
                    <w:textAlignment w:val="center"/>
                    <w:rPr>
                      <w:szCs w:val="21"/>
                    </w:rPr>
                  </w:pPr>
                  <w:r>
                    <w:rPr>
                      <w:rFonts w:hint="eastAsia" w:ascii="宋体" w:hAnsi="宋体" w:cs="宋体"/>
                      <w:color w:val="000000"/>
                      <w:kern w:val="0"/>
                      <w:szCs w:val="21"/>
                    </w:rPr>
                    <w:t>除蜡水</w:t>
                  </w:r>
                </w:p>
              </w:tc>
              <w:tc>
                <w:tcPr>
                  <w:tcW w:w="399" w:type="pct"/>
                  <w:vAlign w:val="center"/>
                </w:tcPr>
                <w:p>
                  <w:pPr>
                    <w:jc w:val="center"/>
                    <w:rPr>
                      <w:szCs w:val="21"/>
                    </w:rPr>
                  </w:pPr>
                  <w:r>
                    <w:rPr>
                      <w:rFonts w:hint="eastAsia"/>
                      <w:szCs w:val="21"/>
                    </w:rPr>
                    <w:t>120</w:t>
                  </w:r>
                </w:p>
              </w:tc>
              <w:tc>
                <w:tcPr>
                  <w:tcW w:w="405" w:type="pct"/>
                  <w:vAlign w:val="center"/>
                </w:tcPr>
                <w:p>
                  <w:pPr>
                    <w:jc w:val="center"/>
                    <w:rPr>
                      <w:szCs w:val="21"/>
                    </w:rPr>
                  </w:pPr>
                  <w:r>
                    <w:rPr>
                      <w:rFonts w:hint="eastAsia"/>
                      <w:szCs w:val="21"/>
                    </w:rPr>
                    <w:t>1</w:t>
                  </w:r>
                </w:p>
              </w:tc>
              <w:tc>
                <w:tcPr>
                  <w:tcW w:w="410" w:type="pct"/>
                  <w:vAlign w:val="center"/>
                </w:tcPr>
                <w:p>
                  <w:pPr>
                    <w:jc w:val="center"/>
                    <w:rPr>
                      <w:szCs w:val="21"/>
                    </w:rPr>
                  </w:pPr>
                  <w:r>
                    <w:rPr>
                      <w:rFonts w:hint="eastAsia"/>
                      <w:szCs w:val="21"/>
                    </w:rPr>
                    <w:t>0.6</w:t>
                  </w:r>
                </w:p>
              </w:tc>
              <w:tc>
                <w:tcPr>
                  <w:tcW w:w="374" w:type="pct"/>
                  <w:vAlign w:val="center"/>
                </w:tcPr>
                <w:p>
                  <w:pPr>
                    <w:jc w:val="center"/>
                    <w:rPr>
                      <w:szCs w:val="21"/>
                    </w:rPr>
                  </w:pPr>
                  <w:r>
                    <w:rPr>
                      <w:rFonts w:hint="eastAsia"/>
                      <w:szCs w:val="21"/>
                    </w:rPr>
                    <w:t>1</w:t>
                  </w:r>
                </w:p>
              </w:tc>
              <w:tc>
                <w:tcPr>
                  <w:tcW w:w="461" w:type="pct"/>
                  <w:vAlign w:val="center"/>
                </w:tcPr>
                <w:p>
                  <w:pPr>
                    <w:jc w:val="center"/>
                    <w:rPr>
                      <w:szCs w:val="21"/>
                    </w:rPr>
                  </w:pPr>
                  <w:r>
                    <w:rPr>
                      <w:rFonts w:hint="eastAsia"/>
                      <w:szCs w:val="21"/>
                    </w:rPr>
                    <w:t>0.6</w:t>
                  </w:r>
                </w:p>
              </w:tc>
              <w:tc>
                <w:tcPr>
                  <w:tcW w:w="410"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240</w:t>
                  </w:r>
                </w:p>
              </w:tc>
              <w:tc>
                <w:tcPr>
                  <w:tcW w:w="413" w:type="pct"/>
                  <w:vAlign w:val="center"/>
                </w:tcPr>
                <w:p>
                  <w:pPr>
                    <w:jc w:val="center"/>
                    <w:rPr>
                      <w:szCs w:val="21"/>
                    </w:rPr>
                  </w:pPr>
                  <w:r>
                    <w:rPr>
                      <w:rFonts w:hint="eastAsia"/>
                      <w:szCs w:val="21"/>
                    </w:rPr>
                    <w:t>144</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 w:type="pct"/>
                  <w:vAlign w:val="center"/>
                </w:tcPr>
                <w:p>
                  <w:pPr>
                    <w:jc w:val="center"/>
                    <w:rPr>
                      <w:szCs w:val="21"/>
                    </w:rPr>
                  </w:pPr>
                  <w:r>
                    <w:rPr>
                      <w:rFonts w:hint="eastAsia"/>
                      <w:szCs w:val="21"/>
                    </w:rPr>
                    <w:t>3</w:t>
                  </w:r>
                </w:p>
              </w:tc>
              <w:tc>
                <w:tcPr>
                  <w:tcW w:w="650" w:type="pct"/>
                  <w:vAlign w:val="center"/>
                </w:tcPr>
                <w:p>
                  <w:pPr>
                    <w:widowControl/>
                    <w:jc w:val="center"/>
                    <w:textAlignment w:val="center"/>
                    <w:rPr>
                      <w:szCs w:val="21"/>
                    </w:rPr>
                  </w:pPr>
                  <w:r>
                    <w:rPr>
                      <w:rFonts w:hint="eastAsia" w:ascii="宋体" w:hAnsi="宋体" w:cs="宋体"/>
                      <w:color w:val="000000"/>
                      <w:kern w:val="0"/>
                      <w:szCs w:val="21"/>
                    </w:rPr>
                    <w:t>工业清洗剂</w:t>
                  </w:r>
                </w:p>
              </w:tc>
              <w:tc>
                <w:tcPr>
                  <w:tcW w:w="399" w:type="pct"/>
                  <w:vAlign w:val="center"/>
                </w:tcPr>
                <w:p>
                  <w:pPr>
                    <w:jc w:val="center"/>
                    <w:rPr>
                      <w:szCs w:val="21"/>
                    </w:rPr>
                  </w:pPr>
                  <w:r>
                    <w:rPr>
                      <w:rFonts w:hint="eastAsia"/>
                      <w:szCs w:val="21"/>
                    </w:rPr>
                    <w:t>11700</w:t>
                  </w:r>
                </w:p>
              </w:tc>
              <w:tc>
                <w:tcPr>
                  <w:tcW w:w="405" w:type="pct"/>
                  <w:vAlign w:val="center"/>
                </w:tcPr>
                <w:p>
                  <w:pPr>
                    <w:jc w:val="center"/>
                    <w:rPr>
                      <w:szCs w:val="21"/>
                    </w:rPr>
                  </w:pPr>
                  <w:r>
                    <w:rPr>
                      <w:rFonts w:hint="eastAsia"/>
                      <w:szCs w:val="21"/>
                    </w:rPr>
                    <w:t>5</w:t>
                  </w:r>
                </w:p>
              </w:tc>
              <w:tc>
                <w:tcPr>
                  <w:tcW w:w="410" w:type="pct"/>
                  <w:vAlign w:val="center"/>
                </w:tcPr>
                <w:p>
                  <w:pPr>
                    <w:jc w:val="center"/>
                    <w:rPr>
                      <w:szCs w:val="21"/>
                    </w:rPr>
                  </w:pPr>
                  <w:r>
                    <w:rPr>
                      <w:rFonts w:hint="eastAsia"/>
                      <w:szCs w:val="21"/>
                    </w:rPr>
                    <w:t>3</w:t>
                  </w:r>
                </w:p>
              </w:tc>
              <w:tc>
                <w:tcPr>
                  <w:tcW w:w="374" w:type="pct"/>
                  <w:vAlign w:val="center"/>
                </w:tcPr>
                <w:p>
                  <w:pPr>
                    <w:jc w:val="center"/>
                    <w:rPr>
                      <w:szCs w:val="21"/>
                    </w:rPr>
                  </w:pPr>
                  <w:r>
                    <w:rPr>
                      <w:rFonts w:hint="eastAsia"/>
                      <w:szCs w:val="21"/>
                    </w:rPr>
                    <w:t>13</w:t>
                  </w:r>
                </w:p>
              </w:tc>
              <w:tc>
                <w:tcPr>
                  <w:tcW w:w="461" w:type="pct"/>
                  <w:vAlign w:val="center"/>
                </w:tcPr>
                <w:p>
                  <w:pPr>
                    <w:jc w:val="center"/>
                    <w:rPr>
                      <w:szCs w:val="21"/>
                    </w:rPr>
                  </w:pPr>
                  <w:r>
                    <w:rPr>
                      <w:rFonts w:hint="eastAsia"/>
                      <w:szCs w:val="21"/>
                    </w:rPr>
                    <w:t>39</w:t>
                  </w:r>
                </w:p>
              </w:tc>
              <w:tc>
                <w:tcPr>
                  <w:tcW w:w="410"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360</w:t>
                  </w:r>
                </w:p>
              </w:tc>
              <w:tc>
                <w:tcPr>
                  <w:tcW w:w="413" w:type="pct"/>
                  <w:vAlign w:val="center"/>
                </w:tcPr>
                <w:p>
                  <w:pPr>
                    <w:jc w:val="center"/>
                    <w:rPr>
                      <w:szCs w:val="21"/>
                    </w:rPr>
                  </w:pPr>
                  <w:r>
                    <w:rPr>
                      <w:rFonts w:hint="eastAsia"/>
                      <w:szCs w:val="21"/>
                    </w:rPr>
                    <w:t>14040</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246" w:type="pct"/>
                  <w:vAlign w:val="center"/>
                </w:tcPr>
                <w:p>
                  <w:pPr>
                    <w:jc w:val="center"/>
                    <w:rPr>
                      <w:szCs w:val="21"/>
                    </w:rPr>
                  </w:pPr>
                  <w:r>
                    <w:rPr>
                      <w:rFonts w:hint="eastAsia"/>
                      <w:szCs w:val="21"/>
                    </w:rPr>
                    <w:t>4</w:t>
                  </w:r>
                </w:p>
              </w:tc>
              <w:tc>
                <w:tcPr>
                  <w:tcW w:w="650" w:type="pct"/>
                  <w:vAlign w:val="center"/>
                </w:tcPr>
                <w:p>
                  <w:pPr>
                    <w:widowControl/>
                    <w:jc w:val="center"/>
                    <w:textAlignment w:val="center"/>
                    <w:rPr>
                      <w:szCs w:val="21"/>
                    </w:rPr>
                  </w:pPr>
                  <w:r>
                    <w:rPr>
                      <w:rFonts w:hint="eastAsia" w:ascii="宋体" w:hAnsi="宋体" w:cs="宋体"/>
                      <w:color w:val="000000"/>
                      <w:kern w:val="0"/>
                      <w:szCs w:val="21"/>
                    </w:rPr>
                    <w:t>半合成切削液</w:t>
                  </w:r>
                </w:p>
              </w:tc>
              <w:tc>
                <w:tcPr>
                  <w:tcW w:w="399" w:type="pct"/>
                  <w:vAlign w:val="center"/>
                </w:tcPr>
                <w:p>
                  <w:pPr>
                    <w:jc w:val="center"/>
                    <w:rPr>
                      <w:szCs w:val="21"/>
                    </w:rPr>
                  </w:pPr>
                  <w:r>
                    <w:rPr>
                      <w:rFonts w:hint="eastAsia"/>
                      <w:szCs w:val="21"/>
                    </w:rPr>
                    <w:t>720</w:t>
                  </w:r>
                </w:p>
              </w:tc>
              <w:tc>
                <w:tcPr>
                  <w:tcW w:w="405" w:type="pct"/>
                  <w:vAlign w:val="center"/>
                </w:tcPr>
                <w:p>
                  <w:pPr>
                    <w:jc w:val="center"/>
                    <w:rPr>
                      <w:szCs w:val="21"/>
                    </w:rPr>
                  </w:pPr>
                  <w:r>
                    <w:rPr>
                      <w:rFonts w:hint="eastAsia"/>
                      <w:szCs w:val="21"/>
                    </w:rPr>
                    <w:t>2</w:t>
                  </w:r>
                </w:p>
              </w:tc>
              <w:tc>
                <w:tcPr>
                  <w:tcW w:w="410" w:type="pct"/>
                  <w:vAlign w:val="center"/>
                </w:tcPr>
                <w:p>
                  <w:pPr>
                    <w:jc w:val="center"/>
                    <w:rPr>
                      <w:szCs w:val="21"/>
                    </w:rPr>
                  </w:pPr>
                  <w:r>
                    <w:rPr>
                      <w:rFonts w:hint="eastAsia"/>
                      <w:szCs w:val="21"/>
                    </w:rPr>
                    <w:t>1.2</w:t>
                  </w:r>
                </w:p>
              </w:tc>
              <w:tc>
                <w:tcPr>
                  <w:tcW w:w="374" w:type="pct"/>
                  <w:vAlign w:val="center"/>
                </w:tcPr>
                <w:p>
                  <w:pPr>
                    <w:jc w:val="center"/>
                    <w:rPr>
                      <w:szCs w:val="21"/>
                    </w:rPr>
                  </w:pPr>
                  <w:r>
                    <w:rPr>
                      <w:rFonts w:hint="eastAsia"/>
                      <w:szCs w:val="21"/>
                    </w:rPr>
                    <w:t>2</w:t>
                  </w:r>
                </w:p>
              </w:tc>
              <w:tc>
                <w:tcPr>
                  <w:tcW w:w="461" w:type="pct"/>
                  <w:vAlign w:val="center"/>
                </w:tcPr>
                <w:p>
                  <w:pPr>
                    <w:jc w:val="center"/>
                    <w:rPr>
                      <w:szCs w:val="21"/>
                    </w:rPr>
                  </w:pPr>
                  <w:r>
                    <w:rPr>
                      <w:rFonts w:hint="eastAsia"/>
                      <w:szCs w:val="21"/>
                    </w:rPr>
                    <w:t>2.4</w:t>
                  </w:r>
                </w:p>
              </w:tc>
              <w:tc>
                <w:tcPr>
                  <w:tcW w:w="410"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360</w:t>
                  </w:r>
                </w:p>
              </w:tc>
              <w:tc>
                <w:tcPr>
                  <w:tcW w:w="413" w:type="pct"/>
                  <w:vAlign w:val="center"/>
                </w:tcPr>
                <w:p>
                  <w:pPr>
                    <w:jc w:val="center"/>
                    <w:rPr>
                      <w:szCs w:val="21"/>
                    </w:rPr>
                  </w:pPr>
                  <w:r>
                    <w:rPr>
                      <w:rFonts w:hint="eastAsia"/>
                      <w:szCs w:val="21"/>
                    </w:rPr>
                    <w:t>864</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 w:type="pct"/>
                  <w:vAlign w:val="center"/>
                </w:tcPr>
                <w:p>
                  <w:pPr>
                    <w:jc w:val="center"/>
                    <w:rPr>
                      <w:szCs w:val="21"/>
                    </w:rPr>
                  </w:pPr>
                  <w:r>
                    <w:rPr>
                      <w:rFonts w:hint="eastAsia"/>
                      <w:szCs w:val="21"/>
                    </w:rPr>
                    <w:t>5</w:t>
                  </w:r>
                </w:p>
              </w:tc>
              <w:tc>
                <w:tcPr>
                  <w:tcW w:w="650" w:type="pct"/>
                  <w:vAlign w:val="center"/>
                </w:tcPr>
                <w:p>
                  <w:pPr>
                    <w:widowControl/>
                    <w:jc w:val="center"/>
                    <w:textAlignment w:val="center"/>
                    <w:rPr>
                      <w:szCs w:val="21"/>
                    </w:rPr>
                  </w:pPr>
                  <w:r>
                    <w:rPr>
                      <w:rFonts w:hint="eastAsia" w:ascii="宋体" w:hAnsi="宋体" w:cs="宋体"/>
                      <w:color w:val="000000"/>
                      <w:kern w:val="0"/>
                      <w:szCs w:val="21"/>
                    </w:rPr>
                    <w:t>全合成切削液</w:t>
                  </w:r>
                </w:p>
              </w:tc>
              <w:tc>
                <w:tcPr>
                  <w:tcW w:w="399" w:type="pct"/>
                  <w:vAlign w:val="center"/>
                </w:tcPr>
                <w:p>
                  <w:pPr>
                    <w:jc w:val="center"/>
                    <w:rPr>
                      <w:szCs w:val="21"/>
                    </w:rPr>
                  </w:pPr>
                  <w:r>
                    <w:rPr>
                      <w:rFonts w:hint="eastAsia"/>
                      <w:szCs w:val="21"/>
                    </w:rPr>
                    <w:t>600</w:t>
                  </w:r>
                </w:p>
              </w:tc>
              <w:tc>
                <w:tcPr>
                  <w:tcW w:w="405" w:type="pct"/>
                  <w:vAlign w:val="center"/>
                </w:tcPr>
                <w:p>
                  <w:pPr>
                    <w:jc w:val="center"/>
                    <w:rPr>
                      <w:szCs w:val="21"/>
                    </w:rPr>
                  </w:pPr>
                  <w:r>
                    <w:rPr>
                      <w:rFonts w:hint="eastAsia"/>
                      <w:szCs w:val="21"/>
                    </w:rPr>
                    <w:t>2</w:t>
                  </w:r>
                </w:p>
              </w:tc>
              <w:tc>
                <w:tcPr>
                  <w:tcW w:w="410" w:type="pct"/>
                  <w:vAlign w:val="center"/>
                </w:tcPr>
                <w:p>
                  <w:pPr>
                    <w:jc w:val="center"/>
                    <w:rPr>
                      <w:szCs w:val="21"/>
                    </w:rPr>
                  </w:pPr>
                  <w:r>
                    <w:rPr>
                      <w:rFonts w:hint="eastAsia"/>
                      <w:szCs w:val="21"/>
                    </w:rPr>
                    <w:t>1.2</w:t>
                  </w:r>
                </w:p>
              </w:tc>
              <w:tc>
                <w:tcPr>
                  <w:tcW w:w="374" w:type="pct"/>
                  <w:vAlign w:val="center"/>
                </w:tcPr>
                <w:p>
                  <w:pPr>
                    <w:jc w:val="center"/>
                    <w:rPr>
                      <w:szCs w:val="21"/>
                    </w:rPr>
                  </w:pPr>
                  <w:r>
                    <w:rPr>
                      <w:rFonts w:hint="eastAsia"/>
                      <w:szCs w:val="21"/>
                    </w:rPr>
                    <w:t>1</w:t>
                  </w:r>
                </w:p>
              </w:tc>
              <w:tc>
                <w:tcPr>
                  <w:tcW w:w="461" w:type="pct"/>
                  <w:vAlign w:val="center"/>
                </w:tcPr>
                <w:p>
                  <w:pPr>
                    <w:jc w:val="center"/>
                    <w:rPr>
                      <w:szCs w:val="21"/>
                    </w:rPr>
                  </w:pPr>
                  <w:r>
                    <w:rPr>
                      <w:rFonts w:hint="eastAsia"/>
                      <w:szCs w:val="21"/>
                    </w:rPr>
                    <w:t>1.2</w:t>
                  </w:r>
                </w:p>
              </w:tc>
              <w:tc>
                <w:tcPr>
                  <w:tcW w:w="410"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520</w:t>
                  </w:r>
                </w:p>
              </w:tc>
              <w:tc>
                <w:tcPr>
                  <w:tcW w:w="413" w:type="pct"/>
                  <w:vAlign w:val="center"/>
                </w:tcPr>
                <w:p>
                  <w:pPr>
                    <w:jc w:val="center"/>
                    <w:rPr>
                      <w:szCs w:val="21"/>
                    </w:rPr>
                  </w:pPr>
                  <w:r>
                    <w:rPr>
                      <w:rFonts w:hint="eastAsia"/>
                      <w:szCs w:val="21"/>
                    </w:rPr>
                    <w:t>624</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 w:type="pct"/>
                  <w:vAlign w:val="center"/>
                </w:tcPr>
                <w:p>
                  <w:pPr>
                    <w:jc w:val="center"/>
                    <w:rPr>
                      <w:szCs w:val="21"/>
                    </w:rPr>
                  </w:pPr>
                  <w:r>
                    <w:rPr>
                      <w:rFonts w:hint="eastAsia"/>
                      <w:szCs w:val="21"/>
                    </w:rPr>
                    <w:t>6</w:t>
                  </w:r>
                </w:p>
              </w:tc>
              <w:tc>
                <w:tcPr>
                  <w:tcW w:w="650" w:type="pct"/>
                  <w:vAlign w:val="center"/>
                </w:tcPr>
                <w:p>
                  <w:pPr>
                    <w:widowControl/>
                    <w:jc w:val="center"/>
                    <w:textAlignment w:val="center"/>
                    <w:rPr>
                      <w:szCs w:val="21"/>
                    </w:rPr>
                  </w:pPr>
                  <w:r>
                    <w:rPr>
                      <w:rFonts w:hint="eastAsia" w:ascii="宋体" w:hAnsi="宋体" w:cs="宋体"/>
                      <w:color w:val="000000"/>
                      <w:kern w:val="0"/>
                      <w:szCs w:val="21"/>
                    </w:rPr>
                    <w:t>导轨油</w:t>
                  </w:r>
                </w:p>
              </w:tc>
              <w:tc>
                <w:tcPr>
                  <w:tcW w:w="399" w:type="pct"/>
                  <w:vAlign w:val="center"/>
                </w:tcPr>
                <w:p>
                  <w:pPr>
                    <w:jc w:val="center"/>
                    <w:rPr>
                      <w:szCs w:val="21"/>
                    </w:rPr>
                  </w:pPr>
                  <w:r>
                    <w:rPr>
                      <w:rFonts w:hint="eastAsia"/>
                      <w:szCs w:val="21"/>
                    </w:rPr>
                    <w:t>360</w:t>
                  </w:r>
                </w:p>
              </w:tc>
              <w:tc>
                <w:tcPr>
                  <w:tcW w:w="405" w:type="pct"/>
                  <w:vAlign w:val="center"/>
                </w:tcPr>
                <w:p>
                  <w:pPr>
                    <w:jc w:val="center"/>
                    <w:rPr>
                      <w:szCs w:val="21"/>
                    </w:rPr>
                  </w:pPr>
                  <w:r>
                    <w:rPr>
                      <w:rFonts w:hint="eastAsia"/>
                      <w:szCs w:val="21"/>
                    </w:rPr>
                    <w:t>5</w:t>
                  </w:r>
                </w:p>
              </w:tc>
              <w:tc>
                <w:tcPr>
                  <w:tcW w:w="410" w:type="pct"/>
                  <w:vAlign w:val="center"/>
                </w:tcPr>
                <w:p>
                  <w:pPr>
                    <w:jc w:val="center"/>
                    <w:rPr>
                      <w:szCs w:val="21"/>
                    </w:rPr>
                  </w:pPr>
                  <w:r>
                    <w:rPr>
                      <w:rFonts w:hint="eastAsia"/>
                      <w:szCs w:val="21"/>
                    </w:rPr>
                    <w:t>3</w:t>
                  </w:r>
                </w:p>
              </w:tc>
              <w:tc>
                <w:tcPr>
                  <w:tcW w:w="374" w:type="pct"/>
                  <w:vAlign w:val="center"/>
                </w:tcPr>
                <w:p>
                  <w:pPr>
                    <w:jc w:val="center"/>
                    <w:rPr>
                      <w:szCs w:val="21"/>
                    </w:rPr>
                  </w:pPr>
                  <w:r>
                    <w:rPr>
                      <w:rFonts w:hint="eastAsia"/>
                      <w:szCs w:val="21"/>
                    </w:rPr>
                    <w:t>2</w:t>
                  </w:r>
                </w:p>
              </w:tc>
              <w:tc>
                <w:tcPr>
                  <w:tcW w:w="461" w:type="pct"/>
                  <w:vAlign w:val="center"/>
                </w:tcPr>
                <w:p>
                  <w:pPr>
                    <w:jc w:val="center"/>
                    <w:rPr>
                      <w:szCs w:val="21"/>
                    </w:rPr>
                  </w:pPr>
                  <w:r>
                    <w:rPr>
                      <w:rFonts w:hint="eastAsia"/>
                      <w:szCs w:val="21"/>
                    </w:rPr>
                    <w:t>6</w:t>
                  </w:r>
                </w:p>
              </w:tc>
              <w:tc>
                <w:tcPr>
                  <w:tcW w:w="410" w:type="pct"/>
                  <w:vAlign w:val="center"/>
                </w:tcPr>
                <w:p>
                  <w:pPr>
                    <w:jc w:val="center"/>
                    <w:rPr>
                      <w:szCs w:val="21"/>
                    </w:rPr>
                  </w:pPr>
                  <w:r>
                    <w:rPr>
                      <w:rFonts w:hint="eastAsia"/>
                      <w:szCs w:val="21"/>
                    </w:rPr>
                    <w:t>3</w:t>
                  </w:r>
                </w:p>
              </w:tc>
              <w:tc>
                <w:tcPr>
                  <w:tcW w:w="412" w:type="pct"/>
                  <w:vAlign w:val="center"/>
                </w:tcPr>
                <w:p>
                  <w:pPr>
                    <w:jc w:val="center"/>
                    <w:rPr>
                      <w:szCs w:val="21"/>
                    </w:rPr>
                  </w:pPr>
                  <w:r>
                    <w:rPr>
                      <w:rFonts w:hint="eastAsia"/>
                      <w:szCs w:val="21"/>
                    </w:rPr>
                    <w:t>1</w:t>
                  </w:r>
                </w:p>
              </w:tc>
              <w:tc>
                <w:tcPr>
                  <w:tcW w:w="412" w:type="pct"/>
                  <w:vAlign w:val="center"/>
                </w:tcPr>
                <w:p>
                  <w:pPr>
                    <w:jc w:val="center"/>
                    <w:rPr>
                      <w:szCs w:val="21"/>
                    </w:rPr>
                  </w:pPr>
                  <w:r>
                    <w:rPr>
                      <w:rFonts w:hint="eastAsia"/>
                      <w:szCs w:val="21"/>
                    </w:rPr>
                    <w:t>80</w:t>
                  </w:r>
                </w:p>
              </w:tc>
              <w:tc>
                <w:tcPr>
                  <w:tcW w:w="413" w:type="pct"/>
                  <w:vAlign w:val="center"/>
                </w:tcPr>
                <w:p>
                  <w:pPr>
                    <w:jc w:val="center"/>
                    <w:rPr>
                      <w:szCs w:val="21"/>
                    </w:rPr>
                  </w:pPr>
                  <w:r>
                    <w:rPr>
                      <w:rFonts w:hint="eastAsia"/>
                      <w:szCs w:val="21"/>
                    </w:rPr>
                    <w:t>480</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 w:type="pct"/>
                  <w:vAlign w:val="center"/>
                </w:tcPr>
                <w:p>
                  <w:pPr>
                    <w:jc w:val="center"/>
                    <w:rPr>
                      <w:szCs w:val="21"/>
                    </w:rPr>
                  </w:pPr>
                  <w:r>
                    <w:rPr>
                      <w:rFonts w:hint="eastAsia"/>
                      <w:szCs w:val="21"/>
                    </w:rPr>
                    <w:t>7</w:t>
                  </w:r>
                </w:p>
              </w:tc>
              <w:tc>
                <w:tcPr>
                  <w:tcW w:w="650" w:type="pct"/>
                  <w:vAlign w:val="center"/>
                </w:tcPr>
                <w:p>
                  <w:pPr>
                    <w:widowControl/>
                    <w:jc w:val="center"/>
                    <w:textAlignment w:val="center"/>
                    <w:rPr>
                      <w:szCs w:val="21"/>
                    </w:rPr>
                  </w:pPr>
                  <w:r>
                    <w:rPr>
                      <w:rFonts w:hint="eastAsia" w:ascii="宋体" w:hAnsi="宋体" w:cs="宋体"/>
                      <w:color w:val="000000"/>
                      <w:kern w:val="0"/>
                      <w:szCs w:val="21"/>
                    </w:rPr>
                    <w:t>冲压油</w:t>
                  </w:r>
                </w:p>
              </w:tc>
              <w:tc>
                <w:tcPr>
                  <w:tcW w:w="399" w:type="pct"/>
                  <w:vAlign w:val="center"/>
                </w:tcPr>
                <w:p>
                  <w:pPr>
                    <w:jc w:val="center"/>
                    <w:rPr>
                      <w:szCs w:val="21"/>
                    </w:rPr>
                  </w:pPr>
                  <w:r>
                    <w:rPr>
                      <w:rFonts w:hint="eastAsia"/>
                      <w:szCs w:val="21"/>
                    </w:rPr>
                    <w:t>480</w:t>
                  </w:r>
                </w:p>
              </w:tc>
              <w:tc>
                <w:tcPr>
                  <w:tcW w:w="405" w:type="pct"/>
                  <w:vAlign w:val="center"/>
                </w:tcPr>
                <w:p>
                  <w:pPr>
                    <w:jc w:val="center"/>
                    <w:rPr>
                      <w:szCs w:val="21"/>
                    </w:rPr>
                  </w:pPr>
                  <w:r>
                    <w:rPr>
                      <w:rFonts w:hint="eastAsia"/>
                      <w:szCs w:val="21"/>
                    </w:rPr>
                    <w:t>5</w:t>
                  </w:r>
                </w:p>
              </w:tc>
              <w:tc>
                <w:tcPr>
                  <w:tcW w:w="410" w:type="pct"/>
                  <w:vAlign w:val="center"/>
                </w:tcPr>
                <w:p>
                  <w:pPr>
                    <w:jc w:val="center"/>
                    <w:rPr>
                      <w:szCs w:val="21"/>
                    </w:rPr>
                  </w:pPr>
                  <w:r>
                    <w:rPr>
                      <w:rFonts w:hint="eastAsia"/>
                      <w:szCs w:val="21"/>
                    </w:rPr>
                    <w:t>3</w:t>
                  </w:r>
                </w:p>
              </w:tc>
              <w:tc>
                <w:tcPr>
                  <w:tcW w:w="374" w:type="pct"/>
                  <w:vAlign w:val="center"/>
                </w:tcPr>
                <w:p>
                  <w:pPr>
                    <w:jc w:val="center"/>
                    <w:rPr>
                      <w:szCs w:val="21"/>
                    </w:rPr>
                  </w:pPr>
                  <w:r>
                    <w:rPr>
                      <w:rFonts w:hint="eastAsia"/>
                      <w:szCs w:val="21"/>
                    </w:rPr>
                    <w:t>3</w:t>
                  </w:r>
                </w:p>
              </w:tc>
              <w:tc>
                <w:tcPr>
                  <w:tcW w:w="461" w:type="pct"/>
                  <w:vAlign w:val="center"/>
                </w:tcPr>
                <w:p>
                  <w:pPr>
                    <w:jc w:val="center"/>
                    <w:rPr>
                      <w:szCs w:val="21"/>
                    </w:rPr>
                  </w:pPr>
                  <w:r>
                    <w:rPr>
                      <w:rFonts w:hint="eastAsia"/>
                      <w:szCs w:val="21"/>
                    </w:rPr>
                    <w:t>9</w:t>
                  </w:r>
                </w:p>
              </w:tc>
              <w:tc>
                <w:tcPr>
                  <w:tcW w:w="410" w:type="pct"/>
                  <w:vAlign w:val="center"/>
                </w:tcPr>
                <w:p>
                  <w:pPr>
                    <w:jc w:val="center"/>
                    <w:rPr>
                      <w:szCs w:val="21"/>
                    </w:rPr>
                  </w:pPr>
                  <w:r>
                    <w:rPr>
                      <w:rFonts w:hint="eastAsia"/>
                      <w:szCs w:val="21"/>
                    </w:rPr>
                    <w:t>3</w:t>
                  </w:r>
                </w:p>
              </w:tc>
              <w:tc>
                <w:tcPr>
                  <w:tcW w:w="412" w:type="pct"/>
                  <w:vAlign w:val="center"/>
                </w:tcPr>
                <w:p>
                  <w:pPr>
                    <w:jc w:val="center"/>
                    <w:rPr>
                      <w:szCs w:val="21"/>
                    </w:rPr>
                  </w:pPr>
                  <w:r>
                    <w:rPr>
                      <w:rFonts w:hint="eastAsia"/>
                      <w:szCs w:val="21"/>
                    </w:rPr>
                    <w:t>1</w:t>
                  </w:r>
                </w:p>
              </w:tc>
              <w:tc>
                <w:tcPr>
                  <w:tcW w:w="412" w:type="pct"/>
                  <w:vAlign w:val="center"/>
                </w:tcPr>
                <w:p>
                  <w:pPr>
                    <w:jc w:val="center"/>
                    <w:rPr>
                      <w:szCs w:val="21"/>
                    </w:rPr>
                  </w:pPr>
                  <w:r>
                    <w:rPr>
                      <w:rFonts w:hint="eastAsia"/>
                      <w:szCs w:val="21"/>
                    </w:rPr>
                    <w:t>60</w:t>
                  </w:r>
                </w:p>
              </w:tc>
              <w:tc>
                <w:tcPr>
                  <w:tcW w:w="413" w:type="pct"/>
                  <w:vAlign w:val="center"/>
                </w:tcPr>
                <w:p>
                  <w:pPr>
                    <w:jc w:val="center"/>
                    <w:rPr>
                      <w:szCs w:val="21"/>
                    </w:rPr>
                  </w:pPr>
                  <w:r>
                    <w:rPr>
                      <w:rFonts w:hint="eastAsia"/>
                      <w:szCs w:val="21"/>
                    </w:rPr>
                    <w:t>540</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 w:type="pct"/>
                  <w:vAlign w:val="center"/>
                </w:tcPr>
                <w:p>
                  <w:pPr>
                    <w:jc w:val="center"/>
                    <w:rPr>
                      <w:szCs w:val="21"/>
                    </w:rPr>
                  </w:pPr>
                  <w:r>
                    <w:rPr>
                      <w:rFonts w:hint="eastAsia"/>
                      <w:szCs w:val="21"/>
                    </w:rPr>
                    <w:t>8</w:t>
                  </w:r>
                </w:p>
              </w:tc>
              <w:tc>
                <w:tcPr>
                  <w:tcW w:w="650" w:type="pct"/>
                  <w:vAlign w:val="center"/>
                </w:tcPr>
                <w:p>
                  <w:pPr>
                    <w:widowControl/>
                    <w:jc w:val="center"/>
                    <w:textAlignment w:val="center"/>
                    <w:rPr>
                      <w:szCs w:val="21"/>
                    </w:rPr>
                  </w:pPr>
                  <w:r>
                    <w:rPr>
                      <w:rFonts w:hint="eastAsia" w:ascii="宋体" w:hAnsi="宋体" w:cs="宋体"/>
                      <w:color w:val="000000"/>
                      <w:kern w:val="0"/>
                      <w:szCs w:val="21"/>
                    </w:rPr>
                    <w:t>拉伸油</w:t>
                  </w:r>
                </w:p>
              </w:tc>
              <w:tc>
                <w:tcPr>
                  <w:tcW w:w="399" w:type="pct"/>
                  <w:vAlign w:val="center"/>
                </w:tcPr>
                <w:p>
                  <w:pPr>
                    <w:jc w:val="center"/>
                    <w:rPr>
                      <w:szCs w:val="21"/>
                    </w:rPr>
                  </w:pPr>
                  <w:r>
                    <w:rPr>
                      <w:rFonts w:hint="eastAsia"/>
                      <w:szCs w:val="21"/>
                    </w:rPr>
                    <w:t>600</w:t>
                  </w:r>
                </w:p>
              </w:tc>
              <w:tc>
                <w:tcPr>
                  <w:tcW w:w="405" w:type="pct"/>
                  <w:vAlign w:val="center"/>
                </w:tcPr>
                <w:p>
                  <w:pPr>
                    <w:jc w:val="center"/>
                    <w:rPr>
                      <w:szCs w:val="21"/>
                    </w:rPr>
                  </w:pPr>
                  <w:r>
                    <w:rPr>
                      <w:rFonts w:hint="eastAsia"/>
                      <w:szCs w:val="21"/>
                    </w:rPr>
                    <w:t>5</w:t>
                  </w:r>
                </w:p>
              </w:tc>
              <w:tc>
                <w:tcPr>
                  <w:tcW w:w="410" w:type="pct"/>
                  <w:vAlign w:val="center"/>
                </w:tcPr>
                <w:p>
                  <w:pPr>
                    <w:jc w:val="center"/>
                    <w:rPr>
                      <w:szCs w:val="21"/>
                    </w:rPr>
                  </w:pPr>
                  <w:r>
                    <w:rPr>
                      <w:rFonts w:hint="eastAsia"/>
                      <w:szCs w:val="21"/>
                    </w:rPr>
                    <w:t>3</w:t>
                  </w:r>
                </w:p>
              </w:tc>
              <w:tc>
                <w:tcPr>
                  <w:tcW w:w="374" w:type="pct"/>
                  <w:vAlign w:val="center"/>
                </w:tcPr>
                <w:p>
                  <w:pPr>
                    <w:jc w:val="center"/>
                    <w:rPr>
                      <w:szCs w:val="21"/>
                    </w:rPr>
                  </w:pPr>
                  <w:r>
                    <w:rPr>
                      <w:rFonts w:hint="eastAsia"/>
                      <w:szCs w:val="21"/>
                    </w:rPr>
                    <w:t>3</w:t>
                  </w:r>
                </w:p>
              </w:tc>
              <w:tc>
                <w:tcPr>
                  <w:tcW w:w="461" w:type="pct"/>
                  <w:vAlign w:val="center"/>
                </w:tcPr>
                <w:p>
                  <w:pPr>
                    <w:jc w:val="center"/>
                    <w:rPr>
                      <w:szCs w:val="21"/>
                    </w:rPr>
                  </w:pPr>
                  <w:r>
                    <w:rPr>
                      <w:rFonts w:hint="eastAsia"/>
                      <w:szCs w:val="21"/>
                    </w:rPr>
                    <w:t>9</w:t>
                  </w:r>
                </w:p>
              </w:tc>
              <w:tc>
                <w:tcPr>
                  <w:tcW w:w="410" w:type="pct"/>
                  <w:vAlign w:val="center"/>
                </w:tcPr>
                <w:p>
                  <w:pPr>
                    <w:jc w:val="center"/>
                    <w:rPr>
                      <w:szCs w:val="21"/>
                    </w:rPr>
                  </w:pPr>
                  <w:r>
                    <w:rPr>
                      <w:rFonts w:hint="eastAsia"/>
                      <w:szCs w:val="21"/>
                    </w:rPr>
                    <w:t>3</w:t>
                  </w:r>
                </w:p>
              </w:tc>
              <w:tc>
                <w:tcPr>
                  <w:tcW w:w="412" w:type="pct"/>
                  <w:vAlign w:val="center"/>
                </w:tcPr>
                <w:p>
                  <w:pPr>
                    <w:jc w:val="center"/>
                    <w:rPr>
                      <w:szCs w:val="21"/>
                    </w:rPr>
                  </w:pPr>
                  <w:r>
                    <w:rPr>
                      <w:rFonts w:hint="eastAsia"/>
                      <w:szCs w:val="21"/>
                    </w:rPr>
                    <w:t>1</w:t>
                  </w:r>
                </w:p>
              </w:tc>
              <w:tc>
                <w:tcPr>
                  <w:tcW w:w="412" w:type="pct"/>
                  <w:vAlign w:val="center"/>
                </w:tcPr>
                <w:p>
                  <w:pPr>
                    <w:jc w:val="center"/>
                    <w:rPr>
                      <w:szCs w:val="21"/>
                    </w:rPr>
                  </w:pPr>
                  <w:r>
                    <w:rPr>
                      <w:rFonts w:hint="eastAsia"/>
                      <w:szCs w:val="21"/>
                    </w:rPr>
                    <w:t>70</w:t>
                  </w:r>
                </w:p>
              </w:tc>
              <w:tc>
                <w:tcPr>
                  <w:tcW w:w="413" w:type="pct"/>
                  <w:vAlign w:val="center"/>
                </w:tcPr>
                <w:p>
                  <w:pPr>
                    <w:jc w:val="center"/>
                    <w:rPr>
                      <w:szCs w:val="21"/>
                    </w:rPr>
                  </w:pPr>
                  <w:r>
                    <w:rPr>
                      <w:rFonts w:hint="eastAsia"/>
                      <w:szCs w:val="21"/>
                    </w:rPr>
                    <w:t>630</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246" w:type="pct"/>
                  <w:vAlign w:val="center"/>
                </w:tcPr>
                <w:p>
                  <w:pPr>
                    <w:jc w:val="center"/>
                    <w:rPr>
                      <w:szCs w:val="21"/>
                    </w:rPr>
                  </w:pPr>
                  <w:r>
                    <w:rPr>
                      <w:rFonts w:hint="eastAsia"/>
                      <w:szCs w:val="21"/>
                    </w:rPr>
                    <w:t>9</w:t>
                  </w:r>
                </w:p>
              </w:tc>
              <w:tc>
                <w:tcPr>
                  <w:tcW w:w="650" w:type="pct"/>
                  <w:vAlign w:val="center"/>
                </w:tcPr>
                <w:p>
                  <w:pPr>
                    <w:widowControl/>
                    <w:jc w:val="center"/>
                    <w:textAlignment w:val="center"/>
                    <w:rPr>
                      <w:szCs w:val="21"/>
                    </w:rPr>
                  </w:pPr>
                  <w:r>
                    <w:rPr>
                      <w:rFonts w:hint="eastAsia" w:ascii="宋体" w:hAnsi="宋体" w:cs="宋体"/>
                      <w:color w:val="000000"/>
                      <w:kern w:val="0"/>
                      <w:szCs w:val="21"/>
                    </w:rPr>
                    <w:t>多功能碳氢清洗剂</w:t>
                  </w:r>
                </w:p>
              </w:tc>
              <w:tc>
                <w:tcPr>
                  <w:tcW w:w="399" w:type="pct"/>
                  <w:vAlign w:val="center"/>
                </w:tcPr>
                <w:p>
                  <w:pPr>
                    <w:jc w:val="center"/>
                    <w:rPr>
                      <w:szCs w:val="21"/>
                    </w:rPr>
                  </w:pPr>
                  <w:r>
                    <w:rPr>
                      <w:rFonts w:hint="eastAsia"/>
                      <w:szCs w:val="21"/>
                    </w:rPr>
                    <w:t>1800</w:t>
                  </w:r>
                </w:p>
              </w:tc>
              <w:tc>
                <w:tcPr>
                  <w:tcW w:w="405" w:type="pct"/>
                  <w:vAlign w:val="center"/>
                </w:tcPr>
                <w:p>
                  <w:pPr>
                    <w:jc w:val="center"/>
                    <w:rPr>
                      <w:szCs w:val="21"/>
                    </w:rPr>
                  </w:pPr>
                  <w:r>
                    <w:rPr>
                      <w:rFonts w:hint="eastAsia"/>
                      <w:szCs w:val="21"/>
                    </w:rPr>
                    <w:t>10</w:t>
                  </w:r>
                </w:p>
              </w:tc>
              <w:tc>
                <w:tcPr>
                  <w:tcW w:w="410" w:type="pct"/>
                  <w:vAlign w:val="center"/>
                </w:tcPr>
                <w:p>
                  <w:pPr>
                    <w:jc w:val="center"/>
                    <w:rPr>
                      <w:szCs w:val="21"/>
                    </w:rPr>
                  </w:pPr>
                  <w:r>
                    <w:rPr>
                      <w:rFonts w:hint="eastAsia"/>
                      <w:szCs w:val="21"/>
                    </w:rPr>
                    <w:t>6</w:t>
                  </w:r>
                </w:p>
              </w:tc>
              <w:tc>
                <w:tcPr>
                  <w:tcW w:w="374" w:type="pct"/>
                  <w:vAlign w:val="center"/>
                </w:tcPr>
                <w:p>
                  <w:pPr>
                    <w:jc w:val="center"/>
                    <w:rPr>
                      <w:szCs w:val="21"/>
                    </w:rPr>
                  </w:pPr>
                  <w:r>
                    <w:rPr>
                      <w:rFonts w:hint="eastAsia"/>
                      <w:szCs w:val="21"/>
                    </w:rPr>
                    <w:t>2</w:t>
                  </w:r>
                </w:p>
              </w:tc>
              <w:tc>
                <w:tcPr>
                  <w:tcW w:w="461" w:type="pct"/>
                  <w:vAlign w:val="center"/>
                </w:tcPr>
                <w:p>
                  <w:pPr>
                    <w:jc w:val="center"/>
                    <w:rPr>
                      <w:szCs w:val="21"/>
                    </w:rPr>
                  </w:pPr>
                  <w:r>
                    <w:rPr>
                      <w:rFonts w:hint="eastAsia"/>
                      <w:szCs w:val="21"/>
                    </w:rPr>
                    <w:t>12</w:t>
                  </w:r>
                </w:p>
              </w:tc>
              <w:tc>
                <w:tcPr>
                  <w:tcW w:w="410"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200</w:t>
                  </w:r>
                </w:p>
              </w:tc>
              <w:tc>
                <w:tcPr>
                  <w:tcW w:w="413" w:type="pct"/>
                  <w:vAlign w:val="center"/>
                </w:tcPr>
                <w:p>
                  <w:pPr>
                    <w:jc w:val="center"/>
                    <w:rPr>
                      <w:szCs w:val="21"/>
                    </w:rPr>
                  </w:pPr>
                  <w:r>
                    <w:rPr>
                      <w:rFonts w:hint="eastAsia"/>
                      <w:szCs w:val="21"/>
                    </w:rPr>
                    <w:t>2400</w:t>
                  </w:r>
                </w:p>
              </w:tc>
              <w:tc>
                <w:tcPr>
                  <w:tcW w:w="409" w:type="pct"/>
                  <w:vAlign w:val="center"/>
                </w:tcPr>
                <w:p>
                  <w:pPr>
                    <w:jc w:val="center"/>
                    <w:rPr>
                      <w:szCs w:val="21"/>
                    </w:rPr>
                  </w:pPr>
                  <w:r>
                    <w:rPr>
                      <w:rFonts w:hint="eastAsia"/>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46" w:type="pct"/>
                  <w:vAlign w:val="center"/>
                </w:tcPr>
                <w:p>
                  <w:pPr>
                    <w:jc w:val="center"/>
                    <w:rPr>
                      <w:szCs w:val="21"/>
                    </w:rPr>
                  </w:pPr>
                  <w:r>
                    <w:rPr>
                      <w:rFonts w:hint="eastAsia"/>
                      <w:szCs w:val="21"/>
                    </w:rPr>
                    <w:t>10</w:t>
                  </w:r>
                </w:p>
              </w:tc>
              <w:tc>
                <w:tcPr>
                  <w:tcW w:w="650" w:type="pct"/>
                  <w:vAlign w:val="center"/>
                </w:tcPr>
                <w:p>
                  <w:pPr>
                    <w:widowControl/>
                    <w:jc w:val="center"/>
                    <w:textAlignment w:val="center"/>
                    <w:rPr>
                      <w:szCs w:val="21"/>
                    </w:rPr>
                  </w:pPr>
                  <w:r>
                    <w:rPr>
                      <w:rFonts w:hint="eastAsia" w:ascii="宋体" w:hAnsi="宋体" w:cs="宋体"/>
                      <w:color w:val="000000"/>
                      <w:kern w:val="0"/>
                      <w:szCs w:val="21"/>
                    </w:rPr>
                    <w:t>环保碳氢清洗剂</w:t>
                  </w:r>
                </w:p>
              </w:tc>
              <w:tc>
                <w:tcPr>
                  <w:tcW w:w="399" w:type="pct"/>
                  <w:vAlign w:val="center"/>
                </w:tcPr>
                <w:p>
                  <w:pPr>
                    <w:jc w:val="center"/>
                    <w:rPr>
                      <w:szCs w:val="21"/>
                    </w:rPr>
                  </w:pPr>
                  <w:r>
                    <w:rPr>
                      <w:rFonts w:hint="eastAsia"/>
                      <w:szCs w:val="21"/>
                    </w:rPr>
                    <w:t>4860</w:t>
                  </w:r>
                </w:p>
              </w:tc>
              <w:tc>
                <w:tcPr>
                  <w:tcW w:w="405" w:type="pct"/>
                  <w:vAlign w:val="center"/>
                </w:tcPr>
                <w:p>
                  <w:pPr>
                    <w:jc w:val="center"/>
                    <w:rPr>
                      <w:szCs w:val="21"/>
                    </w:rPr>
                  </w:pPr>
                  <w:r>
                    <w:rPr>
                      <w:rFonts w:hint="eastAsia"/>
                      <w:szCs w:val="21"/>
                    </w:rPr>
                    <w:t>6</w:t>
                  </w:r>
                </w:p>
              </w:tc>
              <w:tc>
                <w:tcPr>
                  <w:tcW w:w="410" w:type="pct"/>
                  <w:vAlign w:val="center"/>
                </w:tcPr>
                <w:p>
                  <w:pPr>
                    <w:jc w:val="center"/>
                    <w:rPr>
                      <w:szCs w:val="21"/>
                    </w:rPr>
                  </w:pPr>
                  <w:r>
                    <w:rPr>
                      <w:rFonts w:hint="eastAsia"/>
                      <w:szCs w:val="21"/>
                    </w:rPr>
                    <w:t>3.6</w:t>
                  </w:r>
                </w:p>
              </w:tc>
              <w:tc>
                <w:tcPr>
                  <w:tcW w:w="374" w:type="pct"/>
                  <w:vAlign w:val="center"/>
                </w:tcPr>
                <w:p>
                  <w:pPr>
                    <w:jc w:val="center"/>
                    <w:rPr>
                      <w:szCs w:val="21"/>
                    </w:rPr>
                  </w:pPr>
                  <w:r>
                    <w:rPr>
                      <w:rFonts w:hint="eastAsia"/>
                      <w:szCs w:val="21"/>
                    </w:rPr>
                    <w:t>9</w:t>
                  </w:r>
                </w:p>
              </w:tc>
              <w:tc>
                <w:tcPr>
                  <w:tcW w:w="461" w:type="pct"/>
                  <w:vAlign w:val="center"/>
                </w:tcPr>
                <w:p>
                  <w:pPr>
                    <w:jc w:val="center"/>
                    <w:rPr>
                      <w:szCs w:val="21"/>
                    </w:rPr>
                  </w:pPr>
                  <w:r>
                    <w:rPr>
                      <w:rFonts w:hint="eastAsia"/>
                      <w:szCs w:val="21"/>
                    </w:rPr>
                    <w:t>32.4</w:t>
                  </w:r>
                </w:p>
              </w:tc>
              <w:tc>
                <w:tcPr>
                  <w:tcW w:w="410"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w:t>
                  </w:r>
                </w:p>
              </w:tc>
              <w:tc>
                <w:tcPr>
                  <w:tcW w:w="412" w:type="pct"/>
                  <w:vAlign w:val="center"/>
                </w:tcPr>
                <w:p>
                  <w:pPr>
                    <w:jc w:val="center"/>
                    <w:rPr>
                      <w:szCs w:val="21"/>
                    </w:rPr>
                  </w:pPr>
                  <w:r>
                    <w:rPr>
                      <w:rFonts w:hint="eastAsia"/>
                      <w:szCs w:val="21"/>
                    </w:rPr>
                    <w:t>200</w:t>
                  </w:r>
                </w:p>
              </w:tc>
              <w:tc>
                <w:tcPr>
                  <w:tcW w:w="413" w:type="pct"/>
                  <w:vAlign w:val="center"/>
                </w:tcPr>
                <w:p>
                  <w:pPr>
                    <w:jc w:val="center"/>
                    <w:rPr>
                      <w:szCs w:val="21"/>
                    </w:rPr>
                  </w:pPr>
                  <w:r>
                    <w:rPr>
                      <w:rFonts w:hint="eastAsia"/>
                      <w:szCs w:val="21"/>
                    </w:rPr>
                    <w:t>6480</w:t>
                  </w:r>
                </w:p>
              </w:tc>
              <w:tc>
                <w:tcPr>
                  <w:tcW w:w="409" w:type="pct"/>
                  <w:vAlign w:val="center"/>
                </w:tcPr>
                <w:p>
                  <w:pPr>
                    <w:jc w:val="center"/>
                    <w:rPr>
                      <w:szCs w:val="21"/>
                    </w:rPr>
                  </w:pPr>
                  <w:r>
                    <w:rPr>
                      <w:rFonts w:hint="eastAsia"/>
                      <w:szCs w:val="21"/>
                    </w:rPr>
                    <w:t>是</w:t>
                  </w:r>
                </w:p>
              </w:tc>
            </w:tr>
          </w:tbl>
          <w:p>
            <w:pPr>
              <w:adjustRightInd w:val="0"/>
              <w:snapToGrid w:val="0"/>
              <w:spacing w:line="360" w:lineRule="auto"/>
              <w:ind w:firstLine="482" w:firstLineChars="200"/>
              <w:rPr>
                <w:b/>
                <w:bCs/>
                <w:sz w:val="24"/>
              </w:rPr>
            </w:pPr>
            <w:r>
              <w:rPr>
                <w:rFonts w:hint="eastAsia"/>
                <w:b/>
                <w:bCs/>
                <w:sz w:val="24"/>
              </w:rPr>
              <w:t>6</w:t>
            </w:r>
            <w:r>
              <w:rPr>
                <w:b/>
                <w:bCs/>
                <w:sz w:val="24"/>
              </w:rPr>
              <w:t>、公用工程</w:t>
            </w:r>
          </w:p>
          <w:p>
            <w:pPr>
              <w:pStyle w:val="30"/>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（1）给水工程</w:t>
            </w:r>
          </w:p>
          <w:p>
            <w:pPr>
              <w:pStyle w:val="30"/>
              <w:adjustRightInd w:val="0"/>
              <w:snapToGrid w:val="0"/>
              <w:spacing w:after="0" w:line="360" w:lineRule="auto"/>
              <w:ind w:firstLine="480" w:firstLineChars="200"/>
              <w:rPr>
                <w:rFonts w:ascii="Times New Roman" w:hAnsiTheme="majorEastAsia" w:eastAsiaTheme="majorEastAsia"/>
                <w:sz w:val="24"/>
              </w:rPr>
            </w:pPr>
            <w:r>
              <w:rPr>
                <w:rFonts w:hint="eastAsia" w:ascii="Times New Roman" w:hAnsiTheme="majorEastAsia" w:eastAsiaTheme="majorEastAsia"/>
                <w:sz w:val="24"/>
              </w:rPr>
              <w:t>项目给水依托园区现有市政给水管网，直接接入厂区。厂区给水管呈环状布置，生产、生活与消防合用给水系统，并按消防规范设置一定数量的室外地上式消火栓。</w:t>
            </w:r>
          </w:p>
          <w:p>
            <w:pPr>
              <w:pStyle w:val="30"/>
              <w:adjustRightInd w:val="0"/>
              <w:snapToGrid w:val="0"/>
              <w:spacing w:after="0" w:line="360" w:lineRule="auto"/>
              <w:ind w:firstLine="452" w:firstLineChars="200"/>
              <w:rPr>
                <w:rFonts w:ascii="Times New Roman" w:hAnsi="Times New Roman"/>
                <w:sz w:val="24"/>
              </w:rPr>
            </w:pPr>
            <w:r>
              <w:rPr>
                <w:rFonts w:hint="eastAsia"/>
                <w:spacing w:val="-7"/>
                <w:sz w:val="24"/>
              </w:rPr>
              <w:t>项目用水包括生活用水、设备清洗用水、产品用水、车间地面保洁用水及研发中心用水，具体分析如下：</w:t>
            </w:r>
          </w:p>
          <w:p>
            <w:pPr>
              <w:pStyle w:val="30"/>
              <w:adjustRightInd w:val="0"/>
              <w:snapToGrid w:val="0"/>
              <w:spacing w:after="0" w:line="360" w:lineRule="auto"/>
              <w:ind w:firstLine="456" w:firstLineChars="200"/>
              <w:rPr>
                <w:spacing w:val="-6"/>
                <w:sz w:val="24"/>
              </w:rPr>
            </w:pPr>
            <w:r>
              <w:rPr>
                <w:rFonts w:hint="eastAsia"/>
                <w:spacing w:val="-6"/>
                <w:sz w:val="24"/>
              </w:rPr>
              <w:t>①生活用水</w:t>
            </w:r>
          </w:p>
          <w:p>
            <w:pPr>
              <w:pStyle w:val="30"/>
              <w:adjustRightInd w:val="0"/>
              <w:snapToGrid w:val="0"/>
              <w:spacing w:after="0" w:line="360" w:lineRule="auto"/>
              <w:ind w:firstLine="456" w:firstLineChars="200"/>
              <w:rPr>
                <w:rFonts w:ascii="Times New Roman"/>
                <w:spacing w:val="-6"/>
                <w:sz w:val="24"/>
              </w:rPr>
            </w:pPr>
            <w:r>
              <w:rPr>
                <w:rFonts w:ascii="Times New Roman"/>
                <w:spacing w:val="-6"/>
                <w:sz w:val="24"/>
              </w:rPr>
              <w:t>本项目员工住宿办公生活过程中会产生一定量的污水，职工共</w:t>
            </w:r>
            <w:r>
              <w:rPr>
                <w:rFonts w:hint="eastAsia" w:ascii="Times New Roman"/>
                <w:spacing w:val="-6"/>
                <w:sz w:val="24"/>
              </w:rPr>
              <w:t>1</w:t>
            </w:r>
            <w:r>
              <w:rPr>
                <w:rFonts w:ascii="Times New Roman" w:hAnsi="Times New Roman"/>
                <w:spacing w:val="-6"/>
                <w:sz w:val="24"/>
              </w:rPr>
              <w:t>50</w:t>
            </w:r>
            <w:r>
              <w:rPr>
                <w:rFonts w:ascii="Times New Roman"/>
                <w:spacing w:val="-6"/>
                <w:sz w:val="24"/>
              </w:rPr>
              <w:t>人，均在厂区内食宿住宿；项目生活用水量根据《湖南省地方标准</w:t>
            </w:r>
            <w:r>
              <w:rPr>
                <w:rFonts w:ascii="Times New Roman" w:hAnsi="Times New Roman"/>
                <w:spacing w:val="-6"/>
                <w:sz w:val="24"/>
              </w:rPr>
              <w:t xml:space="preserve"> </w:t>
            </w:r>
            <w:r>
              <w:rPr>
                <w:rFonts w:ascii="Times New Roman"/>
                <w:spacing w:val="-6"/>
                <w:sz w:val="24"/>
              </w:rPr>
              <w:t>用水定额》（</w:t>
            </w:r>
            <w:r>
              <w:rPr>
                <w:rFonts w:ascii="Times New Roman" w:hAnsi="Times New Roman"/>
                <w:spacing w:val="-6"/>
                <w:sz w:val="24"/>
              </w:rPr>
              <w:t>DB43/T388-2020</w:t>
            </w:r>
            <w:r>
              <w:rPr>
                <w:rFonts w:ascii="Times New Roman"/>
                <w:spacing w:val="-6"/>
                <w:sz w:val="24"/>
              </w:rPr>
              <w:t>）进行估算，按</w:t>
            </w:r>
            <w:r>
              <w:rPr>
                <w:rFonts w:ascii="Times New Roman" w:hAnsi="Times New Roman"/>
                <w:spacing w:val="-6"/>
                <w:sz w:val="24"/>
              </w:rPr>
              <w:t>1</w:t>
            </w:r>
            <w:r>
              <w:rPr>
                <w:rFonts w:hint="eastAsia" w:ascii="Times New Roman" w:hAnsi="Times New Roman"/>
                <w:spacing w:val="-6"/>
                <w:sz w:val="24"/>
              </w:rPr>
              <w:t>45</w:t>
            </w:r>
            <w:r>
              <w:rPr>
                <w:rFonts w:ascii="Times New Roman" w:hAnsi="Times New Roman"/>
                <w:spacing w:val="-6"/>
                <w:sz w:val="24"/>
              </w:rPr>
              <w:t>L/</w:t>
            </w:r>
            <w:r>
              <w:rPr>
                <w:rFonts w:ascii="Times New Roman"/>
                <w:spacing w:val="-6"/>
                <w:sz w:val="24"/>
              </w:rPr>
              <w:t>人</w:t>
            </w:r>
            <w:r>
              <w:rPr>
                <w:rFonts w:ascii="Times New Roman" w:hAnsi="Times New Roman"/>
                <w:spacing w:val="-6"/>
                <w:sz w:val="24"/>
              </w:rPr>
              <w:t>•d</w:t>
            </w:r>
            <w:r>
              <w:rPr>
                <w:rFonts w:ascii="Times New Roman"/>
                <w:spacing w:val="-6"/>
                <w:sz w:val="24"/>
              </w:rPr>
              <w:t>计，年工作</w:t>
            </w:r>
            <w:r>
              <w:rPr>
                <w:rFonts w:ascii="Times New Roman" w:hAnsi="Times New Roman"/>
                <w:spacing w:val="-6"/>
                <w:sz w:val="24"/>
              </w:rPr>
              <w:t>2</w:t>
            </w:r>
            <w:r>
              <w:rPr>
                <w:rFonts w:hint="eastAsia" w:ascii="Times New Roman" w:hAnsi="Times New Roman"/>
                <w:spacing w:val="-6"/>
                <w:sz w:val="24"/>
              </w:rPr>
              <w:t>8</w:t>
            </w:r>
            <w:r>
              <w:rPr>
                <w:rFonts w:ascii="Times New Roman" w:hAnsi="Times New Roman"/>
                <w:spacing w:val="-6"/>
                <w:sz w:val="24"/>
              </w:rPr>
              <w:t>0</w:t>
            </w:r>
            <w:r>
              <w:rPr>
                <w:rFonts w:ascii="Times New Roman"/>
                <w:spacing w:val="-6"/>
                <w:sz w:val="24"/>
              </w:rPr>
              <w:t>天。则项目员工生活用水量为</w:t>
            </w:r>
            <w:r>
              <w:rPr>
                <w:rFonts w:hint="eastAsia" w:ascii="Times New Roman"/>
                <w:spacing w:val="-6"/>
                <w:sz w:val="24"/>
              </w:rPr>
              <w:t>21.75</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/d</w:t>
            </w:r>
            <w:r>
              <w:rPr>
                <w:rFonts w:ascii="Times New Roman"/>
                <w:spacing w:val="-6"/>
                <w:sz w:val="24"/>
              </w:rPr>
              <w:t>（</w:t>
            </w:r>
            <w:r>
              <w:rPr>
                <w:rFonts w:hint="eastAsia" w:ascii="Times New Roman" w:hAnsi="Times New Roman"/>
                <w:spacing w:val="-6"/>
                <w:sz w:val="24"/>
              </w:rPr>
              <w:t>6090</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ascii="Times New Roman"/>
                <w:spacing w:val="-6"/>
                <w:sz w:val="24"/>
              </w:rPr>
              <w:t>）。</w:t>
            </w:r>
          </w:p>
          <w:p>
            <w:pPr>
              <w:spacing w:line="360" w:lineRule="auto"/>
              <w:ind w:firstLine="456" w:firstLineChars="200"/>
              <w:rPr>
                <w:spacing w:val="-6"/>
                <w:sz w:val="24"/>
              </w:rPr>
            </w:pPr>
            <w:r>
              <w:rPr>
                <w:rFonts w:hint="eastAsia"/>
                <w:spacing w:val="-6"/>
                <w:sz w:val="24"/>
              </w:rPr>
              <w:t>②搅拌罐清洗用水</w:t>
            </w:r>
          </w:p>
          <w:p>
            <w:pPr>
              <w:spacing w:line="360" w:lineRule="auto"/>
              <w:ind w:firstLine="456" w:firstLineChars="200"/>
              <w:rPr>
                <w:spacing w:val="-6"/>
                <w:sz w:val="24"/>
              </w:rPr>
            </w:pPr>
            <w:r>
              <w:rPr>
                <w:rFonts w:hint="eastAsia"/>
                <w:spacing w:val="-6"/>
                <w:sz w:val="24"/>
              </w:rPr>
              <w:t>项目各产品搅拌罐、调和罐专罐专用，产品搅拌工序非连续作业，由于水基清洗剂、水性切削液均需添加一定量的水，投料阶段部分原料残留在内壁表面，因此生产前需定期对其搅拌罐内壁上残留的原料进行清洗，润滑油、碳基清洗剂调和罐无需清洗。清洗频次以1月/次计，采用新鲜水。单罐用水取罐体容积30%，注水后开机搅拌，过程中损耗取10%，清洗水消耗核算见下表：</w:t>
            </w:r>
          </w:p>
          <w:p>
            <w:pPr>
              <w:spacing w:beforeLines="50"/>
              <w:jc w:val="center"/>
              <w:rPr>
                <w:b/>
              </w:rPr>
            </w:pPr>
            <w:r>
              <w:rPr>
                <w:rFonts w:hint="eastAsia"/>
                <w:b/>
              </w:rPr>
              <w:t>表2-8  项目搅拌罐清洗用水量及废水产生量一览表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072"/>
              <w:gridCol w:w="1324"/>
              <w:gridCol w:w="1326"/>
              <w:gridCol w:w="1324"/>
              <w:gridCol w:w="1324"/>
              <w:gridCol w:w="1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搅拌罐种类</w:t>
                  </w:r>
                </w:p>
              </w:tc>
              <w:tc>
                <w:tcPr>
                  <w:tcW w:w="578"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数量（个）</w:t>
                  </w:r>
                </w:p>
              </w:tc>
              <w:tc>
                <w:tcPr>
                  <w:tcW w:w="714"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单罐容积（m</w:t>
                  </w:r>
                  <w:r>
                    <w:rPr>
                      <w:rFonts w:hint="eastAsia" w:cs="Times New Roman"/>
                      <w:b/>
                      <w:bCs/>
                      <w:szCs w:val="21"/>
                      <w:vertAlign w:val="superscript"/>
                      <w:lang w:eastAsia="zh-CN"/>
                    </w:rPr>
                    <w:t>3</w:t>
                  </w:r>
                  <w:r>
                    <w:rPr>
                      <w:rFonts w:hint="eastAsia" w:cs="Times New Roman"/>
                      <w:b/>
                      <w:bCs/>
                      <w:szCs w:val="21"/>
                      <w:lang w:eastAsia="zh-CN"/>
                    </w:rPr>
                    <w:t>）</w:t>
                  </w:r>
                </w:p>
              </w:tc>
              <w:tc>
                <w:tcPr>
                  <w:tcW w:w="715" w:type="pct"/>
                  <w:tcBorders>
                    <w:tl2br w:val="nil"/>
                    <w:tr2bl w:val="nil"/>
                  </w:tcBorders>
                  <w:vAlign w:val="center"/>
                </w:tcPr>
                <w:p>
                  <w:pPr>
                    <w:pStyle w:val="106"/>
                    <w:ind w:firstLine="0" w:firstLineChars="0"/>
                    <w:jc w:val="center"/>
                    <w:rPr>
                      <w:rFonts w:cs="Times New Roman"/>
                      <w:b/>
                      <w:bCs/>
                      <w:szCs w:val="21"/>
                      <w:lang w:eastAsia="zh-CN"/>
                    </w:rPr>
                  </w:pPr>
                  <w:r>
                    <w:rPr>
                      <w:rFonts w:cs="Times New Roman"/>
                      <w:b/>
                      <w:bCs/>
                      <w:szCs w:val="21"/>
                      <w:lang w:eastAsia="zh-CN"/>
                    </w:rPr>
                    <w:t>清洗次数（次</w:t>
                  </w:r>
                  <w:r>
                    <w:rPr>
                      <w:rFonts w:hint="eastAsia" w:cs="Times New Roman"/>
                      <w:b/>
                      <w:bCs/>
                      <w:szCs w:val="21"/>
                      <w:lang w:eastAsia="zh-CN"/>
                    </w:rPr>
                    <w:t>/a</w:t>
                  </w:r>
                  <w:r>
                    <w:rPr>
                      <w:rFonts w:cs="Times New Roman"/>
                      <w:b/>
                      <w:bCs/>
                      <w:szCs w:val="21"/>
                      <w:lang w:eastAsia="zh-CN"/>
                    </w:rPr>
                    <w:t>）</w:t>
                  </w:r>
                </w:p>
              </w:tc>
              <w:tc>
                <w:tcPr>
                  <w:tcW w:w="714" w:type="pct"/>
                  <w:tcBorders>
                    <w:tl2br w:val="nil"/>
                    <w:tr2bl w:val="nil"/>
                  </w:tcBorders>
                  <w:vAlign w:val="center"/>
                </w:tcPr>
                <w:p>
                  <w:pPr>
                    <w:pStyle w:val="106"/>
                    <w:ind w:firstLine="0" w:firstLineChars="0"/>
                    <w:jc w:val="center"/>
                    <w:rPr>
                      <w:rFonts w:cs="Times New Roman"/>
                      <w:b/>
                      <w:bCs/>
                      <w:szCs w:val="21"/>
                      <w:lang w:eastAsia="zh-CN"/>
                    </w:rPr>
                  </w:pPr>
                  <w:r>
                    <w:rPr>
                      <w:rFonts w:cs="Times New Roman"/>
                      <w:b/>
                      <w:bCs/>
                      <w:szCs w:val="21"/>
                      <w:lang w:eastAsia="zh-CN"/>
                    </w:rPr>
                    <w:t>用水量</w:t>
                  </w:r>
                  <w:r>
                    <w:rPr>
                      <w:rFonts w:hint="eastAsia" w:cs="Times New Roman"/>
                      <w:b/>
                      <w:bCs/>
                      <w:szCs w:val="21"/>
                      <w:lang w:eastAsia="zh-CN"/>
                    </w:rPr>
                    <w:t>m</w:t>
                  </w:r>
                  <w:r>
                    <w:rPr>
                      <w:rFonts w:hint="eastAsia" w:cs="Times New Roman"/>
                      <w:b/>
                      <w:bCs/>
                      <w:szCs w:val="21"/>
                      <w:vertAlign w:val="superscript"/>
                      <w:lang w:eastAsia="zh-CN"/>
                    </w:rPr>
                    <w:t>3</w:t>
                  </w:r>
                  <w:r>
                    <w:rPr>
                      <w:rFonts w:hint="eastAsia" w:cs="Times New Roman"/>
                      <w:b/>
                      <w:bCs/>
                      <w:szCs w:val="21"/>
                      <w:lang w:eastAsia="zh-CN"/>
                    </w:rPr>
                    <w:t>/a</w:t>
                  </w:r>
                </w:p>
              </w:tc>
              <w:tc>
                <w:tcPr>
                  <w:tcW w:w="714" w:type="pct"/>
                  <w:tcBorders>
                    <w:tl2br w:val="nil"/>
                    <w:tr2bl w:val="nil"/>
                  </w:tcBorders>
                  <w:vAlign w:val="center"/>
                </w:tcPr>
                <w:p>
                  <w:pPr>
                    <w:pStyle w:val="106"/>
                    <w:ind w:firstLine="0" w:firstLineChars="0"/>
                    <w:jc w:val="center"/>
                    <w:rPr>
                      <w:rFonts w:cs="Times New Roman"/>
                      <w:b/>
                      <w:bCs/>
                      <w:szCs w:val="21"/>
                      <w:lang w:eastAsia="zh-CN"/>
                    </w:rPr>
                  </w:pPr>
                  <w:r>
                    <w:rPr>
                      <w:rFonts w:cs="Times New Roman"/>
                      <w:b/>
                      <w:bCs/>
                      <w:szCs w:val="21"/>
                      <w:lang w:eastAsia="zh-CN"/>
                    </w:rPr>
                    <w:t>损耗量</w:t>
                  </w:r>
                  <w:r>
                    <w:rPr>
                      <w:rFonts w:hint="eastAsia" w:cs="Times New Roman"/>
                      <w:b/>
                      <w:bCs/>
                      <w:szCs w:val="21"/>
                      <w:lang w:eastAsia="zh-CN"/>
                    </w:rPr>
                    <w:t>m</w:t>
                  </w:r>
                  <w:r>
                    <w:rPr>
                      <w:rFonts w:hint="eastAsia" w:cs="Times New Roman"/>
                      <w:b/>
                      <w:bCs/>
                      <w:szCs w:val="21"/>
                      <w:vertAlign w:val="superscript"/>
                      <w:lang w:eastAsia="zh-CN"/>
                    </w:rPr>
                    <w:t>3</w:t>
                  </w:r>
                  <w:r>
                    <w:rPr>
                      <w:rFonts w:hint="eastAsia" w:cs="Times New Roman"/>
                      <w:b/>
                      <w:bCs/>
                      <w:szCs w:val="21"/>
                      <w:lang w:eastAsia="zh-CN"/>
                    </w:rPr>
                    <w:t>/a</w:t>
                  </w:r>
                </w:p>
              </w:tc>
              <w:tc>
                <w:tcPr>
                  <w:tcW w:w="715" w:type="pct"/>
                  <w:tcBorders>
                    <w:tl2br w:val="nil"/>
                    <w:tr2bl w:val="nil"/>
                  </w:tcBorders>
                  <w:vAlign w:val="center"/>
                </w:tcPr>
                <w:p>
                  <w:pPr>
                    <w:pStyle w:val="106"/>
                    <w:ind w:firstLine="0" w:firstLineChars="0"/>
                    <w:jc w:val="center"/>
                    <w:rPr>
                      <w:rFonts w:cs="Times New Roman"/>
                      <w:b/>
                      <w:bCs/>
                      <w:szCs w:val="21"/>
                      <w:lang w:eastAsia="zh-CN"/>
                    </w:rPr>
                  </w:pPr>
                  <w:r>
                    <w:rPr>
                      <w:rFonts w:cs="Times New Roman"/>
                      <w:b/>
                      <w:bCs/>
                      <w:szCs w:val="21"/>
                      <w:lang w:eastAsia="zh-CN"/>
                    </w:rPr>
                    <w:t>废液量</w:t>
                  </w:r>
                  <w:r>
                    <w:rPr>
                      <w:rFonts w:hint="eastAsia" w:cs="Times New Roman"/>
                      <w:b/>
                      <w:bCs/>
                      <w:szCs w:val="21"/>
                      <w:lang w:eastAsia="zh-CN"/>
                    </w:rPr>
                    <w:t>m</w:t>
                  </w:r>
                  <w:r>
                    <w:rPr>
                      <w:rFonts w:hint="eastAsia" w:cs="Times New Roman"/>
                      <w:b/>
                      <w:bCs/>
                      <w:szCs w:val="21"/>
                      <w:vertAlign w:val="superscript"/>
                      <w:lang w:eastAsia="zh-CN"/>
                    </w:rPr>
                    <w:t>3</w:t>
                  </w:r>
                  <w:r>
                    <w:rPr>
                      <w:rFonts w:hint="eastAsia" w:cs="Times New Roman"/>
                      <w:b/>
                      <w:bCs/>
                      <w:szCs w:val="21"/>
                      <w:lang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pct"/>
                  <w:tcBorders>
                    <w:tl2br w:val="nil"/>
                    <w:tr2bl w:val="nil"/>
                  </w:tcBorders>
                  <w:vAlign w:val="center"/>
                </w:tcPr>
                <w:p>
                  <w:pPr>
                    <w:widowControl/>
                    <w:jc w:val="center"/>
                    <w:textAlignment w:val="center"/>
                    <w:rPr>
                      <w:szCs w:val="21"/>
                    </w:rPr>
                  </w:pPr>
                  <w:r>
                    <w:rPr>
                      <w:rFonts w:hint="eastAsia" w:ascii="宋体" w:hAnsi="宋体" w:cs="宋体"/>
                      <w:color w:val="000000"/>
                      <w:kern w:val="0"/>
                      <w:szCs w:val="21"/>
                    </w:rPr>
                    <w:t>动力电池结构件专用清洗剂</w:t>
                  </w:r>
                </w:p>
              </w:tc>
              <w:tc>
                <w:tcPr>
                  <w:tcW w:w="578" w:type="pct"/>
                  <w:tcBorders>
                    <w:tl2br w:val="nil"/>
                    <w:tr2bl w:val="nil"/>
                  </w:tcBorders>
                  <w:vAlign w:val="center"/>
                </w:tcPr>
                <w:p>
                  <w:pPr>
                    <w:jc w:val="center"/>
                    <w:rPr>
                      <w:szCs w:val="21"/>
                    </w:rPr>
                  </w:pPr>
                  <w:r>
                    <w:rPr>
                      <w:rFonts w:hint="eastAsia"/>
                      <w:szCs w:val="21"/>
                    </w:rPr>
                    <w:t>3</w:t>
                  </w:r>
                </w:p>
              </w:tc>
              <w:tc>
                <w:tcPr>
                  <w:tcW w:w="714" w:type="pct"/>
                  <w:tcBorders>
                    <w:tl2br w:val="nil"/>
                    <w:tr2bl w:val="nil"/>
                  </w:tcBorders>
                  <w:vAlign w:val="center"/>
                </w:tcPr>
                <w:p>
                  <w:pPr>
                    <w:jc w:val="center"/>
                    <w:rPr>
                      <w:szCs w:val="21"/>
                    </w:rPr>
                  </w:pPr>
                  <w:r>
                    <w:rPr>
                      <w:rFonts w:hint="eastAsia"/>
                      <w:szCs w:val="21"/>
                    </w:rPr>
                    <w:t>5</w:t>
                  </w:r>
                </w:p>
              </w:tc>
              <w:tc>
                <w:tcPr>
                  <w:tcW w:w="715" w:type="pct"/>
                  <w:tcBorders>
                    <w:tl2br w:val="nil"/>
                    <w:tr2bl w:val="nil"/>
                  </w:tcBorders>
                  <w:vAlign w:val="center"/>
                </w:tcPr>
                <w:p>
                  <w:pPr>
                    <w:jc w:val="center"/>
                    <w:rPr>
                      <w:szCs w:val="21"/>
                    </w:rPr>
                  </w:pPr>
                  <w:r>
                    <w:rPr>
                      <w:rFonts w:hint="eastAsia"/>
                      <w:szCs w:val="21"/>
                    </w:rPr>
                    <w:t>12</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54</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5.4</w:t>
                  </w:r>
                </w:p>
              </w:tc>
              <w:tc>
                <w:tcPr>
                  <w:tcW w:w="71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48.6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pct"/>
                  <w:tcBorders>
                    <w:tl2br w:val="nil"/>
                    <w:tr2bl w:val="nil"/>
                  </w:tcBorders>
                  <w:vAlign w:val="center"/>
                </w:tcPr>
                <w:p>
                  <w:pPr>
                    <w:widowControl/>
                    <w:jc w:val="center"/>
                    <w:textAlignment w:val="center"/>
                    <w:rPr>
                      <w:szCs w:val="21"/>
                    </w:rPr>
                  </w:pPr>
                  <w:r>
                    <w:rPr>
                      <w:rFonts w:hint="eastAsia" w:ascii="宋体" w:hAnsi="宋体" w:cs="宋体"/>
                      <w:color w:val="000000"/>
                      <w:kern w:val="0"/>
                      <w:szCs w:val="21"/>
                    </w:rPr>
                    <w:t>除蜡水</w:t>
                  </w:r>
                </w:p>
              </w:tc>
              <w:tc>
                <w:tcPr>
                  <w:tcW w:w="578" w:type="pct"/>
                  <w:tcBorders>
                    <w:tl2br w:val="nil"/>
                    <w:tr2bl w:val="nil"/>
                  </w:tcBorders>
                  <w:vAlign w:val="center"/>
                </w:tcPr>
                <w:p>
                  <w:pPr>
                    <w:jc w:val="center"/>
                    <w:rPr>
                      <w:szCs w:val="21"/>
                    </w:rPr>
                  </w:pPr>
                  <w:r>
                    <w:rPr>
                      <w:rFonts w:hint="eastAsia"/>
                      <w:szCs w:val="21"/>
                    </w:rPr>
                    <w:t>1</w:t>
                  </w:r>
                </w:p>
              </w:tc>
              <w:tc>
                <w:tcPr>
                  <w:tcW w:w="714" w:type="pct"/>
                  <w:tcBorders>
                    <w:tl2br w:val="nil"/>
                    <w:tr2bl w:val="nil"/>
                  </w:tcBorders>
                  <w:vAlign w:val="center"/>
                </w:tcPr>
                <w:p>
                  <w:pPr>
                    <w:jc w:val="center"/>
                    <w:rPr>
                      <w:szCs w:val="21"/>
                    </w:rPr>
                  </w:pPr>
                  <w:r>
                    <w:rPr>
                      <w:rFonts w:hint="eastAsia"/>
                      <w:szCs w:val="21"/>
                    </w:rPr>
                    <w:t>1</w:t>
                  </w:r>
                </w:p>
              </w:tc>
              <w:tc>
                <w:tcPr>
                  <w:tcW w:w="715" w:type="pct"/>
                  <w:tcBorders>
                    <w:tl2br w:val="nil"/>
                    <w:tr2bl w:val="nil"/>
                  </w:tcBorders>
                  <w:vAlign w:val="center"/>
                </w:tcPr>
                <w:p>
                  <w:pPr>
                    <w:jc w:val="center"/>
                    <w:rPr>
                      <w:szCs w:val="21"/>
                    </w:rPr>
                  </w:pPr>
                  <w:r>
                    <w:rPr>
                      <w:rFonts w:hint="eastAsia"/>
                      <w:szCs w:val="21"/>
                    </w:rPr>
                    <w:t>12</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3.6</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0.36</w:t>
                  </w:r>
                </w:p>
              </w:tc>
              <w:tc>
                <w:tcPr>
                  <w:tcW w:w="71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pct"/>
                  <w:tcBorders>
                    <w:tl2br w:val="nil"/>
                    <w:tr2bl w:val="nil"/>
                  </w:tcBorders>
                  <w:vAlign w:val="center"/>
                </w:tcPr>
                <w:p>
                  <w:pPr>
                    <w:widowControl/>
                    <w:jc w:val="center"/>
                    <w:textAlignment w:val="center"/>
                    <w:rPr>
                      <w:szCs w:val="21"/>
                    </w:rPr>
                  </w:pPr>
                  <w:r>
                    <w:rPr>
                      <w:rFonts w:hint="eastAsia" w:ascii="宋体" w:hAnsi="宋体" w:cs="宋体"/>
                      <w:color w:val="000000"/>
                      <w:kern w:val="0"/>
                      <w:szCs w:val="21"/>
                    </w:rPr>
                    <w:t>工业清洗剂</w:t>
                  </w:r>
                </w:p>
              </w:tc>
              <w:tc>
                <w:tcPr>
                  <w:tcW w:w="578" w:type="pct"/>
                  <w:tcBorders>
                    <w:tl2br w:val="nil"/>
                    <w:tr2bl w:val="nil"/>
                  </w:tcBorders>
                  <w:vAlign w:val="center"/>
                </w:tcPr>
                <w:p>
                  <w:pPr>
                    <w:jc w:val="center"/>
                    <w:rPr>
                      <w:szCs w:val="21"/>
                    </w:rPr>
                  </w:pPr>
                  <w:r>
                    <w:rPr>
                      <w:rFonts w:hint="eastAsia"/>
                      <w:szCs w:val="21"/>
                    </w:rPr>
                    <w:t>13</w:t>
                  </w:r>
                </w:p>
              </w:tc>
              <w:tc>
                <w:tcPr>
                  <w:tcW w:w="714" w:type="pct"/>
                  <w:tcBorders>
                    <w:tl2br w:val="nil"/>
                    <w:tr2bl w:val="nil"/>
                  </w:tcBorders>
                  <w:vAlign w:val="center"/>
                </w:tcPr>
                <w:p>
                  <w:pPr>
                    <w:jc w:val="center"/>
                    <w:rPr>
                      <w:szCs w:val="21"/>
                    </w:rPr>
                  </w:pPr>
                  <w:r>
                    <w:rPr>
                      <w:rFonts w:hint="eastAsia"/>
                      <w:szCs w:val="21"/>
                    </w:rPr>
                    <w:t>5</w:t>
                  </w:r>
                </w:p>
              </w:tc>
              <w:tc>
                <w:tcPr>
                  <w:tcW w:w="715" w:type="pct"/>
                  <w:tcBorders>
                    <w:tl2br w:val="nil"/>
                    <w:tr2bl w:val="nil"/>
                  </w:tcBorders>
                  <w:vAlign w:val="center"/>
                </w:tcPr>
                <w:p>
                  <w:pPr>
                    <w:jc w:val="center"/>
                    <w:rPr>
                      <w:szCs w:val="21"/>
                    </w:rPr>
                  </w:pPr>
                  <w:r>
                    <w:rPr>
                      <w:rFonts w:hint="eastAsia"/>
                      <w:szCs w:val="21"/>
                    </w:rPr>
                    <w:t>12</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234</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23.4</w:t>
                  </w:r>
                </w:p>
              </w:tc>
              <w:tc>
                <w:tcPr>
                  <w:tcW w:w="71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210.6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pct"/>
                  <w:tcBorders>
                    <w:tl2br w:val="nil"/>
                    <w:tr2bl w:val="nil"/>
                  </w:tcBorders>
                  <w:vAlign w:val="center"/>
                </w:tcPr>
                <w:p>
                  <w:pPr>
                    <w:widowControl/>
                    <w:jc w:val="center"/>
                    <w:textAlignment w:val="center"/>
                    <w:rPr>
                      <w:szCs w:val="21"/>
                    </w:rPr>
                  </w:pPr>
                  <w:r>
                    <w:rPr>
                      <w:rFonts w:hint="eastAsia" w:ascii="宋体" w:hAnsi="宋体" w:cs="宋体"/>
                      <w:color w:val="000000"/>
                      <w:kern w:val="0"/>
                      <w:szCs w:val="21"/>
                    </w:rPr>
                    <w:t>半合成切削液</w:t>
                  </w:r>
                </w:p>
              </w:tc>
              <w:tc>
                <w:tcPr>
                  <w:tcW w:w="578" w:type="pct"/>
                  <w:tcBorders>
                    <w:tl2br w:val="nil"/>
                    <w:tr2bl w:val="nil"/>
                  </w:tcBorders>
                  <w:vAlign w:val="center"/>
                </w:tcPr>
                <w:p>
                  <w:pPr>
                    <w:jc w:val="center"/>
                    <w:rPr>
                      <w:szCs w:val="21"/>
                    </w:rPr>
                  </w:pPr>
                  <w:r>
                    <w:rPr>
                      <w:rFonts w:hint="eastAsia"/>
                      <w:szCs w:val="21"/>
                    </w:rPr>
                    <w:t>2</w:t>
                  </w:r>
                </w:p>
              </w:tc>
              <w:tc>
                <w:tcPr>
                  <w:tcW w:w="714" w:type="pct"/>
                  <w:tcBorders>
                    <w:tl2br w:val="nil"/>
                    <w:tr2bl w:val="nil"/>
                  </w:tcBorders>
                  <w:vAlign w:val="center"/>
                </w:tcPr>
                <w:p>
                  <w:pPr>
                    <w:jc w:val="center"/>
                    <w:rPr>
                      <w:szCs w:val="21"/>
                    </w:rPr>
                  </w:pPr>
                  <w:r>
                    <w:rPr>
                      <w:rFonts w:hint="eastAsia"/>
                      <w:szCs w:val="21"/>
                    </w:rPr>
                    <w:t>2</w:t>
                  </w:r>
                </w:p>
              </w:tc>
              <w:tc>
                <w:tcPr>
                  <w:tcW w:w="715" w:type="pct"/>
                  <w:tcBorders>
                    <w:tl2br w:val="nil"/>
                    <w:tr2bl w:val="nil"/>
                  </w:tcBorders>
                  <w:vAlign w:val="center"/>
                </w:tcPr>
                <w:p>
                  <w:pPr>
                    <w:jc w:val="center"/>
                    <w:rPr>
                      <w:szCs w:val="21"/>
                    </w:rPr>
                  </w:pPr>
                  <w:r>
                    <w:rPr>
                      <w:rFonts w:hint="eastAsia"/>
                      <w:szCs w:val="21"/>
                    </w:rPr>
                    <w:t>12</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14.4</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1.44</w:t>
                  </w:r>
                </w:p>
              </w:tc>
              <w:tc>
                <w:tcPr>
                  <w:tcW w:w="71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12.96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pct"/>
                  <w:tcBorders>
                    <w:tl2br w:val="nil"/>
                    <w:tr2bl w:val="nil"/>
                  </w:tcBorders>
                  <w:vAlign w:val="center"/>
                </w:tcPr>
                <w:p>
                  <w:pPr>
                    <w:widowControl/>
                    <w:jc w:val="center"/>
                    <w:textAlignment w:val="center"/>
                    <w:rPr>
                      <w:szCs w:val="21"/>
                    </w:rPr>
                  </w:pPr>
                  <w:r>
                    <w:rPr>
                      <w:rFonts w:hint="eastAsia" w:ascii="宋体" w:hAnsi="宋体" w:cs="宋体"/>
                      <w:color w:val="000000"/>
                      <w:kern w:val="0"/>
                      <w:szCs w:val="21"/>
                    </w:rPr>
                    <w:t>全合成切削液</w:t>
                  </w:r>
                </w:p>
              </w:tc>
              <w:tc>
                <w:tcPr>
                  <w:tcW w:w="578" w:type="pct"/>
                  <w:tcBorders>
                    <w:tl2br w:val="nil"/>
                    <w:tr2bl w:val="nil"/>
                  </w:tcBorders>
                  <w:vAlign w:val="center"/>
                </w:tcPr>
                <w:p>
                  <w:pPr>
                    <w:jc w:val="center"/>
                    <w:rPr>
                      <w:szCs w:val="21"/>
                    </w:rPr>
                  </w:pPr>
                  <w:r>
                    <w:rPr>
                      <w:rFonts w:hint="eastAsia"/>
                      <w:szCs w:val="21"/>
                    </w:rPr>
                    <w:t>1</w:t>
                  </w:r>
                </w:p>
              </w:tc>
              <w:tc>
                <w:tcPr>
                  <w:tcW w:w="714" w:type="pct"/>
                  <w:tcBorders>
                    <w:tl2br w:val="nil"/>
                    <w:tr2bl w:val="nil"/>
                  </w:tcBorders>
                  <w:vAlign w:val="center"/>
                </w:tcPr>
                <w:p>
                  <w:pPr>
                    <w:jc w:val="center"/>
                    <w:rPr>
                      <w:szCs w:val="21"/>
                    </w:rPr>
                  </w:pPr>
                  <w:r>
                    <w:rPr>
                      <w:rFonts w:hint="eastAsia"/>
                      <w:szCs w:val="21"/>
                    </w:rPr>
                    <w:t>2</w:t>
                  </w:r>
                </w:p>
              </w:tc>
              <w:tc>
                <w:tcPr>
                  <w:tcW w:w="715" w:type="pct"/>
                  <w:tcBorders>
                    <w:tl2br w:val="nil"/>
                    <w:tr2bl w:val="nil"/>
                  </w:tcBorders>
                  <w:vAlign w:val="center"/>
                </w:tcPr>
                <w:p>
                  <w:pPr>
                    <w:jc w:val="center"/>
                    <w:rPr>
                      <w:szCs w:val="21"/>
                    </w:rPr>
                  </w:pPr>
                  <w:r>
                    <w:rPr>
                      <w:rFonts w:hint="eastAsia"/>
                      <w:szCs w:val="21"/>
                    </w:rPr>
                    <w:t>12</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7.2</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0.72</w:t>
                  </w:r>
                </w:p>
              </w:tc>
              <w:tc>
                <w:tcPr>
                  <w:tcW w:w="71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6.48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 w:type="pct"/>
                  <w:tcBorders>
                    <w:tl2br w:val="nil"/>
                    <w:tr2bl w:val="nil"/>
                  </w:tcBorders>
                  <w:vAlign w:val="center"/>
                </w:tcPr>
                <w:p>
                  <w:pPr>
                    <w:pStyle w:val="106"/>
                    <w:ind w:firstLine="0" w:firstLineChars="0"/>
                    <w:jc w:val="center"/>
                    <w:rPr>
                      <w:rFonts w:cs="Times New Roman"/>
                      <w:szCs w:val="21"/>
                      <w:lang w:eastAsia="zh-CN"/>
                    </w:rPr>
                  </w:pPr>
                  <w:r>
                    <w:rPr>
                      <w:rFonts w:cs="Times New Roman"/>
                      <w:szCs w:val="21"/>
                      <w:lang w:eastAsia="zh-CN"/>
                    </w:rPr>
                    <w:t>合计</w:t>
                  </w:r>
                </w:p>
              </w:tc>
              <w:tc>
                <w:tcPr>
                  <w:tcW w:w="578" w:type="pct"/>
                  <w:tcBorders>
                    <w:tl2br w:val="nil"/>
                    <w:tr2bl w:val="nil"/>
                  </w:tcBorders>
                  <w:vAlign w:val="center"/>
                </w:tcPr>
                <w:p>
                  <w:pPr>
                    <w:jc w:val="center"/>
                    <w:rPr>
                      <w:szCs w:val="21"/>
                    </w:rPr>
                  </w:pPr>
                  <w:r>
                    <w:rPr>
                      <w:rFonts w:hint="eastAsia"/>
                      <w:szCs w:val="21"/>
                    </w:rPr>
                    <w:t>21</w:t>
                  </w:r>
                </w:p>
              </w:tc>
              <w:tc>
                <w:tcPr>
                  <w:tcW w:w="714" w:type="pct"/>
                  <w:tcBorders>
                    <w:tl2br w:val="nil"/>
                    <w:tr2bl w:val="nil"/>
                  </w:tcBorders>
                  <w:vAlign w:val="center"/>
                </w:tcPr>
                <w:p>
                  <w:pPr>
                    <w:jc w:val="center"/>
                    <w:rPr>
                      <w:szCs w:val="21"/>
                    </w:rPr>
                  </w:pPr>
                  <w:r>
                    <w:rPr>
                      <w:rFonts w:hint="eastAsia"/>
                      <w:szCs w:val="21"/>
                    </w:rPr>
                    <w:t>/</w:t>
                  </w:r>
                </w:p>
              </w:tc>
              <w:tc>
                <w:tcPr>
                  <w:tcW w:w="715" w:type="pct"/>
                  <w:tcBorders>
                    <w:tl2br w:val="nil"/>
                    <w:tr2bl w:val="nil"/>
                  </w:tcBorders>
                  <w:vAlign w:val="center"/>
                </w:tcPr>
                <w:p>
                  <w:pPr>
                    <w:jc w:val="center"/>
                    <w:rPr>
                      <w:szCs w:val="21"/>
                    </w:rPr>
                  </w:pPr>
                  <w:r>
                    <w:rPr>
                      <w:rFonts w:hint="eastAsia"/>
                      <w:szCs w:val="21"/>
                    </w:rPr>
                    <w:t>/</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313.2</w:t>
                  </w:r>
                </w:p>
              </w:tc>
              <w:tc>
                <w:tcPr>
                  <w:tcW w:w="714"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31.32</w:t>
                  </w:r>
                </w:p>
              </w:tc>
              <w:tc>
                <w:tcPr>
                  <w:tcW w:w="71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281.88</w:t>
                  </w:r>
                </w:p>
              </w:tc>
            </w:tr>
          </w:tbl>
          <w:p>
            <w:pPr>
              <w:pStyle w:val="30"/>
              <w:adjustRightInd w:val="0"/>
              <w:snapToGrid w:val="0"/>
              <w:spacing w:after="0" w:line="360" w:lineRule="auto"/>
              <w:ind w:firstLine="456" w:firstLineChars="200"/>
              <w:rPr>
                <w:rFonts w:ascii="Times New Roman" w:hAnsi="Times New Roman"/>
                <w:spacing w:val="-6"/>
                <w:sz w:val="24"/>
              </w:rPr>
            </w:pPr>
            <w:r>
              <w:rPr>
                <w:rFonts w:hint="eastAsia"/>
                <w:spacing w:val="-6"/>
                <w:sz w:val="24"/>
              </w:rPr>
              <w:t>搅拌罐清洗废水</w:t>
            </w:r>
            <w:r>
              <w:rPr>
                <w:rFonts w:hint="eastAsia" w:ascii="Times New Roman" w:hAnsi="Times New Roman"/>
                <w:spacing w:val="-6"/>
                <w:sz w:val="24"/>
              </w:rPr>
              <w:t>采用专用储桶收集后回用对应产品配料，不外排，回用对应产品复配基本不会对产品质量造成影响。</w:t>
            </w:r>
          </w:p>
          <w:p>
            <w:pPr>
              <w:pStyle w:val="30"/>
              <w:adjustRightInd w:val="0"/>
              <w:snapToGrid w:val="0"/>
              <w:spacing w:after="0" w:line="360" w:lineRule="auto"/>
              <w:ind w:firstLine="456" w:firstLineChars="200"/>
              <w:rPr>
                <w:rFonts w:ascii="Times New Roman" w:hAnsi="Times New Roman"/>
                <w:spacing w:val="-6"/>
                <w:sz w:val="24"/>
              </w:rPr>
            </w:pPr>
            <w:r>
              <w:rPr>
                <w:rFonts w:hint="eastAsia" w:ascii="Times New Roman" w:hAnsi="Times New Roman"/>
                <w:spacing w:val="-6"/>
                <w:sz w:val="24"/>
              </w:rPr>
              <w:t>③车间地面保洁用水</w:t>
            </w:r>
          </w:p>
          <w:p>
            <w:pPr>
              <w:pStyle w:val="30"/>
              <w:adjustRightInd w:val="0"/>
              <w:snapToGrid w:val="0"/>
              <w:spacing w:after="0" w:line="360" w:lineRule="auto"/>
              <w:ind w:firstLine="456" w:firstLineChars="200"/>
              <w:rPr>
                <w:rFonts w:ascii="Times New Roman" w:hAnsi="Times New Roman"/>
                <w:sz w:val="24"/>
              </w:rPr>
            </w:pPr>
            <w:r>
              <w:rPr>
                <w:rFonts w:ascii="Times New Roman" w:hAnsi="Times New Roman"/>
                <w:spacing w:val="-6"/>
                <w:sz w:val="24"/>
              </w:rPr>
              <w:t>企业生产过程中存在物料的跑冒滴漏现象，污染车间地面，为维持企业的清洁和正常运行，必须定期保洁，根据建设单位的实际运行情况，生产车间清洁主要以干打扫+拖布拖湿的方式进行，每个月拖洗</w:t>
            </w:r>
            <w:r>
              <w:rPr>
                <w:rFonts w:hint="eastAsia" w:ascii="Times New Roman" w:hAnsi="Times New Roman"/>
                <w:spacing w:val="-6"/>
                <w:sz w:val="24"/>
              </w:rPr>
              <w:t>4</w:t>
            </w:r>
            <w:r>
              <w:rPr>
                <w:rFonts w:ascii="Times New Roman" w:hAnsi="Times New Roman"/>
                <w:spacing w:val="-6"/>
                <w:sz w:val="24"/>
              </w:rPr>
              <w:t>次，则年拖洗</w:t>
            </w:r>
            <w:r>
              <w:rPr>
                <w:rFonts w:hint="eastAsia" w:ascii="Times New Roman" w:hAnsi="Times New Roman"/>
                <w:spacing w:val="-6"/>
                <w:sz w:val="24"/>
              </w:rPr>
              <w:t>48</w:t>
            </w:r>
            <w:r>
              <w:rPr>
                <w:rFonts w:ascii="Times New Roman" w:hAnsi="Times New Roman"/>
                <w:spacing w:val="-6"/>
                <w:sz w:val="24"/>
              </w:rPr>
              <w:t>次。</w:t>
            </w:r>
            <w:r>
              <w:rPr>
                <w:rFonts w:hint="eastAsia" w:ascii="Times New Roman"/>
                <w:spacing w:val="-6"/>
                <w:sz w:val="24"/>
              </w:rPr>
              <w:t>车间地面保洁</w:t>
            </w:r>
            <w:r>
              <w:rPr>
                <w:rFonts w:ascii="Times New Roman" w:hAnsi="Times New Roman"/>
                <w:spacing w:val="-6"/>
                <w:sz w:val="24"/>
              </w:rPr>
              <w:t>用水</w:t>
            </w:r>
            <w:r>
              <w:rPr>
                <w:rFonts w:hint="eastAsia" w:ascii="Times New Roman" w:hAnsi="Times New Roman"/>
                <w:spacing w:val="-6"/>
                <w:sz w:val="24"/>
              </w:rPr>
              <w:t>约0.5</w:t>
            </w:r>
            <w:r>
              <w:rPr>
                <w:rFonts w:ascii="Times New Roman" w:hAnsi="Times New Roman"/>
                <w:spacing w:val="-6"/>
                <w:sz w:val="24"/>
              </w:rPr>
              <w:t>L/m</w:t>
            </w:r>
            <w:r>
              <w:rPr>
                <w:rFonts w:ascii="Times New Roman" w:hAnsi="Times New Roman"/>
                <w:spacing w:val="-6"/>
                <w:sz w:val="24"/>
                <w:vertAlign w:val="superscript"/>
              </w:rPr>
              <w:t>2</w:t>
            </w:r>
            <w:r>
              <w:rPr>
                <w:rFonts w:ascii="Times New Roman" w:hAnsi="Times New Roman"/>
                <w:spacing w:val="-6"/>
                <w:sz w:val="24"/>
              </w:rPr>
              <w:t>-次，生产车间总面积约</w:t>
            </w:r>
            <w:r>
              <w:rPr>
                <w:rFonts w:hint="eastAsia" w:ascii="Times New Roman" w:hAnsi="Times New Roman"/>
                <w:spacing w:val="-6"/>
                <w:sz w:val="24"/>
              </w:rPr>
              <w:t>23508.8</w:t>
            </w:r>
            <w:r>
              <w:rPr>
                <w:rFonts w:ascii="Times New Roman" w:hAnsi="Times New Roman"/>
                <w:spacing w:val="-6"/>
                <w:sz w:val="24"/>
              </w:rPr>
              <w:t>m</w:t>
            </w:r>
            <w:r>
              <w:rPr>
                <w:rFonts w:ascii="Times New Roman" w:hAnsi="Times New Roman"/>
                <w:spacing w:val="-6"/>
                <w:sz w:val="24"/>
                <w:vertAlign w:val="superscript"/>
              </w:rPr>
              <w:t>2</w:t>
            </w:r>
            <w:r>
              <w:rPr>
                <w:rFonts w:ascii="Times New Roman" w:hAnsi="Times New Roman"/>
                <w:spacing w:val="-6"/>
                <w:sz w:val="24"/>
              </w:rPr>
              <w:t>，则</w:t>
            </w:r>
            <w:r>
              <w:rPr>
                <w:rFonts w:hint="eastAsia" w:ascii="Times New Roman" w:hAnsi="Times New Roman"/>
                <w:spacing w:val="-6"/>
                <w:sz w:val="24"/>
              </w:rPr>
              <w:t>车间</w:t>
            </w:r>
            <w:r>
              <w:rPr>
                <w:rFonts w:ascii="Times New Roman" w:hAnsi="Times New Roman"/>
                <w:spacing w:val="-6"/>
                <w:sz w:val="24"/>
              </w:rPr>
              <w:t>地面保洁用水量约为</w:t>
            </w:r>
            <w:r>
              <w:rPr>
                <w:rFonts w:hint="eastAsia" w:ascii="Times New Roman" w:hAnsi="Times New Roman"/>
                <w:spacing w:val="-6"/>
                <w:sz w:val="24"/>
              </w:rPr>
              <w:t>564.21</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ascii="Times New Roman"/>
                <w:spacing w:val="-6"/>
                <w:sz w:val="24"/>
              </w:rPr>
              <w:t>。</w:t>
            </w:r>
          </w:p>
          <w:p>
            <w:pPr>
              <w:pStyle w:val="30"/>
              <w:adjustRightInd w:val="0"/>
              <w:snapToGrid w:val="0"/>
              <w:spacing w:after="0" w:line="360" w:lineRule="auto"/>
              <w:ind w:firstLine="456" w:firstLineChars="200"/>
              <w:rPr>
                <w:rFonts w:ascii="Times New Roman" w:hAnsi="Times New Roman"/>
                <w:spacing w:val="-6"/>
                <w:sz w:val="24"/>
              </w:rPr>
            </w:pPr>
            <w:r>
              <w:rPr>
                <w:rFonts w:hint="eastAsia" w:ascii="Times New Roman" w:hAnsi="Times New Roman"/>
                <w:spacing w:val="-6"/>
                <w:sz w:val="24"/>
              </w:rPr>
              <w:t>④制纯水用水</w:t>
            </w:r>
          </w:p>
          <w:p>
            <w:pPr>
              <w:pStyle w:val="30"/>
              <w:adjustRightInd w:val="0"/>
              <w:snapToGrid w:val="0"/>
              <w:spacing w:after="0" w:line="360" w:lineRule="auto"/>
              <w:ind w:firstLine="456" w:firstLineChars="200"/>
              <w:rPr>
                <w:rFonts w:ascii="Times New Roman" w:hAnsi="Times New Roman"/>
                <w:spacing w:val="-6"/>
                <w:sz w:val="24"/>
              </w:rPr>
            </w:pPr>
            <w:r>
              <w:rPr>
                <w:rFonts w:hint="eastAsia" w:ascii="Times New Roman" w:hAnsi="Times New Roman"/>
                <w:spacing w:val="-6"/>
                <w:sz w:val="24"/>
              </w:rPr>
              <w:t>根据物料平衡，产品配比水年用量为11338.2m</w:t>
            </w:r>
            <w:r>
              <w:rPr>
                <w:rFonts w:hint="eastAsia" w:ascii="Times New Roman" w:hAnsi="Times New Roman"/>
                <w:spacing w:val="-6"/>
                <w:sz w:val="24"/>
                <w:vertAlign w:val="superscript"/>
              </w:rPr>
              <w:t>3</w:t>
            </w:r>
            <w:r>
              <w:rPr>
                <w:rFonts w:hint="eastAsia" w:ascii="Times New Roman" w:hAnsi="Times New Roman"/>
                <w:spacing w:val="-6"/>
                <w:sz w:val="24"/>
              </w:rPr>
              <w:t>/a，其中搅拌罐回用清洗水281.88m</w:t>
            </w:r>
            <w:r>
              <w:rPr>
                <w:rFonts w:hint="eastAsia" w:ascii="Times New Roman" w:hAnsi="Times New Roman"/>
                <w:spacing w:val="-6"/>
                <w:sz w:val="24"/>
                <w:vertAlign w:val="superscript"/>
              </w:rPr>
              <w:t>3</w:t>
            </w:r>
            <w:r>
              <w:rPr>
                <w:rFonts w:hint="eastAsia" w:ascii="Times New Roman" w:hAnsi="Times New Roman"/>
                <w:spacing w:val="-6"/>
                <w:sz w:val="24"/>
              </w:rPr>
              <w:t>/a，则需纯水11056.32m</w:t>
            </w:r>
            <w:r>
              <w:rPr>
                <w:rFonts w:hint="eastAsia" w:ascii="Times New Roman" w:hAnsi="Times New Roman"/>
                <w:spacing w:val="-6"/>
                <w:sz w:val="24"/>
                <w:vertAlign w:val="superscript"/>
              </w:rPr>
              <w:t>3</w:t>
            </w:r>
            <w:r>
              <w:rPr>
                <w:rFonts w:hint="eastAsia" w:ascii="Times New Roman" w:hAnsi="Times New Roman"/>
                <w:spacing w:val="-6"/>
                <w:sz w:val="24"/>
              </w:rPr>
              <w:t>/a，纯水机产水率60%，则需用到新鲜水18427.2m</w:t>
            </w:r>
            <w:r>
              <w:rPr>
                <w:rFonts w:hint="eastAsia" w:ascii="Times New Roman" w:hAnsi="Times New Roman"/>
                <w:spacing w:val="-6"/>
                <w:sz w:val="24"/>
                <w:vertAlign w:val="superscript"/>
              </w:rPr>
              <w:t>3</w:t>
            </w:r>
            <w:r>
              <w:rPr>
                <w:rFonts w:hint="eastAsia" w:ascii="Times New Roman" w:hAnsi="Times New Roman"/>
                <w:spacing w:val="-6"/>
                <w:sz w:val="24"/>
              </w:rPr>
              <w:t>/a。浓水量7370.88m</w:t>
            </w:r>
            <w:r>
              <w:rPr>
                <w:rFonts w:hint="eastAsia" w:ascii="Times New Roman" w:hAnsi="Times New Roman"/>
                <w:spacing w:val="-6"/>
                <w:sz w:val="24"/>
                <w:vertAlign w:val="superscript"/>
              </w:rPr>
              <w:t>3</w:t>
            </w:r>
            <w:r>
              <w:rPr>
                <w:rFonts w:hint="eastAsia" w:ascii="Times New Roman" w:hAnsi="Times New Roman"/>
                <w:spacing w:val="-6"/>
                <w:sz w:val="24"/>
              </w:rPr>
              <w:t>/a，纯水制备浓水属于硬度较大的清净下水，浓水中主要为盐类和pH，可直接排入市政雨水管网。</w:t>
            </w:r>
          </w:p>
          <w:p>
            <w:pPr>
              <w:pStyle w:val="30"/>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（2）排水工程</w:t>
            </w:r>
          </w:p>
          <w:p>
            <w:pPr>
              <w:pStyle w:val="30"/>
              <w:adjustRightInd w:val="0"/>
              <w:snapToGrid w:val="0"/>
              <w:spacing w:after="0" w:line="360" w:lineRule="auto"/>
              <w:ind w:firstLine="480" w:firstLineChars="200"/>
              <w:rPr>
                <w:rFonts w:ascii="Times New Roman" w:hAnsi="Times New Roman"/>
                <w:kern w:val="0"/>
                <w:sz w:val="24"/>
              </w:rPr>
            </w:pPr>
            <w:r>
              <w:rPr>
                <w:rFonts w:hint="eastAsia"/>
                <w:sz w:val="24"/>
              </w:rPr>
              <w:t>本项目排水采用清污分流、雨污分流制，雨水（不含初期雨水）汇集后通过厂区排水管直接外排至园区雨水管网，最终汇入湘江。</w:t>
            </w:r>
            <w:r>
              <w:rPr>
                <w:rFonts w:ascii="Times New Roman" w:hAnsi="Times New Roman"/>
                <w:kern w:val="0"/>
                <w:sz w:val="24"/>
              </w:rPr>
              <w:t>项目</w:t>
            </w:r>
            <w:r>
              <w:rPr>
                <w:rFonts w:hint="eastAsia"/>
                <w:kern w:val="0"/>
                <w:sz w:val="24"/>
              </w:rPr>
              <w:t>外排废水主要为车间地面保洁废水及生活污水</w:t>
            </w:r>
            <w:r>
              <w:rPr>
                <w:rFonts w:hint="eastAsia" w:ascii="Times New Roman" w:hAnsi="Times New Roman"/>
                <w:kern w:val="0"/>
                <w:sz w:val="24"/>
              </w:rPr>
              <w:t>。</w:t>
            </w:r>
          </w:p>
          <w:p>
            <w:pPr>
              <w:pStyle w:val="30"/>
              <w:adjustRightInd w:val="0"/>
              <w:snapToGrid w:val="0"/>
              <w:spacing w:after="0" w:line="360" w:lineRule="auto"/>
              <w:ind w:firstLine="480" w:firstLineChars="200"/>
              <w:rPr>
                <w:rFonts w:ascii="Times New Roman" w:hAnsi="Times New Roman"/>
                <w:kern w:val="0"/>
                <w:sz w:val="24"/>
              </w:rPr>
            </w:pPr>
            <w:r>
              <w:rPr>
                <w:rFonts w:asciiTheme="minorEastAsia" w:hAnsiTheme="minorEastAsia" w:eastAsiaTheme="minorEastAsia"/>
                <w:kern w:val="0"/>
                <w:sz w:val="24"/>
              </w:rPr>
              <w:t>①生活</w:t>
            </w:r>
            <w:r>
              <w:rPr>
                <w:rFonts w:ascii="Times New Roman" w:hAnsi="Times New Roman"/>
                <w:kern w:val="0"/>
                <w:sz w:val="24"/>
              </w:rPr>
              <w:t>污水</w:t>
            </w:r>
          </w:p>
          <w:p>
            <w:pPr>
              <w:pStyle w:val="30"/>
              <w:adjustRightInd w:val="0"/>
              <w:snapToGrid w:val="0"/>
              <w:spacing w:after="0" w:line="360" w:lineRule="auto"/>
              <w:ind w:firstLine="476" w:firstLineChars="200"/>
              <w:rPr>
                <w:rFonts w:ascii="Times New Roman" w:hAnsi="Times New Roman"/>
                <w:kern w:val="0"/>
                <w:sz w:val="24"/>
              </w:rPr>
            </w:pPr>
            <w:r>
              <w:rPr>
                <w:rFonts w:hint="eastAsia" w:ascii="Times New Roman" w:hAnsi="Times New Roman"/>
                <w:spacing w:val="-1"/>
                <w:kern w:val="30"/>
                <w:position w:val="-1"/>
                <w:sz w:val="24"/>
              </w:rPr>
              <w:t>生活污水</w:t>
            </w:r>
            <w:r>
              <w:rPr>
                <w:rFonts w:ascii="Times New Roman" w:hAnsi="Times New Roman"/>
                <w:spacing w:val="-1"/>
                <w:kern w:val="30"/>
                <w:position w:val="-1"/>
                <w:sz w:val="24"/>
              </w:rPr>
              <w:t>排污系数按0.8核算，则项目生活污水排放量</w:t>
            </w:r>
            <w:r>
              <w:rPr>
                <w:rFonts w:ascii="Times New Roman" w:hAnsi="Times New Roman"/>
                <w:spacing w:val="-6"/>
                <w:sz w:val="24"/>
              </w:rPr>
              <w:t>为</w:t>
            </w:r>
            <w:r>
              <w:rPr>
                <w:rFonts w:hint="eastAsia" w:ascii="Times New Roman" w:hAnsi="Times New Roman"/>
                <w:spacing w:val="-6"/>
                <w:sz w:val="24"/>
              </w:rPr>
              <w:t>17.4</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/d（</w:t>
            </w:r>
            <w:r>
              <w:rPr>
                <w:rFonts w:hint="eastAsia" w:ascii="Times New Roman" w:hAnsi="Times New Roman"/>
                <w:spacing w:val="-6"/>
                <w:sz w:val="24"/>
              </w:rPr>
              <w:t>4872</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hint="eastAsia" w:ascii="Times New Roman" w:hAnsi="Times New Roman"/>
                <w:spacing w:val="-6"/>
                <w:sz w:val="24"/>
              </w:rPr>
              <w:t>。</w:t>
            </w:r>
          </w:p>
          <w:p>
            <w:pPr>
              <w:pStyle w:val="30"/>
              <w:adjustRightInd w:val="0"/>
              <w:snapToGrid w:val="0"/>
              <w:spacing w:after="0" w:line="360" w:lineRule="auto"/>
              <w:ind w:firstLine="480" w:firstLineChars="200"/>
              <w:rPr>
                <w:kern w:val="0"/>
                <w:sz w:val="24"/>
              </w:rPr>
            </w:pPr>
            <w:r>
              <w:rPr>
                <w:rFonts w:hint="eastAsia"/>
                <w:kern w:val="0"/>
                <w:sz w:val="24"/>
              </w:rPr>
              <w:t>②车间地面保洁废水</w:t>
            </w:r>
          </w:p>
          <w:p>
            <w:pPr>
              <w:pStyle w:val="30"/>
              <w:adjustRightInd w:val="0"/>
              <w:snapToGrid w:val="0"/>
              <w:spacing w:after="0" w:line="360" w:lineRule="auto"/>
              <w:ind w:firstLine="480" w:firstLineChars="200"/>
              <w:rPr>
                <w:rFonts w:ascii="Times New Roman" w:hAnsi="Times New Roman"/>
                <w:kern w:val="0"/>
                <w:sz w:val="24"/>
              </w:rPr>
            </w:pPr>
            <w:r>
              <w:rPr>
                <w:rFonts w:ascii="Times New Roman" w:hAnsi="Times New Roman"/>
                <w:kern w:val="0"/>
                <w:sz w:val="24"/>
              </w:rPr>
              <w:t>车间地面保洁废水</w:t>
            </w:r>
            <w:r>
              <w:rPr>
                <w:rFonts w:ascii="Times New Roman" w:hAnsi="Times New Roman"/>
                <w:spacing w:val="-6"/>
                <w:sz w:val="24"/>
              </w:rPr>
              <w:t>排污系数</w:t>
            </w:r>
            <w:r>
              <w:rPr>
                <w:rFonts w:ascii="Times New Roman" w:hAnsi="Times New Roman"/>
                <w:spacing w:val="-1"/>
                <w:kern w:val="30"/>
                <w:position w:val="-1"/>
                <w:sz w:val="24"/>
              </w:rPr>
              <w:t>按</w:t>
            </w:r>
            <w:r>
              <w:rPr>
                <w:rFonts w:ascii="Times New Roman" w:hAnsi="Times New Roman"/>
                <w:spacing w:val="-6"/>
                <w:sz w:val="24"/>
              </w:rPr>
              <w:t>0.8</w:t>
            </w:r>
            <w:r>
              <w:rPr>
                <w:rFonts w:ascii="Times New Roman" w:hAnsi="Times New Roman"/>
                <w:spacing w:val="-1"/>
                <w:kern w:val="30"/>
                <w:position w:val="-1"/>
                <w:sz w:val="24"/>
              </w:rPr>
              <w:t>核算，则项目</w:t>
            </w:r>
            <w:r>
              <w:rPr>
                <w:rFonts w:ascii="Times New Roman" w:hAnsi="Times New Roman"/>
                <w:kern w:val="0"/>
                <w:sz w:val="24"/>
              </w:rPr>
              <w:t>车间地面保洁废水</w:t>
            </w:r>
            <w:r>
              <w:rPr>
                <w:rFonts w:ascii="Times New Roman" w:hAnsi="Times New Roman"/>
                <w:spacing w:val="-1"/>
                <w:kern w:val="30"/>
                <w:position w:val="-1"/>
                <w:sz w:val="24"/>
              </w:rPr>
              <w:t>排放量</w:t>
            </w:r>
            <w:r>
              <w:rPr>
                <w:rFonts w:ascii="Times New Roman" w:hAnsi="Times New Roman"/>
                <w:spacing w:val="-6"/>
                <w:sz w:val="24"/>
              </w:rPr>
              <w:t>为</w:t>
            </w:r>
            <w:r>
              <w:rPr>
                <w:rFonts w:hint="eastAsia" w:ascii="Times New Roman" w:hAnsi="Times New Roman"/>
                <w:spacing w:val="-6"/>
                <w:sz w:val="24"/>
              </w:rPr>
              <w:t>1.61</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/d（</w:t>
            </w:r>
            <w:r>
              <w:rPr>
                <w:rFonts w:hint="eastAsia" w:ascii="Times New Roman" w:hAnsi="Times New Roman"/>
                <w:spacing w:val="-6"/>
                <w:sz w:val="24"/>
              </w:rPr>
              <w:t>451.37</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p>
          <w:p>
            <w:pPr>
              <w:pStyle w:val="30"/>
              <w:adjustRightInd w:val="0"/>
              <w:snapToGrid w:val="0"/>
              <w:spacing w:after="0" w:line="360" w:lineRule="auto"/>
              <w:ind w:firstLine="480" w:firstLineChars="200"/>
              <w:rPr>
                <w:rFonts w:ascii="Times New Roman" w:hAnsi="Times New Roman"/>
                <w:kern w:val="0"/>
                <w:sz w:val="24"/>
              </w:rPr>
            </w:pPr>
            <w:r>
              <w:rPr>
                <w:rFonts w:ascii="Times New Roman" w:hAnsi="Times New Roman"/>
                <w:kern w:val="0"/>
                <w:sz w:val="24"/>
              </w:rPr>
              <w:t>项目车间地面保洁废水及生活污水经化粪池预处理后排入市政污水管网，近期（衡山高新区综合污水处理厂扩容提标工程投产前），经衡山高新区综合污水处理厂处理达到《污水综合排放标准》（GB8978-1996）一级标准后排入衡山县城污水处理厂处理，最终排入湘江；远期（衡山高新区综合污水处理厂扩容提标工程投产后），经衡山高新区综合污水处理厂处理达到《城镇污水处理厂污染物排放标准》（GB18918-2002）一级A标准排放至湘江。</w:t>
            </w:r>
          </w:p>
          <w:p>
            <w:pPr>
              <w:pStyle w:val="30"/>
              <w:adjustRightInd w:val="0"/>
              <w:snapToGrid w:val="0"/>
              <w:spacing w:after="0" w:line="360" w:lineRule="auto"/>
              <w:ind w:firstLine="0" w:firstLineChars="0"/>
              <w:jc w:val="center"/>
              <w:rPr>
                <w:rFonts w:ascii="Times New Roman" w:hAnsi="Times New Roman"/>
                <w:sz w:val="24"/>
              </w:rPr>
            </w:pPr>
            <w:r>
              <w:object>
                <v:shape id="_x0000_i1025" o:spt="75" type="#_x0000_t75" style="height:234pt;width:442.5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spacing w:afterLines="50"/>
              <w:jc w:val="center"/>
              <w:rPr>
                <w:rFonts w:hAnsiTheme="minorEastAsia"/>
                <w:b/>
                <w:szCs w:val="21"/>
              </w:rPr>
            </w:pPr>
            <w:r>
              <w:rPr>
                <w:rFonts w:hint="eastAsia" w:hAnsiTheme="minorEastAsia"/>
                <w:b/>
                <w:szCs w:val="21"/>
              </w:rPr>
              <w:t>图2-1  水平衡图  单位：t/a</w:t>
            </w:r>
          </w:p>
          <w:p>
            <w:pPr>
              <w:pStyle w:val="30"/>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（3）供电工程</w:t>
            </w:r>
          </w:p>
          <w:p>
            <w:pPr>
              <w:pStyle w:val="30"/>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由衡山县市政电网供给，场区内设变压器及配电柜向各用电单元供电。本项目年耗电量约30万kWh。</w:t>
            </w:r>
          </w:p>
          <w:p>
            <w:pPr>
              <w:adjustRightInd w:val="0"/>
              <w:snapToGrid w:val="0"/>
              <w:spacing w:line="360" w:lineRule="auto"/>
              <w:ind w:firstLine="482" w:firstLineChars="200"/>
              <w:rPr>
                <w:b/>
                <w:bCs/>
                <w:sz w:val="24"/>
              </w:rPr>
            </w:pPr>
            <w:r>
              <w:rPr>
                <w:rFonts w:hint="eastAsia"/>
                <w:b/>
                <w:bCs/>
                <w:sz w:val="24"/>
              </w:rPr>
              <w:t>7</w:t>
            </w:r>
            <w:r>
              <w:rPr>
                <w:b/>
                <w:bCs/>
                <w:sz w:val="24"/>
              </w:rPr>
              <w:t>、劳动定员及工作制度</w:t>
            </w:r>
          </w:p>
          <w:p>
            <w:pPr>
              <w:adjustRightInd w:val="0"/>
              <w:snapToGrid w:val="0"/>
              <w:spacing w:line="360" w:lineRule="auto"/>
              <w:ind w:firstLine="480" w:firstLineChars="200"/>
              <w:rPr>
                <w:bCs/>
                <w:sz w:val="24"/>
              </w:rPr>
            </w:pPr>
            <w:r>
              <w:rPr>
                <w:rFonts w:hint="eastAsia"/>
                <w:kern w:val="0"/>
                <w:sz w:val="24"/>
              </w:rPr>
              <w:t>本项目劳动定员150人，均在厂内食宿，年运营280天，每天1班，每班工作8小时</w:t>
            </w:r>
            <w:r>
              <w:rPr>
                <w:rFonts w:hint="eastAsia"/>
                <w:bCs/>
                <w:sz w:val="24"/>
              </w:rPr>
              <w:t>。</w:t>
            </w:r>
          </w:p>
          <w:p>
            <w:pPr>
              <w:adjustRightInd w:val="0"/>
              <w:snapToGrid w:val="0"/>
              <w:spacing w:line="360" w:lineRule="auto"/>
              <w:ind w:firstLine="482" w:firstLineChars="200"/>
              <w:rPr>
                <w:b/>
                <w:bCs/>
                <w:sz w:val="24"/>
              </w:rPr>
            </w:pPr>
            <w:r>
              <w:rPr>
                <w:rFonts w:hint="eastAsia"/>
                <w:b/>
                <w:bCs/>
                <w:sz w:val="24"/>
              </w:rPr>
              <w:t>8、厂区总平面布置</w:t>
            </w:r>
          </w:p>
          <w:p>
            <w:pPr>
              <w:snapToGrid w:val="0"/>
              <w:spacing w:line="360" w:lineRule="auto"/>
              <w:ind w:firstLine="480" w:firstLineChars="200"/>
              <w:rPr>
                <w:kern w:val="0"/>
                <w:sz w:val="24"/>
              </w:rPr>
            </w:pPr>
            <w:r>
              <w:rPr>
                <w:rFonts w:hint="eastAsia"/>
                <w:kern w:val="0"/>
                <w:sz w:val="24"/>
              </w:rPr>
              <w:t>项目</w:t>
            </w:r>
            <w:r>
              <w:rPr>
                <w:kern w:val="0"/>
                <w:sz w:val="24"/>
              </w:rPr>
              <w:t>根据《精细化工企业工程设计防火标准》（GB51283-2020）、《建筑设计防火规范》（2018年版）（GB50016-2014）等国家标准要求，考虑当地主导风向、工艺流程、职业卫生、厂内运输因素，结合</w:t>
            </w:r>
            <w:r>
              <w:rPr>
                <w:rFonts w:hint="eastAsia"/>
                <w:kern w:val="0"/>
                <w:sz w:val="24"/>
              </w:rPr>
              <w:t>该</w:t>
            </w:r>
            <w:r>
              <w:rPr>
                <w:kern w:val="0"/>
                <w:sz w:val="24"/>
              </w:rPr>
              <w:t>建设项目的用地情况，项目总平面分为3个功能区，即生产区、辅助生产区和</w:t>
            </w:r>
            <w:r>
              <w:rPr>
                <w:rFonts w:hint="eastAsia"/>
                <w:kern w:val="0"/>
                <w:sz w:val="24"/>
              </w:rPr>
              <w:t>生活</w:t>
            </w:r>
            <w:r>
              <w:rPr>
                <w:kern w:val="0"/>
                <w:sz w:val="24"/>
              </w:rPr>
              <w:t>办公区。</w:t>
            </w:r>
          </w:p>
          <w:p>
            <w:pPr>
              <w:snapToGrid w:val="0"/>
              <w:spacing w:line="360" w:lineRule="auto"/>
              <w:ind w:firstLine="480" w:firstLineChars="200"/>
              <w:rPr>
                <w:kern w:val="0"/>
                <w:sz w:val="24"/>
              </w:rPr>
            </w:pPr>
            <w:r>
              <w:rPr>
                <w:kern w:val="0"/>
                <w:sz w:val="24"/>
              </w:rPr>
              <w:t>生产区布置在厂区</w:t>
            </w:r>
            <w:r>
              <w:rPr>
                <w:rFonts w:hint="eastAsia"/>
                <w:kern w:val="0"/>
                <w:sz w:val="24"/>
              </w:rPr>
              <w:t>北</w:t>
            </w:r>
            <w:r>
              <w:rPr>
                <w:kern w:val="0"/>
                <w:sz w:val="24"/>
              </w:rPr>
              <w:t>部，</w:t>
            </w:r>
            <w:r>
              <w:rPr>
                <w:rFonts w:hint="eastAsia"/>
                <w:kern w:val="0"/>
                <w:sz w:val="24"/>
              </w:rPr>
              <w:t>1、2、3、4号厂房依次</w:t>
            </w:r>
            <w:r>
              <w:rPr>
                <w:kern w:val="0"/>
                <w:sz w:val="24"/>
              </w:rPr>
              <w:t>从</w:t>
            </w:r>
            <w:r>
              <w:rPr>
                <w:rFonts w:hint="eastAsia"/>
                <w:kern w:val="0"/>
                <w:sz w:val="24"/>
              </w:rPr>
              <w:t>东</w:t>
            </w:r>
            <w:r>
              <w:rPr>
                <w:kern w:val="0"/>
                <w:sz w:val="24"/>
              </w:rPr>
              <w:t>向</w:t>
            </w:r>
            <w:r>
              <w:rPr>
                <w:rFonts w:hint="eastAsia"/>
                <w:kern w:val="0"/>
                <w:sz w:val="24"/>
              </w:rPr>
              <w:t>西布置，厂房之间相距均为12m，厂房四周设环形通道。8、9、10号仓库厂区的最西面，由南向北布置，8号至9号仓库之间的间距为12m，9号至10号仓库之间的间距为10m，仓库四周设环形通道。</w:t>
            </w:r>
          </w:p>
          <w:p>
            <w:pPr>
              <w:snapToGrid w:val="0"/>
              <w:spacing w:line="360" w:lineRule="auto"/>
              <w:ind w:firstLine="480" w:firstLineChars="200"/>
              <w:rPr>
                <w:kern w:val="0"/>
                <w:sz w:val="24"/>
              </w:rPr>
            </w:pPr>
            <w:r>
              <w:rPr>
                <w:rFonts w:hint="eastAsia"/>
                <w:kern w:val="0"/>
                <w:sz w:val="24"/>
              </w:rPr>
              <w:t>变</w:t>
            </w:r>
            <w:r>
              <w:rPr>
                <w:kern w:val="0"/>
                <w:sz w:val="24"/>
              </w:rPr>
              <w:t>配电房、</w:t>
            </w:r>
            <w:r>
              <w:rPr>
                <w:rFonts w:hint="eastAsia"/>
                <w:kern w:val="0"/>
                <w:sz w:val="24"/>
              </w:rPr>
              <w:t>垃圾房</w:t>
            </w:r>
            <w:r>
              <w:rPr>
                <w:kern w:val="0"/>
                <w:sz w:val="24"/>
              </w:rPr>
              <w:t>辅助生产区布置</w:t>
            </w:r>
            <w:r>
              <w:rPr>
                <w:rFonts w:hint="eastAsia"/>
                <w:kern w:val="0"/>
                <w:sz w:val="24"/>
              </w:rPr>
              <w:t>厂区南面中部</w:t>
            </w:r>
            <w:r>
              <w:rPr>
                <w:kern w:val="0"/>
                <w:sz w:val="24"/>
              </w:rPr>
              <w:t>。</w:t>
            </w:r>
          </w:p>
          <w:p>
            <w:pPr>
              <w:pStyle w:val="17"/>
              <w:adjustRightInd w:val="0"/>
              <w:spacing w:before="0" w:after="0" w:line="360" w:lineRule="auto"/>
              <w:ind w:right="0" w:firstLine="480" w:firstLineChars="200"/>
              <w:rPr>
                <w:sz w:val="24"/>
                <w:szCs w:val="24"/>
              </w:rPr>
            </w:pPr>
            <w:r>
              <w:rPr>
                <w:rFonts w:hint="eastAsia"/>
                <w:sz w:val="24"/>
                <w:szCs w:val="24"/>
              </w:rPr>
              <w:t>生活</w:t>
            </w:r>
            <w:r>
              <w:rPr>
                <w:sz w:val="24"/>
                <w:szCs w:val="24"/>
              </w:rPr>
              <w:t>办公区布置在厂区</w:t>
            </w:r>
            <w:r>
              <w:rPr>
                <w:rFonts w:hint="eastAsia"/>
                <w:sz w:val="24"/>
                <w:szCs w:val="24"/>
              </w:rPr>
              <w:t>东</w:t>
            </w:r>
            <w:r>
              <w:rPr>
                <w:sz w:val="24"/>
                <w:szCs w:val="24"/>
              </w:rPr>
              <w:t>南</w:t>
            </w:r>
            <w:r>
              <w:rPr>
                <w:rFonts w:hint="eastAsia"/>
                <w:sz w:val="24"/>
                <w:szCs w:val="24"/>
              </w:rPr>
              <w:t>角</w:t>
            </w:r>
            <w:r>
              <w:rPr>
                <w:sz w:val="24"/>
                <w:szCs w:val="24"/>
              </w:rPr>
              <w:t>，</w:t>
            </w:r>
            <w:r>
              <w:rPr>
                <w:rFonts w:hint="eastAsia"/>
                <w:sz w:val="24"/>
                <w:szCs w:val="24"/>
              </w:rPr>
              <w:t>布置有办公楼、员工宿舍及球场</w:t>
            </w:r>
            <w:r>
              <w:rPr>
                <w:sz w:val="24"/>
                <w:szCs w:val="24"/>
              </w:rPr>
              <w:t>。</w:t>
            </w:r>
          </w:p>
          <w:p>
            <w:pPr>
              <w:adjustRightInd w:val="0"/>
              <w:snapToGrid w:val="0"/>
              <w:spacing w:line="360" w:lineRule="auto"/>
              <w:ind w:firstLine="480" w:firstLineChars="200"/>
              <w:rPr>
                <w:sz w:val="24"/>
              </w:rPr>
            </w:pPr>
            <w:r>
              <w:rPr>
                <w:rFonts w:hint="eastAsia"/>
                <w:kern w:val="0"/>
                <w:sz w:val="24"/>
              </w:rPr>
              <w:t>项目在邻坪青路设二个出入口，主出入口主要供货运车辆通行，布置在厂区东面北侧，次出入口主要供人流和小车通行，布置在厂区东面南侧。</w:t>
            </w:r>
            <w:r>
              <w:rPr>
                <w:kern w:val="0"/>
                <w:sz w:val="24"/>
              </w:rPr>
              <w:t>项目平面布置详见附图</w:t>
            </w:r>
            <w:r>
              <w:rPr>
                <w:rFonts w:hint="eastAsia"/>
                <w:kern w:val="0"/>
                <w:sz w:val="24"/>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4" w:type="dxa"/>
            <w:vAlign w:val="center"/>
          </w:tcPr>
          <w:p>
            <w:pPr>
              <w:pStyle w:val="28"/>
              <w:adjustRightInd w:val="0"/>
              <w:snapToGrid w:val="0"/>
              <w:spacing w:before="0" w:beforeAutospacing="0" w:after="0" w:afterAutospacing="0"/>
              <w:jc w:val="center"/>
              <w:rPr>
                <w:rFonts w:cs="宋体"/>
                <w:b/>
                <w:szCs w:val="24"/>
              </w:rPr>
            </w:pPr>
            <w:r>
              <w:rPr>
                <w:rFonts w:hint="eastAsia" w:cs="宋体"/>
                <w:b/>
                <w:szCs w:val="24"/>
              </w:rPr>
              <w:t>工艺流程和产排污环节</w:t>
            </w:r>
          </w:p>
        </w:tc>
        <w:tc>
          <w:tcPr>
            <w:tcW w:w="9522" w:type="dxa"/>
          </w:tcPr>
          <w:p>
            <w:pPr>
              <w:adjustRightInd w:val="0"/>
              <w:snapToGrid w:val="0"/>
              <w:spacing w:line="360" w:lineRule="auto"/>
              <w:ind w:firstLine="482" w:firstLineChars="200"/>
              <w:rPr>
                <w:b/>
                <w:bCs/>
                <w:kern w:val="0"/>
                <w:sz w:val="24"/>
              </w:rPr>
            </w:pPr>
            <w:r>
              <w:rPr>
                <w:rFonts w:hint="eastAsia"/>
                <w:b/>
                <w:bCs/>
                <w:kern w:val="0"/>
                <w:sz w:val="24"/>
              </w:rPr>
              <w:t>一、施工期</w:t>
            </w:r>
          </w:p>
          <w:p>
            <w:pPr>
              <w:jc w:val="center"/>
            </w:pPr>
            <w:r>
              <w:object>
                <v:shape id="_x0000_i1026" o:spt="75" type="#_x0000_t75" style="height:156.75pt;width:345.75pt;" o:ole="t" filled="f" o:preferrelative="t" stroked="f" coordsize="21600,21600">
                  <v:path/>
                  <v:fill on="f" focussize="0,0"/>
                  <v:stroke on="f" joinstyle="miter"/>
                  <v:imagedata r:id="rId13" o:title=""/>
                  <o:lock v:ext="edit" aspectratio="t"/>
                  <w10:wrap type="none"/>
                  <w10:anchorlock/>
                </v:shape>
                <o:OLEObject Type="Embed" ProgID="Visio.Drawing.11" ShapeID="_x0000_i1026" DrawAspect="Content" ObjectID="_1468075726" r:id="rId12">
                  <o:LockedField>false</o:LockedField>
                </o:OLEObject>
              </w:object>
            </w:r>
          </w:p>
          <w:p>
            <w:pPr>
              <w:widowControl/>
              <w:spacing w:afterLines="50"/>
              <w:jc w:val="center"/>
              <w:rPr>
                <w:b/>
                <w:bCs/>
              </w:rPr>
            </w:pPr>
            <w:r>
              <w:rPr>
                <w:rFonts w:hint="eastAsia"/>
                <w:b/>
                <w:bCs/>
              </w:rPr>
              <w:t>图2-2  项目施工工艺及产污节点图</w:t>
            </w:r>
          </w:p>
          <w:p>
            <w:pPr>
              <w:pStyle w:val="30"/>
              <w:spacing w:after="0" w:line="360" w:lineRule="auto"/>
              <w:ind w:firstLine="482" w:firstLineChars="200"/>
              <w:rPr>
                <w:rFonts w:ascii="Times New Roman" w:hAnsi="Times New Roman"/>
                <w:b/>
                <w:sz w:val="24"/>
              </w:rPr>
            </w:pPr>
            <w:r>
              <w:rPr>
                <w:rFonts w:hint="eastAsia" w:ascii="Times New Roman" w:hAnsi="Times New Roman"/>
                <w:b/>
                <w:sz w:val="24"/>
              </w:rPr>
              <w:t>施工期工艺流程简述：</w:t>
            </w:r>
          </w:p>
          <w:p>
            <w:pPr>
              <w:adjustRightInd w:val="0"/>
              <w:snapToGrid w:val="0"/>
              <w:spacing w:line="360" w:lineRule="auto"/>
              <w:ind w:firstLine="480" w:firstLineChars="200"/>
              <w:rPr>
                <w:b/>
                <w:bCs/>
                <w:kern w:val="0"/>
                <w:sz w:val="24"/>
              </w:rPr>
            </w:pPr>
            <w:r>
              <w:rPr>
                <w:rFonts w:hint="eastAsia"/>
                <w:sz w:val="24"/>
              </w:rPr>
              <w:t>本项目施工过程以机械施工为主，大致分为基础施工、主体施工、装修、设备安装、验收运营五大阶段，不同阶段所采用的设备有所不同，项目施工人员均为周边村民，高峰现场施工人数约50人，不设施工营地，采用商品混凝土，不在场区设置混凝土拌合站，项目建设地内不建设大型的原料场，只设置小面积的临时原料堆场。项目不涉及征地拆迁，无环保拆迁。</w:t>
            </w:r>
          </w:p>
          <w:p>
            <w:pPr>
              <w:adjustRightInd w:val="0"/>
              <w:snapToGrid w:val="0"/>
              <w:spacing w:line="360" w:lineRule="auto"/>
              <w:ind w:firstLine="482" w:firstLineChars="200"/>
              <w:rPr>
                <w:b/>
                <w:bCs/>
                <w:kern w:val="0"/>
                <w:sz w:val="24"/>
              </w:rPr>
            </w:pPr>
            <w:r>
              <w:rPr>
                <w:rFonts w:hint="eastAsia"/>
                <w:b/>
                <w:bCs/>
                <w:kern w:val="0"/>
                <w:sz w:val="24"/>
              </w:rPr>
              <w:t>二、运营期</w:t>
            </w:r>
          </w:p>
          <w:p>
            <w:pPr>
              <w:adjustRightInd w:val="0"/>
              <w:snapToGrid w:val="0"/>
              <w:spacing w:line="360" w:lineRule="auto"/>
              <w:ind w:firstLine="480" w:firstLineChars="200"/>
              <w:rPr>
                <w:kern w:val="0"/>
                <w:sz w:val="24"/>
              </w:rPr>
            </w:pPr>
            <w:r>
              <w:rPr>
                <w:rFonts w:hint="eastAsia"/>
                <w:kern w:val="0"/>
                <w:sz w:val="24"/>
              </w:rPr>
              <w:t>本项目四大类产品生产工艺基本一致，生产工艺流程见下图：</w:t>
            </w:r>
          </w:p>
          <w:p>
            <w:pPr>
              <w:adjustRightInd w:val="0"/>
              <w:snapToGrid w:val="0"/>
              <w:spacing w:line="360" w:lineRule="auto"/>
              <w:jc w:val="center"/>
              <w:rPr>
                <w:kern w:val="0"/>
                <w:sz w:val="24"/>
              </w:rPr>
            </w:pPr>
            <w:r>
              <w:object>
                <v:shape id="_x0000_i1027" o:spt="75" type="#_x0000_t75" style="height:236.25pt;width:441.75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7" r:id="rId14">
                  <o:LockedField>false</o:LockedField>
                </o:OLEObject>
              </w:object>
            </w:r>
          </w:p>
          <w:p>
            <w:pPr>
              <w:widowControl/>
              <w:spacing w:afterLines="50"/>
              <w:jc w:val="center"/>
              <w:rPr>
                <w:b/>
                <w:bCs/>
              </w:rPr>
            </w:pPr>
            <w:r>
              <w:rPr>
                <w:rFonts w:hint="eastAsia"/>
                <w:b/>
                <w:bCs/>
              </w:rPr>
              <w:t>图2-3  项目运营期水基清洗剂和切削液生产工艺及产污节点图</w:t>
            </w:r>
          </w:p>
          <w:p>
            <w:pPr>
              <w:adjustRightInd w:val="0"/>
              <w:snapToGrid w:val="0"/>
              <w:spacing w:line="360" w:lineRule="auto"/>
              <w:jc w:val="center"/>
              <w:rPr>
                <w:b/>
                <w:bCs/>
                <w:kern w:val="0"/>
                <w:sz w:val="24"/>
              </w:rPr>
            </w:pPr>
            <w:r>
              <w:object>
                <v:shape id="_x0000_i1028" o:spt="75" type="#_x0000_t75" style="height:198.75pt;width:441.75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8" r:id="rId16">
                  <o:LockedField>false</o:LockedField>
                </o:OLEObject>
              </w:object>
            </w:r>
          </w:p>
          <w:p>
            <w:pPr>
              <w:widowControl/>
              <w:spacing w:afterLines="50"/>
              <w:jc w:val="center"/>
              <w:rPr>
                <w:b/>
                <w:bCs/>
              </w:rPr>
            </w:pPr>
            <w:r>
              <w:rPr>
                <w:rFonts w:hint="eastAsia"/>
                <w:b/>
                <w:bCs/>
              </w:rPr>
              <w:t>图2-4  项目运营期润滑油和碳氢清洗剂生产工艺及产污节点图</w:t>
            </w:r>
          </w:p>
          <w:p>
            <w:pPr>
              <w:adjustRightInd w:val="0"/>
              <w:snapToGrid w:val="0"/>
              <w:spacing w:line="360" w:lineRule="auto"/>
              <w:ind w:firstLine="482" w:firstLineChars="200"/>
              <w:rPr>
                <w:b/>
                <w:bCs/>
                <w:kern w:val="0"/>
                <w:sz w:val="24"/>
              </w:rPr>
            </w:pPr>
            <w:r>
              <w:rPr>
                <w:rFonts w:hint="eastAsia"/>
                <w:b/>
                <w:bCs/>
                <w:kern w:val="0"/>
                <w:sz w:val="24"/>
              </w:rPr>
              <w:t>运营期工艺流程</w:t>
            </w:r>
            <w:r>
              <w:rPr>
                <w:rFonts w:hint="eastAsia"/>
                <w:b/>
                <w:sz w:val="24"/>
              </w:rPr>
              <w:t>简述：</w:t>
            </w:r>
          </w:p>
          <w:p>
            <w:pPr>
              <w:adjustRightInd w:val="0"/>
              <w:snapToGrid w:val="0"/>
              <w:spacing w:line="360" w:lineRule="auto"/>
              <w:ind w:firstLine="482" w:firstLineChars="200"/>
              <w:rPr>
                <w:b/>
                <w:kern w:val="0"/>
                <w:sz w:val="24"/>
              </w:rPr>
            </w:pPr>
            <w:r>
              <w:rPr>
                <w:rFonts w:hint="eastAsia"/>
                <w:b/>
                <w:kern w:val="0"/>
                <w:sz w:val="24"/>
              </w:rPr>
              <w:t>1、水基清洗剂和切削液的调和工艺：</w:t>
            </w:r>
          </w:p>
          <w:p>
            <w:pPr>
              <w:adjustRightInd w:val="0"/>
              <w:snapToGrid w:val="0"/>
              <w:spacing w:line="360" w:lineRule="auto"/>
              <w:ind w:firstLine="480" w:firstLineChars="200"/>
              <w:rPr>
                <w:kern w:val="0"/>
                <w:sz w:val="24"/>
              </w:rPr>
            </w:pPr>
            <w:r>
              <w:rPr>
                <w:rFonts w:hint="eastAsia"/>
                <w:kern w:val="0"/>
                <w:sz w:val="24"/>
              </w:rPr>
              <w:t>（1）计量投料：首先按产品成分比例将纯水及搅拌罐内壁清洗液泵送至搅拌罐内，然后将各液态原料通过计量泵并经密闭管道输送至搅拌罐内，投料过程不断搅拌，最后将各粉料通过固体投料器投至液体中。</w:t>
            </w:r>
            <w:r>
              <w:rPr>
                <w:rStyle w:val="90"/>
                <w:rFonts w:hint="default"/>
              </w:rPr>
              <w:t>液态原料自动计量配料，粉料采用固体投料机投料，整个过程中自动化程度较高</w:t>
            </w:r>
            <w:r>
              <w:rPr>
                <w:rFonts w:hint="eastAsia"/>
                <w:kern w:val="0"/>
                <w:sz w:val="24"/>
              </w:rPr>
              <w:t>。</w:t>
            </w:r>
            <w:r>
              <w:rPr>
                <w:rStyle w:val="90"/>
                <w:rFonts w:hint="default"/>
              </w:rPr>
              <w:t>粉料在投料阶段产生少量粉尘，搅拌均匀后粉料分散于液体中，因此搅拌及后续工序无粉尘产生。该过程产生少量粉尘及臭气浓度，切削液生产中因原辅料含挥发性物料，投料过程会产生少量有机废气。</w:t>
            </w:r>
          </w:p>
          <w:p>
            <w:pPr>
              <w:adjustRightInd w:val="0"/>
              <w:snapToGrid w:val="0"/>
              <w:spacing w:line="360" w:lineRule="auto"/>
              <w:ind w:firstLine="480" w:firstLineChars="200"/>
              <w:rPr>
                <w:kern w:val="0"/>
                <w:sz w:val="24"/>
              </w:rPr>
            </w:pPr>
            <w:r>
              <w:rPr>
                <w:rFonts w:hint="eastAsia"/>
                <w:kern w:val="0"/>
                <w:sz w:val="24"/>
              </w:rPr>
              <w:t>（2）搅拌：本项目搅拌器配套混合罐对物料进行自动搅拌，搅拌过程中口加盖，保持密闭。将物料搅拌均匀，在常温常压下进行，无需加热加压，持续时间约1小时。项目搅拌生产过程为简单物理混合，无化学反应产生。该过程产生噪声、臭气浓度及有机废气。</w:t>
            </w:r>
          </w:p>
          <w:p>
            <w:pPr>
              <w:adjustRightInd w:val="0"/>
              <w:snapToGrid w:val="0"/>
              <w:spacing w:line="360" w:lineRule="auto"/>
              <w:ind w:firstLine="480" w:firstLineChars="200"/>
              <w:rPr>
                <w:kern w:val="0"/>
                <w:sz w:val="24"/>
              </w:rPr>
            </w:pPr>
            <w:r>
              <w:rPr>
                <w:rFonts w:hint="eastAsia"/>
                <w:kern w:val="0"/>
                <w:sz w:val="24"/>
              </w:rPr>
              <w:t>（3）均质：物料搅拌后进入均质机，</w:t>
            </w:r>
            <w:r>
              <w:rPr>
                <w:rFonts w:hint="eastAsia" w:ascii="宋体" w:hAnsi="宋体" w:cs="宋体"/>
                <w:color w:val="000000"/>
                <w:kern w:val="0"/>
                <w:sz w:val="24"/>
              </w:rPr>
              <w:t>使混合后的液体各处质量密度均匀，不分层。</w:t>
            </w:r>
          </w:p>
          <w:p>
            <w:pPr>
              <w:adjustRightInd w:val="0"/>
              <w:snapToGrid w:val="0"/>
              <w:spacing w:line="360" w:lineRule="auto"/>
              <w:ind w:firstLine="480" w:firstLineChars="200"/>
              <w:rPr>
                <w:kern w:val="0"/>
                <w:sz w:val="24"/>
              </w:rPr>
            </w:pPr>
            <w:r>
              <w:rPr>
                <w:rFonts w:hint="eastAsia"/>
                <w:kern w:val="0"/>
                <w:sz w:val="24"/>
              </w:rPr>
              <w:t>（4）过滤罐装：根据产品要求，部分产品需要过滤，过滤得到的粗滤物重新投入搅拌缸中搅拌。过滤后产品通过出料泵和灌装机进行分装、封盖、打包后通过叉车送进成品仓库。</w:t>
            </w:r>
          </w:p>
          <w:p>
            <w:pPr>
              <w:adjustRightInd w:val="0"/>
              <w:snapToGrid w:val="0"/>
              <w:spacing w:line="360" w:lineRule="auto"/>
              <w:ind w:firstLine="482" w:firstLineChars="200"/>
              <w:rPr>
                <w:b/>
                <w:kern w:val="0"/>
                <w:sz w:val="24"/>
              </w:rPr>
            </w:pPr>
            <w:r>
              <w:rPr>
                <w:rFonts w:hint="eastAsia"/>
                <w:b/>
                <w:kern w:val="0"/>
                <w:sz w:val="24"/>
              </w:rPr>
              <w:t>2、润滑油和碳氢清洗剂的调和工艺</w:t>
            </w:r>
          </w:p>
          <w:p>
            <w:pPr>
              <w:adjustRightInd w:val="0"/>
              <w:snapToGrid w:val="0"/>
              <w:spacing w:line="360" w:lineRule="auto"/>
              <w:ind w:firstLine="480" w:firstLineChars="200"/>
              <w:rPr>
                <w:kern w:val="0"/>
                <w:sz w:val="24"/>
              </w:rPr>
            </w:pPr>
            <w:r>
              <w:rPr>
                <w:rFonts w:hint="eastAsia"/>
                <w:kern w:val="0"/>
                <w:sz w:val="24"/>
              </w:rPr>
              <w:t>（1）管道输送、装卸入罐：项目外购基础油/烷烃由槽罐车送至厂内，通过输送管道连接，经泵将基础油/烷烃送至基础油罐；用量相对较少的其他原料，桶装货车运输进厂。</w:t>
            </w:r>
          </w:p>
          <w:p>
            <w:pPr>
              <w:adjustRightInd w:val="0"/>
              <w:snapToGrid w:val="0"/>
              <w:spacing w:line="360" w:lineRule="auto"/>
              <w:ind w:firstLine="480" w:firstLineChars="200"/>
              <w:rPr>
                <w:kern w:val="0"/>
                <w:sz w:val="24"/>
              </w:rPr>
            </w:pPr>
            <w:r>
              <w:rPr>
                <w:rFonts w:hint="eastAsia"/>
                <w:kern w:val="0"/>
                <w:sz w:val="24"/>
              </w:rPr>
              <w:t>（2）配料计量：根据产品订单，将基础油/烷烃及各种添加剂按比例进行配料计量。</w:t>
            </w:r>
          </w:p>
          <w:p>
            <w:pPr>
              <w:adjustRightInd w:val="0"/>
              <w:snapToGrid w:val="0"/>
              <w:spacing w:line="360" w:lineRule="auto"/>
              <w:ind w:firstLine="480" w:firstLineChars="200"/>
              <w:rPr>
                <w:kern w:val="0"/>
                <w:sz w:val="24"/>
              </w:rPr>
            </w:pPr>
            <w:r>
              <w:rPr>
                <w:rFonts w:hint="eastAsia"/>
                <w:kern w:val="0"/>
                <w:sz w:val="24"/>
              </w:rPr>
              <w:t>（3）调和搅拌：通过调和罐自带一体输送泵按比例向调和罐内打入基础油/烷烃和添加剂，调和罐为密闭状态，以60-90r/min速率开始搅拌，或加热到50~70℃后150-180r/min持续搅拌60~120min以产品呈现均匀透明液体状态为准。气温较高时（如夏季），常温调配即可，气温较低时（如冬季），采用电加热适当加温，便于基础油/烷烃和添加剂的混合。</w:t>
            </w:r>
          </w:p>
          <w:p>
            <w:pPr>
              <w:adjustRightInd w:val="0"/>
              <w:snapToGrid w:val="0"/>
              <w:spacing w:line="360" w:lineRule="auto"/>
              <w:ind w:firstLine="480" w:firstLineChars="200"/>
              <w:rPr>
                <w:kern w:val="0"/>
                <w:sz w:val="24"/>
              </w:rPr>
            </w:pPr>
            <w:r>
              <w:rPr>
                <w:rFonts w:hint="eastAsia"/>
                <w:kern w:val="0"/>
                <w:sz w:val="24"/>
              </w:rPr>
              <w:t>（4）均质：物料搅拌后进入均质机，</w:t>
            </w:r>
            <w:r>
              <w:rPr>
                <w:rFonts w:hint="eastAsia" w:ascii="宋体" w:hAnsi="宋体" w:cs="宋体"/>
                <w:color w:val="000000"/>
                <w:kern w:val="0"/>
                <w:sz w:val="24"/>
              </w:rPr>
              <w:t>使混合后的液体各处质量密度均匀，不分层。</w:t>
            </w:r>
          </w:p>
          <w:p>
            <w:pPr>
              <w:adjustRightInd w:val="0"/>
              <w:snapToGrid w:val="0"/>
              <w:spacing w:line="360" w:lineRule="auto"/>
              <w:ind w:firstLine="480" w:firstLineChars="200"/>
              <w:rPr>
                <w:kern w:val="0"/>
                <w:sz w:val="24"/>
              </w:rPr>
            </w:pPr>
            <w:r>
              <w:rPr>
                <w:rFonts w:hint="eastAsia"/>
                <w:kern w:val="0"/>
                <w:sz w:val="24"/>
              </w:rPr>
              <w:t>（5）过滤罐装：根据产品要求，部分产品需要过滤，过滤得到的粗滤物重新投入调和罐中搅拌。过滤后产品通过出料泵和灌装机进行分装、封盖、打包后通过叉车送进成品仓库。</w:t>
            </w:r>
          </w:p>
          <w:p>
            <w:pPr>
              <w:autoSpaceDE w:val="0"/>
              <w:autoSpaceDN w:val="0"/>
              <w:adjustRightInd w:val="0"/>
              <w:spacing w:line="360" w:lineRule="auto"/>
              <w:ind w:firstLine="482" w:firstLineChars="200"/>
              <w:outlineLvl w:val="3"/>
              <w:rPr>
                <w:rFonts w:hAnsiTheme="minorEastAsia" w:eastAsiaTheme="minorEastAsia"/>
                <w:b/>
                <w:kern w:val="0"/>
                <w:sz w:val="24"/>
              </w:rPr>
            </w:pPr>
            <w:r>
              <w:rPr>
                <w:rFonts w:hint="eastAsia" w:hAnsiTheme="minorEastAsia" w:eastAsiaTheme="minorEastAsia"/>
                <w:b/>
                <w:kern w:val="0"/>
                <w:sz w:val="24"/>
              </w:rPr>
              <w:t>3</w:t>
            </w:r>
            <w:r>
              <w:rPr>
                <w:rFonts w:hint="eastAsia" w:eastAsiaTheme="minorEastAsia"/>
                <w:b/>
                <w:kern w:val="0"/>
                <w:sz w:val="24"/>
              </w:rPr>
              <w:t>、</w:t>
            </w:r>
            <w:r>
              <w:rPr>
                <w:rFonts w:hint="eastAsia" w:hAnsiTheme="minorEastAsia" w:eastAsiaTheme="minorEastAsia"/>
                <w:b/>
                <w:kern w:val="0"/>
                <w:sz w:val="24"/>
              </w:rPr>
              <w:t>纯水制备工艺工艺流程及产污环节</w:t>
            </w:r>
          </w:p>
          <w:p>
            <w:pPr>
              <w:autoSpaceDE w:val="0"/>
              <w:autoSpaceDN w:val="0"/>
              <w:adjustRightInd w:val="0"/>
              <w:spacing w:line="360" w:lineRule="auto"/>
              <w:ind w:firstLine="480" w:firstLineChars="200"/>
              <w:rPr>
                <w:rFonts w:eastAsiaTheme="minorEastAsia"/>
                <w:bCs/>
                <w:kern w:val="0"/>
                <w:sz w:val="24"/>
              </w:rPr>
            </w:pPr>
            <w:r>
              <w:rPr>
                <w:rFonts w:hint="eastAsia" w:eastAsiaTheme="minorEastAsia"/>
                <w:bCs/>
                <w:kern w:val="0"/>
                <w:sz w:val="24"/>
              </w:rPr>
              <w:t>纯水制备工艺流程见图2-11。</w:t>
            </w:r>
          </w:p>
          <w:p>
            <w:pPr>
              <w:pStyle w:val="2"/>
            </w:pPr>
          </w:p>
          <w:p>
            <w:pPr>
              <w:pStyle w:val="4"/>
            </w:pPr>
          </w:p>
          <w:p/>
          <w:p>
            <w:pPr>
              <w:pStyle w:val="2"/>
            </w:pPr>
          </w:p>
          <w:p>
            <w:pPr>
              <w:pStyle w:val="4"/>
            </w:pPr>
          </w:p>
          <w:p/>
          <w:p>
            <w:pPr>
              <w:pStyle w:val="2"/>
            </w:pPr>
          </w:p>
          <w:p>
            <w:pPr>
              <w:pStyle w:val="12"/>
              <w:adjustRightInd w:val="0"/>
              <w:snapToGrid w:val="0"/>
              <w:ind w:firstLine="0"/>
              <w:jc w:val="center"/>
            </w:pPr>
            <w:r>
              <w:pict>
                <v:shape id="_x0000_s1042" o:spid="_x0000_s1042" o:spt="202" type="#_x0000_t202" style="position:absolute;left:0pt;margin-left:157.9pt;margin-top:227.95pt;height:24.4pt;width:74.3pt;z-index:251661312;mso-width-relative:page;mso-height-relative:page;" stroked="f" coordsize="21600,21600">
                  <v:path/>
                  <v:fill focussize="0,0"/>
                  <v:stroke on="f" joinstyle="miter"/>
                  <v:imagedata o:title=""/>
                  <o:lock v:ext="edit"/>
                  <v:textbox>
                    <w:txbxContent>
                      <w:p>
                        <w:pPr>
                          <w:ind w:firstLine="210" w:firstLineChars="100"/>
                          <w:rPr>
                            <w:rFonts w:ascii="华文宋体" w:hAnsi="华文宋体" w:eastAsia="华文宋体"/>
                            <w:b/>
                          </w:rPr>
                        </w:pPr>
                        <w:r>
                          <w:rPr>
                            <w:rFonts w:ascii="华文宋体" w:hAnsi="华文宋体" w:eastAsia="华文宋体"/>
                            <w:b/>
                          </w:rPr>
                          <w:t>纯水</w:t>
                        </w:r>
                      </w:p>
                    </w:txbxContent>
                  </v:textbox>
                </v:shape>
              </w:pict>
            </w:r>
            <w:r>
              <w:drawing>
                <wp:inline distT="0" distB="0" distL="114300" distR="114300">
                  <wp:extent cx="3586480" cy="3188970"/>
                  <wp:effectExtent l="0" t="0" r="762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srcRect l="-142" t="3237"/>
                          <a:stretch>
                            <a:fillRect/>
                          </a:stretch>
                        </pic:blipFill>
                        <pic:spPr>
                          <a:xfrm>
                            <a:off x="0" y="0"/>
                            <a:ext cx="3586480" cy="3188970"/>
                          </a:xfrm>
                          <a:prstGeom prst="rect">
                            <a:avLst/>
                          </a:prstGeom>
                          <a:noFill/>
                          <a:ln>
                            <a:noFill/>
                          </a:ln>
                        </pic:spPr>
                      </pic:pic>
                    </a:graphicData>
                  </a:graphic>
                </wp:inline>
              </w:drawing>
            </w:r>
          </w:p>
          <w:p>
            <w:pPr>
              <w:spacing w:afterLines="50"/>
              <w:jc w:val="center"/>
              <w:rPr>
                <w:rFonts w:hAnsiTheme="minorEastAsia"/>
                <w:b/>
                <w:szCs w:val="21"/>
              </w:rPr>
            </w:pPr>
            <w:r>
              <w:rPr>
                <w:rFonts w:hint="eastAsia" w:hAnsiTheme="minorEastAsia"/>
                <w:b/>
                <w:szCs w:val="21"/>
              </w:rPr>
              <w:t>图2-5  纯水制备工艺工艺流程及产污环节图</w:t>
            </w:r>
          </w:p>
          <w:p>
            <w:pPr>
              <w:autoSpaceDE w:val="0"/>
              <w:autoSpaceDN w:val="0"/>
              <w:adjustRightInd w:val="0"/>
              <w:spacing w:line="360" w:lineRule="auto"/>
              <w:ind w:firstLine="482" w:firstLineChars="200"/>
              <w:rPr>
                <w:rFonts w:eastAsiaTheme="minorEastAsia"/>
                <w:b/>
                <w:bCs/>
                <w:sz w:val="24"/>
              </w:rPr>
            </w:pPr>
            <w:r>
              <w:rPr>
                <w:rFonts w:hint="eastAsia" w:eastAsiaTheme="minorEastAsia"/>
                <w:b/>
                <w:bCs/>
                <w:sz w:val="24"/>
              </w:rPr>
              <w:t>工艺说明：</w:t>
            </w:r>
          </w:p>
          <w:p>
            <w:pPr>
              <w:autoSpaceDE w:val="0"/>
              <w:autoSpaceDN w:val="0"/>
              <w:adjustRightInd w:val="0"/>
              <w:spacing w:line="360" w:lineRule="auto"/>
              <w:ind w:firstLine="480" w:firstLineChars="200"/>
              <w:rPr>
                <w:rFonts w:eastAsiaTheme="minorEastAsia"/>
                <w:sz w:val="24"/>
              </w:rPr>
            </w:pPr>
            <w:r>
              <w:rPr>
                <w:rFonts w:hint="eastAsia" w:eastAsiaTheme="minorEastAsia"/>
                <w:sz w:val="24"/>
              </w:rPr>
              <w:t>（1）石英砂过滤：石英砂过滤器主要是去除水中的悬浮物和胶体，使水中大部分颗粒和胶体在通过石英砂滤层时截留而去除。砂滤器产生反冲洗水。</w:t>
            </w:r>
          </w:p>
          <w:p>
            <w:pPr>
              <w:autoSpaceDE w:val="0"/>
              <w:autoSpaceDN w:val="0"/>
              <w:adjustRightInd w:val="0"/>
              <w:spacing w:line="360" w:lineRule="auto"/>
              <w:ind w:firstLine="480" w:firstLineChars="200"/>
              <w:rPr>
                <w:rFonts w:eastAsiaTheme="minorEastAsia"/>
                <w:sz w:val="24"/>
              </w:rPr>
            </w:pPr>
            <w:r>
              <w:rPr>
                <w:rFonts w:hint="eastAsia" w:eastAsiaTheme="minorEastAsia"/>
                <w:sz w:val="24"/>
              </w:rPr>
              <w:t>（2）活性炭过滤：去掉大颗粒杂质的水再经过活性炭过滤器，主要用于去除水中有机物，胶体硅，余氯（Cl</w:t>
            </w:r>
            <w:r>
              <w:rPr>
                <w:rFonts w:hint="eastAsia" w:eastAsiaTheme="minorEastAsia"/>
                <w:sz w:val="24"/>
                <w:vertAlign w:val="subscript"/>
              </w:rPr>
              <w:t>2</w:t>
            </w:r>
            <w:r>
              <w:rPr>
                <w:rFonts w:hint="eastAsia" w:eastAsiaTheme="minorEastAsia"/>
                <w:sz w:val="24"/>
              </w:rPr>
              <w:t>）等，对臭味，色度，重金属离子的吸附能力很强。活性炭过滤器产生反冲洗废水。</w:t>
            </w:r>
          </w:p>
          <w:p>
            <w:pPr>
              <w:autoSpaceDE w:val="0"/>
              <w:autoSpaceDN w:val="0"/>
              <w:adjustRightInd w:val="0"/>
              <w:spacing w:line="360" w:lineRule="auto"/>
              <w:ind w:firstLine="480" w:firstLineChars="200"/>
              <w:rPr>
                <w:rFonts w:eastAsiaTheme="minorEastAsia"/>
                <w:sz w:val="24"/>
              </w:rPr>
            </w:pPr>
            <w:r>
              <w:rPr>
                <w:rFonts w:hint="eastAsia" w:eastAsiaTheme="minorEastAsia"/>
                <w:sz w:val="24"/>
              </w:rPr>
              <w:t>（3）保安过滤：利用PP滤芯5</w:t>
            </w:r>
            <w:r>
              <w:rPr>
                <w:rFonts w:eastAsiaTheme="minorEastAsia"/>
                <w:sz w:val="24"/>
              </w:rPr>
              <w:t>μ</w:t>
            </w:r>
            <w:r>
              <w:rPr>
                <w:rFonts w:hint="eastAsia" w:eastAsiaTheme="minorEastAsia"/>
                <w:sz w:val="24"/>
              </w:rPr>
              <w:t>m的孔隙进行机械过滤。水中残存的微量悬浮颗粒、胶体、微生物等，被截留或吸附在滤芯表面和孔隙中。保安过滤产生反冲洗废水。</w:t>
            </w:r>
          </w:p>
          <w:p>
            <w:pPr>
              <w:autoSpaceDE w:val="0"/>
              <w:autoSpaceDN w:val="0"/>
              <w:adjustRightInd w:val="0"/>
              <w:spacing w:line="360" w:lineRule="auto"/>
              <w:ind w:firstLine="480" w:firstLineChars="200"/>
              <w:rPr>
                <w:rFonts w:eastAsiaTheme="minorEastAsia"/>
                <w:sz w:val="24"/>
              </w:rPr>
            </w:pPr>
            <w:r>
              <w:rPr>
                <w:rFonts w:hint="eastAsia" w:eastAsiaTheme="minorEastAsia"/>
                <w:sz w:val="24"/>
              </w:rPr>
              <w:t>（4）反渗透：反渗透原理是运用水压，使水由较高浓度的一方渗透至较低浓度之一方，此时在较高浓度的所有细菌及不纯杂物、可溶性固体物和对人体有害的物质均不能渗入高精密的反渗透膜，从而达到纯净水的目的。反渗透系统产生反冲洗废水、反渗透浓水和废反渗透膜。</w:t>
            </w:r>
          </w:p>
          <w:p>
            <w:pPr>
              <w:autoSpaceDE w:val="0"/>
              <w:autoSpaceDN w:val="0"/>
              <w:adjustRightInd w:val="0"/>
              <w:spacing w:line="360" w:lineRule="auto"/>
              <w:ind w:firstLine="480" w:firstLineChars="200"/>
              <w:rPr>
                <w:rFonts w:eastAsiaTheme="minorEastAsia"/>
                <w:sz w:val="24"/>
              </w:rPr>
            </w:pPr>
            <w:r>
              <w:rPr>
                <w:rFonts w:hint="eastAsia" w:eastAsiaTheme="minorEastAsia"/>
                <w:sz w:val="24"/>
              </w:rPr>
              <w:t>（5）离子交换：可以把水中呈离子态的阳、阴离子去除，以氯化钠（NaCl）代表水中无机盐类，水质除盐的基本反应可以用下列方程式表达：</w:t>
            </w:r>
          </w:p>
          <w:p>
            <w:pPr>
              <w:autoSpaceDE w:val="0"/>
              <w:autoSpaceDN w:val="0"/>
              <w:adjustRightInd w:val="0"/>
              <w:spacing w:line="360" w:lineRule="auto"/>
              <w:jc w:val="center"/>
              <w:rPr>
                <w:rFonts w:eastAsiaTheme="minorEastAsia"/>
                <w:sz w:val="24"/>
                <w:vertAlign w:val="superscript"/>
              </w:rPr>
            </w:pPr>
            <w:r>
              <w:rPr>
                <w:rFonts w:hint="eastAsia" w:eastAsiaTheme="minorEastAsia"/>
                <w:sz w:val="24"/>
              </w:rPr>
              <w:t>阳离子交换树脂：RH+Na</w:t>
            </w:r>
            <w:r>
              <w:rPr>
                <w:rFonts w:hint="eastAsia" w:eastAsiaTheme="minorEastAsia"/>
                <w:sz w:val="24"/>
                <w:vertAlign w:val="superscript"/>
              </w:rPr>
              <w:t>+</w:t>
            </w:r>
            <w:r>
              <w:rPr>
                <w:rFonts w:hint="eastAsia" w:eastAsiaTheme="minorEastAsia"/>
                <w:sz w:val="24"/>
              </w:rPr>
              <w:t>——RNa+H</w:t>
            </w:r>
            <w:r>
              <w:rPr>
                <w:rFonts w:hint="eastAsia" w:eastAsiaTheme="minorEastAsia"/>
                <w:sz w:val="24"/>
                <w:vertAlign w:val="superscript"/>
              </w:rPr>
              <w:t>+</w:t>
            </w:r>
          </w:p>
          <w:p>
            <w:pPr>
              <w:autoSpaceDE w:val="0"/>
              <w:autoSpaceDN w:val="0"/>
              <w:adjustRightInd w:val="0"/>
              <w:spacing w:line="360" w:lineRule="auto"/>
              <w:jc w:val="center"/>
              <w:rPr>
                <w:rFonts w:eastAsiaTheme="minorEastAsia"/>
                <w:sz w:val="24"/>
                <w:vertAlign w:val="superscript"/>
              </w:rPr>
            </w:pPr>
            <w:r>
              <w:rPr>
                <w:rFonts w:hint="eastAsia" w:eastAsiaTheme="minorEastAsia"/>
                <w:sz w:val="24"/>
              </w:rPr>
              <w:t>阴离子交换树脂：ROH+Cl</w:t>
            </w:r>
            <w:r>
              <w:rPr>
                <w:rFonts w:hint="eastAsia" w:eastAsiaTheme="minorEastAsia"/>
                <w:sz w:val="24"/>
                <w:vertAlign w:val="superscript"/>
              </w:rPr>
              <w:t>-</w:t>
            </w:r>
            <w:r>
              <w:rPr>
                <w:rFonts w:hint="eastAsia" w:eastAsiaTheme="minorEastAsia"/>
                <w:sz w:val="24"/>
              </w:rPr>
              <w:t>——RCl+OH</w:t>
            </w:r>
            <w:r>
              <w:rPr>
                <w:rFonts w:hint="eastAsia" w:eastAsiaTheme="minorEastAsia"/>
                <w:sz w:val="24"/>
                <w:vertAlign w:val="superscript"/>
              </w:rPr>
              <w:t>-</w:t>
            </w:r>
          </w:p>
          <w:p>
            <w:pPr>
              <w:autoSpaceDE w:val="0"/>
              <w:autoSpaceDN w:val="0"/>
              <w:adjustRightInd w:val="0"/>
              <w:spacing w:line="360" w:lineRule="auto"/>
              <w:ind w:firstLine="480" w:firstLineChars="200"/>
              <w:rPr>
                <w:rFonts w:eastAsiaTheme="minorEastAsia"/>
                <w:sz w:val="24"/>
              </w:rPr>
            </w:pPr>
            <w:r>
              <w:rPr>
                <w:rFonts w:hint="eastAsia" w:eastAsiaTheme="minorEastAsia"/>
                <w:sz w:val="24"/>
              </w:rPr>
              <w:t>阳、阴离子交换树脂总的反应式即可写成：</w:t>
            </w:r>
          </w:p>
          <w:p>
            <w:pPr>
              <w:autoSpaceDE w:val="0"/>
              <w:autoSpaceDN w:val="0"/>
              <w:adjustRightInd w:val="0"/>
              <w:spacing w:line="360" w:lineRule="auto"/>
              <w:jc w:val="center"/>
              <w:rPr>
                <w:rFonts w:eastAsiaTheme="minorEastAsia"/>
                <w:sz w:val="24"/>
              </w:rPr>
            </w:pPr>
            <w:r>
              <w:rPr>
                <w:rFonts w:hint="eastAsia" w:eastAsiaTheme="minorEastAsia"/>
                <w:sz w:val="24"/>
              </w:rPr>
              <w:t>RH+ROH+NaCl——RNa+RCl+H</w:t>
            </w:r>
            <w:r>
              <w:rPr>
                <w:rFonts w:hint="eastAsia" w:eastAsiaTheme="minorEastAsia"/>
                <w:sz w:val="24"/>
                <w:vertAlign w:val="subscript"/>
              </w:rPr>
              <w:t>2</w:t>
            </w:r>
            <w:r>
              <w:rPr>
                <w:rFonts w:hint="eastAsia" w:eastAsiaTheme="minorEastAsia"/>
                <w:sz w:val="24"/>
              </w:rPr>
              <w:t>O</w:t>
            </w:r>
          </w:p>
          <w:p>
            <w:pPr>
              <w:autoSpaceDE w:val="0"/>
              <w:autoSpaceDN w:val="0"/>
              <w:adjustRightInd w:val="0"/>
              <w:spacing w:line="360" w:lineRule="auto"/>
              <w:ind w:firstLine="480" w:firstLineChars="200"/>
              <w:rPr>
                <w:rFonts w:eastAsiaTheme="minorEastAsia"/>
                <w:sz w:val="24"/>
              </w:rPr>
            </w:pPr>
            <w:r>
              <w:rPr>
                <w:rFonts w:hint="eastAsia" w:eastAsiaTheme="minorEastAsia"/>
                <w:sz w:val="24"/>
              </w:rPr>
              <w:t>由此可看出，水中的NaCl已分别被树脂上的H</w:t>
            </w:r>
            <w:r>
              <w:rPr>
                <w:rFonts w:hint="eastAsia" w:eastAsiaTheme="minorEastAsia"/>
                <w:sz w:val="24"/>
                <w:vertAlign w:val="superscript"/>
              </w:rPr>
              <w:t>+</w:t>
            </w:r>
            <w:r>
              <w:rPr>
                <w:rFonts w:hint="eastAsia" w:eastAsiaTheme="minorEastAsia"/>
                <w:sz w:val="24"/>
              </w:rPr>
              <w:t>和OH</w:t>
            </w:r>
            <w:r>
              <w:rPr>
                <w:rFonts w:hint="eastAsia" w:eastAsiaTheme="minorEastAsia"/>
                <w:sz w:val="24"/>
                <w:vertAlign w:val="superscript"/>
              </w:rPr>
              <w:t>-</w:t>
            </w:r>
            <w:r>
              <w:rPr>
                <w:rFonts w:hint="eastAsia" w:eastAsiaTheme="minorEastAsia"/>
                <w:sz w:val="24"/>
              </w:rPr>
              <w:t>所取代，而反应生成物只有H</w:t>
            </w:r>
            <w:r>
              <w:rPr>
                <w:rFonts w:hint="eastAsia" w:eastAsiaTheme="minorEastAsia"/>
                <w:sz w:val="24"/>
                <w:vertAlign w:val="subscript"/>
              </w:rPr>
              <w:t>2</w:t>
            </w:r>
            <w:r>
              <w:rPr>
                <w:rFonts w:hint="eastAsia" w:eastAsiaTheme="minorEastAsia"/>
                <w:sz w:val="24"/>
              </w:rPr>
              <w:t>O，故达到了去除水中盐的作用。</w:t>
            </w:r>
          </w:p>
          <w:p>
            <w:pPr>
              <w:autoSpaceDE w:val="0"/>
              <w:autoSpaceDN w:val="0"/>
              <w:adjustRightInd w:val="0"/>
              <w:spacing w:line="360" w:lineRule="auto"/>
              <w:ind w:firstLine="480" w:firstLineChars="200"/>
              <w:rPr>
                <w:rFonts w:eastAsiaTheme="minorEastAsia"/>
                <w:sz w:val="24"/>
              </w:rPr>
            </w:pPr>
            <w:r>
              <w:rPr>
                <w:rFonts w:hint="eastAsia" w:eastAsiaTheme="minorEastAsia"/>
                <w:sz w:val="24"/>
              </w:rPr>
              <w:t>（6）离子交换树脂再生：本项目纯水机的离子交换系统采用EDI系统，EDI采用的是连续电除盐技术，是将电渗析技术和离子交换技术融为一体，EDI模块将夹在离子交换树脂阴/阳离子交换膜之间，EDI模块中将一定数量的EDI单元用格板隔开，形成浓水室和淡水室，又在单元组两端设置阴/阳电极。在直流电的推动下，水流通过淡水室，水流的阴阳离子分别穿过阴阳离子交换膜进入到浓水室。通过浓水室的水将水流中的阴阳离子带出系统，形成浓水。设备中的离子交换树脂不需要经酸碱液冲洗再生，在水电解过程产生的H</w:t>
            </w:r>
            <w:r>
              <w:rPr>
                <w:rFonts w:hint="eastAsia" w:eastAsiaTheme="minorEastAsia"/>
                <w:sz w:val="24"/>
                <w:vertAlign w:val="superscript"/>
              </w:rPr>
              <w:t>＋</w:t>
            </w:r>
            <w:r>
              <w:rPr>
                <w:rFonts w:hint="eastAsia" w:eastAsiaTheme="minorEastAsia"/>
                <w:sz w:val="24"/>
              </w:rPr>
              <w:t>及OH</w:t>
            </w:r>
            <w:r>
              <w:rPr>
                <w:rFonts w:hint="eastAsia" w:eastAsiaTheme="minorEastAsia"/>
                <w:sz w:val="24"/>
                <w:vertAlign w:val="superscript"/>
              </w:rPr>
              <w:t>－</w:t>
            </w:r>
            <w:r>
              <w:rPr>
                <w:rFonts w:hint="eastAsia" w:eastAsiaTheme="minorEastAsia"/>
                <w:sz w:val="24"/>
              </w:rPr>
              <w:t>装填树脂进行连续再生。</w:t>
            </w:r>
          </w:p>
          <w:p>
            <w:pPr>
              <w:autoSpaceDE w:val="0"/>
              <w:autoSpaceDN w:val="0"/>
              <w:adjustRightInd w:val="0"/>
              <w:spacing w:line="360" w:lineRule="auto"/>
              <w:ind w:firstLine="480" w:firstLineChars="200"/>
            </w:pPr>
            <w:r>
              <w:rPr>
                <w:rFonts w:hint="eastAsia" w:eastAsiaTheme="minorEastAsia"/>
                <w:sz w:val="24"/>
              </w:rPr>
              <w:t>（7）精密过滤：为5</w:t>
            </w:r>
            <w:r>
              <w:rPr>
                <w:rFonts w:eastAsiaTheme="minorEastAsia"/>
                <w:sz w:val="24"/>
              </w:rPr>
              <w:t>μ</w:t>
            </w:r>
            <w:r>
              <w:rPr>
                <w:rFonts w:hint="eastAsia" w:eastAsiaTheme="minorEastAsia"/>
                <w:sz w:val="24"/>
              </w:rPr>
              <w:t>m微滤器，截留水中粒径大于5</w:t>
            </w:r>
            <w:r>
              <w:rPr>
                <w:rFonts w:eastAsiaTheme="minorEastAsia"/>
                <w:sz w:val="24"/>
              </w:rPr>
              <w:t>μ</w:t>
            </w:r>
            <w:r>
              <w:rPr>
                <w:rFonts w:hint="eastAsia" w:eastAsiaTheme="minorEastAsia"/>
                <w:sz w:val="24"/>
              </w:rPr>
              <w:t>m的微小颗粒。精密过滤器产生反冲洗废水、废滤芯。经过以上处理后，最终出水即为纯水。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1" w:type="dxa"/>
            <w:vAlign w:val="center"/>
          </w:tcPr>
          <w:p>
            <w:pPr>
              <w:adjustRightInd w:val="0"/>
              <w:snapToGrid w:val="0"/>
              <w:jc w:val="center"/>
              <w:rPr>
                <w:rFonts w:eastAsiaTheme="minorEastAsia"/>
                <w:sz w:val="24"/>
              </w:rPr>
            </w:pPr>
            <w:r>
              <w:rPr>
                <w:rFonts w:hint="eastAsia" w:ascii="宋体" w:hAnsi="宋体" w:cs="宋体"/>
                <w:b/>
                <w:kern w:val="0"/>
                <w:sz w:val="24"/>
              </w:rPr>
              <w:t>与项目有关的原有环境污染问题</w:t>
            </w:r>
          </w:p>
        </w:tc>
        <w:tc>
          <w:tcPr>
            <w:tcW w:w="9525" w:type="dxa"/>
          </w:tcPr>
          <w:p>
            <w:pPr>
              <w:autoSpaceDE w:val="0"/>
              <w:autoSpaceDN w:val="0"/>
              <w:adjustRightInd w:val="0"/>
              <w:spacing w:line="360" w:lineRule="auto"/>
              <w:ind w:firstLine="480" w:firstLineChars="200"/>
              <w:rPr>
                <w:rFonts w:eastAsiaTheme="minorEastAsia"/>
                <w:sz w:val="24"/>
              </w:rPr>
            </w:pPr>
            <w:r>
              <w:rPr>
                <w:rFonts w:hint="eastAsia" w:eastAsiaTheme="minorEastAsia"/>
                <w:sz w:val="24"/>
              </w:rPr>
              <w:t>项目位于</w:t>
            </w:r>
            <w:r>
              <w:rPr>
                <w:sz w:val="24"/>
              </w:rPr>
              <w:t>衡山高新技术产业开发区，本</w:t>
            </w:r>
            <w:r>
              <w:rPr>
                <w:rFonts w:hint="eastAsia" w:eastAsiaTheme="minorEastAsia"/>
                <w:sz w:val="24"/>
              </w:rPr>
              <w:t>项目为新建项目，自购工业用地新建工业厂房</w:t>
            </w:r>
            <w:r>
              <w:rPr>
                <w:rFonts w:eastAsiaTheme="minorEastAsia"/>
                <w:sz w:val="24"/>
              </w:rPr>
              <w:t>，不存在与项目有关的原有环境污染问题</w:t>
            </w:r>
            <w:r>
              <w:rPr>
                <w:rFonts w:hint="eastAsia" w:eastAsiaTheme="minorEastAsia"/>
                <w:sz w:val="24"/>
              </w:rPr>
              <w:t>。</w:t>
            </w:r>
          </w:p>
          <w:p>
            <w:pPr>
              <w:pStyle w:val="2"/>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tc>
      </w:tr>
    </w:tbl>
    <w:p>
      <w:pPr>
        <w:pStyle w:val="28"/>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28"/>
        <w:adjustRightInd w:val="0"/>
        <w:snapToGrid w:val="0"/>
        <w:spacing w:before="0" w:beforeAutospacing="0" w:after="0" w:afterAutospacing="0" w:line="14" w:lineRule="auto"/>
        <w:jc w:val="center"/>
        <w:outlineLvl w:val="0"/>
        <w:rPr>
          <w:rFonts w:ascii="黑体" w:hAnsi="黑体" w:eastAsia="黑体"/>
          <w:snapToGrid w:val="0"/>
          <w:sz w:val="30"/>
          <w:szCs w:val="30"/>
        </w:rPr>
      </w:pPr>
    </w:p>
    <w:p>
      <w:pPr>
        <w:pStyle w:val="28"/>
        <w:jc w:val="center"/>
        <w:outlineLvl w:val="0"/>
        <w:rPr>
          <w:rFonts w:ascii="黑体" w:hAnsi="黑体" w:eastAsia="黑体"/>
          <w:snapToGrid w:val="0"/>
          <w:sz w:val="30"/>
          <w:szCs w:val="30"/>
        </w:rPr>
      </w:pPr>
      <w:bookmarkStart w:id="9" w:name="_Toc111712328"/>
      <w:r>
        <w:rPr>
          <w:rFonts w:hint="eastAsia" w:ascii="黑体" w:hAnsi="黑体" w:eastAsia="黑体"/>
          <w:snapToGrid w:val="0"/>
          <w:sz w:val="30"/>
          <w:szCs w:val="30"/>
        </w:rPr>
        <w:t>三、区域环境质量现状、环境保护目标及评价标准</w:t>
      </w:r>
      <w:bookmarkEnd w:id="9"/>
    </w:p>
    <w:tbl>
      <w:tblPr>
        <w:tblStyle w:val="31"/>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6"/>
        <w:gridCol w:w="96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pPr>
              <w:adjustRightInd w:val="0"/>
              <w:snapToGrid w:val="0"/>
              <w:jc w:val="center"/>
              <w:rPr>
                <w:rFonts w:ascii="宋体" w:hAnsi="宋体" w:cs="宋体"/>
                <w:b/>
                <w:kern w:val="0"/>
                <w:sz w:val="24"/>
              </w:rPr>
            </w:pPr>
            <w:r>
              <w:rPr>
                <w:rFonts w:hint="eastAsia" w:ascii="宋体" w:hAnsi="宋体" w:cs="宋体"/>
                <w:b/>
                <w:kern w:val="0"/>
                <w:sz w:val="24"/>
              </w:rPr>
              <w:t>区域</w:t>
            </w:r>
          </w:p>
          <w:p>
            <w:pPr>
              <w:adjustRightInd w:val="0"/>
              <w:snapToGrid w:val="0"/>
              <w:jc w:val="center"/>
              <w:rPr>
                <w:rFonts w:ascii="宋体" w:hAnsi="宋体" w:cs="宋体"/>
                <w:b/>
                <w:kern w:val="0"/>
                <w:sz w:val="24"/>
              </w:rPr>
            </w:pPr>
            <w:r>
              <w:rPr>
                <w:rFonts w:hint="eastAsia" w:ascii="宋体" w:hAnsi="宋体" w:cs="宋体"/>
                <w:b/>
                <w:kern w:val="0"/>
                <w:sz w:val="24"/>
              </w:rPr>
              <w:t>环境</w:t>
            </w:r>
          </w:p>
          <w:p>
            <w:pPr>
              <w:adjustRightInd w:val="0"/>
              <w:snapToGrid w:val="0"/>
              <w:jc w:val="center"/>
              <w:rPr>
                <w:rFonts w:ascii="宋体" w:hAnsi="宋体" w:cs="宋体"/>
                <w:b/>
                <w:kern w:val="0"/>
                <w:sz w:val="24"/>
              </w:rPr>
            </w:pPr>
            <w:r>
              <w:rPr>
                <w:rFonts w:hint="eastAsia" w:ascii="宋体" w:hAnsi="宋体" w:cs="宋体"/>
                <w:b/>
                <w:kern w:val="0"/>
                <w:sz w:val="24"/>
              </w:rPr>
              <w:t>质量</w:t>
            </w:r>
          </w:p>
          <w:p>
            <w:pPr>
              <w:adjustRightInd w:val="0"/>
              <w:snapToGrid w:val="0"/>
              <w:jc w:val="center"/>
              <w:rPr>
                <w:rFonts w:ascii="宋体" w:hAnsi="宋体" w:cs="宋体"/>
                <w:b/>
                <w:kern w:val="0"/>
                <w:sz w:val="24"/>
              </w:rPr>
            </w:pPr>
            <w:r>
              <w:rPr>
                <w:rFonts w:hint="eastAsia" w:ascii="宋体" w:hAnsi="宋体" w:cs="宋体"/>
                <w:b/>
                <w:kern w:val="0"/>
                <w:sz w:val="24"/>
              </w:rPr>
              <w:t>现状</w:t>
            </w:r>
          </w:p>
        </w:tc>
        <w:tc>
          <w:tcPr>
            <w:tcW w:w="4718" w:type="pct"/>
            <w:vAlign w:val="center"/>
          </w:tcPr>
          <w:p>
            <w:pPr>
              <w:adjustRightInd w:val="0"/>
              <w:snapToGrid w:val="0"/>
              <w:spacing w:line="360" w:lineRule="auto"/>
              <w:ind w:firstLine="482" w:firstLineChars="200"/>
              <w:rPr>
                <w:b/>
                <w:sz w:val="24"/>
              </w:rPr>
            </w:pPr>
            <w:r>
              <w:rPr>
                <w:b/>
                <w:sz w:val="24"/>
              </w:rPr>
              <w:t>一、环境空气质量现状</w:t>
            </w:r>
          </w:p>
          <w:p>
            <w:pPr>
              <w:spacing w:line="360" w:lineRule="auto"/>
              <w:ind w:firstLine="482" w:firstLineChars="200"/>
              <w:jc w:val="left"/>
              <w:rPr>
                <w:b/>
                <w:sz w:val="24"/>
              </w:rPr>
            </w:pPr>
            <w:r>
              <w:rPr>
                <w:rFonts w:hint="eastAsia"/>
                <w:b/>
                <w:sz w:val="24"/>
              </w:rPr>
              <w:t>1、区域环境质量</w:t>
            </w:r>
          </w:p>
          <w:p>
            <w:pPr>
              <w:tabs>
                <w:tab w:val="left" w:pos="3544"/>
              </w:tabs>
              <w:adjustRightInd w:val="0"/>
              <w:snapToGrid w:val="0"/>
              <w:spacing w:line="360" w:lineRule="auto"/>
              <w:ind w:firstLine="480" w:firstLineChars="200"/>
              <w:rPr>
                <w:b/>
                <w:bCs/>
                <w:sz w:val="24"/>
              </w:rPr>
            </w:pPr>
            <w:r>
              <w:rPr>
                <w:sz w:val="24"/>
              </w:rPr>
              <w:t>根据《环境影响评价技术导则</w:t>
            </w:r>
            <w:r>
              <w:rPr>
                <w:rFonts w:hint="eastAsia"/>
                <w:sz w:val="24"/>
              </w:rPr>
              <w:t xml:space="preserve">  </w:t>
            </w:r>
            <w:r>
              <w:rPr>
                <w:sz w:val="24"/>
              </w:rPr>
              <w:t>大气环境》（HJ2.2-2018）6.2.1基本污染物环境质量现状数据</w:t>
            </w:r>
            <w:r>
              <w:rPr>
                <w:rFonts w:hint="eastAsia" w:ascii="宋体" w:hAnsi="宋体"/>
                <w:sz w:val="24"/>
              </w:rPr>
              <w:t>“</w:t>
            </w:r>
            <w:r>
              <w:rPr>
                <w:sz w:val="24"/>
              </w:rPr>
              <w:t>采用评价范围内国家或地方环境空气质量监测网中评价基准年连续1年的监测数据，或采用生态环境主管部门公开发布的环境空气质量现状数据</w:t>
            </w:r>
            <w:r>
              <w:rPr>
                <w:rFonts w:hint="eastAsia" w:ascii="宋体" w:hAnsi="宋体"/>
                <w:sz w:val="24"/>
              </w:rPr>
              <w:t>”</w:t>
            </w:r>
            <w:r>
              <w:rPr>
                <w:sz w:val="24"/>
              </w:rPr>
              <w:t>的规定；引用的数据为近3年的数据，满足引用要求。故本次评价收集了项目评价范围内有环境质量标准的评价因子的环境质量监测数据，选取20</w:t>
            </w:r>
            <w:r>
              <w:rPr>
                <w:rFonts w:hint="eastAsia"/>
                <w:sz w:val="24"/>
              </w:rPr>
              <w:t>23</w:t>
            </w:r>
            <w:r>
              <w:rPr>
                <w:sz w:val="24"/>
              </w:rPr>
              <w:t>年为本评价的基准年，根据</w:t>
            </w:r>
            <w:r>
              <w:rPr>
                <w:rFonts w:hint="eastAsia" w:hAnsi="宋体"/>
                <w:kern w:val="0"/>
                <w:sz w:val="24"/>
              </w:rPr>
              <w:t>衡阳市生态环境局《关于2023年12月份及1~12月份全市环境质量状况的通报》</w:t>
            </w:r>
            <w:r>
              <w:rPr>
                <w:sz w:val="24"/>
              </w:rPr>
              <w:t>中相关数据进行判定，其判定结果如下。</w:t>
            </w:r>
          </w:p>
          <w:p>
            <w:pPr>
              <w:autoSpaceDE w:val="0"/>
              <w:autoSpaceDN w:val="0"/>
              <w:adjustRightInd w:val="0"/>
              <w:spacing w:beforeLines="50"/>
              <w:jc w:val="center"/>
              <w:rPr>
                <w:b/>
                <w:kern w:val="0"/>
                <w:szCs w:val="21"/>
              </w:rPr>
            </w:pPr>
            <w:bookmarkStart w:id="10" w:name="_Ref528415780"/>
            <w:r>
              <w:rPr>
                <w:b/>
                <w:kern w:val="0"/>
                <w:szCs w:val="21"/>
              </w:rPr>
              <w:t>表</w:t>
            </w:r>
            <w:bookmarkEnd w:id="10"/>
            <w:r>
              <w:rPr>
                <w:rFonts w:hint="eastAsia"/>
                <w:b/>
                <w:kern w:val="0"/>
                <w:szCs w:val="21"/>
              </w:rPr>
              <w:t>3</w:t>
            </w:r>
            <w:r>
              <w:rPr>
                <w:b/>
                <w:kern w:val="0"/>
                <w:szCs w:val="21"/>
              </w:rPr>
              <w:t>-1  区域空气质量现状评价表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1"/>
              <w:gridCol w:w="2973"/>
              <w:gridCol w:w="2099"/>
              <w:gridCol w:w="1924"/>
              <w:gridCol w:w="13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12" w:space="0"/>
                    <w:left w:val="single" w:color="auto" w:sz="12" w:space="0"/>
                    <w:bottom w:val="single" w:color="auto" w:sz="6" w:space="0"/>
                    <w:right w:val="single" w:color="auto" w:sz="6" w:space="0"/>
                  </w:tcBorders>
                  <w:vAlign w:val="center"/>
                </w:tcPr>
                <w:p>
                  <w:pPr>
                    <w:snapToGrid w:val="0"/>
                    <w:spacing w:line="0" w:lineRule="atLeast"/>
                    <w:jc w:val="center"/>
                    <w:rPr>
                      <w:b/>
                      <w:szCs w:val="21"/>
                    </w:rPr>
                  </w:pPr>
                  <w:r>
                    <w:rPr>
                      <w:b/>
                      <w:szCs w:val="21"/>
                    </w:rPr>
                    <w:t>污染物</w:t>
                  </w:r>
                </w:p>
              </w:tc>
              <w:tc>
                <w:tcPr>
                  <w:tcW w:w="1584" w:type="pct"/>
                  <w:tcBorders>
                    <w:top w:val="single" w:color="auto" w:sz="12" w:space="0"/>
                    <w:left w:val="single" w:color="auto" w:sz="6" w:space="0"/>
                    <w:bottom w:val="single" w:color="auto" w:sz="6" w:space="0"/>
                    <w:right w:val="single" w:color="auto" w:sz="6" w:space="0"/>
                  </w:tcBorders>
                  <w:vAlign w:val="center"/>
                </w:tcPr>
                <w:p>
                  <w:pPr>
                    <w:snapToGrid w:val="0"/>
                    <w:spacing w:line="0" w:lineRule="atLeast"/>
                    <w:jc w:val="center"/>
                    <w:rPr>
                      <w:b/>
                      <w:szCs w:val="21"/>
                    </w:rPr>
                  </w:pPr>
                  <w:r>
                    <w:rPr>
                      <w:b/>
                      <w:szCs w:val="21"/>
                    </w:rPr>
                    <w:t>年评价指标</w:t>
                  </w:r>
                </w:p>
              </w:tc>
              <w:tc>
                <w:tcPr>
                  <w:tcW w:w="1118" w:type="pct"/>
                  <w:tcBorders>
                    <w:top w:val="single" w:color="auto" w:sz="12" w:space="0"/>
                    <w:left w:val="single" w:color="auto" w:sz="6" w:space="0"/>
                    <w:bottom w:val="single" w:color="auto" w:sz="6" w:space="0"/>
                    <w:right w:val="single" w:color="auto" w:sz="6" w:space="0"/>
                  </w:tcBorders>
                  <w:vAlign w:val="center"/>
                </w:tcPr>
                <w:p>
                  <w:pPr>
                    <w:snapToGrid w:val="0"/>
                    <w:spacing w:line="0" w:lineRule="atLeast"/>
                    <w:jc w:val="center"/>
                    <w:rPr>
                      <w:b/>
                      <w:szCs w:val="21"/>
                    </w:rPr>
                  </w:pPr>
                  <w:r>
                    <w:rPr>
                      <w:b/>
                      <w:szCs w:val="21"/>
                    </w:rPr>
                    <w:t>现状浓度（</w:t>
                  </w:r>
                  <w:r>
                    <w:rPr>
                      <w:b/>
                    </w:rPr>
                    <w:t>µg/m</w:t>
                  </w:r>
                  <w:r>
                    <w:rPr>
                      <w:b/>
                      <w:vertAlign w:val="superscript"/>
                    </w:rPr>
                    <w:t>3</w:t>
                  </w:r>
                  <w:r>
                    <w:rPr>
                      <w:b/>
                      <w:szCs w:val="21"/>
                    </w:rPr>
                    <w:t>）</w:t>
                  </w:r>
                </w:p>
              </w:tc>
              <w:tc>
                <w:tcPr>
                  <w:tcW w:w="1025" w:type="pct"/>
                  <w:tcBorders>
                    <w:top w:val="single" w:color="auto" w:sz="12" w:space="0"/>
                    <w:left w:val="single" w:color="auto" w:sz="6" w:space="0"/>
                    <w:bottom w:val="single" w:color="auto" w:sz="6" w:space="0"/>
                    <w:right w:val="single" w:color="auto" w:sz="6" w:space="0"/>
                  </w:tcBorders>
                  <w:vAlign w:val="center"/>
                </w:tcPr>
                <w:p>
                  <w:pPr>
                    <w:snapToGrid w:val="0"/>
                    <w:spacing w:line="0" w:lineRule="atLeast"/>
                    <w:jc w:val="center"/>
                    <w:rPr>
                      <w:b/>
                      <w:szCs w:val="21"/>
                    </w:rPr>
                  </w:pPr>
                  <w:r>
                    <w:rPr>
                      <w:b/>
                      <w:szCs w:val="21"/>
                    </w:rPr>
                    <w:t>标准值（</w:t>
                  </w:r>
                  <w:r>
                    <w:rPr>
                      <w:b/>
                    </w:rPr>
                    <w:t>µg/m</w:t>
                  </w:r>
                  <w:r>
                    <w:rPr>
                      <w:b/>
                      <w:vertAlign w:val="superscript"/>
                    </w:rPr>
                    <w:t>3</w:t>
                  </w:r>
                  <w:r>
                    <w:rPr>
                      <w:b/>
                      <w:szCs w:val="21"/>
                    </w:rPr>
                    <w:t>）</w:t>
                  </w:r>
                </w:p>
              </w:tc>
              <w:tc>
                <w:tcPr>
                  <w:tcW w:w="712" w:type="pct"/>
                  <w:tcBorders>
                    <w:top w:val="single" w:color="auto" w:sz="12" w:space="0"/>
                    <w:left w:val="single" w:color="auto" w:sz="6" w:space="0"/>
                    <w:bottom w:val="single" w:color="auto" w:sz="6" w:space="0"/>
                    <w:right w:val="single" w:color="auto" w:sz="12" w:space="0"/>
                  </w:tcBorders>
                  <w:vAlign w:val="center"/>
                </w:tcPr>
                <w:p>
                  <w:pPr>
                    <w:snapToGrid w:val="0"/>
                    <w:spacing w:line="0" w:lineRule="atLeast"/>
                    <w:jc w:val="center"/>
                    <w:rPr>
                      <w:b/>
                      <w:szCs w:val="21"/>
                    </w:rPr>
                  </w:pPr>
                  <w:r>
                    <w:rPr>
                      <w:b/>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rPr>
                  </w:pPr>
                  <w:r>
                    <w:rPr>
                      <w:szCs w:val="21"/>
                    </w:rPr>
                    <w:t>SO</w:t>
                  </w:r>
                  <w:r>
                    <w:rPr>
                      <w:szCs w:val="21"/>
                      <w:vertAlign w:val="subscript"/>
                    </w:rPr>
                    <w:t>2</w:t>
                  </w:r>
                </w:p>
              </w:tc>
              <w:tc>
                <w:tcPr>
                  <w:tcW w:w="1584"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年平均质量浓度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bCs/>
                      <w:szCs w:val="21"/>
                    </w:rPr>
                  </w:pPr>
                  <w:r>
                    <w:rPr>
                      <w:rFonts w:hint="eastAsia"/>
                      <w:bCs/>
                      <w:szCs w:val="21"/>
                    </w:rPr>
                    <w:t>7</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60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bCs/>
                      <w:szCs w:val="21"/>
                    </w:rPr>
                  </w:pPr>
                  <w:r>
                    <w:rPr>
                      <w:bCs/>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rPr>
                  </w:pPr>
                  <w:r>
                    <w:rPr>
                      <w:szCs w:val="21"/>
                    </w:rPr>
                    <w:t>NO</w:t>
                  </w:r>
                  <w:r>
                    <w:rPr>
                      <w:szCs w:val="21"/>
                      <w:vertAlign w:val="subscript"/>
                    </w:rPr>
                    <w:t>2</w:t>
                  </w:r>
                </w:p>
              </w:tc>
              <w:tc>
                <w:tcPr>
                  <w:tcW w:w="1584"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年平均质量浓度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bCs/>
                      <w:szCs w:val="21"/>
                    </w:rPr>
                  </w:pPr>
                  <w:r>
                    <w:rPr>
                      <w:rFonts w:hint="eastAsia"/>
                      <w:bCs/>
                      <w:szCs w:val="21"/>
                    </w:rPr>
                    <w:t>17</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40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bCs/>
                      <w:szCs w:val="21"/>
                    </w:rPr>
                  </w:pPr>
                  <w:r>
                    <w:rPr>
                      <w:bCs/>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rPr>
                  </w:pPr>
                  <w:r>
                    <w:rPr>
                      <w:szCs w:val="21"/>
                    </w:rPr>
                    <w:t>CO</w:t>
                  </w:r>
                </w:p>
              </w:tc>
              <w:tc>
                <w:tcPr>
                  <w:tcW w:w="1584"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szCs w:val="21"/>
                    </w:rPr>
                  </w:pPr>
                  <w:r>
                    <w:rPr>
                      <w:kern w:val="0"/>
                      <w:szCs w:val="21"/>
                    </w:rPr>
                    <w:t>24小时平均第95百分位数浓度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1000</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4000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bCs/>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rPr>
                  </w:pPr>
                  <w:r>
                    <w:rPr>
                      <w:szCs w:val="21"/>
                    </w:rPr>
                    <w:t>O</w:t>
                  </w:r>
                  <w:r>
                    <w:rPr>
                      <w:szCs w:val="21"/>
                      <w:vertAlign w:val="subscript"/>
                    </w:rPr>
                    <w:t>3</w:t>
                  </w:r>
                </w:p>
              </w:tc>
              <w:tc>
                <w:tcPr>
                  <w:tcW w:w="1584"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szCs w:val="21"/>
                    </w:rPr>
                  </w:pPr>
                  <w:r>
                    <w:rPr>
                      <w:szCs w:val="21"/>
                    </w:rPr>
                    <w:t>日最大8h滑动平均值的</w:t>
                  </w:r>
                  <w:r>
                    <w:rPr>
                      <w:kern w:val="0"/>
                      <w:szCs w:val="21"/>
                    </w:rPr>
                    <w:t>第90百分位数浓度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124</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160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bCs/>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vertAlign w:val="subscript"/>
                    </w:rPr>
                  </w:pPr>
                  <w:r>
                    <w:rPr>
                      <w:szCs w:val="21"/>
                    </w:rPr>
                    <w:t>PM</w:t>
                  </w:r>
                  <w:r>
                    <w:rPr>
                      <w:szCs w:val="21"/>
                      <w:vertAlign w:val="subscript"/>
                    </w:rPr>
                    <w:t>10</w:t>
                  </w:r>
                </w:p>
              </w:tc>
              <w:tc>
                <w:tcPr>
                  <w:tcW w:w="1584"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bCs/>
                      <w:szCs w:val="21"/>
                    </w:rPr>
                    <w:t>年平均质量浓度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52</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70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12" w:space="0"/>
                    <w:right w:val="single" w:color="auto" w:sz="6" w:space="0"/>
                  </w:tcBorders>
                  <w:vAlign w:val="center"/>
                </w:tcPr>
                <w:p>
                  <w:pPr>
                    <w:snapToGrid w:val="0"/>
                    <w:spacing w:line="0" w:lineRule="atLeast"/>
                    <w:jc w:val="center"/>
                    <w:rPr>
                      <w:szCs w:val="21"/>
                      <w:vertAlign w:val="subscript"/>
                    </w:rPr>
                  </w:pPr>
                  <w:r>
                    <w:rPr>
                      <w:szCs w:val="21"/>
                    </w:rPr>
                    <w:t>PM</w:t>
                  </w:r>
                  <w:r>
                    <w:rPr>
                      <w:szCs w:val="21"/>
                      <w:vertAlign w:val="subscript"/>
                    </w:rPr>
                    <w:t>2.5</w:t>
                  </w:r>
                </w:p>
              </w:tc>
              <w:tc>
                <w:tcPr>
                  <w:tcW w:w="1584" w:type="pct"/>
                  <w:tcBorders>
                    <w:top w:val="single" w:color="auto" w:sz="6" w:space="0"/>
                    <w:left w:val="single" w:color="auto" w:sz="6" w:space="0"/>
                    <w:bottom w:val="single" w:color="auto" w:sz="12" w:space="0"/>
                    <w:right w:val="single" w:color="auto" w:sz="6" w:space="0"/>
                  </w:tcBorders>
                  <w:vAlign w:val="center"/>
                </w:tcPr>
                <w:p>
                  <w:pPr>
                    <w:snapToGrid w:val="0"/>
                    <w:spacing w:line="0" w:lineRule="atLeast"/>
                    <w:jc w:val="center"/>
                    <w:rPr>
                      <w:szCs w:val="21"/>
                      <w:vertAlign w:val="subscript"/>
                    </w:rPr>
                  </w:pPr>
                  <w:r>
                    <w:rPr>
                      <w:bCs/>
                      <w:szCs w:val="21"/>
                    </w:rPr>
                    <w:t>年平均质量浓度</w:t>
                  </w:r>
                </w:p>
              </w:tc>
              <w:tc>
                <w:tcPr>
                  <w:tcW w:w="1907"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rFonts w:hint="eastAsia"/>
                      <w:szCs w:val="21"/>
                    </w:rPr>
                    <w:t>33</w:t>
                  </w:r>
                </w:p>
              </w:tc>
              <w:tc>
                <w:tcPr>
                  <w:tcW w:w="1025" w:type="pct"/>
                  <w:tcBorders>
                    <w:top w:val="single" w:color="auto" w:sz="6" w:space="0"/>
                    <w:left w:val="single" w:color="auto" w:sz="6" w:space="0"/>
                    <w:bottom w:val="single" w:color="auto" w:sz="12" w:space="0"/>
                    <w:right w:val="single" w:color="auto" w:sz="6" w:space="0"/>
                  </w:tcBorders>
                  <w:vAlign w:val="center"/>
                </w:tcPr>
                <w:p>
                  <w:pPr>
                    <w:jc w:val="center"/>
                    <w:rPr>
                      <w:szCs w:val="21"/>
                    </w:rPr>
                  </w:pPr>
                  <w:r>
                    <w:rPr>
                      <w:szCs w:val="21"/>
                    </w:rPr>
                    <w:t>35</w:t>
                  </w:r>
                </w:p>
              </w:tc>
              <w:tc>
                <w:tcPr>
                  <w:tcW w:w="712" w:type="pct"/>
                  <w:tcBorders>
                    <w:top w:val="single" w:color="auto" w:sz="6" w:space="0"/>
                    <w:left w:val="single" w:color="auto" w:sz="6" w:space="0"/>
                    <w:bottom w:val="single" w:color="auto" w:sz="12" w:space="0"/>
                    <w:right w:val="single" w:color="auto" w:sz="12" w:space="0"/>
                  </w:tcBorders>
                  <w:vAlign w:val="center"/>
                </w:tcPr>
                <w:p>
                  <w:pPr>
                    <w:jc w:val="center"/>
                    <w:rPr>
                      <w:szCs w:val="21"/>
                    </w:rPr>
                  </w:pPr>
                  <w:r>
                    <w:rPr>
                      <w:szCs w:val="21"/>
                    </w:rPr>
                    <w:t>达标</w:t>
                  </w:r>
                </w:p>
              </w:tc>
            </w:tr>
          </w:tbl>
          <w:p>
            <w:pPr>
              <w:tabs>
                <w:tab w:val="left" w:pos="3544"/>
              </w:tabs>
              <w:adjustRightInd w:val="0"/>
              <w:snapToGrid w:val="0"/>
              <w:spacing w:line="360" w:lineRule="auto"/>
              <w:ind w:firstLine="480" w:firstLineChars="200"/>
              <w:rPr>
                <w:sz w:val="24"/>
              </w:rPr>
            </w:pPr>
            <w:r>
              <w:rPr>
                <w:rFonts w:hint="eastAsia"/>
                <w:sz w:val="24"/>
              </w:rPr>
              <w:t>由上表可知，衡山县2023年度环境空气各因子平均浓度满足《环境空气质量标准》（GB3095-2012）中二级标准限值，判定为达标区。</w:t>
            </w:r>
          </w:p>
          <w:p>
            <w:pPr>
              <w:spacing w:line="360" w:lineRule="auto"/>
              <w:ind w:firstLine="482" w:firstLineChars="200"/>
              <w:rPr>
                <w:rFonts w:hAnsi="宋体"/>
                <w:b/>
                <w:kern w:val="0"/>
                <w:sz w:val="24"/>
              </w:rPr>
            </w:pPr>
            <w:r>
              <w:rPr>
                <w:rFonts w:hint="eastAsia" w:hAnsi="宋体"/>
                <w:b/>
                <w:kern w:val="0"/>
                <w:sz w:val="24"/>
              </w:rPr>
              <w:t>2、特征监测因子</w:t>
            </w:r>
          </w:p>
          <w:p>
            <w:pPr>
              <w:tabs>
                <w:tab w:val="left" w:pos="3544"/>
              </w:tabs>
              <w:adjustRightInd w:val="0"/>
              <w:snapToGrid w:val="0"/>
              <w:spacing w:line="360" w:lineRule="auto"/>
              <w:ind w:firstLine="480" w:firstLineChars="200"/>
              <w:rPr>
                <w:sz w:val="24"/>
              </w:rPr>
            </w:pPr>
            <w:r>
              <w:rPr>
                <w:rFonts w:hint="eastAsia"/>
                <w:sz w:val="24"/>
              </w:rPr>
              <w:t>项目排放的特征污染因子为TVOC、颗粒物，本次环评</w:t>
            </w:r>
            <w:r>
              <w:rPr>
                <w:sz w:val="24"/>
              </w:rPr>
              <w:t>引用《</w:t>
            </w:r>
            <w:r>
              <w:rPr>
                <w:rFonts w:hint="eastAsia"/>
                <w:sz w:val="24"/>
              </w:rPr>
              <w:t>衡山高新技术产业开发区环境影响跟踪评价报告书</w:t>
            </w:r>
            <w:r>
              <w:rPr>
                <w:sz w:val="24"/>
              </w:rPr>
              <w:t>》中委托湖南桓泓检测技术有限公司于2022年</w:t>
            </w:r>
            <w:r>
              <w:rPr>
                <w:rFonts w:hint="eastAsia"/>
                <w:sz w:val="24"/>
              </w:rPr>
              <w:t>7</w:t>
            </w:r>
            <w:r>
              <w:rPr>
                <w:sz w:val="24"/>
              </w:rPr>
              <w:t>月12日～2022年7月18日对项目所在区域</w:t>
            </w:r>
            <w:r>
              <w:rPr>
                <w:rFonts w:hint="eastAsia"/>
                <w:sz w:val="24"/>
              </w:rPr>
              <w:t>（G1长安村、G2长江镇、G3板桥村）</w:t>
            </w:r>
            <w:r>
              <w:rPr>
                <w:sz w:val="24"/>
              </w:rPr>
              <w:t>环境空气中TVOC、颗粒物进行的现状监测数据，</w:t>
            </w:r>
            <w:r>
              <w:rPr>
                <w:rFonts w:hint="eastAsia"/>
                <w:sz w:val="24"/>
              </w:rPr>
              <w:t>引用点位检测时间未超过3年，位于本项目2.5km范围内，根据现场调查，该项目周边近期变化较少，区域污染结构未发生明显改变，项目区域自然及社会环境未发生重大变化，因此，引用数据可以代表区域环境空气状况。</w:t>
            </w:r>
            <w:r>
              <w:rPr>
                <w:sz w:val="24"/>
              </w:rPr>
              <w:t>监测结果见表</w:t>
            </w:r>
            <w:r>
              <w:rPr>
                <w:rFonts w:hint="eastAsia"/>
                <w:sz w:val="24"/>
              </w:rPr>
              <w:t>3-2。</w:t>
            </w:r>
          </w:p>
          <w:p>
            <w:pPr>
              <w:spacing w:beforeLines="50"/>
              <w:jc w:val="center"/>
              <w:rPr>
                <w:b/>
                <w:bCs/>
                <w:szCs w:val="21"/>
                <w:vertAlign w:val="superscript"/>
              </w:rPr>
            </w:pPr>
            <w:r>
              <w:rPr>
                <w:b/>
                <w:bCs/>
                <w:szCs w:val="21"/>
              </w:rPr>
              <w:t>表</w:t>
            </w:r>
            <w:r>
              <w:rPr>
                <w:rFonts w:hint="eastAsia"/>
                <w:b/>
                <w:bCs/>
                <w:szCs w:val="21"/>
              </w:rPr>
              <w:t>3</w:t>
            </w:r>
            <w:r>
              <w:rPr>
                <w:b/>
                <w:bCs/>
                <w:szCs w:val="21"/>
              </w:rPr>
              <w:t>-</w:t>
            </w:r>
            <w:r>
              <w:rPr>
                <w:rFonts w:hint="eastAsia"/>
                <w:b/>
                <w:bCs/>
                <w:szCs w:val="21"/>
              </w:rPr>
              <w:t>2</w:t>
            </w:r>
            <w:r>
              <w:rPr>
                <w:b/>
                <w:bCs/>
                <w:szCs w:val="21"/>
              </w:rPr>
              <w:t xml:space="preserve">  </w:t>
            </w:r>
            <w:r>
              <w:rPr>
                <w:rFonts w:hint="eastAsia"/>
                <w:b/>
                <w:bCs/>
                <w:szCs w:val="21"/>
              </w:rPr>
              <w:t>特征</w:t>
            </w:r>
            <w:r>
              <w:rPr>
                <w:b/>
                <w:bCs/>
                <w:szCs w:val="21"/>
              </w:rPr>
              <w:t>污染物</w:t>
            </w:r>
            <w:r>
              <w:rPr>
                <w:rFonts w:hint="eastAsia"/>
                <w:b/>
                <w:bCs/>
                <w:szCs w:val="21"/>
              </w:rPr>
              <w:t>监测结果  单位：mg/m</w:t>
            </w:r>
            <w:r>
              <w:rPr>
                <w:rFonts w:hint="eastAsia"/>
                <w:b/>
                <w:bCs/>
                <w:szCs w:val="21"/>
                <w:vertAlign w:val="superscript"/>
              </w:rPr>
              <w:t>3</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
              <w:gridCol w:w="1969"/>
              <w:gridCol w:w="1652"/>
              <w:gridCol w:w="1099"/>
              <w:gridCol w:w="1484"/>
              <w:gridCol w:w="1208"/>
              <w:gridCol w:w="10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5" w:type="pct"/>
                  <w:vAlign w:val="center"/>
                </w:tcPr>
                <w:p>
                  <w:pPr>
                    <w:pStyle w:val="107"/>
                    <w:rPr>
                      <w:b/>
                      <w:bCs/>
                      <w:color w:val="auto"/>
                      <w:szCs w:val="21"/>
                    </w:rPr>
                  </w:pPr>
                  <w:r>
                    <w:rPr>
                      <w:b/>
                      <w:bCs/>
                      <w:color w:val="auto"/>
                      <w:szCs w:val="21"/>
                    </w:rPr>
                    <w:t>点位</w:t>
                  </w:r>
                </w:p>
              </w:tc>
              <w:tc>
                <w:tcPr>
                  <w:tcW w:w="1050" w:type="pct"/>
                  <w:vAlign w:val="center"/>
                </w:tcPr>
                <w:p>
                  <w:pPr>
                    <w:pStyle w:val="107"/>
                    <w:rPr>
                      <w:b/>
                      <w:bCs/>
                      <w:color w:val="auto"/>
                      <w:szCs w:val="21"/>
                    </w:rPr>
                  </w:pPr>
                  <w:r>
                    <w:rPr>
                      <w:b/>
                      <w:bCs/>
                      <w:color w:val="auto"/>
                      <w:szCs w:val="21"/>
                    </w:rPr>
                    <w:t>检测项目</w:t>
                  </w:r>
                </w:p>
              </w:tc>
              <w:tc>
                <w:tcPr>
                  <w:tcW w:w="881" w:type="pct"/>
                  <w:noWrap/>
                  <w:vAlign w:val="center"/>
                </w:tcPr>
                <w:p>
                  <w:pPr>
                    <w:pStyle w:val="107"/>
                    <w:rPr>
                      <w:b/>
                      <w:bCs/>
                      <w:color w:val="auto"/>
                      <w:szCs w:val="21"/>
                    </w:rPr>
                  </w:pPr>
                  <w:r>
                    <w:rPr>
                      <w:b/>
                      <w:bCs/>
                      <w:color w:val="auto"/>
                      <w:szCs w:val="21"/>
                    </w:rPr>
                    <w:t>浓度范围</w:t>
                  </w:r>
                </w:p>
              </w:tc>
              <w:tc>
                <w:tcPr>
                  <w:tcW w:w="586" w:type="pct"/>
                  <w:noWrap/>
                  <w:vAlign w:val="center"/>
                </w:tcPr>
                <w:p>
                  <w:pPr>
                    <w:pStyle w:val="107"/>
                    <w:rPr>
                      <w:b/>
                      <w:bCs/>
                      <w:color w:val="auto"/>
                      <w:szCs w:val="21"/>
                    </w:rPr>
                  </w:pPr>
                  <w:r>
                    <w:rPr>
                      <w:b/>
                      <w:bCs/>
                      <w:color w:val="auto"/>
                      <w:szCs w:val="21"/>
                    </w:rPr>
                    <w:t>平均值</w:t>
                  </w:r>
                </w:p>
              </w:tc>
              <w:tc>
                <w:tcPr>
                  <w:tcW w:w="791" w:type="pct"/>
                  <w:noWrap/>
                  <w:vAlign w:val="center"/>
                </w:tcPr>
                <w:p>
                  <w:pPr>
                    <w:pStyle w:val="107"/>
                    <w:rPr>
                      <w:b/>
                      <w:bCs/>
                      <w:color w:val="auto"/>
                      <w:szCs w:val="21"/>
                    </w:rPr>
                  </w:pPr>
                  <w:r>
                    <w:rPr>
                      <w:b/>
                      <w:bCs/>
                      <w:color w:val="auto"/>
                      <w:szCs w:val="21"/>
                    </w:rPr>
                    <w:t>最大占标率</w:t>
                  </w:r>
                </w:p>
              </w:tc>
              <w:tc>
                <w:tcPr>
                  <w:tcW w:w="644" w:type="pct"/>
                  <w:noWrap/>
                  <w:vAlign w:val="center"/>
                </w:tcPr>
                <w:p>
                  <w:pPr>
                    <w:pStyle w:val="107"/>
                    <w:rPr>
                      <w:b/>
                      <w:bCs/>
                      <w:color w:val="auto"/>
                      <w:szCs w:val="21"/>
                    </w:rPr>
                  </w:pPr>
                  <w:r>
                    <w:rPr>
                      <w:b/>
                      <w:bCs/>
                      <w:color w:val="auto"/>
                      <w:szCs w:val="21"/>
                    </w:rPr>
                    <w:t>达标情况</w:t>
                  </w:r>
                </w:p>
              </w:tc>
              <w:tc>
                <w:tcPr>
                  <w:tcW w:w="553" w:type="pct"/>
                  <w:vAlign w:val="center"/>
                </w:tcPr>
                <w:p>
                  <w:pPr>
                    <w:pStyle w:val="107"/>
                    <w:rPr>
                      <w:b/>
                      <w:bCs/>
                      <w:color w:val="auto"/>
                      <w:szCs w:val="21"/>
                    </w:rPr>
                  </w:pPr>
                  <w:r>
                    <w:rPr>
                      <w:b/>
                      <w:bCs/>
                      <w:color w:val="auto"/>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5" w:type="pct"/>
                  <w:vMerge w:val="restart"/>
                  <w:vAlign w:val="center"/>
                </w:tcPr>
                <w:p>
                  <w:pPr>
                    <w:pStyle w:val="107"/>
                    <w:rPr>
                      <w:color w:val="auto"/>
                      <w:szCs w:val="21"/>
                    </w:rPr>
                  </w:pPr>
                  <w:r>
                    <w:rPr>
                      <w:color w:val="auto"/>
                      <w:szCs w:val="21"/>
                    </w:rPr>
                    <w:t>G1长安村</w:t>
                  </w:r>
                </w:p>
              </w:tc>
              <w:tc>
                <w:tcPr>
                  <w:tcW w:w="1050" w:type="pct"/>
                  <w:vAlign w:val="center"/>
                </w:tcPr>
                <w:p>
                  <w:pPr>
                    <w:pStyle w:val="107"/>
                    <w:rPr>
                      <w:color w:val="auto"/>
                      <w:szCs w:val="21"/>
                    </w:rPr>
                  </w:pPr>
                  <w:r>
                    <w:rPr>
                      <w:color w:val="auto"/>
                      <w:szCs w:val="21"/>
                    </w:rPr>
                    <w:t>TSP（日均值）</w:t>
                  </w:r>
                </w:p>
              </w:tc>
              <w:tc>
                <w:tcPr>
                  <w:tcW w:w="881" w:type="pct"/>
                  <w:noWrap/>
                  <w:vAlign w:val="center"/>
                </w:tcPr>
                <w:p>
                  <w:pPr>
                    <w:pStyle w:val="107"/>
                    <w:rPr>
                      <w:color w:val="auto"/>
                      <w:szCs w:val="21"/>
                    </w:rPr>
                  </w:pPr>
                  <w:r>
                    <w:rPr>
                      <w:color w:val="auto"/>
                      <w:szCs w:val="21"/>
                    </w:rPr>
                    <w:t>0.103-0.116</w:t>
                  </w:r>
                </w:p>
              </w:tc>
              <w:tc>
                <w:tcPr>
                  <w:tcW w:w="586" w:type="pct"/>
                  <w:noWrap/>
                  <w:vAlign w:val="center"/>
                </w:tcPr>
                <w:p>
                  <w:pPr>
                    <w:pStyle w:val="107"/>
                    <w:rPr>
                      <w:color w:val="auto"/>
                      <w:szCs w:val="21"/>
                    </w:rPr>
                  </w:pPr>
                  <w:r>
                    <w:rPr>
                      <w:color w:val="auto"/>
                      <w:szCs w:val="21"/>
                    </w:rPr>
                    <w:t>0.1091</w:t>
                  </w:r>
                </w:p>
              </w:tc>
              <w:tc>
                <w:tcPr>
                  <w:tcW w:w="791" w:type="pct"/>
                  <w:noWrap/>
                  <w:vAlign w:val="center"/>
                </w:tcPr>
                <w:p>
                  <w:pPr>
                    <w:pStyle w:val="107"/>
                    <w:rPr>
                      <w:color w:val="auto"/>
                      <w:szCs w:val="21"/>
                    </w:rPr>
                  </w:pPr>
                  <w:r>
                    <w:rPr>
                      <w:color w:val="auto"/>
                      <w:szCs w:val="21"/>
                    </w:rPr>
                    <w:t>38.67%</w:t>
                  </w:r>
                </w:p>
              </w:tc>
              <w:tc>
                <w:tcPr>
                  <w:tcW w:w="644" w:type="pct"/>
                  <w:noWrap/>
                  <w:vAlign w:val="center"/>
                </w:tcPr>
                <w:p>
                  <w:pPr>
                    <w:pStyle w:val="107"/>
                    <w:rPr>
                      <w:color w:val="auto"/>
                      <w:szCs w:val="21"/>
                    </w:rPr>
                  </w:pPr>
                  <w:r>
                    <w:rPr>
                      <w:color w:val="auto"/>
                      <w:szCs w:val="21"/>
                    </w:rPr>
                    <w:t>达标</w:t>
                  </w:r>
                </w:p>
              </w:tc>
              <w:tc>
                <w:tcPr>
                  <w:tcW w:w="553" w:type="pct"/>
                  <w:vAlign w:val="center"/>
                </w:tcPr>
                <w:p>
                  <w:pPr>
                    <w:pStyle w:val="107"/>
                    <w:rPr>
                      <w:color w:val="auto"/>
                      <w:szCs w:val="21"/>
                    </w:rPr>
                  </w:pPr>
                  <w:r>
                    <w:rPr>
                      <w:color w:val="auto"/>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5" w:type="pct"/>
                  <w:vMerge w:val="continue"/>
                  <w:vAlign w:val="center"/>
                </w:tcPr>
                <w:p>
                  <w:pPr>
                    <w:pStyle w:val="107"/>
                    <w:rPr>
                      <w:color w:val="auto"/>
                      <w:szCs w:val="21"/>
                    </w:rPr>
                  </w:pPr>
                </w:p>
              </w:tc>
              <w:tc>
                <w:tcPr>
                  <w:tcW w:w="1050" w:type="pct"/>
                  <w:vAlign w:val="center"/>
                </w:tcPr>
                <w:p>
                  <w:pPr>
                    <w:pStyle w:val="107"/>
                    <w:rPr>
                      <w:color w:val="auto"/>
                      <w:szCs w:val="21"/>
                    </w:rPr>
                  </w:pPr>
                  <w:r>
                    <w:rPr>
                      <w:color w:val="auto"/>
                      <w:szCs w:val="21"/>
                    </w:rPr>
                    <w:t>TVOC（一次值）</w:t>
                  </w:r>
                </w:p>
              </w:tc>
              <w:tc>
                <w:tcPr>
                  <w:tcW w:w="881" w:type="pct"/>
                  <w:noWrap/>
                  <w:vAlign w:val="center"/>
                </w:tcPr>
                <w:p>
                  <w:pPr>
                    <w:pStyle w:val="107"/>
                    <w:rPr>
                      <w:color w:val="auto"/>
                      <w:szCs w:val="21"/>
                    </w:rPr>
                  </w:pPr>
                  <w:r>
                    <w:rPr>
                      <w:color w:val="auto"/>
                      <w:szCs w:val="21"/>
                    </w:rPr>
                    <w:t>0.0032-0.0055</w:t>
                  </w:r>
                </w:p>
              </w:tc>
              <w:tc>
                <w:tcPr>
                  <w:tcW w:w="586" w:type="pct"/>
                  <w:noWrap/>
                  <w:vAlign w:val="center"/>
                </w:tcPr>
                <w:p>
                  <w:pPr>
                    <w:pStyle w:val="107"/>
                    <w:rPr>
                      <w:color w:val="auto"/>
                      <w:szCs w:val="21"/>
                    </w:rPr>
                  </w:pPr>
                  <w:r>
                    <w:rPr>
                      <w:color w:val="auto"/>
                      <w:szCs w:val="21"/>
                    </w:rPr>
                    <w:t>0.0043</w:t>
                  </w:r>
                </w:p>
              </w:tc>
              <w:tc>
                <w:tcPr>
                  <w:tcW w:w="791" w:type="pct"/>
                  <w:noWrap/>
                  <w:vAlign w:val="center"/>
                </w:tcPr>
                <w:p>
                  <w:pPr>
                    <w:pStyle w:val="107"/>
                    <w:rPr>
                      <w:color w:val="auto"/>
                      <w:szCs w:val="21"/>
                    </w:rPr>
                  </w:pPr>
                  <w:r>
                    <w:rPr>
                      <w:color w:val="auto"/>
                      <w:szCs w:val="21"/>
                    </w:rPr>
                    <w:t>0.92%</w:t>
                  </w:r>
                </w:p>
              </w:tc>
              <w:tc>
                <w:tcPr>
                  <w:tcW w:w="644" w:type="pct"/>
                  <w:noWrap/>
                  <w:vAlign w:val="center"/>
                </w:tcPr>
                <w:p>
                  <w:pPr>
                    <w:pStyle w:val="107"/>
                    <w:rPr>
                      <w:color w:val="auto"/>
                      <w:szCs w:val="21"/>
                    </w:rPr>
                  </w:pPr>
                  <w:r>
                    <w:rPr>
                      <w:color w:val="auto"/>
                      <w:szCs w:val="21"/>
                    </w:rPr>
                    <w:t>达标</w:t>
                  </w:r>
                </w:p>
              </w:tc>
              <w:tc>
                <w:tcPr>
                  <w:tcW w:w="553" w:type="pct"/>
                  <w:vAlign w:val="center"/>
                </w:tcPr>
                <w:p>
                  <w:pPr>
                    <w:pStyle w:val="107"/>
                    <w:rPr>
                      <w:color w:val="auto"/>
                      <w:szCs w:val="21"/>
                    </w:rPr>
                  </w:pPr>
                  <w:r>
                    <w:rPr>
                      <w:color w:val="auto"/>
                      <w:szCs w:val="21"/>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5" w:type="pct"/>
                  <w:vMerge w:val="restart"/>
                  <w:vAlign w:val="center"/>
                </w:tcPr>
                <w:p>
                  <w:pPr>
                    <w:pStyle w:val="107"/>
                    <w:rPr>
                      <w:color w:val="auto"/>
                      <w:szCs w:val="21"/>
                    </w:rPr>
                  </w:pPr>
                  <w:r>
                    <w:rPr>
                      <w:color w:val="auto"/>
                      <w:szCs w:val="21"/>
                    </w:rPr>
                    <w:t>G2长江镇</w:t>
                  </w:r>
                </w:p>
              </w:tc>
              <w:tc>
                <w:tcPr>
                  <w:tcW w:w="1050" w:type="pct"/>
                  <w:vAlign w:val="center"/>
                </w:tcPr>
                <w:p>
                  <w:pPr>
                    <w:pStyle w:val="107"/>
                    <w:rPr>
                      <w:color w:val="auto"/>
                      <w:szCs w:val="21"/>
                    </w:rPr>
                  </w:pPr>
                  <w:r>
                    <w:rPr>
                      <w:color w:val="auto"/>
                      <w:szCs w:val="21"/>
                    </w:rPr>
                    <w:t>TSP（日均值）</w:t>
                  </w:r>
                </w:p>
              </w:tc>
              <w:tc>
                <w:tcPr>
                  <w:tcW w:w="881" w:type="pct"/>
                  <w:noWrap/>
                  <w:vAlign w:val="center"/>
                </w:tcPr>
                <w:p>
                  <w:pPr>
                    <w:pStyle w:val="107"/>
                    <w:rPr>
                      <w:color w:val="auto"/>
                      <w:szCs w:val="21"/>
                    </w:rPr>
                  </w:pPr>
                  <w:r>
                    <w:rPr>
                      <w:color w:val="auto"/>
                      <w:szCs w:val="21"/>
                    </w:rPr>
                    <w:t>0.103-0.117</w:t>
                  </w:r>
                </w:p>
              </w:tc>
              <w:tc>
                <w:tcPr>
                  <w:tcW w:w="586" w:type="pct"/>
                  <w:noWrap/>
                  <w:vAlign w:val="center"/>
                </w:tcPr>
                <w:p>
                  <w:pPr>
                    <w:pStyle w:val="107"/>
                    <w:rPr>
                      <w:color w:val="auto"/>
                      <w:szCs w:val="21"/>
                    </w:rPr>
                  </w:pPr>
                  <w:r>
                    <w:rPr>
                      <w:color w:val="auto"/>
                      <w:szCs w:val="21"/>
                    </w:rPr>
                    <w:t>0.1111</w:t>
                  </w:r>
                </w:p>
              </w:tc>
              <w:tc>
                <w:tcPr>
                  <w:tcW w:w="791" w:type="pct"/>
                  <w:noWrap/>
                  <w:vAlign w:val="center"/>
                </w:tcPr>
                <w:p>
                  <w:pPr>
                    <w:pStyle w:val="107"/>
                    <w:rPr>
                      <w:color w:val="auto"/>
                      <w:szCs w:val="21"/>
                    </w:rPr>
                  </w:pPr>
                  <w:r>
                    <w:rPr>
                      <w:color w:val="auto"/>
                      <w:szCs w:val="21"/>
                    </w:rPr>
                    <w:t>39.00%</w:t>
                  </w:r>
                </w:p>
              </w:tc>
              <w:tc>
                <w:tcPr>
                  <w:tcW w:w="644" w:type="pct"/>
                  <w:noWrap/>
                  <w:vAlign w:val="center"/>
                </w:tcPr>
                <w:p>
                  <w:pPr>
                    <w:pStyle w:val="107"/>
                    <w:rPr>
                      <w:color w:val="auto"/>
                      <w:szCs w:val="21"/>
                    </w:rPr>
                  </w:pPr>
                  <w:r>
                    <w:rPr>
                      <w:color w:val="auto"/>
                      <w:szCs w:val="21"/>
                    </w:rPr>
                    <w:t>达标</w:t>
                  </w:r>
                </w:p>
              </w:tc>
              <w:tc>
                <w:tcPr>
                  <w:tcW w:w="553" w:type="pct"/>
                  <w:vAlign w:val="center"/>
                </w:tcPr>
                <w:p>
                  <w:pPr>
                    <w:pStyle w:val="107"/>
                    <w:rPr>
                      <w:color w:val="auto"/>
                      <w:szCs w:val="21"/>
                    </w:rPr>
                  </w:pPr>
                  <w:r>
                    <w:rPr>
                      <w:color w:val="auto"/>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5" w:type="pct"/>
                  <w:vMerge w:val="continue"/>
                  <w:vAlign w:val="center"/>
                </w:tcPr>
                <w:p>
                  <w:pPr>
                    <w:pStyle w:val="107"/>
                    <w:rPr>
                      <w:color w:val="auto"/>
                      <w:szCs w:val="21"/>
                    </w:rPr>
                  </w:pPr>
                </w:p>
              </w:tc>
              <w:tc>
                <w:tcPr>
                  <w:tcW w:w="1050" w:type="pct"/>
                  <w:vAlign w:val="center"/>
                </w:tcPr>
                <w:p>
                  <w:pPr>
                    <w:pStyle w:val="107"/>
                    <w:rPr>
                      <w:color w:val="auto"/>
                      <w:szCs w:val="21"/>
                    </w:rPr>
                  </w:pPr>
                  <w:r>
                    <w:rPr>
                      <w:color w:val="auto"/>
                      <w:szCs w:val="21"/>
                    </w:rPr>
                    <w:t>TVOC（一次值）</w:t>
                  </w:r>
                </w:p>
              </w:tc>
              <w:tc>
                <w:tcPr>
                  <w:tcW w:w="881" w:type="pct"/>
                  <w:noWrap/>
                  <w:vAlign w:val="center"/>
                </w:tcPr>
                <w:p>
                  <w:pPr>
                    <w:pStyle w:val="107"/>
                    <w:rPr>
                      <w:color w:val="auto"/>
                      <w:szCs w:val="21"/>
                    </w:rPr>
                  </w:pPr>
                  <w:r>
                    <w:rPr>
                      <w:color w:val="auto"/>
                      <w:szCs w:val="21"/>
                    </w:rPr>
                    <w:t>0.0028-0.0056</w:t>
                  </w:r>
                </w:p>
              </w:tc>
              <w:tc>
                <w:tcPr>
                  <w:tcW w:w="586" w:type="pct"/>
                  <w:noWrap/>
                  <w:vAlign w:val="center"/>
                </w:tcPr>
                <w:p>
                  <w:pPr>
                    <w:pStyle w:val="107"/>
                    <w:rPr>
                      <w:color w:val="auto"/>
                      <w:szCs w:val="21"/>
                    </w:rPr>
                  </w:pPr>
                  <w:r>
                    <w:rPr>
                      <w:color w:val="auto"/>
                      <w:szCs w:val="21"/>
                    </w:rPr>
                    <w:t>0.0042</w:t>
                  </w:r>
                </w:p>
              </w:tc>
              <w:tc>
                <w:tcPr>
                  <w:tcW w:w="791" w:type="pct"/>
                  <w:noWrap/>
                  <w:vAlign w:val="center"/>
                </w:tcPr>
                <w:p>
                  <w:pPr>
                    <w:pStyle w:val="107"/>
                    <w:rPr>
                      <w:color w:val="auto"/>
                      <w:szCs w:val="21"/>
                    </w:rPr>
                  </w:pPr>
                  <w:r>
                    <w:rPr>
                      <w:color w:val="auto"/>
                      <w:szCs w:val="21"/>
                    </w:rPr>
                    <w:t>0.93%</w:t>
                  </w:r>
                </w:p>
              </w:tc>
              <w:tc>
                <w:tcPr>
                  <w:tcW w:w="644" w:type="pct"/>
                  <w:noWrap/>
                  <w:vAlign w:val="center"/>
                </w:tcPr>
                <w:p>
                  <w:pPr>
                    <w:pStyle w:val="107"/>
                    <w:rPr>
                      <w:color w:val="auto"/>
                      <w:szCs w:val="21"/>
                    </w:rPr>
                  </w:pPr>
                  <w:r>
                    <w:rPr>
                      <w:color w:val="auto"/>
                      <w:szCs w:val="21"/>
                    </w:rPr>
                    <w:t>达标</w:t>
                  </w:r>
                </w:p>
              </w:tc>
              <w:tc>
                <w:tcPr>
                  <w:tcW w:w="553" w:type="pct"/>
                  <w:vAlign w:val="center"/>
                </w:tcPr>
                <w:p>
                  <w:pPr>
                    <w:pStyle w:val="107"/>
                    <w:rPr>
                      <w:color w:val="auto"/>
                      <w:szCs w:val="21"/>
                    </w:rPr>
                  </w:pPr>
                  <w:r>
                    <w:rPr>
                      <w:color w:val="auto"/>
                      <w:szCs w:val="21"/>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5" w:type="pct"/>
                  <w:vMerge w:val="restart"/>
                  <w:vAlign w:val="center"/>
                </w:tcPr>
                <w:p>
                  <w:pPr>
                    <w:pStyle w:val="107"/>
                    <w:rPr>
                      <w:color w:val="auto"/>
                      <w:szCs w:val="21"/>
                    </w:rPr>
                  </w:pPr>
                  <w:r>
                    <w:rPr>
                      <w:color w:val="auto"/>
                      <w:szCs w:val="21"/>
                    </w:rPr>
                    <w:t>G3板桥村</w:t>
                  </w:r>
                </w:p>
              </w:tc>
              <w:tc>
                <w:tcPr>
                  <w:tcW w:w="1050" w:type="pct"/>
                  <w:vAlign w:val="center"/>
                </w:tcPr>
                <w:p>
                  <w:pPr>
                    <w:pStyle w:val="107"/>
                    <w:rPr>
                      <w:color w:val="auto"/>
                      <w:szCs w:val="21"/>
                    </w:rPr>
                  </w:pPr>
                  <w:r>
                    <w:rPr>
                      <w:color w:val="auto"/>
                      <w:szCs w:val="21"/>
                    </w:rPr>
                    <w:t>TSP（日均值）</w:t>
                  </w:r>
                </w:p>
              </w:tc>
              <w:tc>
                <w:tcPr>
                  <w:tcW w:w="881" w:type="pct"/>
                  <w:noWrap/>
                  <w:vAlign w:val="center"/>
                </w:tcPr>
                <w:p>
                  <w:pPr>
                    <w:pStyle w:val="107"/>
                    <w:rPr>
                      <w:color w:val="auto"/>
                      <w:szCs w:val="21"/>
                    </w:rPr>
                  </w:pPr>
                  <w:r>
                    <w:rPr>
                      <w:color w:val="auto"/>
                      <w:szCs w:val="21"/>
                    </w:rPr>
                    <w:t>0.103-0.118</w:t>
                  </w:r>
                </w:p>
              </w:tc>
              <w:tc>
                <w:tcPr>
                  <w:tcW w:w="586" w:type="pct"/>
                  <w:noWrap/>
                  <w:vAlign w:val="center"/>
                </w:tcPr>
                <w:p>
                  <w:pPr>
                    <w:pStyle w:val="107"/>
                    <w:rPr>
                      <w:color w:val="auto"/>
                      <w:szCs w:val="21"/>
                    </w:rPr>
                  </w:pPr>
                  <w:r>
                    <w:rPr>
                      <w:color w:val="auto"/>
                      <w:szCs w:val="21"/>
                    </w:rPr>
                    <w:t>0.1101</w:t>
                  </w:r>
                </w:p>
              </w:tc>
              <w:tc>
                <w:tcPr>
                  <w:tcW w:w="791" w:type="pct"/>
                  <w:noWrap/>
                  <w:vAlign w:val="center"/>
                </w:tcPr>
                <w:p>
                  <w:pPr>
                    <w:pStyle w:val="107"/>
                    <w:rPr>
                      <w:color w:val="auto"/>
                      <w:szCs w:val="21"/>
                    </w:rPr>
                  </w:pPr>
                  <w:r>
                    <w:rPr>
                      <w:color w:val="auto"/>
                      <w:szCs w:val="21"/>
                    </w:rPr>
                    <w:t>39.33%</w:t>
                  </w:r>
                </w:p>
              </w:tc>
              <w:tc>
                <w:tcPr>
                  <w:tcW w:w="644" w:type="pct"/>
                  <w:noWrap/>
                  <w:vAlign w:val="center"/>
                </w:tcPr>
                <w:p>
                  <w:pPr>
                    <w:pStyle w:val="107"/>
                    <w:rPr>
                      <w:color w:val="auto"/>
                      <w:szCs w:val="21"/>
                    </w:rPr>
                  </w:pPr>
                  <w:r>
                    <w:rPr>
                      <w:color w:val="auto"/>
                      <w:szCs w:val="21"/>
                    </w:rPr>
                    <w:t>达标</w:t>
                  </w:r>
                </w:p>
              </w:tc>
              <w:tc>
                <w:tcPr>
                  <w:tcW w:w="553" w:type="pct"/>
                  <w:vAlign w:val="center"/>
                </w:tcPr>
                <w:p>
                  <w:pPr>
                    <w:pStyle w:val="107"/>
                    <w:rPr>
                      <w:color w:val="auto"/>
                      <w:szCs w:val="21"/>
                    </w:rPr>
                  </w:pPr>
                  <w:r>
                    <w:rPr>
                      <w:color w:val="auto"/>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5" w:type="pct"/>
                  <w:vMerge w:val="continue"/>
                  <w:vAlign w:val="center"/>
                </w:tcPr>
                <w:p>
                  <w:pPr>
                    <w:pStyle w:val="107"/>
                    <w:rPr>
                      <w:color w:val="auto"/>
                      <w:szCs w:val="21"/>
                    </w:rPr>
                  </w:pPr>
                </w:p>
              </w:tc>
              <w:tc>
                <w:tcPr>
                  <w:tcW w:w="1050" w:type="pct"/>
                  <w:vAlign w:val="center"/>
                </w:tcPr>
                <w:p>
                  <w:pPr>
                    <w:pStyle w:val="107"/>
                    <w:rPr>
                      <w:color w:val="auto"/>
                      <w:szCs w:val="21"/>
                    </w:rPr>
                  </w:pPr>
                  <w:r>
                    <w:rPr>
                      <w:color w:val="auto"/>
                      <w:szCs w:val="21"/>
                    </w:rPr>
                    <w:t>TVOC（一次值）</w:t>
                  </w:r>
                </w:p>
              </w:tc>
              <w:tc>
                <w:tcPr>
                  <w:tcW w:w="881" w:type="pct"/>
                  <w:noWrap/>
                  <w:vAlign w:val="center"/>
                </w:tcPr>
                <w:p>
                  <w:pPr>
                    <w:pStyle w:val="107"/>
                    <w:rPr>
                      <w:color w:val="auto"/>
                      <w:szCs w:val="21"/>
                    </w:rPr>
                  </w:pPr>
                  <w:r>
                    <w:rPr>
                      <w:color w:val="auto"/>
                      <w:szCs w:val="21"/>
                    </w:rPr>
                    <w:t>0.0034-0.0052</w:t>
                  </w:r>
                </w:p>
              </w:tc>
              <w:tc>
                <w:tcPr>
                  <w:tcW w:w="586" w:type="pct"/>
                  <w:noWrap/>
                  <w:vAlign w:val="center"/>
                </w:tcPr>
                <w:p>
                  <w:pPr>
                    <w:pStyle w:val="107"/>
                    <w:rPr>
                      <w:color w:val="auto"/>
                      <w:szCs w:val="21"/>
                    </w:rPr>
                  </w:pPr>
                  <w:r>
                    <w:rPr>
                      <w:color w:val="auto"/>
                      <w:szCs w:val="21"/>
                    </w:rPr>
                    <w:t>0.0045</w:t>
                  </w:r>
                </w:p>
              </w:tc>
              <w:tc>
                <w:tcPr>
                  <w:tcW w:w="791" w:type="pct"/>
                  <w:noWrap/>
                  <w:vAlign w:val="center"/>
                </w:tcPr>
                <w:p>
                  <w:pPr>
                    <w:pStyle w:val="107"/>
                    <w:rPr>
                      <w:color w:val="auto"/>
                      <w:szCs w:val="21"/>
                    </w:rPr>
                  </w:pPr>
                  <w:r>
                    <w:rPr>
                      <w:color w:val="auto"/>
                      <w:szCs w:val="21"/>
                    </w:rPr>
                    <w:t>0.87%</w:t>
                  </w:r>
                </w:p>
              </w:tc>
              <w:tc>
                <w:tcPr>
                  <w:tcW w:w="644" w:type="pct"/>
                  <w:noWrap/>
                  <w:vAlign w:val="center"/>
                </w:tcPr>
                <w:p>
                  <w:pPr>
                    <w:pStyle w:val="107"/>
                    <w:rPr>
                      <w:color w:val="auto"/>
                      <w:szCs w:val="21"/>
                    </w:rPr>
                  </w:pPr>
                  <w:r>
                    <w:rPr>
                      <w:color w:val="auto"/>
                      <w:szCs w:val="21"/>
                    </w:rPr>
                    <w:t>达标</w:t>
                  </w:r>
                </w:p>
              </w:tc>
              <w:tc>
                <w:tcPr>
                  <w:tcW w:w="553" w:type="pct"/>
                  <w:vAlign w:val="center"/>
                </w:tcPr>
                <w:p>
                  <w:pPr>
                    <w:pStyle w:val="107"/>
                    <w:rPr>
                      <w:color w:val="auto"/>
                      <w:szCs w:val="21"/>
                    </w:rPr>
                  </w:pPr>
                  <w:r>
                    <w:rPr>
                      <w:color w:val="auto"/>
                      <w:szCs w:val="21"/>
                    </w:rPr>
                    <w:t>0.6</w:t>
                  </w:r>
                </w:p>
              </w:tc>
            </w:tr>
          </w:tbl>
          <w:p>
            <w:pPr>
              <w:spacing w:line="360" w:lineRule="auto"/>
              <w:ind w:firstLine="480" w:firstLineChars="200"/>
              <w:rPr>
                <w:rFonts w:hAnsi="宋体"/>
                <w:kern w:val="0"/>
                <w:sz w:val="24"/>
              </w:rPr>
            </w:pPr>
            <w:r>
              <w:rPr>
                <w:rFonts w:hint="eastAsia"/>
                <w:sz w:val="24"/>
              </w:rPr>
              <w:t>从表3-2可知，在监测期间，引用监测点位TSP满足《环境空气质量标准》（GB3095-2012）二级标准，TVOC满足《环境影响评价技术导则 大气环境》附录D中的限值</w:t>
            </w:r>
            <w:r>
              <w:rPr>
                <w:rFonts w:hint="eastAsia"/>
                <w:sz w:val="24"/>
                <w:shd w:val="clear" w:color="auto" w:fill="FFFFFF"/>
              </w:rPr>
              <w:t>，表明项目所在地环境空气质量良好。</w:t>
            </w:r>
          </w:p>
          <w:p>
            <w:pPr>
              <w:pStyle w:val="58"/>
              <w:ind w:firstLine="514"/>
              <w:rPr>
                <w:b/>
              </w:rPr>
            </w:pPr>
            <w:r>
              <w:rPr>
                <w:b/>
                <w:spacing w:val="8"/>
                <w:szCs w:val="24"/>
              </w:rPr>
              <w:t>二、</w:t>
            </w:r>
            <w:r>
              <w:rPr>
                <w:b/>
              </w:rPr>
              <w:t>地表水质量现状</w:t>
            </w:r>
          </w:p>
          <w:p>
            <w:pPr>
              <w:spacing w:line="360" w:lineRule="auto"/>
              <w:ind w:firstLine="480" w:firstLineChars="200"/>
              <w:rPr>
                <w:sz w:val="24"/>
              </w:rPr>
            </w:pPr>
            <w:r>
              <w:rPr>
                <w:rFonts w:hint="eastAsia"/>
                <w:sz w:val="24"/>
              </w:rPr>
              <w:t>根据项目评价等级判定，本项目地表水评价等级为“三级B”。结合《环境影响评价技术导则  地表水环境》（HJ2.3-2018）：“6.6.3.2环境现状调查与评价应优先采用国务院生态环境保护主管部门统一发布的水环境状况信息”。</w:t>
            </w:r>
            <w:r>
              <w:rPr>
                <w:rFonts w:hint="eastAsia"/>
                <w:sz w:val="24"/>
                <w:lang w:val="zh-CN"/>
              </w:rPr>
              <w:t>本次地表水环境质量现状评价引用衡阳市生态环境局《关于202</w:t>
            </w:r>
            <w:r>
              <w:rPr>
                <w:rFonts w:hint="eastAsia"/>
                <w:sz w:val="24"/>
              </w:rPr>
              <w:t>3</w:t>
            </w:r>
            <w:r>
              <w:rPr>
                <w:rFonts w:hint="eastAsia"/>
                <w:sz w:val="24"/>
                <w:lang w:val="zh-CN"/>
              </w:rPr>
              <w:t>年12月份及1~12月份全市环境质量状况的通报》中结论，距离本项目最近的地表水监测断面为</w:t>
            </w:r>
            <w:r>
              <w:rPr>
                <w:rFonts w:hint="eastAsia"/>
                <w:sz w:val="24"/>
              </w:rPr>
              <w:t>衡山自来水厂、熬洲</w:t>
            </w:r>
            <w:r>
              <w:rPr>
                <w:rFonts w:hint="eastAsia"/>
                <w:sz w:val="24"/>
                <w:lang w:val="zh-CN"/>
              </w:rPr>
              <w:t>监测断面，其水质监测情况如下图所示</w:t>
            </w:r>
            <w:r>
              <w:rPr>
                <w:rFonts w:hint="eastAsia"/>
                <w:sz w:val="24"/>
              </w:rPr>
              <w:t>。</w:t>
            </w:r>
          </w:p>
          <w:p>
            <w:pPr>
              <w:pStyle w:val="2"/>
            </w:pPr>
          </w:p>
          <w:p>
            <w:pPr>
              <w:pStyle w:val="4"/>
            </w:pPr>
          </w:p>
          <w:p/>
          <w:p>
            <w:pPr>
              <w:pStyle w:val="2"/>
            </w:pPr>
          </w:p>
          <w:p>
            <w:pPr>
              <w:pStyle w:val="4"/>
            </w:pPr>
          </w:p>
          <w:p>
            <w:pPr>
              <w:pStyle w:val="4"/>
            </w:pPr>
          </w:p>
          <w:p/>
          <w:p>
            <w:pPr>
              <w:pStyle w:val="2"/>
            </w:pPr>
          </w:p>
          <w:p>
            <w:pPr>
              <w:pStyle w:val="4"/>
            </w:pPr>
          </w:p>
          <w:p/>
          <w:p>
            <w:pPr>
              <w:pStyle w:val="2"/>
            </w:pPr>
          </w:p>
          <w:p>
            <w:pPr>
              <w:pStyle w:val="4"/>
            </w:pPr>
          </w:p>
          <w:p/>
          <w:p>
            <w:pPr>
              <w:spacing w:line="360" w:lineRule="auto"/>
              <w:jc w:val="center"/>
              <w:rPr>
                <w:rFonts w:hAnsi="宋体"/>
                <w:kern w:val="0"/>
                <w:sz w:val="24"/>
              </w:rPr>
            </w:pPr>
            <w:r>
              <w:rPr>
                <w:rFonts w:hAnsi="宋体"/>
                <w:kern w:val="0"/>
                <w:sz w:val="24"/>
              </w:rPr>
              <w:drawing>
                <wp:inline distT="0" distB="0" distL="0" distR="0">
                  <wp:extent cx="5381625" cy="3289935"/>
                  <wp:effectExtent l="19050" t="0" r="9525" b="0"/>
                  <wp:docPr id="68" name="图片 68" descr="C:\Users\JET\Documents\WeChat Files\wxid_32f6s68zf6ta12\FileStorage\Temp\172600763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JET\Documents\WeChat Files\wxid_32f6s68zf6ta12\FileStorage\Temp\1726007637741.png"/>
                          <pic:cNvPicPr>
                            <a:picLocks noChangeAspect="1" noChangeArrowheads="1"/>
                          </pic:cNvPicPr>
                        </pic:nvPicPr>
                        <pic:blipFill>
                          <a:blip r:embed="rId19" cstate="print"/>
                          <a:srcRect/>
                          <a:stretch>
                            <a:fillRect/>
                          </a:stretch>
                        </pic:blipFill>
                        <pic:spPr>
                          <a:xfrm>
                            <a:off x="0" y="0"/>
                            <a:ext cx="5395157" cy="3298316"/>
                          </a:xfrm>
                          <a:prstGeom prst="rect">
                            <a:avLst/>
                          </a:prstGeom>
                          <a:noFill/>
                          <a:ln w="9525">
                            <a:noFill/>
                            <a:miter lim="800000"/>
                            <a:headEnd/>
                            <a:tailEnd/>
                          </a:ln>
                        </pic:spPr>
                      </pic:pic>
                    </a:graphicData>
                  </a:graphic>
                </wp:inline>
              </w:drawing>
            </w:r>
          </w:p>
          <w:p>
            <w:pPr>
              <w:adjustRightInd w:val="0"/>
              <w:snapToGrid w:val="0"/>
              <w:spacing w:afterLines="50"/>
              <w:jc w:val="center"/>
              <w:rPr>
                <w:b/>
                <w:bCs/>
                <w:szCs w:val="21"/>
              </w:rPr>
            </w:pPr>
            <w:r>
              <w:rPr>
                <w:b/>
                <w:bCs/>
                <w:szCs w:val="21"/>
              </w:rPr>
              <w:t>图</w:t>
            </w:r>
            <w:r>
              <w:rPr>
                <w:rFonts w:hint="eastAsia"/>
                <w:b/>
                <w:bCs/>
                <w:szCs w:val="21"/>
              </w:rPr>
              <w:t>3-1</w:t>
            </w:r>
            <w:r>
              <w:rPr>
                <w:b/>
                <w:bCs/>
                <w:szCs w:val="21"/>
              </w:rPr>
              <w:t xml:space="preserve"> </w:t>
            </w:r>
            <w:r>
              <w:rPr>
                <w:rFonts w:hint="eastAsia"/>
                <w:b/>
                <w:bCs/>
                <w:szCs w:val="21"/>
              </w:rPr>
              <w:t xml:space="preserve"> 2023年1~12月衡阳市地表水水质情况</w:t>
            </w:r>
          </w:p>
          <w:p>
            <w:pPr>
              <w:pStyle w:val="2"/>
              <w:spacing w:line="360" w:lineRule="auto"/>
              <w:ind w:firstLine="480" w:firstLineChars="200"/>
              <w:jc w:val="both"/>
              <w:rPr>
                <w:rFonts w:ascii="Times New Roman" w:hAnsi="宋体" w:cs="Times New Roman"/>
                <w:bCs/>
                <w:color w:val="auto"/>
              </w:rPr>
            </w:pPr>
            <w:r>
              <w:rPr>
                <w:rFonts w:hint="eastAsia" w:ascii="Times New Roman" w:hAnsi="宋体" w:cs="Times New Roman"/>
                <w:bCs/>
                <w:color w:val="auto"/>
              </w:rPr>
              <w:t>根据上表可知，监测断面水质满足《地表水环境质量标准》（</w:t>
            </w:r>
            <w:r>
              <w:rPr>
                <w:rFonts w:ascii="Times New Roman" w:hAnsi="宋体" w:cs="Times New Roman"/>
                <w:bCs/>
                <w:color w:val="auto"/>
              </w:rPr>
              <w:t>GB3838-2002</w:t>
            </w:r>
            <w:r>
              <w:rPr>
                <w:rFonts w:hint="eastAsia" w:ascii="Times New Roman" w:hAnsi="宋体" w:cs="Times New Roman"/>
                <w:bCs/>
                <w:color w:val="auto"/>
              </w:rPr>
              <w:t>）Ⅲ类标准的要求，项目所在区域地表水环境质量现状较好。</w:t>
            </w:r>
          </w:p>
          <w:p>
            <w:pPr>
              <w:pStyle w:val="58"/>
              <w:ind w:firstLine="514"/>
              <w:rPr>
                <w:b/>
              </w:rPr>
            </w:pPr>
            <w:r>
              <w:rPr>
                <w:b/>
                <w:spacing w:val="8"/>
                <w:szCs w:val="24"/>
              </w:rPr>
              <w:t>三、噪声环境</w:t>
            </w:r>
            <w:r>
              <w:rPr>
                <w:b/>
              </w:rPr>
              <w:t>质量现状</w:t>
            </w:r>
          </w:p>
          <w:p>
            <w:pPr>
              <w:pStyle w:val="2"/>
              <w:spacing w:line="360" w:lineRule="auto"/>
              <w:ind w:firstLine="480" w:firstLineChars="200"/>
              <w:jc w:val="both"/>
              <w:rPr>
                <w:rFonts w:ascii="Times New Roman" w:hAnsi="宋体" w:cs="Times New Roman"/>
                <w:bCs/>
                <w:color w:val="auto"/>
              </w:rPr>
            </w:pPr>
            <w:r>
              <w:rPr>
                <w:rFonts w:ascii="Times New Roman" w:hAnsi="宋体" w:cs="Times New Roman"/>
                <w:bCs/>
                <w:color w:val="auto"/>
              </w:rPr>
              <w:t>根据《建设项目环境影响报告表编制技术指南（污染影响类）（试行）》，厂界外周边50米范围内存在声环境保护目标的建设项目，应监测保护目标声环境质量现状并评价达标情况。</w:t>
            </w:r>
          </w:p>
          <w:p>
            <w:pPr>
              <w:pStyle w:val="2"/>
              <w:spacing w:line="360" w:lineRule="auto"/>
              <w:ind w:firstLine="480" w:firstLineChars="200"/>
              <w:jc w:val="both"/>
              <w:rPr>
                <w:rFonts w:ascii="Times New Roman" w:hAnsi="宋体" w:cs="Times New Roman"/>
                <w:bCs/>
                <w:color w:val="auto"/>
              </w:rPr>
            </w:pPr>
            <w:r>
              <w:rPr>
                <w:rFonts w:ascii="Times New Roman" w:hAnsi="宋体" w:cs="Times New Roman"/>
                <w:bCs/>
                <w:color w:val="auto"/>
              </w:rPr>
              <w:t>本项目位于</w:t>
            </w:r>
            <w:r>
              <w:rPr>
                <w:rFonts w:hint="eastAsia"/>
                <w:color w:val="auto"/>
              </w:rPr>
              <w:t>衡山高新技术产业开发区坪青路旁</w:t>
            </w:r>
            <w:r>
              <w:rPr>
                <w:rFonts w:ascii="Times New Roman" w:hAnsi="宋体" w:cs="Times New Roman"/>
                <w:bCs/>
                <w:color w:val="auto"/>
              </w:rPr>
              <w:t>，</w:t>
            </w:r>
            <w:r>
              <w:rPr>
                <w:rFonts w:hint="eastAsia" w:ascii="Times New Roman" w:hAnsi="宋体" w:cs="Times New Roman"/>
                <w:bCs/>
                <w:color w:val="auto"/>
              </w:rPr>
              <w:t>项目用地</w:t>
            </w:r>
            <w:r>
              <w:rPr>
                <w:rFonts w:ascii="Times New Roman" w:hAnsi="宋体" w:cs="Times New Roman"/>
                <w:bCs/>
                <w:color w:val="auto"/>
              </w:rPr>
              <w:t>周边50m范围内无声环境保护目标，因此不进行声环境质量现状监测与评价。</w:t>
            </w:r>
          </w:p>
          <w:p>
            <w:pPr>
              <w:pStyle w:val="58"/>
              <w:ind w:firstLine="514"/>
              <w:rPr>
                <w:b/>
              </w:rPr>
            </w:pPr>
            <w:r>
              <w:rPr>
                <w:b/>
                <w:spacing w:val="8"/>
                <w:szCs w:val="24"/>
              </w:rPr>
              <w:t>四、</w:t>
            </w:r>
            <w:r>
              <w:rPr>
                <w:rFonts w:hint="eastAsia"/>
                <w:b/>
              </w:rPr>
              <w:t>生态环境现状</w:t>
            </w:r>
          </w:p>
          <w:p>
            <w:pPr>
              <w:snapToGrid w:val="0"/>
              <w:spacing w:line="360" w:lineRule="auto"/>
              <w:ind w:firstLine="480" w:firstLineChars="200"/>
              <w:rPr>
                <w:sz w:val="24"/>
              </w:rPr>
            </w:pPr>
            <w:r>
              <w:rPr>
                <w:rFonts w:hint="eastAsia"/>
                <w:sz w:val="24"/>
              </w:rPr>
              <w:t>本项目位于</w:t>
            </w:r>
            <w:r>
              <w:rPr>
                <w:sz w:val="24"/>
              </w:rPr>
              <w:t>衡山高新技术产业开发区</w:t>
            </w:r>
            <w:r>
              <w:rPr>
                <w:rFonts w:hint="eastAsia"/>
                <w:sz w:val="24"/>
              </w:rPr>
              <w:t>，区域人类活动频繁，现场地内已无原生植被，无大型动物栖息环境，现场地内植被主要为人工植被，区域生态环境一般。</w:t>
            </w:r>
          </w:p>
          <w:p>
            <w:pPr>
              <w:snapToGrid w:val="0"/>
              <w:spacing w:line="360" w:lineRule="auto"/>
              <w:ind w:firstLine="482" w:firstLineChars="200"/>
              <w:rPr>
                <w:b/>
                <w:sz w:val="24"/>
              </w:rPr>
            </w:pPr>
            <w:r>
              <w:rPr>
                <w:rFonts w:hint="eastAsia"/>
                <w:b/>
                <w:sz w:val="24"/>
              </w:rPr>
              <w:t>五、土壤、地下水环境</w:t>
            </w:r>
          </w:p>
          <w:p>
            <w:pPr>
              <w:snapToGrid w:val="0"/>
              <w:spacing w:line="360" w:lineRule="auto"/>
              <w:ind w:firstLine="480" w:firstLineChars="200"/>
              <w:rPr>
                <w:sz w:val="24"/>
              </w:rPr>
            </w:pPr>
            <w:r>
              <w:rPr>
                <w:rFonts w:hint="eastAsia"/>
                <w:sz w:val="24"/>
              </w:rPr>
              <w:t>根据《建设项目环境影响报告表编制技术指南（污染影响类）》（试行）可知，地下水、土壤原则上不开展环境质量现状调查。项目厂区用地范围内采取了分区防渗措施，不存在地下水、土壤污染途径，因此，不进行地下水、土壤环境质量现状监测</w:t>
            </w:r>
            <w:r>
              <w:rPr>
                <w:sz w:val="24"/>
              </w:rPr>
              <w:t>。</w:t>
            </w:r>
          </w:p>
          <w:p>
            <w:pPr>
              <w:tabs>
                <w:tab w:val="left" w:pos="3544"/>
              </w:tabs>
              <w:adjustRightInd w:val="0"/>
              <w:snapToGrid w:val="0"/>
              <w:spacing w:line="360" w:lineRule="auto"/>
              <w:ind w:firstLine="482" w:firstLineChars="200"/>
              <w:rPr>
                <w:b/>
                <w:sz w:val="24"/>
              </w:rPr>
            </w:pPr>
            <w:r>
              <w:rPr>
                <w:rFonts w:hint="eastAsia"/>
                <w:b/>
                <w:sz w:val="24"/>
              </w:rPr>
              <w:t>六、电磁辐射</w:t>
            </w:r>
          </w:p>
          <w:p>
            <w:pPr>
              <w:snapToGrid w:val="0"/>
              <w:spacing w:line="360" w:lineRule="auto"/>
              <w:ind w:firstLine="480" w:firstLineChars="200"/>
              <w:rPr>
                <w:sz w:val="24"/>
              </w:rPr>
            </w:pPr>
            <w:r>
              <w:rPr>
                <w:sz w:val="24"/>
              </w:rPr>
              <w:t>本项目不涉及电磁辐射设备，不进行电磁辐射影响评价，因此无需进行电磁辐射环境现状调查</w:t>
            </w: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pPr>
              <w:adjustRightInd w:val="0"/>
              <w:snapToGrid w:val="0"/>
              <w:jc w:val="center"/>
              <w:rPr>
                <w:b/>
                <w:kern w:val="0"/>
                <w:sz w:val="24"/>
              </w:rPr>
            </w:pPr>
            <w:r>
              <w:rPr>
                <w:rFonts w:hint="eastAsia"/>
                <w:b/>
                <w:kern w:val="0"/>
                <w:sz w:val="24"/>
              </w:rPr>
              <w:t>环境</w:t>
            </w:r>
          </w:p>
          <w:p>
            <w:pPr>
              <w:adjustRightInd w:val="0"/>
              <w:snapToGrid w:val="0"/>
              <w:jc w:val="center"/>
              <w:rPr>
                <w:b/>
                <w:kern w:val="0"/>
                <w:sz w:val="24"/>
              </w:rPr>
            </w:pPr>
            <w:r>
              <w:rPr>
                <w:rFonts w:hint="eastAsia"/>
                <w:b/>
                <w:kern w:val="0"/>
                <w:sz w:val="24"/>
              </w:rPr>
              <w:t>保护</w:t>
            </w:r>
          </w:p>
          <w:p>
            <w:pPr>
              <w:adjustRightInd w:val="0"/>
              <w:snapToGrid w:val="0"/>
              <w:jc w:val="center"/>
              <w:rPr>
                <w:kern w:val="0"/>
                <w:sz w:val="24"/>
              </w:rPr>
            </w:pPr>
            <w:r>
              <w:rPr>
                <w:rFonts w:hint="eastAsia"/>
                <w:b/>
                <w:kern w:val="0"/>
                <w:sz w:val="24"/>
              </w:rPr>
              <w:t>目标</w:t>
            </w:r>
          </w:p>
        </w:tc>
        <w:tc>
          <w:tcPr>
            <w:tcW w:w="4718" w:type="pct"/>
            <w:vAlign w:val="center"/>
          </w:tcPr>
          <w:p>
            <w:pPr>
              <w:adjustRightInd w:val="0"/>
              <w:snapToGrid w:val="0"/>
              <w:spacing w:line="360" w:lineRule="auto"/>
              <w:ind w:firstLine="482" w:firstLineChars="200"/>
              <w:rPr>
                <w:b/>
                <w:kern w:val="0"/>
                <w:sz w:val="24"/>
              </w:rPr>
            </w:pPr>
            <w:r>
              <w:rPr>
                <w:b/>
                <w:kern w:val="0"/>
                <w:sz w:val="24"/>
              </w:rPr>
              <w:t>一、大气环境保护目标</w:t>
            </w:r>
          </w:p>
          <w:p>
            <w:pPr>
              <w:adjustRightInd w:val="0"/>
              <w:snapToGrid w:val="0"/>
              <w:spacing w:line="360" w:lineRule="auto"/>
              <w:ind w:firstLine="480" w:firstLineChars="200"/>
              <w:rPr>
                <w:kern w:val="0"/>
                <w:sz w:val="24"/>
              </w:rPr>
            </w:pPr>
            <w:r>
              <w:rPr>
                <w:rFonts w:hint="eastAsia"/>
                <w:kern w:val="0"/>
                <w:sz w:val="24"/>
              </w:rPr>
              <w:t>厂界外500m范围内大气环境敏感点主要为居住区等，具体情况见下表，敏感点分布情况见附表3-3及附图。</w:t>
            </w:r>
          </w:p>
          <w:p>
            <w:pPr>
              <w:adjustRightInd w:val="0"/>
              <w:snapToGrid w:val="0"/>
              <w:spacing w:beforeLines="50"/>
              <w:jc w:val="center"/>
              <w:rPr>
                <w:b/>
                <w:bCs/>
                <w:szCs w:val="21"/>
              </w:rPr>
            </w:pPr>
            <w:r>
              <w:rPr>
                <w:b/>
                <w:bCs/>
                <w:szCs w:val="21"/>
              </w:rPr>
              <w:t>表</w:t>
            </w:r>
            <w:r>
              <w:rPr>
                <w:rFonts w:hint="eastAsia"/>
                <w:b/>
                <w:bCs/>
                <w:szCs w:val="21"/>
              </w:rPr>
              <w:t xml:space="preserve">3-3 </w:t>
            </w:r>
            <w:r>
              <w:rPr>
                <w:b/>
                <w:bCs/>
                <w:szCs w:val="21"/>
              </w:rPr>
              <w:t xml:space="preserve"> 项目环境敏感保护目标一览表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9"/>
              <w:gridCol w:w="1730"/>
              <w:gridCol w:w="1612"/>
              <w:gridCol w:w="1271"/>
              <w:gridCol w:w="647"/>
              <w:gridCol w:w="798"/>
              <w:gridCol w:w="957"/>
              <w:gridCol w:w="1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1" w:type="pct"/>
                  <w:vMerge w:val="restart"/>
                  <w:shd w:val="clear" w:color="auto" w:fill="auto"/>
                  <w:vAlign w:val="center"/>
                </w:tcPr>
                <w:p>
                  <w:pPr>
                    <w:autoSpaceDE w:val="0"/>
                    <w:autoSpaceDN w:val="0"/>
                    <w:adjustRightInd w:val="0"/>
                    <w:jc w:val="center"/>
                    <w:rPr>
                      <w:b/>
                      <w:kern w:val="0"/>
                      <w:szCs w:val="21"/>
                    </w:rPr>
                  </w:pPr>
                  <w:r>
                    <w:rPr>
                      <w:b/>
                      <w:kern w:val="0"/>
                      <w:szCs w:val="21"/>
                    </w:rPr>
                    <w:t>名称</w:t>
                  </w:r>
                </w:p>
              </w:tc>
              <w:tc>
                <w:tcPr>
                  <w:tcW w:w="1781" w:type="pct"/>
                  <w:gridSpan w:val="2"/>
                  <w:shd w:val="clear" w:color="auto" w:fill="auto"/>
                  <w:vAlign w:val="center"/>
                </w:tcPr>
                <w:p>
                  <w:pPr>
                    <w:autoSpaceDE w:val="0"/>
                    <w:autoSpaceDN w:val="0"/>
                    <w:adjustRightInd w:val="0"/>
                    <w:jc w:val="center"/>
                    <w:rPr>
                      <w:b/>
                      <w:kern w:val="0"/>
                      <w:szCs w:val="21"/>
                    </w:rPr>
                  </w:pPr>
                  <w:r>
                    <w:rPr>
                      <w:b/>
                      <w:kern w:val="0"/>
                      <w:szCs w:val="21"/>
                    </w:rPr>
                    <w:t>坐标</w:t>
                  </w:r>
                  <w:r>
                    <w:rPr>
                      <w:rFonts w:hint="eastAsia"/>
                      <w:b/>
                      <w:kern w:val="0"/>
                      <w:szCs w:val="21"/>
                    </w:rPr>
                    <w:t>/m</w:t>
                  </w:r>
                </w:p>
              </w:tc>
              <w:tc>
                <w:tcPr>
                  <w:tcW w:w="677" w:type="pct"/>
                  <w:vMerge w:val="restart"/>
                  <w:shd w:val="clear" w:color="auto" w:fill="auto"/>
                  <w:vAlign w:val="center"/>
                </w:tcPr>
                <w:p>
                  <w:pPr>
                    <w:autoSpaceDE w:val="0"/>
                    <w:autoSpaceDN w:val="0"/>
                    <w:adjustRightInd w:val="0"/>
                    <w:jc w:val="center"/>
                    <w:rPr>
                      <w:b/>
                      <w:kern w:val="0"/>
                      <w:szCs w:val="21"/>
                    </w:rPr>
                  </w:pPr>
                  <w:r>
                    <w:rPr>
                      <w:b/>
                      <w:kern w:val="0"/>
                      <w:szCs w:val="21"/>
                    </w:rPr>
                    <w:t>保护对象</w:t>
                  </w:r>
                </w:p>
              </w:tc>
              <w:tc>
                <w:tcPr>
                  <w:tcW w:w="345" w:type="pct"/>
                  <w:vMerge w:val="restart"/>
                  <w:shd w:val="clear" w:color="auto" w:fill="auto"/>
                  <w:vAlign w:val="center"/>
                </w:tcPr>
                <w:p>
                  <w:pPr>
                    <w:autoSpaceDE w:val="0"/>
                    <w:autoSpaceDN w:val="0"/>
                    <w:adjustRightInd w:val="0"/>
                    <w:jc w:val="center"/>
                    <w:rPr>
                      <w:b/>
                      <w:kern w:val="0"/>
                      <w:szCs w:val="21"/>
                    </w:rPr>
                  </w:pPr>
                  <w:r>
                    <w:rPr>
                      <w:b/>
                      <w:kern w:val="0"/>
                      <w:szCs w:val="21"/>
                    </w:rPr>
                    <w:t>保护内容</w:t>
                  </w:r>
                </w:p>
              </w:tc>
              <w:tc>
                <w:tcPr>
                  <w:tcW w:w="425" w:type="pct"/>
                  <w:vMerge w:val="restart"/>
                  <w:shd w:val="clear" w:color="auto" w:fill="auto"/>
                  <w:vAlign w:val="center"/>
                </w:tcPr>
                <w:p>
                  <w:pPr>
                    <w:autoSpaceDE w:val="0"/>
                    <w:autoSpaceDN w:val="0"/>
                    <w:adjustRightInd w:val="0"/>
                    <w:jc w:val="center"/>
                    <w:rPr>
                      <w:b/>
                      <w:kern w:val="0"/>
                      <w:szCs w:val="21"/>
                    </w:rPr>
                  </w:pPr>
                  <w:r>
                    <w:rPr>
                      <w:b/>
                      <w:kern w:val="0"/>
                      <w:szCs w:val="21"/>
                    </w:rPr>
                    <w:t>环境功能区</w:t>
                  </w:r>
                </w:p>
              </w:tc>
              <w:tc>
                <w:tcPr>
                  <w:tcW w:w="510" w:type="pct"/>
                  <w:vMerge w:val="restart"/>
                  <w:shd w:val="clear" w:color="auto" w:fill="auto"/>
                  <w:vAlign w:val="center"/>
                </w:tcPr>
                <w:p>
                  <w:pPr>
                    <w:autoSpaceDE w:val="0"/>
                    <w:autoSpaceDN w:val="0"/>
                    <w:adjustRightInd w:val="0"/>
                    <w:jc w:val="center"/>
                    <w:rPr>
                      <w:b/>
                      <w:kern w:val="0"/>
                      <w:szCs w:val="21"/>
                    </w:rPr>
                  </w:pPr>
                  <w:r>
                    <w:rPr>
                      <w:b/>
                      <w:kern w:val="0"/>
                      <w:szCs w:val="21"/>
                    </w:rPr>
                    <w:t>相对厂址方位</w:t>
                  </w:r>
                </w:p>
              </w:tc>
              <w:tc>
                <w:tcPr>
                  <w:tcW w:w="671" w:type="pct"/>
                  <w:vMerge w:val="restart"/>
                  <w:shd w:val="clear" w:color="auto" w:fill="auto"/>
                  <w:vAlign w:val="center"/>
                </w:tcPr>
                <w:p>
                  <w:pPr>
                    <w:autoSpaceDE w:val="0"/>
                    <w:autoSpaceDN w:val="0"/>
                    <w:adjustRightInd w:val="0"/>
                    <w:jc w:val="center"/>
                    <w:rPr>
                      <w:b/>
                      <w:kern w:val="0"/>
                      <w:szCs w:val="21"/>
                    </w:rPr>
                  </w:pPr>
                  <w:r>
                    <w:rPr>
                      <w:b/>
                      <w:kern w:val="0"/>
                      <w:szCs w:val="21"/>
                    </w:rPr>
                    <w:t>相对</w:t>
                  </w:r>
                  <w:r>
                    <w:rPr>
                      <w:rFonts w:hint="eastAsia"/>
                      <w:b/>
                      <w:kern w:val="0"/>
                      <w:szCs w:val="21"/>
                    </w:rPr>
                    <w:t>厂界</w:t>
                  </w:r>
                  <w:r>
                    <w:rPr>
                      <w:b/>
                      <w:kern w:val="0"/>
                      <w:szCs w:val="21"/>
                    </w:rPr>
                    <w:t>距离</w:t>
                  </w:r>
                  <w:r>
                    <w:rPr>
                      <w:rFonts w:hint="eastAsia"/>
                      <w:b/>
                      <w:kern w:val="0"/>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1" w:type="pct"/>
                  <w:vMerge w:val="continue"/>
                  <w:shd w:val="clear" w:color="auto" w:fill="auto"/>
                  <w:vAlign w:val="center"/>
                </w:tcPr>
                <w:p>
                  <w:pPr>
                    <w:autoSpaceDE w:val="0"/>
                    <w:autoSpaceDN w:val="0"/>
                    <w:adjustRightInd w:val="0"/>
                    <w:jc w:val="center"/>
                    <w:rPr>
                      <w:b/>
                      <w:kern w:val="0"/>
                      <w:szCs w:val="21"/>
                    </w:rPr>
                  </w:pPr>
                </w:p>
              </w:tc>
              <w:tc>
                <w:tcPr>
                  <w:tcW w:w="922" w:type="pct"/>
                  <w:shd w:val="clear" w:color="auto" w:fill="auto"/>
                  <w:vAlign w:val="center"/>
                </w:tcPr>
                <w:p>
                  <w:pPr>
                    <w:autoSpaceDE w:val="0"/>
                    <w:autoSpaceDN w:val="0"/>
                    <w:adjustRightInd w:val="0"/>
                    <w:jc w:val="center"/>
                    <w:rPr>
                      <w:b/>
                      <w:kern w:val="0"/>
                      <w:szCs w:val="21"/>
                    </w:rPr>
                  </w:pPr>
                  <w:r>
                    <w:rPr>
                      <w:rFonts w:hint="eastAsia"/>
                      <w:b/>
                      <w:kern w:val="0"/>
                      <w:szCs w:val="21"/>
                    </w:rPr>
                    <w:t>X</w:t>
                  </w:r>
                </w:p>
              </w:tc>
              <w:tc>
                <w:tcPr>
                  <w:tcW w:w="859" w:type="pct"/>
                  <w:shd w:val="clear" w:color="auto" w:fill="auto"/>
                  <w:vAlign w:val="center"/>
                </w:tcPr>
                <w:p>
                  <w:pPr>
                    <w:autoSpaceDE w:val="0"/>
                    <w:autoSpaceDN w:val="0"/>
                    <w:adjustRightInd w:val="0"/>
                    <w:jc w:val="center"/>
                    <w:rPr>
                      <w:b/>
                      <w:kern w:val="0"/>
                      <w:szCs w:val="21"/>
                    </w:rPr>
                  </w:pPr>
                  <w:r>
                    <w:rPr>
                      <w:rFonts w:hint="eastAsia"/>
                      <w:b/>
                      <w:kern w:val="0"/>
                      <w:szCs w:val="21"/>
                    </w:rPr>
                    <w:t>Y</w:t>
                  </w:r>
                </w:p>
              </w:tc>
              <w:tc>
                <w:tcPr>
                  <w:tcW w:w="677" w:type="pct"/>
                  <w:vMerge w:val="continue"/>
                  <w:shd w:val="clear" w:color="auto" w:fill="auto"/>
                  <w:vAlign w:val="center"/>
                </w:tcPr>
                <w:p>
                  <w:pPr>
                    <w:autoSpaceDE w:val="0"/>
                    <w:autoSpaceDN w:val="0"/>
                    <w:adjustRightInd w:val="0"/>
                    <w:jc w:val="center"/>
                    <w:rPr>
                      <w:b/>
                      <w:kern w:val="0"/>
                      <w:szCs w:val="21"/>
                    </w:rPr>
                  </w:pPr>
                </w:p>
              </w:tc>
              <w:tc>
                <w:tcPr>
                  <w:tcW w:w="345" w:type="pct"/>
                  <w:vMerge w:val="continue"/>
                  <w:shd w:val="clear" w:color="auto" w:fill="auto"/>
                  <w:vAlign w:val="center"/>
                </w:tcPr>
                <w:p>
                  <w:pPr>
                    <w:autoSpaceDE w:val="0"/>
                    <w:autoSpaceDN w:val="0"/>
                    <w:adjustRightInd w:val="0"/>
                    <w:jc w:val="center"/>
                    <w:rPr>
                      <w:b/>
                      <w:kern w:val="0"/>
                      <w:szCs w:val="21"/>
                    </w:rPr>
                  </w:pPr>
                </w:p>
              </w:tc>
              <w:tc>
                <w:tcPr>
                  <w:tcW w:w="425" w:type="pct"/>
                  <w:vMerge w:val="continue"/>
                  <w:shd w:val="clear" w:color="auto" w:fill="auto"/>
                  <w:vAlign w:val="center"/>
                </w:tcPr>
                <w:p>
                  <w:pPr>
                    <w:autoSpaceDE w:val="0"/>
                    <w:autoSpaceDN w:val="0"/>
                    <w:adjustRightInd w:val="0"/>
                    <w:jc w:val="center"/>
                    <w:rPr>
                      <w:b/>
                      <w:kern w:val="0"/>
                      <w:szCs w:val="21"/>
                    </w:rPr>
                  </w:pPr>
                </w:p>
              </w:tc>
              <w:tc>
                <w:tcPr>
                  <w:tcW w:w="510" w:type="pct"/>
                  <w:vMerge w:val="continue"/>
                  <w:shd w:val="clear" w:color="auto" w:fill="auto"/>
                  <w:vAlign w:val="center"/>
                </w:tcPr>
                <w:p>
                  <w:pPr>
                    <w:autoSpaceDE w:val="0"/>
                    <w:autoSpaceDN w:val="0"/>
                    <w:adjustRightInd w:val="0"/>
                    <w:jc w:val="center"/>
                    <w:rPr>
                      <w:b/>
                      <w:kern w:val="0"/>
                      <w:szCs w:val="21"/>
                    </w:rPr>
                  </w:pPr>
                </w:p>
              </w:tc>
              <w:tc>
                <w:tcPr>
                  <w:tcW w:w="671" w:type="pct"/>
                  <w:vMerge w:val="continue"/>
                  <w:shd w:val="clear" w:color="auto" w:fill="auto"/>
                  <w:vAlign w:val="center"/>
                </w:tcPr>
                <w:p>
                  <w:pPr>
                    <w:autoSpaceDE w:val="0"/>
                    <w:autoSpaceDN w:val="0"/>
                    <w:adjustRightInd w:val="0"/>
                    <w:jc w:val="center"/>
                    <w:rPr>
                      <w:b/>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1" w:type="pct"/>
                  <w:shd w:val="clear" w:color="auto" w:fill="auto"/>
                  <w:vAlign w:val="center"/>
                </w:tcPr>
                <w:p>
                  <w:pPr>
                    <w:autoSpaceDE w:val="0"/>
                    <w:autoSpaceDN w:val="0"/>
                    <w:adjustRightInd w:val="0"/>
                    <w:jc w:val="center"/>
                    <w:rPr>
                      <w:kern w:val="0"/>
                      <w:szCs w:val="21"/>
                    </w:rPr>
                  </w:pPr>
                  <w:r>
                    <w:rPr>
                      <w:rFonts w:hint="eastAsia" w:eastAsiaTheme="minorEastAsia"/>
                      <w:szCs w:val="21"/>
                    </w:rPr>
                    <w:t>青山冲居民点①</w:t>
                  </w:r>
                </w:p>
              </w:tc>
              <w:tc>
                <w:tcPr>
                  <w:tcW w:w="922" w:type="pct"/>
                  <w:shd w:val="clear" w:color="auto" w:fill="auto"/>
                  <w:vAlign w:val="center"/>
                </w:tcPr>
                <w:p>
                  <w:pPr>
                    <w:autoSpaceDE w:val="0"/>
                    <w:autoSpaceDN w:val="0"/>
                    <w:adjustRightInd w:val="0"/>
                    <w:jc w:val="center"/>
                    <w:rPr>
                      <w:kern w:val="0"/>
                      <w:szCs w:val="21"/>
                    </w:rPr>
                  </w:pPr>
                  <w:r>
                    <w:rPr>
                      <w:rFonts w:eastAsiaTheme="minorEastAsia"/>
                      <w:szCs w:val="21"/>
                    </w:rPr>
                    <w:t>112.877362</w:t>
                  </w:r>
                  <w:r>
                    <w:rPr>
                      <w:rFonts w:hint="eastAsia"/>
                      <w:kern w:val="0"/>
                      <w:szCs w:val="21"/>
                    </w:rPr>
                    <w:t>°</w:t>
                  </w:r>
                </w:p>
              </w:tc>
              <w:tc>
                <w:tcPr>
                  <w:tcW w:w="859" w:type="pct"/>
                  <w:shd w:val="clear" w:color="auto" w:fill="auto"/>
                  <w:vAlign w:val="center"/>
                </w:tcPr>
                <w:p>
                  <w:pPr>
                    <w:autoSpaceDE w:val="0"/>
                    <w:autoSpaceDN w:val="0"/>
                    <w:adjustRightInd w:val="0"/>
                    <w:jc w:val="center"/>
                    <w:rPr>
                      <w:kern w:val="0"/>
                      <w:szCs w:val="21"/>
                    </w:rPr>
                  </w:pPr>
                  <w:r>
                    <w:rPr>
                      <w:rFonts w:eastAsiaTheme="minorEastAsia"/>
                      <w:szCs w:val="21"/>
                    </w:rPr>
                    <w:t>27.280241</w:t>
                  </w:r>
                  <w:r>
                    <w:rPr>
                      <w:rFonts w:hint="eastAsia"/>
                      <w:kern w:val="0"/>
                      <w:szCs w:val="21"/>
                    </w:rPr>
                    <w:t>°</w:t>
                  </w:r>
                </w:p>
              </w:tc>
              <w:tc>
                <w:tcPr>
                  <w:tcW w:w="677" w:type="pct"/>
                  <w:shd w:val="clear" w:color="auto" w:fill="auto"/>
                  <w:vAlign w:val="center"/>
                </w:tcPr>
                <w:p>
                  <w:pPr>
                    <w:autoSpaceDE w:val="0"/>
                    <w:autoSpaceDN w:val="0"/>
                    <w:adjustRightInd w:val="0"/>
                    <w:jc w:val="center"/>
                    <w:rPr>
                      <w:kern w:val="0"/>
                      <w:szCs w:val="21"/>
                    </w:rPr>
                  </w:pPr>
                  <w:r>
                    <w:rPr>
                      <w:rFonts w:eastAsiaTheme="minorEastAsia"/>
                      <w:szCs w:val="21"/>
                    </w:rPr>
                    <w:t>居民</w:t>
                  </w:r>
                  <w:r>
                    <w:rPr>
                      <w:rFonts w:hint="eastAsia" w:eastAsiaTheme="minorEastAsia"/>
                      <w:szCs w:val="21"/>
                    </w:rPr>
                    <w:t>，约12户</w:t>
                  </w:r>
                </w:p>
              </w:tc>
              <w:tc>
                <w:tcPr>
                  <w:tcW w:w="345" w:type="pct"/>
                  <w:shd w:val="clear" w:color="auto" w:fill="auto"/>
                  <w:vAlign w:val="center"/>
                </w:tcPr>
                <w:p>
                  <w:pPr>
                    <w:autoSpaceDE w:val="0"/>
                    <w:autoSpaceDN w:val="0"/>
                    <w:adjustRightInd w:val="0"/>
                    <w:jc w:val="center"/>
                    <w:rPr>
                      <w:kern w:val="0"/>
                      <w:szCs w:val="21"/>
                    </w:rPr>
                  </w:pPr>
                  <w:r>
                    <w:rPr>
                      <w:kern w:val="0"/>
                      <w:szCs w:val="21"/>
                    </w:rPr>
                    <w:t>人群</w:t>
                  </w:r>
                </w:p>
              </w:tc>
              <w:tc>
                <w:tcPr>
                  <w:tcW w:w="425" w:type="pct"/>
                  <w:shd w:val="clear" w:color="auto" w:fill="auto"/>
                  <w:vAlign w:val="center"/>
                </w:tcPr>
                <w:p>
                  <w:pPr>
                    <w:autoSpaceDE w:val="0"/>
                    <w:autoSpaceDN w:val="0"/>
                    <w:adjustRightInd w:val="0"/>
                    <w:jc w:val="center"/>
                    <w:rPr>
                      <w:kern w:val="0"/>
                      <w:szCs w:val="21"/>
                    </w:rPr>
                  </w:pPr>
                  <w:r>
                    <w:rPr>
                      <w:kern w:val="0"/>
                      <w:szCs w:val="21"/>
                    </w:rPr>
                    <w:t>二类区</w:t>
                  </w:r>
                </w:p>
              </w:tc>
              <w:tc>
                <w:tcPr>
                  <w:tcW w:w="510" w:type="pct"/>
                  <w:shd w:val="clear" w:color="auto" w:fill="auto"/>
                  <w:vAlign w:val="center"/>
                </w:tcPr>
                <w:p>
                  <w:pPr>
                    <w:autoSpaceDE w:val="0"/>
                    <w:autoSpaceDN w:val="0"/>
                    <w:adjustRightInd w:val="0"/>
                    <w:jc w:val="center"/>
                    <w:rPr>
                      <w:kern w:val="0"/>
                      <w:szCs w:val="21"/>
                    </w:rPr>
                  </w:pPr>
                  <w:r>
                    <w:rPr>
                      <w:rFonts w:hint="eastAsia"/>
                      <w:kern w:val="0"/>
                      <w:szCs w:val="21"/>
                    </w:rPr>
                    <w:t>西南</w:t>
                  </w:r>
                </w:p>
              </w:tc>
              <w:tc>
                <w:tcPr>
                  <w:tcW w:w="671" w:type="pct"/>
                  <w:shd w:val="clear" w:color="auto" w:fill="auto"/>
                  <w:vAlign w:val="center"/>
                </w:tcPr>
                <w:p>
                  <w:pPr>
                    <w:autoSpaceDE w:val="0"/>
                    <w:autoSpaceDN w:val="0"/>
                    <w:adjustRightInd w:val="0"/>
                    <w:jc w:val="center"/>
                    <w:rPr>
                      <w:kern w:val="0"/>
                      <w:szCs w:val="21"/>
                    </w:rPr>
                  </w:pPr>
                  <w:r>
                    <w:rPr>
                      <w:rFonts w:hint="eastAsia"/>
                      <w:kern w:val="0"/>
                      <w:szCs w:val="21"/>
                    </w:rPr>
                    <w:t>65~500m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1" w:type="pct"/>
                  <w:shd w:val="clear" w:color="auto" w:fill="auto"/>
                  <w:vAlign w:val="center"/>
                </w:tcPr>
                <w:p>
                  <w:pPr>
                    <w:autoSpaceDE w:val="0"/>
                    <w:autoSpaceDN w:val="0"/>
                    <w:adjustRightInd w:val="0"/>
                    <w:jc w:val="center"/>
                    <w:rPr>
                      <w:kern w:val="0"/>
                      <w:szCs w:val="21"/>
                    </w:rPr>
                  </w:pPr>
                  <w:r>
                    <w:rPr>
                      <w:rFonts w:hint="eastAsia" w:eastAsiaTheme="minorEastAsia"/>
                      <w:szCs w:val="21"/>
                    </w:rPr>
                    <w:t>青山冲居民点②</w:t>
                  </w:r>
                </w:p>
              </w:tc>
              <w:tc>
                <w:tcPr>
                  <w:tcW w:w="922" w:type="pct"/>
                  <w:shd w:val="clear" w:color="auto" w:fill="auto"/>
                  <w:vAlign w:val="center"/>
                </w:tcPr>
                <w:p>
                  <w:pPr>
                    <w:autoSpaceDE w:val="0"/>
                    <w:autoSpaceDN w:val="0"/>
                    <w:adjustRightInd w:val="0"/>
                    <w:jc w:val="center"/>
                    <w:rPr>
                      <w:kern w:val="0"/>
                      <w:szCs w:val="21"/>
                    </w:rPr>
                  </w:pPr>
                  <w:r>
                    <w:rPr>
                      <w:rFonts w:eastAsiaTheme="minorEastAsia"/>
                      <w:szCs w:val="21"/>
                    </w:rPr>
                    <w:t>112.877606</w:t>
                  </w:r>
                  <w:r>
                    <w:rPr>
                      <w:rFonts w:hint="eastAsia"/>
                      <w:kern w:val="0"/>
                      <w:szCs w:val="21"/>
                    </w:rPr>
                    <w:t>°</w:t>
                  </w:r>
                </w:p>
              </w:tc>
              <w:tc>
                <w:tcPr>
                  <w:tcW w:w="859" w:type="pct"/>
                  <w:shd w:val="clear" w:color="auto" w:fill="auto"/>
                  <w:vAlign w:val="center"/>
                </w:tcPr>
                <w:p>
                  <w:pPr>
                    <w:autoSpaceDE w:val="0"/>
                    <w:autoSpaceDN w:val="0"/>
                    <w:adjustRightInd w:val="0"/>
                    <w:jc w:val="center"/>
                    <w:rPr>
                      <w:kern w:val="0"/>
                      <w:szCs w:val="21"/>
                    </w:rPr>
                  </w:pPr>
                  <w:r>
                    <w:rPr>
                      <w:rFonts w:eastAsiaTheme="minorEastAsia"/>
                      <w:szCs w:val="21"/>
                    </w:rPr>
                    <w:t>27.282933</w:t>
                  </w:r>
                  <w:r>
                    <w:rPr>
                      <w:rFonts w:hint="eastAsia"/>
                      <w:kern w:val="0"/>
                      <w:szCs w:val="21"/>
                    </w:rPr>
                    <w:t>°</w:t>
                  </w:r>
                </w:p>
              </w:tc>
              <w:tc>
                <w:tcPr>
                  <w:tcW w:w="677" w:type="pct"/>
                  <w:shd w:val="clear" w:color="auto" w:fill="auto"/>
                  <w:vAlign w:val="center"/>
                </w:tcPr>
                <w:p>
                  <w:pPr>
                    <w:autoSpaceDE w:val="0"/>
                    <w:autoSpaceDN w:val="0"/>
                    <w:adjustRightInd w:val="0"/>
                    <w:jc w:val="center"/>
                    <w:rPr>
                      <w:kern w:val="0"/>
                      <w:szCs w:val="21"/>
                    </w:rPr>
                  </w:pPr>
                  <w:r>
                    <w:rPr>
                      <w:rFonts w:eastAsiaTheme="minorEastAsia"/>
                      <w:szCs w:val="21"/>
                    </w:rPr>
                    <w:t>居民</w:t>
                  </w:r>
                  <w:r>
                    <w:rPr>
                      <w:rFonts w:hint="eastAsia" w:eastAsiaTheme="minorEastAsia"/>
                      <w:szCs w:val="21"/>
                    </w:rPr>
                    <w:t>，约20户</w:t>
                  </w:r>
                </w:p>
              </w:tc>
              <w:tc>
                <w:tcPr>
                  <w:tcW w:w="345" w:type="pct"/>
                  <w:shd w:val="clear" w:color="auto" w:fill="auto"/>
                  <w:vAlign w:val="center"/>
                </w:tcPr>
                <w:p>
                  <w:pPr>
                    <w:autoSpaceDE w:val="0"/>
                    <w:autoSpaceDN w:val="0"/>
                    <w:adjustRightInd w:val="0"/>
                    <w:jc w:val="center"/>
                    <w:rPr>
                      <w:kern w:val="0"/>
                      <w:szCs w:val="21"/>
                    </w:rPr>
                  </w:pPr>
                  <w:r>
                    <w:rPr>
                      <w:kern w:val="0"/>
                      <w:szCs w:val="21"/>
                    </w:rPr>
                    <w:t>人群</w:t>
                  </w:r>
                </w:p>
              </w:tc>
              <w:tc>
                <w:tcPr>
                  <w:tcW w:w="425" w:type="pct"/>
                  <w:shd w:val="clear" w:color="auto" w:fill="auto"/>
                  <w:vAlign w:val="center"/>
                </w:tcPr>
                <w:p>
                  <w:pPr>
                    <w:autoSpaceDE w:val="0"/>
                    <w:autoSpaceDN w:val="0"/>
                    <w:adjustRightInd w:val="0"/>
                    <w:jc w:val="center"/>
                    <w:rPr>
                      <w:kern w:val="0"/>
                      <w:szCs w:val="21"/>
                    </w:rPr>
                  </w:pPr>
                  <w:r>
                    <w:rPr>
                      <w:kern w:val="0"/>
                      <w:szCs w:val="21"/>
                    </w:rPr>
                    <w:t>二类区</w:t>
                  </w:r>
                </w:p>
              </w:tc>
              <w:tc>
                <w:tcPr>
                  <w:tcW w:w="510" w:type="pct"/>
                  <w:shd w:val="clear" w:color="auto" w:fill="auto"/>
                  <w:vAlign w:val="center"/>
                </w:tcPr>
                <w:p>
                  <w:pPr>
                    <w:autoSpaceDE w:val="0"/>
                    <w:autoSpaceDN w:val="0"/>
                    <w:adjustRightInd w:val="0"/>
                    <w:jc w:val="center"/>
                    <w:rPr>
                      <w:kern w:val="0"/>
                      <w:szCs w:val="21"/>
                    </w:rPr>
                  </w:pPr>
                  <w:r>
                    <w:rPr>
                      <w:rFonts w:hint="eastAsia"/>
                      <w:kern w:val="0"/>
                      <w:szCs w:val="21"/>
                    </w:rPr>
                    <w:t>西北</w:t>
                  </w:r>
                </w:p>
              </w:tc>
              <w:tc>
                <w:tcPr>
                  <w:tcW w:w="671" w:type="pct"/>
                  <w:shd w:val="clear" w:color="auto" w:fill="auto"/>
                  <w:vAlign w:val="center"/>
                </w:tcPr>
                <w:p>
                  <w:pPr>
                    <w:autoSpaceDE w:val="0"/>
                    <w:autoSpaceDN w:val="0"/>
                    <w:adjustRightInd w:val="0"/>
                    <w:jc w:val="center"/>
                    <w:rPr>
                      <w:kern w:val="0"/>
                      <w:szCs w:val="21"/>
                    </w:rPr>
                  </w:pPr>
                  <w:r>
                    <w:rPr>
                      <w:rFonts w:hint="eastAsia"/>
                      <w:kern w:val="0"/>
                      <w:szCs w:val="21"/>
                    </w:rPr>
                    <w:t>135~500m</w:t>
                  </w:r>
                </w:p>
              </w:tc>
            </w:tr>
          </w:tbl>
          <w:p>
            <w:pPr>
              <w:adjustRightInd w:val="0"/>
              <w:snapToGrid w:val="0"/>
              <w:spacing w:line="360" w:lineRule="auto"/>
              <w:ind w:firstLine="482" w:firstLineChars="200"/>
              <w:rPr>
                <w:b/>
                <w:kern w:val="0"/>
                <w:sz w:val="24"/>
              </w:rPr>
            </w:pPr>
            <w:r>
              <w:rPr>
                <w:b/>
                <w:kern w:val="0"/>
                <w:sz w:val="24"/>
              </w:rPr>
              <w:t>二、水环境保护目标</w:t>
            </w:r>
          </w:p>
          <w:p>
            <w:pPr>
              <w:adjustRightInd w:val="0"/>
              <w:snapToGrid w:val="0"/>
              <w:spacing w:line="360" w:lineRule="auto"/>
              <w:ind w:firstLine="480" w:firstLineChars="200"/>
              <w:rPr>
                <w:kern w:val="0"/>
                <w:sz w:val="24"/>
              </w:rPr>
            </w:pPr>
            <w:r>
              <w:rPr>
                <w:kern w:val="0"/>
                <w:sz w:val="24"/>
              </w:rPr>
              <w:t>项目周边水体为</w:t>
            </w:r>
            <w:r>
              <w:rPr>
                <w:rFonts w:hint="eastAsia"/>
                <w:kern w:val="0"/>
                <w:sz w:val="24"/>
              </w:rPr>
              <w:t>湘江</w:t>
            </w:r>
            <w:r>
              <w:rPr>
                <w:kern w:val="0"/>
                <w:sz w:val="24"/>
              </w:rPr>
              <w:t>，本项目具体的地表水环境保护目标详见下表：</w:t>
            </w:r>
          </w:p>
          <w:p>
            <w:pPr>
              <w:adjustRightInd w:val="0"/>
              <w:snapToGrid w:val="0"/>
              <w:spacing w:beforeLines="50"/>
              <w:jc w:val="center"/>
              <w:rPr>
                <w:b/>
                <w:bCs/>
                <w:szCs w:val="21"/>
              </w:rPr>
            </w:pPr>
            <w:r>
              <w:rPr>
                <w:b/>
                <w:bCs/>
                <w:szCs w:val="21"/>
              </w:rPr>
              <w:t>表3-</w:t>
            </w:r>
            <w:r>
              <w:rPr>
                <w:rFonts w:hint="eastAsia"/>
                <w:b/>
                <w:bCs/>
                <w:szCs w:val="21"/>
              </w:rPr>
              <w:t>4</w:t>
            </w:r>
            <w:r>
              <w:rPr>
                <w:b/>
                <w:bCs/>
                <w:szCs w:val="21"/>
              </w:rPr>
              <w:t xml:space="preserve">  地表水环境保护目标一览表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2"/>
              <w:gridCol w:w="1813"/>
              <w:gridCol w:w="1368"/>
              <w:gridCol w:w="1368"/>
              <w:gridCol w:w="1539"/>
              <w:gridCol w:w="22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1" w:type="pct"/>
                  <w:vAlign w:val="center"/>
                </w:tcPr>
                <w:p>
                  <w:pPr>
                    <w:spacing w:line="0" w:lineRule="atLeast"/>
                    <w:jc w:val="center"/>
                    <w:rPr>
                      <w:b/>
                      <w:szCs w:val="21"/>
                    </w:rPr>
                  </w:pPr>
                  <w:r>
                    <w:rPr>
                      <w:b/>
                      <w:szCs w:val="21"/>
                    </w:rPr>
                    <w:t>类别</w:t>
                  </w:r>
                </w:p>
              </w:tc>
              <w:tc>
                <w:tcPr>
                  <w:tcW w:w="966" w:type="pct"/>
                  <w:vAlign w:val="center"/>
                </w:tcPr>
                <w:p>
                  <w:pPr>
                    <w:spacing w:line="0" w:lineRule="atLeast"/>
                    <w:jc w:val="center"/>
                    <w:rPr>
                      <w:b/>
                      <w:szCs w:val="21"/>
                    </w:rPr>
                  </w:pPr>
                  <w:r>
                    <w:rPr>
                      <w:b/>
                      <w:szCs w:val="21"/>
                    </w:rPr>
                    <w:t>保护目标</w:t>
                  </w:r>
                </w:p>
              </w:tc>
              <w:tc>
                <w:tcPr>
                  <w:tcW w:w="729" w:type="pct"/>
                  <w:vAlign w:val="center"/>
                </w:tcPr>
                <w:p>
                  <w:pPr>
                    <w:spacing w:line="0" w:lineRule="atLeast"/>
                    <w:ind w:right="-80" w:rightChars="-38"/>
                    <w:jc w:val="center"/>
                    <w:rPr>
                      <w:b/>
                      <w:szCs w:val="21"/>
                    </w:rPr>
                  </w:pPr>
                  <w:r>
                    <w:rPr>
                      <w:b/>
                      <w:szCs w:val="21"/>
                    </w:rPr>
                    <w:t>规模</w:t>
                  </w:r>
                  <w:r>
                    <w:rPr>
                      <w:rFonts w:hint="eastAsia"/>
                      <w:b/>
                      <w:szCs w:val="21"/>
                    </w:rPr>
                    <w:t>/功能</w:t>
                  </w:r>
                </w:p>
              </w:tc>
              <w:tc>
                <w:tcPr>
                  <w:tcW w:w="729" w:type="pct"/>
                  <w:vAlign w:val="center"/>
                </w:tcPr>
                <w:p>
                  <w:pPr>
                    <w:spacing w:line="0" w:lineRule="atLeast"/>
                    <w:jc w:val="center"/>
                    <w:rPr>
                      <w:b/>
                      <w:szCs w:val="21"/>
                    </w:rPr>
                  </w:pPr>
                  <w:r>
                    <w:rPr>
                      <w:b/>
                      <w:szCs w:val="21"/>
                    </w:rPr>
                    <w:t>与项目相对位置</w:t>
                  </w:r>
                </w:p>
              </w:tc>
              <w:tc>
                <w:tcPr>
                  <w:tcW w:w="820" w:type="pct"/>
                  <w:vAlign w:val="center"/>
                </w:tcPr>
                <w:p>
                  <w:pPr>
                    <w:spacing w:line="0" w:lineRule="atLeast"/>
                    <w:jc w:val="center"/>
                    <w:rPr>
                      <w:b/>
                      <w:szCs w:val="21"/>
                    </w:rPr>
                  </w:pPr>
                  <w:r>
                    <w:rPr>
                      <w:b/>
                      <w:szCs w:val="21"/>
                    </w:rPr>
                    <w:t>距离项目区最近距离</w:t>
                  </w:r>
                </w:p>
              </w:tc>
              <w:tc>
                <w:tcPr>
                  <w:tcW w:w="1185" w:type="pct"/>
                  <w:vAlign w:val="center"/>
                </w:tcPr>
                <w:p>
                  <w:pPr>
                    <w:spacing w:line="0" w:lineRule="atLeast"/>
                    <w:jc w:val="center"/>
                    <w:rPr>
                      <w:b/>
                      <w:szCs w:val="21"/>
                    </w:rPr>
                  </w:pPr>
                  <w:r>
                    <w:rPr>
                      <w:b/>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1" w:type="pct"/>
                  <w:vAlign w:val="center"/>
                </w:tcPr>
                <w:p>
                  <w:pPr>
                    <w:spacing w:line="0" w:lineRule="atLeast"/>
                    <w:ind w:left="-78" w:leftChars="-37" w:right="-86" w:rightChars="-41"/>
                    <w:jc w:val="center"/>
                    <w:rPr>
                      <w:szCs w:val="21"/>
                    </w:rPr>
                  </w:pPr>
                  <w:r>
                    <w:rPr>
                      <w:szCs w:val="21"/>
                    </w:rPr>
                    <w:t>水环境</w:t>
                  </w:r>
                </w:p>
              </w:tc>
              <w:tc>
                <w:tcPr>
                  <w:tcW w:w="966" w:type="pct"/>
                  <w:vAlign w:val="center"/>
                </w:tcPr>
                <w:p>
                  <w:pPr>
                    <w:jc w:val="center"/>
                    <w:rPr>
                      <w:szCs w:val="21"/>
                    </w:rPr>
                  </w:pPr>
                  <w:r>
                    <w:rPr>
                      <w:rFonts w:hint="eastAsia"/>
                      <w:szCs w:val="21"/>
                    </w:rPr>
                    <w:t>湘江（</w:t>
                  </w:r>
                  <w:r>
                    <w:rPr>
                      <w:rFonts w:hint="eastAsia"/>
                    </w:rPr>
                    <w:t>衡山县污水处理厂排污口上游500m—排污口下游1000m段</w:t>
                  </w:r>
                  <w:r>
                    <w:rPr>
                      <w:rFonts w:hint="eastAsia"/>
                      <w:szCs w:val="21"/>
                    </w:rPr>
                    <w:t>）</w:t>
                  </w:r>
                </w:p>
              </w:tc>
              <w:tc>
                <w:tcPr>
                  <w:tcW w:w="729" w:type="pct"/>
                  <w:vAlign w:val="center"/>
                </w:tcPr>
                <w:p>
                  <w:pPr>
                    <w:ind w:firstLine="27" w:firstLineChars="13"/>
                    <w:jc w:val="center"/>
                    <w:rPr>
                      <w:szCs w:val="21"/>
                    </w:rPr>
                  </w:pPr>
                  <w:r>
                    <w:rPr>
                      <w:rFonts w:hint="eastAsia"/>
                    </w:rPr>
                    <w:t>渔业用水</w:t>
                  </w:r>
                </w:p>
              </w:tc>
              <w:tc>
                <w:tcPr>
                  <w:tcW w:w="729" w:type="pct"/>
                  <w:vAlign w:val="center"/>
                </w:tcPr>
                <w:p>
                  <w:pPr>
                    <w:jc w:val="center"/>
                    <w:rPr>
                      <w:szCs w:val="21"/>
                    </w:rPr>
                  </w:pPr>
                  <w:r>
                    <w:rPr>
                      <w:rFonts w:hint="eastAsia"/>
                      <w:szCs w:val="21"/>
                    </w:rPr>
                    <w:t>东南</w:t>
                  </w:r>
                </w:p>
              </w:tc>
              <w:tc>
                <w:tcPr>
                  <w:tcW w:w="820" w:type="pct"/>
                  <w:vAlign w:val="center"/>
                </w:tcPr>
                <w:p>
                  <w:pPr>
                    <w:jc w:val="center"/>
                    <w:rPr>
                      <w:szCs w:val="21"/>
                    </w:rPr>
                  </w:pPr>
                  <w:r>
                    <w:rPr>
                      <w:rFonts w:hint="eastAsia"/>
                      <w:szCs w:val="21"/>
                    </w:rPr>
                    <w:t>2.45km</w:t>
                  </w:r>
                </w:p>
              </w:tc>
              <w:tc>
                <w:tcPr>
                  <w:tcW w:w="1185" w:type="pct"/>
                  <w:vAlign w:val="center"/>
                </w:tcPr>
                <w:p>
                  <w:pPr>
                    <w:spacing w:line="0" w:lineRule="atLeast"/>
                    <w:jc w:val="center"/>
                    <w:rPr>
                      <w:szCs w:val="21"/>
                    </w:rPr>
                  </w:pPr>
                  <w:r>
                    <w:rPr>
                      <w:rFonts w:hint="eastAsia"/>
                      <w:bCs/>
                      <w:szCs w:val="21"/>
                    </w:rPr>
                    <w:t>（GB3838-2002）中Ⅲ类标准</w:t>
                  </w:r>
                </w:p>
              </w:tc>
            </w:tr>
          </w:tbl>
          <w:p>
            <w:pPr>
              <w:adjustRightInd w:val="0"/>
              <w:snapToGrid w:val="0"/>
              <w:spacing w:line="360" w:lineRule="auto"/>
              <w:ind w:firstLine="482" w:firstLineChars="200"/>
              <w:rPr>
                <w:b/>
                <w:kern w:val="0"/>
                <w:sz w:val="24"/>
              </w:rPr>
            </w:pPr>
            <w:r>
              <w:rPr>
                <w:rFonts w:hint="eastAsia"/>
                <w:b/>
                <w:kern w:val="0"/>
                <w:sz w:val="24"/>
              </w:rPr>
              <w:t>三、声环境保护目标</w:t>
            </w:r>
          </w:p>
          <w:p>
            <w:pPr>
              <w:spacing w:line="360" w:lineRule="auto"/>
              <w:ind w:firstLine="480" w:firstLineChars="200"/>
              <w:rPr>
                <w:sz w:val="24"/>
              </w:rPr>
            </w:pPr>
            <w:r>
              <w:rPr>
                <w:rFonts w:hint="eastAsia"/>
                <w:sz w:val="24"/>
              </w:rPr>
              <w:t>根据对项目所在地实地踏勘，项目厂界外5</w:t>
            </w:r>
            <w:r>
              <w:rPr>
                <w:sz w:val="24"/>
              </w:rPr>
              <w:t>0m</w:t>
            </w:r>
            <w:r>
              <w:rPr>
                <w:rFonts w:hint="eastAsia"/>
                <w:sz w:val="24"/>
              </w:rPr>
              <w:t>范围内无声环境保护目标。</w:t>
            </w:r>
          </w:p>
          <w:p>
            <w:pPr>
              <w:adjustRightInd w:val="0"/>
              <w:snapToGrid w:val="0"/>
              <w:spacing w:line="360" w:lineRule="auto"/>
              <w:ind w:firstLine="482" w:firstLineChars="200"/>
              <w:rPr>
                <w:b/>
                <w:kern w:val="0"/>
                <w:sz w:val="24"/>
              </w:rPr>
            </w:pPr>
            <w:r>
              <w:rPr>
                <w:rFonts w:hint="eastAsia"/>
                <w:b/>
                <w:kern w:val="0"/>
                <w:sz w:val="24"/>
              </w:rPr>
              <w:t>四、其它环境保护目标</w:t>
            </w:r>
          </w:p>
          <w:p>
            <w:pPr>
              <w:adjustRightInd w:val="0"/>
              <w:snapToGrid w:val="0"/>
              <w:spacing w:line="360" w:lineRule="auto"/>
              <w:ind w:firstLine="480" w:firstLineChars="200"/>
              <w:rPr>
                <w:kern w:val="0"/>
                <w:sz w:val="24"/>
              </w:rPr>
            </w:pPr>
            <w:r>
              <w:rPr>
                <w:rFonts w:hint="eastAsia"/>
                <w:kern w:val="0"/>
                <w:sz w:val="24"/>
              </w:rPr>
              <w:t>项目厂界外500m范围内无地下水集中式使用水水源和热水、矿泉水、温泉等特殊地下水资源，无生态环境保护目标。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tcMar>
              <w:left w:w="28" w:type="dxa"/>
              <w:right w:w="28" w:type="dxa"/>
            </w:tcMar>
            <w:vAlign w:val="center"/>
          </w:tcPr>
          <w:p>
            <w:pPr>
              <w:adjustRightInd w:val="0"/>
              <w:snapToGrid w:val="0"/>
              <w:jc w:val="center"/>
              <w:rPr>
                <w:rFonts w:ascii="宋体" w:hAnsi="宋体" w:cs="宋体"/>
                <w:b/>
                <w:kern w:val="0"/>
                <w:sz w:val="24"/>
              </w:rPr>
            </w:pPr>
            <w:r>
              <w:rPr>
                <w:rFonts w:hint="eastAsia" w:ascii="宋体" w:hAnsi="宋体" w:cs="宋体"/>
                <w:b/>
                <w:kern w:val="0"/>
                <w:sz w:val="24"/>
              </w:rPr>
              <w:t>污染</w:t>
            </w:r>
          </w:p>
          <w:p>
            <w:pPr>
              <w:adjustRightInd w:val="0"/>
              <w:snapToGrid w:val="0"/>
              <w:jc w:val="center"/>
              <w:rPr>
                <w:rFonts w:ascii="宋体" w:hAnsi="宋体" w:cs="宋体"/>
                <w:b/>
                <w:kern w:val="0"/>
                <w:sz w:val="24"/>
              </w:rPr>
            </w:pPr>
            <w:r>
              <w:rPr>
                <w:rFonts w:hint="eastAsia" w:ascii="宋体" w:hAnsi="宋体" w:cs="宋体"/>
                <w:b/>
                <w:kern w:val="0"/>
                <w:sz w:val="24"/>
              </w:rPr>
              <w:t>物排</w:t>
            </w:r>
          </w:p>
          <w:p>
            <w:pPr>
              <w:adjustRightInd w:val="0"/>
              <w:snapToGrid w:val="0"/>
              <w:jc w:val="center"/>
              <w:rPr>
                <w:rFonts w:ascii="宋体" w:hAnsi="宋体" w:cs="宋体"/>
                <w:b/>
                <w:kern w:val="0"/>
                <w:sz w:val="24"/>
              </w:rPr>
            </w:pPr>
            <w:r>
              <w:rPr>
                <w:rFonts w:hint="eastAsia" w:ascii="宋体" w:hAnsi="宋体" w:cs="宋体"/>
                <w:b/>
                <w:kern w:val="0"/>
                <w:sz w:val="24"/>
              </w:rPr>
              <w:t>放控</w:t>
            </w:r>
          </w:p>
          <w:p>
            <w:pPr>
              <w:adjustRightInd w:val="0"/>
              <w:snapToGrid w:val="0"/>
              <w:jc w:val="center"/>
              <w:rPr>
                <w:rFonts w:ascii="宋体" w:hAnsi="宋体" w:cs="宋体"/>
                <w:b/>
                <w:kern w:val="0"/>
                <w:sz w:val="24"/>
              </w:rPr>
            </w:pPr>
            <w:r>
              <w:rPr>
                <w:rFonts w:hint="eastAsia" w:ascii="宋体" w:hAnsi="宋体" w:cs="宋体"/>
                <w:b/>
                <w:kern w:val="0"/>
                <w:sz w:val="24"/>
              </w:rPr>
              <w:t>制标</w:t>
            </w:r>
          </w:p>
          <w:p>
            <w:pPr>
              <w:adjustRightInd w:val="0"/>
              <w:snapToGrid w:val="0"/>
              <w:jc w:val="center"/>
              <w:rPr>
                <w:rFonts w:ascii="宋体" w:hAnsi="宋体" w:cs="宋体"/>
                <w:b/>
                <w:kern w:val="0"/>
                <w:sz w:val="24"/>
              </w:rPr>
            </w:pPr>
            <w:r>
              <w:rPr>
                <w:rFonts w:hint="eastAsia" w:ascii="宋体" w:hAnsi="宋体" w:cs="宋体"/>
                <w:b/>
                <w:kern w:val="0"/>
                <w:sz w:val="24"/>
              </w:rPr>
              <w:t>准</w:t>
            </w:r>
          </w:p>
        </w:tc>
        <w:tc>
          <w:tcPr>
            <w:tcW w:w="4718" w:type="pct"/>
            <w:vAlign w:val="center"/>
          </w:tcPr>
          <w:p>
            <w:pPr>
              <w:adjustRightInd w:val="0"/>
              <w:snapToGrid w:val="0"/>
              <w:spacing w:line="360" w:lineRule="auto"/>
              <w:ind w:firstLine="482" w:firstLineChars="200"/>
              <w:rPr>
                <w:rFonts w:ascii="宋体" w:hAnsi="宋体" w:cs="宋体"/>
                <w:b/>
                <w:kern w:val="0"/>
                <w:sz w:val="24"/>
              </w:rPr>
            </w:pPr>
            <w:r>
              <w:rPr>
                <w:rFonts w:ascii="宋体" w:hAnsi="宋体" w:cs="宋体"/>
                <w:b/>
                <w:kern w:val="0"/>
                <w:sz w:val="24"/>
              </w:rPr>
              <w:t>一、废气</w:t>
            </w:r>
          </w:p>
          <w:p>
            <w:pPr>
              <w:pStyle w:val="30"/>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项目施工期产生的废气执行《大气污染物综合排放标准》（GB16297-1996）表2标准，标准限值具体详见下表。</w:t>
            </w:r>
          </w:p>
          <w:p>
            <w:pPr>
              <w:pStyle w:val="14"/>
              <w:spacing w:beforeLines="50"/>
              <w:rPr>
                <w:rFonts w:ascii="Times New Roman" w:hAnsi="Times New Roman"/>
                <w:color w:val="auto"/>
                <w:sz w:val="21"/>
              </w:rPr>
            </w:pPr>
            <w:bookmarkStart w:id="11" w:name="_Toc224704940"/>
            <w:bookmarkStart w:id="12" w:name="_Toc224674326"/>
            <w:r>
              <w:rPr>
                <w:rFonts w:ascii="Times New Roman" w:hAnsi="Times New Roman"/>
                <w:color w:val="auto"/>
                <w:sz w:val="21"/>
              </w:rPr>
              <w:t>表3-</w:t>
            </w:r>
            <w:r>
              <w:rPr>
                <w:rFonts w:hint="eastAsia" w:ascii="Times New Roman" w:hAnsi="Times New Roman"/>
                <w:color w:val="auto"/>
                <w:sz w:val="21"/>
              </w:rPr>
              <w:t>5</w:t>
            </w:r>
            <w:r>
              <w:rPr>
                <w:rFonts w:ascii="Times New Roman" w:hAnsi="Times New Roman"/>
                <w:color w:val="auto"/>
                <w:sz w:val="21"/>
              </w:rPr>
              <w:t xml:space="preserve">  施工期大气污染物排放限值</w:t>
            </w:r>
            <w:bookmarkEnd w:id="11"/>
            <w:bookmarkEnd w:id="12"/>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1"/>
              <w:gridCol w:w="1974"/>
              <w:gridCol w:w="2971"/>
              <w:gridCol w:w="31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77" w:type="pct"/>
                  <w:vMerge w:val="restart"/>
                  <w:vAlign w:val="center"/>
                </w:tcPr>
                <w:p>
                  <w:pPr>
                    <w:tabs>
                      <w:tab w:val="left" w:pos="-2848"/>
                    </w:tabs>
                    <w:spacing w:beforeLines="20" w:afterLines="20"/>
                    <w:jc w:val="center"/>
                    <w:rPr>
                      <w:b/>
                      <w:position w:val="-10"/>
                      <w:szCs w:val="21"/>
                    </w:rPr>
                  </w:pPr>
                  <w:r>
                    <w:rPr>
                      <w:b/>
                      <w:position w:val="-10"/>
                      <w:szCs w:val="21"/>
                    </w:rPr>
                    <w:t>污染物</w:t>
                  </w:r>
                </w:p>
              </w:tc>
              <w:tc>
                <w:tcPr>
                  <w:tcW w:w="1052" w:type="pct"/>
                  <w:vMerge w:val="restart"/>
                  <w:vAlign w:val="center"/>
                </w:tcPr>
                <w:p>
                  <w:pPr>
                    <w:tabs>
                      <w:tab w:val="left" w:pos="-2848"/>
                    </w:tabs>
                    <w:spacing w:beforeLines="20" w:afterLines="20"/>
                    <w:jc w:val="center"/>
                    <w:rPr>
                      <w:b/>
                      <w:position w:val="-10"/>
                      <w:szCs w:val="21"/>
                    </w:rPr>
                  </w:pPr>
                  <w:r>
                    <w:rPr>
                      <w:b/>
                      <w:position w:val="-10"/>
                      <w:szCs w:val="21"/>
                    </w:rPr>
                    <w:t>最高允许排放浓度mg/m</w:t>
                  </w:r>
                  <w:r>
                    <w:rPr>
                      <w:b/>
                      <w:position w:val="-10"/>
                      <w:szCs w:val="21"/>
                      <w:vertAlign w:val="superscript"/>
                    </w:rPr>
                    <w:t>3</w:t>
                  </w:r>
                </w:p>
              </w:tc>
              <w:tc>
                <w:tcPr>
                  <w:tcW w:w="3271" w:type="pct"/>
                  <w:gridSpan w:val="2"/>
                  <w:vAlign w:val="center"/>
                </w:tcPr>
                <w:p>
                  <w:pPr>
                    <w:tabs>
                      <w:tab w:val="left" w:pos="-2848"/>
                    </w:tabs>
                    <w:spacing w:beforeLines="15" w:afterLines="15"/>
                    <w:jc w:val="center"/>
                    <w:rPr>
                      <w:b/>
                      <w:position w:val="-10"/>
                      <w:szCs w:val="21"/>
                    </w:rPr>
                  </w:pPr>
                  <w:r>
                    <w:rPr>
                      <w:b/>
                      <w:position w:val="-10"/>
                      <w:szCs w:val="21"/>
                    </w:rPr>
                    <w:t>无组织排放监控浓度限值mg/m</w:t>
                  </w:r>
                  <w:r>
                    <w:rPr>
                      <w:b/>
                      <w:position w:val="-1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77" w:type="pct"/>
                  <w:vMerge w:val="continue"/>
                  <w:vAlign w:val="center"/>
                </w:tcPr>
                <w:p>
                  <w:pPr>
                    <w:tabs>
                      <w:tab w:val="left" w:pos="-2848"/>
                    </w:tabs>
                    <w:spacing w:beforeLines="20" w:afterLines="20"/>
                    <w:jc w:val="center"/>
                    <w:rPr>
                      <w:b/>
                      <w:position w:val="-10"/>
                      <w:szCs w:val="21"/>
                    </w:rPr>
                  </w:pPr>
                </w:p>
              </w:tc>
              <w:tc>
                <w:tcPr>
                  <w:tcW w:w="1052" w:type="pct"/>
                  <w:vMerge w:val="continue"/>
                  <w:vAlign w:val="center"/>
                </w:tcPr>
                <w:p>
                  <w:pPr>
                    <w:tabs>
                      <w:tab w:val="left" w:pos="-2848"/>
                    </w:tabs>
                    <w:spacing w:beforeLines="20" w:afterLines="20"/>
                    <w:jc w:val="center"/>
                    <w:rPr>
                      <w:b/>
                      <w:position w:val="-10"/>
                      <w:szCs w:val="21"/>
                    </w:rPr>
                  </w:pPr>
                </w:p>
              </w:tc>
              <w:tc>
                <w:tcPr>
                  <w:tcW w:w="1583" w:type="pct"/>
                  <w:vAlign w:val="center"/>
                </w:tcPr>
                <w:p>
                  <w:pPr>
                    <w:tabs>
                      <w:tab w:val="left" w:pos="-2848"/>
                    </w:tabs>
                    <w:spacing w:beforeLines="15" w:afterLines="15"/>
                    <w:jc w:val="center"/>
                    <w:rPr>
                      <w:b/>
                      <w:position w:val="-10"/>
                      <w:szCs w:val="21"/>
                    </w:rPr>
                  </w:pPr>
                  <w:r>
                    <w:rPr>
                      <w:b/>
                      <w:position w:val="-10"/>
                      <w:szCs w:val="21"/>
                    </w:rPr>
                    <w:t>监控点</w:t>
                  </w:r>
                </w:p>
              </w:tc>
              <w:tc>
                <w:tcPr>
                  <w:tcW w:w="1688" w:type="pct"/>
                  <w:vAlign w:val="center"/>
                </w:tcPr>
                <w:p>
                  <w:pPr>
                    <w:tabs>
                      <w:tab w:val="left" w:pos="-2848"/>
                    </w:tabs>
                    <w:spacing w:beforeLines="15" w:afterLines="15"/>
                    <w:jc w:val="center"/>
                    <w:rPr>
                      <w:b/>
                      <w:position w:val="-10"/>
                      <w:szCs w:val="21"/>
                    </w:rPr>
                  </w:pPr>
                  <w:r>
                    <w:rPr>
                      <w:b/>
                      <w:position w:val="-10"/>
                      <w:szCs w:val="21"/>
                    </w:rPr>
                    <w:t>监控点与参照点的浓度差值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77" w:type="pct"/>
                  <w:vAlign w:val="center"/>
                </w:tcPr>
                <w:p>
                  <w:pPr>
                    <w:tabs>
                      <w:tab w:val="left" w:pos="-2848"/>
                    </w:tabs>
                    <w:spacing w:beforeLines="20" w:afterLines="20"/>
                    <w:jc w:val="center"/>
                    <w:rPr>
                      <w:position w:val="-10"/>
                      <w:szCs w:val="21"/>
                    </w:rPr>
                  </w:pPr>
                  <w:r>
                    <w:rPr>
                      <w:position w:val="-10"/>
                      <w:szCs w:val="21"/>
                    </w:rPr>
                    <w:t>颗粒物</w:t>
                  </w:r>
                </w:p>
              </w:tc>
              <w:tc>
                <w:tcPr>
                  <w:tcW w:w="1052" w:type="pct"/>
                  <w:vAlign w:val="center"/>
                </w:tcPr>
                <w:p>
                  <w:pPr>
                    <w:tabs>
                      <w:tab w:val="left" w:pos="-2848"/>
                    </w:tabs>
                    <w:spacing w:beforeLines="20" w:afterLines="20"/>
                    <w:jc w:val="center"/>
                    <w:rPr>
                      <w:position w:val="-10"/>
                      <w:szCs w:val="21"/>
                    </w:rPr>
                  </w:pPr>
                  <w:r>
                    <w:rPr>
                      <w:position w:val="-10"/>
                      <w:szCs w:val="21"/>
                    </w:rPr>
                    <w:t>120</w:t>
                  </w:r>
                </w:p>
              </w:tc>
              <w:tc>
                <w:tcPr>
                  <w:tcW w:w="1583" w:type="pct"/>
                  <w:vMerge w:val="restart"/>
                  <w:vAlign w:val="center"/>
                </w:tcPr>
                <w:p>
                  <w:pPr>
                    <w:tabs>
                      <w:tab w:val="left" w:pos="-2848"/>
                    </w:tabs>
                    <w:spacing w:beforeLines="15" w:afterLines="15"/>
                    <w:jc w:val="center"/>
                    <w:rPr>
                      <w:position w:val="-10"/>
                      <w:szCs w:val="21"/>
                    </w:rPr>
                  </w:pPr>
                  <w:r>
                    <w:rPr>
                      <w:position w:val="-10"/>
                      <w:szCs w:val="21"/>
                    </w:rPr>
                    <w:t>周界外浓度最高点</w:t>
                  </w:r>
                </w:p>
              </w:tc>
              <w:tc>
                <w:tcPr>
                  <w:tcW w:w="1688" w:type="pct"/>
                  <w:vAlign w:val="center"/>
                </w:tcPr>
                <w:p>
                  <w:pPr>
                    <w:tabs>
                      <w:tab w:val="left" w:pos="-2848"/>
                    </w:tabs>
                    <w:spacing w:beforeLines="15" w:afterLines="15"/>
                    <w:jc w:val="center"/>
                    <w:rPr>
                      <w:position w:val="-10"/>
                      <w:szCs w:val="21"/>
                    </w:rPr>
                  </w:pPr>
                  <w:r>
                    <w:rPr>
                      <w:position w:val="-1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77" w:type="pct"/>
                  <w:vAlign w:val="center"/>
                </w:tcPr>
                <w:p>
                  <w:pPr>
                    <w:tabs>
                      <w:tab w:val="left" w:pos="-2848"/>
                    </w:tabs>
                    <w:spacing w:beforeLines="20" w:afterLines="20"/>
                    <w:jc w:val="center"/>
                    <w:rPr>
                      <w:position w:val="-10"/>
                      <w:szCs w:val="21"/>
                    </w:rPr>
                  </w:pPr>
                  <w:r>
                    <w:rPr>
                      <w:kern w:val="18"/>
                      <w:szCs w:val="21"/>
                    </w:rPr>
                    <w:t>SO</w:t>
                  </w:r>
                  <w:r>
                    <w:rPr>
                      <w:kern w:val="18"/>
                      <w:szCs w:val="21"/>
                      <w:vertAlign w:val="subscript"/>
                    </w:rPr>
                    <w:t>2</w:t>
                  </w:r>
                </w:p>
              </w:tc>
              <w:tc>
                <w:tcPr>
                  <w:tcW w:w="1052" w:type="pct"/>
                  <w:vAlign w:val="center"/>
                </w:tcPr>
                <w:p>
                  <w:pPr>
                    <w:tabs>
                      <w:tab w:val="left" w:pos="-2848"/>
                    </w:tabs>
                    <w:spacing w:beforeLines="20" w:afterLines="20"/>
                    <w:jc w:val="center"/>
                    <w:rPr>
                      <w:position w:val="-10"/>
                      <w:szCs w:val="21"/>
                    </w:rPr>
                  </w:pPr>
                  <w:r>
                    <w:rPr>
                      <w:position w:val="-10"/>
                      <w:szCs w:val="21"/>
                    </w:rPr>
                    <w:t>550</w:t>
                  </w:r>
                </w:p>
              </w:tc>
              <w:tc>
                <w:tcPr>
                  <w:tcW w:w="1583" w:type="pct"/>
                  <w:vMerge w:val="continue"/>
                  <w:vAlign w:val="center"/>
                </w:tcPr>
                <w:p>
                  <w:pPr>
                    <w:tabs>
                      <w:tab w:val="left" w:pos="-2848"/>
                    </w:tabs>
                    <w:spacing w:beforeLines="15" w:afterLines="15"/>
                    <w:jc w:val="center"/>
                    <w:rPr>
                      <w:position w:val="-10"/>
                      <w:szCs w:val="21"/>
                    </w:rPr>
                  </w:pPr>
                </w:p>
              </w:tc>
              <w:tc>
                <w:tcPr>
                  <w:tcW w:w="1688" w:type="pct"/>
                  <w:vAlign w:val="center"/>
                </w:tcPr>
                <w:p>
                  <w:pPr>
                    <w:tabs>
                      <w:tab w:val="left" w:pos="-2848"/>
                    </w:tabs>
                    <w:spacing w:beforeLines="15" w:afterLines="15"/>
                    <w:jc w:val="center"/>
                    <w:rPr>
                      <w:position w:val="-10"/>
                      <w:szCs w:val="21"/>
                    </w:rPr>
                  </w:pPr>
                  <w:r>
                    <w:rPr>
                      <w:position w:val="-10"/>
                      <w:szCs w:val="21"/>
                    </w:rPr>
                    <w:t>0.40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77" w:type="pct"/>
                  <w:vAlign w:val="center"/>
                </w:tcPr>
                <w:p>
                  <w:pPr>
                    <w:tabs>
                      <w:tab w:val="left" w:pos="-2848"/>
                    </w:tabs>
                    <w:spacing w:beforeLines="20" w:afterLines="20"/>
                    <w:jc w:val="center"/>
                    <w:rPr>
                      <w:position w:val="-10"/>
                      <w:szCs w:val="21"/>
                    </w:rPr>
                  </w:pPr>
                  <w:r>
                    <w:rPr>
                      <w:kern w:val="18"/>
                      <w:szCs w:val="21"/>
                    </w:rPr>
                    <w:t>NOx</w:t>
                  </w:r>
                </w:p>
              </w:tc>
              <w:tc>
                <w:tcPr>
                  <w:tcW w:w="1052" w:type="pct"/>
                  <w:vAlign w:val="center"/>
                </w:tcPr>
                <w:p>
                  <w:pPr>
                    <w:tabs>
                      <w:tab w:val="left" w:pos="-2848"/>
                    </w:tabs>
                    <w:spacing w:beforeLines="20" w:afterLines="20"/>
                    <w:jc w:val="center"/>
                    <w:rPr>
                      <w:position w:val="-10"/>
                      <w:szCs w:val="21"/>
                    </w:rPr>
                  </w:pPr>
                  <w:r>
                    <w:rPr>
                      <w:position w:val="-10"/>
                      <w:szCs w:val="21"/>
                    </w:rPr>
                    <w:t>240</w:t>
                  </w:r>
                </w:p>
              </w:tc>
              <w:tc>
                <w:tcPr>
                  <w:tcW w:w="1583" w:type="pct"/>
                  <w:vMerge w:val="continue"/>
                  <w:vAlign w:val="center"/>
                </w:tcPr>
                <w:p>
                  <w:pPr>
                    <w:tabs>
                      <w:tab w:val="left" w:pos="-2848"/>
                    </w:tabs>
                    <w:spacing w:beforeLines="15" w:afterLines="15"/>
                    <w:jc w:val="center"/>
                    <w:rPr>
                      <w:position w:val="-10"/>
                      <w:szCs w:val="21"/>
                    </w:rPr>
                  </w:pPr>
                </w:p>
              </w:tc>
              <w:tc>
                <w:tcPr>
                  <w:tcW w:w="1688" w:type="pct"/>
                  <w:vAlign w:val="center"/>
                </w:tcPr>
                <w:p>
                  <w:pPr>
                    <w:tabs>
                      <w:tab w:val="left" w:pos="-2848"/>
                    </w:tabs>
                    <w:spacing w:beforeLines="15" w:afterLines="15"/>
                    <w:jc w:val="center"/>
                    <w:rPr>
                      <w:position w:val="-10"/>
                      <w:szCs w:val="21"/>
                    </w:rPr>
                  </w:pPr>
                  <w:r>
                    <w:rPr>
                      <w:position w:val="-10"/>
                      <w:szCs w:val="21"/>
                    </w:rPr>
                    <w:t>0.12</w:t>
                  </w:r>
                </w:p>
              </w:tc>
            </w:tr>
          </w:tbl>
          <w:p>
            <w:pPr>
              <w:pStyle w:val="30"/>
              <w:adjustRightInd w:val="0"/>
              <w:snapToGrid w:val="0"/>
              <w:spacing w:after="0" w:line="360" w:lineRule="auto"/>
              <w:ind w:firstLine="480" w:firstLineChars="200"/>
              <w:rPr>
                <w:rFonts w:ascii="Times New Roman" w:hAnsi="Times New Roman"/>
                <w:sz w:val="24"/>
              </w:rPr>
            </w:pPr>
            <w:r>
              <w:rPr>
                <w:rFonts w:ascii="Times New Roman" w:hAnsi="Times New Roman"/>
                <w:sz w:val="24"/>
              </w:rPr>
              <w:t>项目运营期</w:t>
            </w:r>
            <w:r>
              <w:rPr>
                <w:rFonts w:hint="eastAsia" w:ascii="Times New Roman" w:hAnsi="Times New Roman"/>
                <w:sz w:val="24"/>
              </w:rPr>
              <w:t>产生的废气主要为有机废气（以非甲烷总烃表征）、颗粒物、臭气浓度，执行《大气污染物综合排放标准》（GB16297-1996）表2新污染物排放限值；厂区内VOCs无组织排放监控点浓度执行《挥发性有机物无组织排放控制标准》（GB37822-2019）附录A表A.1中的排放限值；臭气浓度执行执行《恶臭污染物排放标准》（GB14554-93）表1恶臭污染物厂界标准值；</w:t>
            </w:r>
            <w:r>
              <w:rPr>
                <w:rFonts w:ascii="Times New Roman" w:hAnsi="Times New Roman"/>
                <w:sz w:val="24"/>
              </w:rPr>
              <w:t>厨房油烟废气排放执行《饮食业油烟排放标准》（GB18483-2001）中的标准</w:t>
            </w:r>
            <w:r>
              <w:rPr>
                <w:rFonts w:hint="eastAsia" w:ascii="Times New Roman" w:hAnsi="Times New Roman"/>
                <w:sz w:val="24"/>
              </w:rPr>
              <w:t>要求。</w:t>
            </w:r>
            <w:r>
              <w:rPr>
                <w:rFonts w:ascii="Times New Roman" w:hAnsi="Times New Roman"/>
                <w:sz w:val="24"/>
              </w:rPr>
              <w:t>具体限值见表</w:t>
            </w:r>
            <w:r>
              <w:rPr>
                <w:rFonts w:hint="eastAsia" w:ascii="Times New Roman" w:hAnsi="Times New Roman"/>
                <w:sz w:val="24"/>
              </w:rPr>
              <w:t>3-6~3-9。</w:t>
            </w:r>
          </w:p>
          <w:p>
            <w:pPr>
              <w:pStyle w:val="14"/>
              <w:spacing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3-6</w:t>
            </w:r>
            <w:r>
              <w:rPr>
                <w:rFonts w:ascii="Times New Roman" w:hAnsi="Times New Roman"/>
                <w:color w:val="auto"/>
                <w:sz w:val="21"/>
              </w:rPr>
              <w:t xml:space="preserve"> </w:t>
            </w:r>
            <w:r>
              <w:rPr>
                <w:rFonts w:hint="eastAsia" w:ascii="Times New Roman" w:hAnsi="Times New Roman"/>
                <w:color w:val="auto"/>
                <w:sz w:val="21"/>
              </w:rPr>
              <w:t xml:space="preserve"> 《大气污染物综合排放标准》（GB16297-1996）</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63"/>
              <w:gridCol w:w="1565"/>
              <w:gridCol w:w="1563"/>
              <w:gridCol w:w="1563"/>
              <w:gridCol w:w="1564"/>
              <w:gridCol w:w="15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restart"/>
                  <w:vAlign w:val="center"/>
                </w:tcPr>
                <w:p>
                  <w:pPr>
                    <w:jc w:val="center"/>
                    <w:rPr>
                      <w:b/>
                      <w:szCs w:val="21"/>
                    </w:rPr>
                  </w:pPr>
                  <w:r>
                    <w:rPr>
                      <w:rFonts w:hint="eastAsia"/>
                      <w:b/>
                      <w:szCs w:val="21"/>
                    </w:rPr>
                    <w:t>污染物</w:t>
                  </w:r>
                </w:p>
              </w:tc>
              <w:tc>
                <w:tcPr>
                  <w:tcW w:w="834" w:type="pct"/>
                  <w:vMerge w:val="restart"/>
                  <w:vAlign w:val="center"/>
                </w:tcPr>
                <w:p>
                  <w:pPr>
                    <w:jc w:val="center"/>
                    <w:rPr>
                      <w:b/>
                      <w:szCs w:val="21"/>
                    </w:rPr>
                  </w:pPr>
                  <w:r>
                    <w:rPr>
                      <w:rFonts w:hint="eastAsia"/>
                      <w:b/>
                      <w:szCs w:val="21"/>
                    </w:rPr>
                    <w:t>最高允许排放浓度</w:t>
                  </w:r>
                  <w:r>
                    <w:rPr>
                      <w:rFonts w:hint="eastAsia"/>
                      <w:b/>
                      <w:bCs/>
                      <w:szCs w:val="21"/>
                    </w:rPr>
                    <w:t>（</w:t>
                  </w:r>
                  <w:r>
                    <w:rPr>
                      <w:b/>
                      <w:bCs/>
                      <w:szCs w:val="21"/>
                    </w:rPr>
                    <w:t>mg/m</w:t>
                  </w:r>
                  <w:r>
                    <w:rPr>
                      <w:b/>
                      <w:bCs/>
                      <w:szCs w:val="21"/>
                      <w:vertAlign w:val="superscript"/>
                    </w:rPr>
                    <w:t>3</w:t>
                  </w:r>
                  <w:r>
                    <w:rPr>
                      <w:rFonts w:hint="eastAsia"/>
                      <w:b/>
                      <w:bCs/>
                      <w:szCs w:val="21"/>
                    </w:rPr>
                    <w:t>）</w:t>
                  </w:r>
                </w:p>
              </w:tc>
              <w:tc>
                <w:tcPr>
                  <w:tcW w:w="1666" w:type="pct"/>
                  <w:gridSpan w:val="2"/>
                  <w:vAlign w:val="center"/>
                </w:tcPr>
                <w:p>
                  <w:pPr>
                    <w:jc w:val="center"/>
                    <w:rPr>
                      <w:b/>
                      <w:szCs w:val="21"/>
                    </w:rPr>
                  </w:pPr>
                  <w:r>
                    <w:rPr>
                      <w:rFonts w:hint="eastAsia"/>
                      <w:b/>
                      <w:szCs w:val="21"/>
                    </w:rPr>
                    <w:t>最高允许排放速率（kg/h）</w:t>
                  </w:r>
                </w:p>
              </w:tc>
              <w:tc>
                <w:tcPr>
                  <w:tcW w:w="1667" w:type="pct"/>
                  <w:gridSpan w:val="2"/>
                  <w:vAlign w:val="center"/>
                </w:tcPr>
                <w:p>
                  <w:pPr>
                    <w:jc w:val="center"/>
                    <w:rPr>
                      <w:b/>
                      <w:szCs w:val="21"/>
                    </w:rPr>
                  </w:pPr>
                  <w:r>
                    <w:rPr>
                      <w:rFonts w:hint="eastAsia"/>
                      <w:b/>
                      <w:szCs w:val="21"/>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833" w:type="pct"/>
                  <w:vMerge w:val="continue"/>
                  <w:vAlign w:val="center"/>
                </w:tcPr>
                <w:p>
                  <w:pPr>
                    <w:jc w:val="center"/>
                    <w:rPr>
                      <w:szCs w:val="21"/>
                    </w:rPr>
                  </w:pPr>
                </w:p>
              </w:tc>
              <w:tc>
                <w:tcPr>
                  <w:tcW w:w="834" w:type="pct"/>
                  <w:vMerge w:val="continue"/>
                  <w:vAlign w:val="center"/>
                </w:tcPr>
                <w:p>
                  <w:pPr>
                    <w:jc w:val="center"/>
                    <w:rPr>
                      <w:b/>
                      <w:bCs/>
                      <w:szCs w:val="21"/>
                    </w:rPr>
                  </w:pPr>
                </w:p>
              </w:tc>
              <w:tc>
                <w:tcPr>
                  <w:tcW w:w="833" w:type="pct"/>
                  <w:vAlign w:val="center"/>
                </w:tcPr>
                <w:p>
                  <w:pPr>
                    <w:jc w:val="center"/>
                    <w:rPr>
                      <w:b/>
                      <w:bCs/>
                      <w:szCs w:val="21"/>
                    </w:rPr>
                  </w:pPr>
                  <w:r>
                    <w:rPr>
                      <w:rFonts w:hint="eastAsia"/>
                      <w:b/>
                      <w:bCs/>
                      <w:szCs w:val="21"/>
                    </w:rPr>
                    <w:t>排气筒高度（m）</w:t>
                  </w:r>
                </w:p>
              </w:tc>
              <w:tc>
                <w:tcPr>
                  <w:tcW w:w="833" w:type="pct"/>
                  <w:vAlign w:val="center"/>
                </w:tcPr>
                <w:p>
                  <w:pPr>
                    <w:jc w:val="center"/>
                    <w:rPr>
                      <w:b/>
                      <w:bCs/>
                      <w:szCs w:val="21"/>
                    </w:rPr>
                  </w:pPr>
                  <w:r>
                    <w:rPr>
                      <w:rFonts w:hint="eastAsia"/>
                      <w:b/>
                      <w:bCs/>
                      <w:szCs w:val="21"/>
                    </w:rPr>
                    <w:t>二级</w:t>
                  </w:r>
                </w:p>
              </w:tc>
              <w:tc>
                <w:tcPr>
                  <w:tcW w:w="833" w:type="pct"/>
                  <w:vAlign w:val="center"/>
                </w:tcPr>
                <w:p>
                  <w:pPr>
                    <w:jc w:val="center"/>
                    <w:rPr>
                      <w:b/>
                      <w:bCs/>
                      <w:szCs w:val="21"/>
                    </w:rPr>
                  </w:pPr>
                  <w:r>
                    <w:rPr>
                      <w:rFonts w:hint="eastAsia"/>
                      <w:b/>
                      <w:bCs/>
                      <w:szCs w:val="21"/>
                    </w:rPr>
                    <w:t>监控点</w:t>
                  </w:r>
                </w:p>
              </w:tc>
              <w:tc>
                <w:tcPr>
                  <w:tcW w:w="834" w:type="pct"/>
                  <w:vAlign w:val="center"/>
                </w:tcPr>
                <w:p>
                  <w:pPr>
                    <w:jc w:val="center"/>
                    <w:rPr>
                      <w:b/>
                      <w:bCs/>
                      <w:szCs w:val="21"/>
                    </w:rPr>
                  </w:pPr>
                  <w:r>
                    <w:rPr>
                      <w:rFonts w:hint="eastAsia"/>
                      <w:b/>
                      <w:bCs/>
                      <w:szCs w:val="21"/>
                    </w:rPr>
                    <w:t>浓度（</w:t>
                  </w:r>
                  <w:r>
                    <w:rPr>
                      <w:b/>
                      <w:bCs/>
                      <w:szCs w:val="21"/>
                    </w:rPr>
                    <w:t>mg/m</w:t>
                  </w:r>
                  <w:r>
                    <w:rPr>
                      <w:b/>
                      <w:bCs/>
                      <w:szCs w:val="21"/>
                      <w:vertAlign w:val="superscript"/>
                    </w:rPr>
                    <w:t>3</w:t>
                  </w:r>
                  <w:r>
                    <w:rPr>
                      <w:rFonts w:hint="eastAsia"/>
                      <w:b/>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Align w:val="center"/>
                </w:tcPr>
                <w:p>
                  <w:pPr>
                    <w:jc w:val="center"/>
                    <w:rPr>
                      <w:szCs w:val="21"/>
                    </w:rPr>
                  </w:pPr>
                  <w:r>
                    <w:rPr>
                      <w:rFonts w:hint="eastAsia"/>
                      <w:szCs w:val="21"/>
                    </w:rPr>
                    <w:t>颗粒物</w:t>
                  </w:r>
                </w:p>
              </w:tc>
              <w:tc>
                <w:tcPr>
                  <w:tcW w:w="834" w:type="pct"/>
                  <w:vAlign w:val="center"/>
                </w:tcPr>
                <w:p>
                  <w:pPr>
                    <w:jc w:val="center"/>
                    <w:rPr>
                      <w:szCs w:val="21"/>
                    </w:rPr>
                  </w:pPr>
                  <w:r>
                    <w:rPr>
                      <w:rFonts w:hint="eastAsia"/>
                      <w:szCs w:val="21"/>
                    </w:rPr>
                    <w:t>120</w:t>
                  </w:r>
                </w:p>
              </w:tc>
              <w:tc>
                <w:tcPr>
                  <w:tcW w:w="833" w:type="pct"/>
                  <w:vAlign w:val="center"/>
                </w:tcPr>
                <w:p>
                  <w:pPr>
                    <w:jc w:val="center"/>
                    <w:rPr>
                      <w:szCs w:val="21"/>
                    </w:rPr>
                  </w:pPr>
                  <w:r>
                    <w:rPr>
                      <w:rFonts w:hint="eastAsia"/>
                      <w:szCs w:val="21"/>
                    </w:rPr>
                    <w:t>15</w:t>
                  </w:r>
                </w:p>
              </w:tc>
              <w:tc>
                <w:tcPr>
                  <w:tcW w:w="833" w:type="pct"/>
                  <w:vAlign w:val="center"/>
                </w:tcPr>
                <w:p>
                  <w:pPr>
                    <w:jc w:val="center"/>
                    <w:rPr>
                      <w:szCs w:val="21"/>
                    </w:rPr>
                  </w:pPr>
                  <w:r>
                    <w:rPr>
                      <w:rFonts w:hint="eastAsia"/>
                      <w:szCs w:val="21"/>
                    </w:rPr>
                    <w:t>10</w:t>
                  </w:r>
                </w:p>
              </w:tc>
              <w:tc>
                <w:tcPr>
                  <w:tcW w:w="833" w:type="pct"/>
                  <w:vAlign w:val="center"/>
                </w:tcPr>
                <w:p>
                  <w:pPr>
                    <w:jc w:val="center"/>
                    <w:rPr>
                      <w:szCs w:val="21"/>
                    </w:rPr>
                  </w:pPr>
                  <w:r>
                    <w:rPr>
                      <w:rFonts w:hint="eastAsia"/>
                      <w:szCs w:val="21"/>
                    </w:rPr>
                    <w:t>周界外浓度最高点</w:t>
                  </w:r>
                </w:p>
              </w:tc>
              <w:tc>
                <w:tcPr>
                  <w:tcW w:w="834" w:type="pct"/>
                  <w:vAlign w:val="center"/>
                </w:tcPr>
                <w:p>
                  <w:pPr>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Align w:val="center"/>
                </w:tcPr>
                <w:p>
                  <w:pPr>
                    <w:jc w:val="center"/>
                    <w:rPr>
                      <w:szCs w:val="21"/>
                    </w:rPr>
                  </w:pPr>
                  <w:r>
                    <w:rPr>
                      <w:rFonts w:hint="eastAsia"/>
                      <w:szCs w:val="21"/>
                    </w:rPr>
                    <w:t>非甲烷总烃</w:t>
                  </w:r>
                </w:p>
              </w:tc>
              <w:tc>
                <w:tcPr>
                  <w:tcW w:w="834" w:type="pct"/>
                  <w:vAlign w:val="center"/>
                </w:tcPr>
                <w:p>
                  <w:pPr>
                    <w:jc w:val="center"/>
                    <w:rPr>
                      <w:szCs w:val="21"/>
                    </w:rPr>
                  </w:pPr>
                  <w:r>
                    <w:rPr>
                      <w:rFonts w:hint="eastAsia"/>
                      <w:szCs w:val="21"/>
                    </w:rPr>
                    <w:t>120</w:t>
                  </w:r>
                </w:p>
              </w:tc>
              <w:tc>
                <w:tcPr>
                  <w:tcW w:w="833" w:type="pct"/>
                  <w:vAlign w:val="center"/>
                </w:tcPr>
                <w:p>
                  <w:pPr>
                    <w:jc w:val="center"/>
                    <w:rPr>
                      <w:szCs w:val="21"/>
                    </w:rPr>
                  </w:pPr>
                  <w:r>
                    <w:rPr>
                      <w:rFonts w:hint="eastAsia"/>
                      <w:szCs w:val="21"/>
                    </w:rPr>
                    <w:t>15</w:t>
                  </w:r>
                </w:p>
              </w:tc>
              <w:tc>
                <w:tcPr>
                  <w:tcW w:w="833" w:type="pct"/>
                  <w:vAlign w:val="center"/>
                </w:tcPr>
                <w:p>
                  <w:pPr>
                    <w:jc w:val="center"/>
                    <w:rPr>
                      <w:szCs w:val="21"/>
                    </w:rPr>
                  </w:pPr>
                  <w:r>
                    <w:rPr>
                      <w:rFonts w:hint="eastAsia"/>
                      <w:szCs w:val="21"/>
                    </w:rPr>
                    <w:t>3.5</w:t>
                  </w:r>
                </w:p>
              </w:tc>
              <w:tc>
                <w:tcPr>
                  <w:tcW w:w="833" w:type="pct"/>
                  <w:vAlign w:val="center"/>
                </w:tcPr>
                <w:p>
                  <w:pPr>
                    <w:jc w:val="center"/>
                    <w:rPr>
                      <w:szCs w:val="21"/>
                    </w:rPr>
                  </w:pPr>
                  <w:r>
                    <w:rPr>
                      <w:rFonts w:hint="eastAsia"/>
                      <w:szCs w:val="21"/>
                    </w:rPr>
                    <w:t>周界外浓度最高点</w:t>
                  </w:r>
                </w:p>
              </w:tc>
              <w:tc>
                <w:tcPr>
                  <w:tcW w:w="834" w:type="pct"/>
                  <w:vAlign w:val="center"/>
                </w:tcPr>
                <w:p>
                  <w:pPr>
                    <w:jc w:val="center"/>
                    <w:rPr>
                      <w:szCs w:val="21"/>
                    </w:rPr>
                  </w:pPr>
                  <w:r>
                    <w:rPr>
                      <w:rFonts w:hint="eastAsia"/>
                      <w:szCs w:val="21"/>
                    </w:rPr>
                    <w:t>4.0</w:t>
                  </w:r>
                </w:p>
              </w:tc>
            </w:tr>
          </w:tbl>
          <w:p>
            <w:pPr>
              <w:pStyle w:val="14"/>
              <w:spacing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3-7</w:t>
            </w:r>
            <w:r>
              <w:rPr>
                <w:rFonts w:ascii="Times New Roman" w:hAnsi="Times New Roman"/>
                <w:color w:val="auto"/>
                <w:sz w:val="21"/>
              </w:rPr>
              <w:t xml:space="preserve"> </w:t>
            </w:r>
            <w:r>
              <w:rPr>
                <w:rFonts w:hint="eastAsia" w:ascii="Times New Roman" w:hAnsi="Times New Roman"/>
                <w:color w:val="auto"/>
                <w:sz w:val="21"/>
              </w:rPr>
              <w:t xml:space="preserve"> 《恶臭污染物排放标准》（GB14554-93）</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28"/>
              <w:gridCol w:w="3129"/>
              <w:gridCol w:w="31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7" w:type="pct"/>
                  <w:vAlign w:val="center"/>
                </w:tcPr>
                <w:p>
                  <w:pPr>
                    <w:jc w:val="center"/>
                    <w:rPr>
                      <w:b/>
                      <w:szCs w:val="21"/>
                    </w:rPr>
                  </w:pPr>
                  <w:r>
                    <w:rPr>
                      <w:rFonts w:hint="eastAsia"/>
                      <w:b/>
                      <w:szCs w:val="21"/>
                    </w:rPr>
                    <w:t>污染物项目</w:t>
                  </w:r>
                </w:p>
              </w:tc>
              <w:tc>
                <w:tcPr>
                  <w:tcW w:w="1667" w:type="pct"/>
                  <w:vAlign w:val="center"/>
                </w:tcPr>
                <w:p>
                  <w:pPr>
                    <w:jc w:val="center"/>
                    <w:rPr>
                      <w:b/>
                      <w:szCs w:val="21"/>
                    </w:rPr>
                  </w:pPr>
                  <w:r>
                    <w:rPr>
                      <w:rFonts w:hint="eastAsia"/>
                      <w:b/>
                      <w:szCs w:val="21"/>
                    </w:rPr>
                    <w:t>单位</w:t>
                  </w:r>
                </w:p>
              </w:tc>
              <w:tc>
                <w:tcPr>
                  <w:tcW w:w="1666" w:type="pct"/>
                  <w:vAlign w:val="center"/>
                </w:tcPr>
                <w:p>
                  <w:pPr>
                    <w:jc w:val="center"/>
                    <w:rPr>
                      <w:b/>
                      <w:szCs w:val="21"/>
                    </w:rPr>
                  </w:pPr>
                  <w:r>
                    <w:rPr>
                      <w:rFonts w:hint="eastAsia"/>
                      <w:b/>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1667" w:type="pct"/>
                  <w:vAlign w:val="center"/>
                </w:tcPr>
                <w:p>
                  <w:pPr>
                    <w:jc w:val="center"/>
                    <w:rPr>
                      <w:szCs w:val="21"/>
                    </w:rPr>
                  </w:pPr>
                  <w:r>
                    <w:rPr>
                      <w:szCs w:val="21"/>
                    </w:rPr>
                    <w:t>臭气浓度</w:t>
                  </w:r>
                </w:p>
              </w:tc>
              <w:tc>
                <w:tcPr>
                  <w:tcW w:w="1667" w:type="pct"/>
                  <w:vAlign w:val="center"/>
                </w:tcPr>
                <w:p>
                  <w:pPr>
                    <w:jc w:val="center"/>
                    <w:rPr>
                      <w:szCs w:val="21"/>
                    </w:rPr>
                  </w:pPr>
                  <w:r>
                    <w:rPr>
                      <w:rFonts w:hint="eastAsia"/>
                      <w:szCs w:val="21"/>
                    </w:rPr>
                    <w:t>无量纲</w:t>
                  </w:r>
                </w:p>
              </w:tc>
              <w:tc>
                <w:tcPr>
                  <w:tcW w:w="1666" w:type="pct"/>
                  <w:vAlign w:val="center"/>
                </w:tcPr>
                <w:p>
                  <w:pPr>
                    <w:jc w:val="center"/>
                    <w:rPr>
                      <w:szCs w:val="21"/>
                    </w:rPr>
                  </w:pPr>
                  <w:r>
                    <w:rPr>
                      <w:rFonts w:hint="eastAsia"/>
                      <w:szCs w:val="21"/>
                    </w:rPr>
                    <w:t>20</w:t>
                  </w:r>
                </w:p>
              </w:tc>
            </w:tr>
          </w:tbl>
          <w:p>
            <w:pPr>
              <w:pStyle w:val="14"/>
              <w:spacing w:beforeLines="50"/>
              <w:rPr>
                <w:rFonts w:ascii="Times New Roman" w:hAnsi="Times New Roman"/>
                <w:color w:val="auto"/>
                <w:sz w:val="21"/>
              </w:rPr>
            </w:pPr>
            <w:r>
              <w:rPr>
                <w:rFonts w:hint="eastAsia" w:ascii="Times New Roman" w:hAnsi="Times New Roman"/>
                <w:color w:val="auto"/>
                <w:sz w:val="21"/>
              </w:rPr>
              <w:t>表3-8  厂区内VOCs无组织排放限值</w:t>
            </w:r>
          </w:p>
          <w:tbl>
            <w:tblPr>
              <w:tblStyle w:val="32"/>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44"/>
              <w:gridCol w:w="1891"/>
              <w:gridCol w:w="2796"/>
              <w:gridCol w:w="23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9" w:type="pct"/>
                  <w:vAlign w:val="center"/>
                </w:tcPr>
                <w:p>
                  <w:pPr>
                    <w:jc w:val="center"/>
                    <w:rPr>
                      <w:b/>
                      <w:szCs w:val="21"/>
                    </w:rPr>
                  </w:pPr>
                  <w:r>
                    <w:rPr>
                      <w:rFonts w:hint="eastAsia"/>
                      <w:b/>
                      <w:szCs w:val="21"/>
                    </w:rPr>
                    <w:t>污染物项目</w:t>
                  </w:r>
                </w:p>
              </w:tc>
              <w:tc>
                <w:tcPr>
                  <w:tcW w:w="1008" w:type="pct"/>
                  <w:vAlign w:val="center"/>
                </w:tcPr>
                <w:p>
                  <w:pPr>
                    <w:jc w:val="center"/>
                    <w:rPr>
                      <w:b/>
                      <w:szCs w:val="21"/>
                    </w:rPr>
                  </w:pPr>
                  <w:r>
                    <w:rPr>
                      <w:rFonts w:hint="eastAsia"/>
                      <w:b/>
                      <w:szCs w:val="21"/>
                    </w:rPr>
                    <w:t>特别排放限值</w:t>
                  </w:r>
                </w:p>
              </w:tc>
              <w:tc>
                <w:tcPr>
                  <w:tcW w:w="1490" w:type="pct"/>
                  <w:vAlign w:val="center"/>
                </w:tcPr>
                <w:p>
                  <w:pPr>
                    <w:jc w:val="center"/>
                    <w:rPr>
                      <w:b/>
                      <w:szCs w:val="21"/>
                    </w:rPr>
                  </w:pPr>
                  <w:r>
                    <w:rPr>
                      <w:rFonts w:hint="eastAsia"/>
                      <w:b/>
                      <w:szCs w:val="21"/>
                    </w:rPr>
                    <w:t>限值含义</w:t>
                  </w:r>
                </w:p>
              </w:tc>
              <w:tc>
                <w:tcPr>
                  <w:tcW w:w="1252" w:type="pct"/>
                  <w:vAlign w:val="center"/>
                </w:tcPr>
                <w:p>
                  <w:pPr>
                    <w:jc w:val="center"/>
                    <w:rPr>
                      <w:b/>
                      <w:szCs w:val="21"/>
                    </w:rPr>
                  </w:pPr>
                  <w:r>
                    <w:rPr>
                      <w:rFonts w:hint="eastAsia"/>
                      <w:b/>
                      <w:szCs w:val="21"/>
                    </w:rPr>
                    <w:t>无组织排放监控位置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1249" w:type="pct"/>
                  <w:vMerge w:val="restart"/>
                  <w:vAlign w:val="center"/>
                </w:tcPr>
                <w:p>
                  <w:pPr>
                    <w:jc w:val="center"/>
                    <w:rPr>
                      <w:szCs w:val="21"/>
                    </w:rPr>
                  </w:pPr>
                  <w:r>
                    <w:rPr>
                      <w:rFonts w:hint="eastAsia"/>
                      <w:szCs w:val="21"/>
                    </w:rPr>
                    <w:t>NMHC</w:t>
                  </w:r>
                </w:p>
              </w:tc>
              <w:tc>
                <w:tcPr>
                  <w:tcW w:w="1008" w:type="pct"/>
                  <w:vAlign w:val="center"/>
                </w:tcPr>
                <w:p>
                  <w:pPr>
                    <w:jc w:val="center"/>
                    <w:rPr>
                      <w:szCs w:val="21"/>
                    </w:rPr>
                  </w:pPr>
                  <w:r>
                    <w:rPr>
                      <w:rFonts w:hint="eastAsia"/>
                      <w:szCs w:val="21"/>
                    </w:rPr>
                    <w:t>6</w:t>
                  </w:r>
                </w:p>
              </w:tc>
              <w:tc>
                <w:tcPr>
                  <w:tcW w:w="1490" w:type="pct"/>
                  <w:vAlign w:val="center"/>
                </w:tcPr>
                <w:p>
                  <w:pPr>
                    <w:jc w:val="center"/>
                    <w:rPr>
                      <w:szCs w:val="21"/>
                    </w:rPr>
                  </w:pPr>
                  <w:r>
                    <w:rPr>
                      <w:rFonts w:hint="eastAsia"/>
                      <w:szCs w:val="21"/>
                    </w:rPr>
                    <w:t>监控点处1h平均浓度值</w:t>
                  </w:r>
                </w:p>
              </w:tc>
              <w:tc>
                <w:tcPr>
                  <w:tcW w:w="1252" w:type="pct"/>
                  <w:vMerge w:val="restart"/>
                  <w:vAlign w:val="center"/>
                </w:tcPr>
                <w:p>
                  <w:pPr>
                    <w:jc w:val="center"/>
                    <w:rPr>
                      <w:szCs w:val="21"/>
                    </w:rPr>
                  </w:pPr>
                  <w:r>
                    <w:rPr>
                      <w:szCs w:val="21"/>
                    </w:rPr>
                    <w:t>在厂房外设置监控点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249" w:type="pct"/>
                  <w:vMerge w:val="continue"/>
                  <w:vAlign w:val="center"/>
                </w:tcPr>
                <w:p>
                  <w:pPr>
                    <w:jc w:val="center"/>
                    <w:rPr>
                      <w:szCs w:val="21"/>
                    </w:rPr>
                  </w:pPr>
                </w:p>
              </w:tc>
              <w:tc>
                <w:tcPr>
                  <w:tcW w:w="1008" w:type="pct"/>
                  <w:vAlign w:val="center"/>
                </w:tcPr>
                <w:p>
                  <w:pPr>
                    <w:jc w:val="center"/>
                    <w:rPr>
                      <w:szCs w:val="21"/>
                    </w:rPr>
                  </w:pPr>
                  <w:r>
                    <w:rPr>
                      <w:rFonts w:hint="eastAsia"/>
                      <w:szCs w:val="21"/>
                    </w:rPr>
                    <w:t>20</w:t>
                  </w:r>
                </w:p>
              </w:tc>
              <w:tc>
                <w:tcPr>
                  <w:tcW w:w="1490" w:type="pct"/>
                  <w:vAlign w:val="center"/>
                </w:tcPr>
                <w:p>
                  <w:pPr>
                    <w:jc w:val="center"/>
                    <w:rPr>
                      <w:szCs w:val="21"/>
                    </w:rPr>
                  </w:pPr>
                  <w:r>
                    <w:rPr>
                      <w:rFonts w:hint="eastAsia"/>
                      <w:szCs w:val="21"/>
                    </w:rPr>
                    <w:t>监控点处任意一次浓度值</w:t>
                  </w:r>
                </w:p>
              </w:tc>
              <w:tc>
                <w:tcPr>
                  <w:tcW w:w="1252" w:type="pct"/>
                  <w:vMerge w:val="continue"/>
                  <w:vAlign w:val="center"/>
                </w:tcPr>
                <w:p>
                  <w:pPr>
                    <w:jc w:val="center"/>
                    <w:rPr>
                      <w:szCs w:val="21"/>
                    </w:rPr>
                  </w:pPr>
                </w:p>
              </w:tc>
            </w:tr>
          </w:tbl>
          <w:p>
            <w:pPr>
              <w:pStyle w:val="14"/>
              <w:spacing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 xml:space="preserve">3-9  </w:t>
            </w:r>
            <w:r>
              <w:rPr>
                <w:rFonts w:ascii="Times New Roman" w:hAnsi="Times New Roman"/>
                <w:color w:val="auto"/>
                <w:sz w:val="21"/>
              </w:rPr>
              <w:t>《饮食业油烟排放标准》（GB18483-2001</w:t>
            </w:r>
            <w:r>
              <w:rPr>
                <w:rFonts w:hint="eastAsia" w:ascii="Times New Roman" w:hAnsi="Times New Roman"/>
                <w:color w:val="auto"/>
                <w:sz w:val="21"/>
              </w:rPr>
              <w:t>）</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55"/>
              <w:gridCol w:w="1879"/>
              <w:gridCol w:w="2125"/>
              <w:gridCol w:w="2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34" w:type="pct"/>
                  <w:vAlign w:val="center"/>
                </w:tcPr>
                <w:p>
                  <w:pPr>
                    <w:pStyle w:val="30"/>
                    <w:adjustRightInd w:val="0"/>
                    <w:snapToGrid w:val="0"/>
                    <w:spacing w:after="0"/>
                    <w:ind w:firstLine="0" w:firstLineChars="0"/>
                    <w:jc w:val="center"/>
                    <w:rPr>
                      <w:rFonts w:ascii="Times New Roman" w:hAnsi="Times New Roman"/>
                      <w:b/>
                      <w:szCs w:val="21"/>
                    </w:rPr>
                  </w:pPr>
                  <w:r>
                    <w:rPr>
                      <w:rFonts w:ascii="Times New Roman" w:hAnsi="Times New Roman"/>
                      <w:b/>
                      <w:szCs w:val="21"/>
                    </w:rPr>
                    <w:t>规模</w:t>
                  </w:r>
                </w:p>
              </w:tc>
              <w:tc>
                <w:tcPr>
                  <w:tcW w:w="1001" w:type="pct"/>
                  <w:vAlign w:val="center"/>
                </w:tcPr>
                <w:p>
                  <w:pPr>
                    <w:pStyle w:val="30"/>
                    <w:adjustRightInd w:val="0"/>
                    <w:snapToGrid w:val="0"/>
                    <w:spacing w:after="0"/>
                    <w:ind w:firstLine="0" w:firstLineChars="0"/>
                    <w:jc w:val="center"/>
                    <w:rPr>
                      <w:rFonts w:ascii="Times New Roman" w:hAnsi="Times New Roman"/>
                      <w:b/>
                      <w:szCs w:val="21"/>
                    </w:rPr>
                  </w:pPr>
                  <w:r>
                    <w:rPr>
                      <w:rFonts w:ascii="Times New Roman" w:hAnsi="Times New Roman"/>
                      <w:b/>
                      <w:szCs w:val="21"/>
                    </w:rPr>
                    <w:t>小型</w:t>
                  </w:r>
                </w:p>
              </w:tc>
              <w:tc>
                <w:tcPr>
                  <w:tcW w:w="1132" w:type="pct"/>
                  <w:vAlign w:val="center"/>
                </w:tcPr>
                <w:p>
                  <w:pPr>
                    <w:pStyle w:val="30"/>
                    <w:adjustRightInd w:val="0"/>
                    <w:snapToGrid w:val="0"/>
                    <w:spacing w:after="0"/>
                    <w:ind w:firstLine="0" w:firstLineChars="0"/>
                    <w:jc w:val="center"/>
                    <w:rPr>
                      <w:rFonts w:ascii="Times New Roman" w:hAnsi="Times New Roman"/>
                      <w:b/>
                      <w:szCs w:val="21"/>
                    </w:rPr>
                  </w:pPr>
                  <w:r>
                    <w:rPr>
                      <w:rFonts w:ascii="Times New Roman" w:hAnsi="Times New Roman"/>
                      <w:b/>
                      <w:szCs w:val="21"/>
                    </w:rPr>
                    <w:t>中型</w:t>
                  </w:r>
                </w:p>
              </w:tc>
              <w:tc>
                <w:tcPr>
                  <w:tcW w:w="1131" w:type="pct"/>
                  <w:vAlign w:val="center"/>
                </w:tcPr>
                <w:p>
                  <w:pPr>
                    <w:pStyle w:val="30"/>
                    <w:adjustRightInd w:val="0"/>
                    <w:snapToGrid w:val="0"/>
                    <w:spacing w:after="0"/>
                    <w:ind w:firstLine="0" w:firstLineChars="0"/>
                    <w:jc w:val="center"/>
                    <w:rPr>
                      <w:rFonts w:ascii="Times New Roman" w:hAnsi="Times New Roman"/>
                      <w:b/>
                      <w:szCs w:val="21"/>
                    </w:rPr>
                  </w:pPr>
                  <w:r>
                    <w:rPr>
                      <w:rFonts w:ascii="Times New Roman" w:hAnsi="Times New Roman"/>
                      <w:b/>
                      <w:szCs w:val="21"/>
                    </w:rPr>
                    <w:t>大型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34" w:type="pct"/>
                  <w:vAlign w:val="center"/>
                </w:tcPr>
                <w:p>
                  <w:pPr>
                    <w:pStyle w:val="30"/>
                    <w:adjustRightInd w:val="0"/>
                    <w:snapToGrid w:val="0"/>
                    <w:spacing w:after="0"/>
                    <w:ind w:firstLine="0" w:firstLineChars="0"/>
                    <w:jc w:val="center"/>
                    <w:rPr>
                      <w:rFonts w:ascii="Times New Roman" w:hAnsi="Times New Roman"/>
                      <w:szCs w:val="21"/>
                    </w:rPr>
                  </w:pPr>
                  <w:r>
                    <w:rPr>
                      <w:rFonts w:ascii="Times New Roman" w:hAnsi="Times New Roman"/>
                      <w:szCs w:val="21"/>
                    </w:rPr>
                    <w:t>基准灶头数</w:t>
                  </w:r>
                </w:p>
              </w:tc>
              <w:tc>
                <w:tcPr>
                  <w:tcW w:w="1001" w:type="pct"/>
                  <w:vAlign w:val="center"/>
                </w:tcPr>
                <w:p>
                  <w:pPr>
                    <w:pStyle w:val="30"/>
                    <w:adjustRightInd w:val="0"/>
                    <w:snapToGrid w:val="0"/>
                    <w:spacing w:after="0"/>
                    <w:ind w:firstLine="0" w:firstLineChars="0"/>
                    <w:jc w:val="center"/>
                    <w:rPr>
                      <w:rFonts w:ascii="Times New Roman" w:hAnsi="Times New Roman"/>
                      <w:szCs w:val="21"/>
                    </w:rPr>
                  </w:pPr>
                  <w:r>
                    <w:rPr>
                      <w:rFonts w:ascii="Times New Roman" w:hAnsi="Times New Roman"/>
                      <w:szCs w:val="21"/>
                    </w:rPr>
                    <w:t>≥</w:t>
                  </w:r>
                  <w:r>
                    <w:rPr>
                      <w:rFonts w:hint="eastAsia" w:ascii="Times New Roman" w:hAnsi="Times New Roman"/>
                      <w:szCs w:val="21"/>
                    </w:rPr>
                    <w:t>1，＜3</w:t>
                  </w:r>
                </w:p>
              </w:tc>
              <w:tc>
                <w:tcPr>
                  <w:tcW w:w="1132" w:type="pct"/>
                  <w:vAlign w:val="center"/>
                </w:tcPr>
                <w:p>
                  <w:pPr>
                    <w:pStyle w:val="30"/>
                    <w:adjustRightInd w:val="0"/>
                    <w:snapToGrid w:val="0"/>
                    <w:spacing w:after="0"/>
                    <w:ind w:firstLine="0" w:firstLineChars="0"/>
                    <w:jc w:val="center"/>
                    <w:rPr>
                      <w:rFonts w:ascii="Times New Roman" w:hAnsi="Times New Roman"/>
                      <w:szCs w:val="21"/>
                    </w:rPr>
                  </w:pPr>
                  <w:r>
                    <w:rPr>
                      <w:rFonts w:ascii="Times New Roman" w:hAnsi="Times New Roman"/>
                      <w:szCs w:val="21"/>
                    </w:rPr>
                    <w:t>≥</w:t>
                  </w:r>
                  <w:r>
                    <w:rPr>
                      <w:rFonts w:hint="eastAsia" w:ascii="Times New Roman" w:hAnsi="Times New Roman"/>
                      <w:szCs w:val="21"/>
                    </w:rPr>
                    <w:t>3，＜6</w:t>
                  </w:r>
                </w:p>
              </w:tc>
              <w:tc>
                <w:tcPr>
                  <w:tcW w:w="1131" w:type="pct"/>
                  <w:vAlign w:val="center"/>
                </w:tcPr>
                <w:p>
                  <w:pPr>
                    <w:pStyle w:val="30"/>
                    <w:adjustRightInd w:val="0"/>
                    <w:snapToGrid w:val="0"/>
                    <w:spacing w:after="0"/>
                    <w:ind w:firstLine="0" w:firstLineChars="0"/>
                    <w:jc w:val="center"/>
                    <w:rPr>
                      <w:rFonts w:ascii="Times New Roman" w:hAnsi="Times New Roman"/>
                      <w:szCs w:val="21"/>
                    </w:rPr>
                  </w:pPr>
                  <w:r>
                    <w:rPr>
                      <w:rFonts w:ascii="Times New Roman" w:hAnsi="Times New Roman"/>
                      <w:szCs w:val="21"/>
                    </w:rPr>
                    <w:t>≥</w:t>
                  </w:r>
                  <w:r>
                    <w:rPr>
                      <w:rFonts w:hint="eastAsia" w:ascii="Times New Roman" w:hAnsi="Times New Roman"/>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34" w:type="pct"/>
                  <w:vAlign w:val="center"/>
                </w:tcPr>
                <w:p>
                  <w:pPr>
                    <w:pStyle w:val="30"/>
                    <w:adjustRightInd w:val="0"/>
                    <w:snapToGrid w:val="0"/>
                    <w:spacing w:after="0"/>
                    <w:ind w:firstLine="0" w:firstLineChars="0"/>
                    <w:jc w:val="center"/>
                    <w:rPr>
                      <w:rFonts w:ascii="Times New Roman" w:hAnsi="Times New Roman"/>
                      <w:szCs w:val="21"/>
                    </w:rPr>
                  </w:pPr>
                  <w:r>
                    <w:rPr>
                      <w:rFonts w:ascii="Times New Roman" w:hAnsi="Times New Roman"/>
                      <w:szCs w:val="21"/>
                    </w:rPr>
                    <w:t>最高允许排放浓度（</w:t>
                  </w:r>
                  <w:r>
                    <w:rPr>
                      <w:rFonts w:hint="eastAsia" w:ascii="Times New Roman" w:hAnsi="Times New Roman"/>
                      <w:szCs w:val="21"/>
                    </w:rPr>
                    <w:t>mg/m</w:t>
                  </w:r>
                  <w:r>
                    <w:rPr>
                      <w:rFonts w:hint="eastAsia" w:ascii="Times New Roman" w:hAnsi="Times New Roman"/>
                      <w:szCs w:val="21"/>
                      <w:vertAlign w:val="superscript"/>
                    </w:rPr>
                    <w:t>3</w:t>
                  </w:r>
                  <w:r>
                    <w:rPr>
                      <w:rFonts w:ascii="Times New Roman" w:hAnsi="Times New Roman"/>
                      <w:szCs w:val="21"/>
                    </w:rPr>
                    <w:t>）</w:t>
                  </w:r>
                </w:p>
              </w:tc>
              <w:tc>
                <w:tcPr>
                  <w:tcW w:w="3265" w:type="pct"/>
                  <w:gridSpan w:val="3"/>
                  <w:vAlign w:val="center"/>
                </w:tcPr>
                <w:p>
                  <w:pPr>
                    <w:pStyle w:val="30"/>
                    <w:adjustRightInd w:val="0"/>
                    <w:snapToGrid w:val="0"/>
                    <w:spacing w:after="0"/>
                    <w:ind w:firstLine="0" w:firstLineChars="0"/>
                    <w:jc w:val="center"/>
                    <w:rPr>
                      <w:rFonts w:ascii="Times New Roman" w:hAnsi="Times New Roman"/>
                      <w:b/>
                      <w:szCs w:val="21"/>
                    </w:rPr>
                  </w:pPr>
                  <w:r>
                    <w:rPr>
                      <w:rFonts w:hint="eastAsia" w:ascii="Times New Roman" w:hAnsi="Times New Roman"/>
                      <w:b/>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34" w:type="pct"/>
                  <w:vAlign w:val="center"/>
                </w:tcPr>
                <w:p>
                  <w:pPr>
                    <w:pStyle w:val="30"/>
                    <w:adjustRightInd w:val="0"/>
                    <w:snapToGrid w:val="0"/>
                    <w:spacing w:after="0"/>
                    <w:ind w:firstLine="0" w:firstLineChars="0"/>
                    <w:jc w:val="center"/>
                    <w:rPr>
                      <w:rFonts w:ascii="Times New Roman" w:hAnsi="Times New Roman"/>
                      <w:szCs w:val="21"/>
                    </w:rPr>
                  </w:pPr>
                  <w:r>
                    <w:rPr>
                      <w:rFonts w:ascii="Times New Roman" w:hAnsi="Times New Roman"/>
                      <w:szCs w:val="21"/>
                    </w:rPr>
                    <w:t>净化设施最低去除效率（%）</w:t>
                  </w:r>
                </w:p>
              </w:tc>
              <w:tc>
                <w:tcPr>
                  <w:tcW w:w="1001" w:type="pct"/>
                  <w:vAlign w:val="center"/>
                </w:tcPr>
                <w:p>
                  <w:pPr>
                    <w:pStyle w:val="30"/>
                    <w:adjustRightInd w:val="0"/>
                    <w:snapToGrid w:val="0"/>
                    <w:spacing w:after="0"/>
                    <w:ind w:firstLine="0" w:firstLineChars="0"/>
                    <w:jc w:val="center"/>
                    <w:rPr>
                      <w:rFonts w:ascii="Times New Roman" w:hAnsi="Times New Roman"/>
                      <w:szCs w:val="21"/>
                    </w:rPr>
                  </w:pPr>
                  <w:r>
                    <w:rPr>
                      <w:rFonts w:hint="eastAsia" w:ascii="Times New Roman" w:hAnsi="Times New Roman"/>
                      <w:szCs w:val="21"/>
                    </w:rPr>
                    <w:t>60</w:t>
                  </w:r>
                </w:p>
              </w:tc>
              <w:tc>
                <w:tcPr>
                  <w:tcW w:w="1132" w:type="pct"/>
                  <w:vAlign w:val="center"/>
                </w:tcPr>
                <w:p>
                  <w:pPr>
                    <w:pStyle w:val="30"/>
                    <w:adjustRightInd w:val="0"/>
                    <w:snapToGrid w:val="0"/>
                    <w:spacing w:after="0"/>
                    <w:ind w:firstLine="0" w:firstLineChars="0"/>
                    <w:jc w:val="center"/>
                    <w:rPr>
                      <w:rFonts w:ascii="Times New Roman" w:hAnsi="Times New Roman"/>
                      <w:szCs w:val="21"/>
                    </w:rPr>
                  </w:pPr>
                  <w:r>
                    <w:rPr>
                      <w:rFonts w:hint="eastAsia" w:ascii="Times New Roman" w:hAnsi="Times New Roman"/>
                      <w:szCs w:val="21"/>
                    </w:rPr>
                    <w:t>75</w:t>
                  </w:r>
                </w:p>
              </w:tc>
              <w:tc>
                <w:tcPr>
                  <w:tcW w:w="1131" w:type="pct"/>
                  <w:vAlign w:val="center"/>
                </w:tcPr>
                <w:p>
                  <w:pPr>
                    <w:pStyle w:val="30"/>
                    <w:adjustRightInd w:val="0"/>
                    <w:snapToGrid w:val="0"/>
                    <w:spacing w:after="0"/>
                    <w:ind w:firstLine="0" w:firstLineChars="0"/>
                    <w:jc w:val="center"/>
                    <w:rPr>
                      <w:rFonts w:ascii="Times New Roman" w:hAnsi="Times New Roman"/>
                      <w:b/>
                      <w:szCs w:val="21"/>
                    </w:rPr>
                  </w:pPr>
                  <w:r>
                    <w:rPr>
                      <w:rFonts w:hint="eastAsia" w:ascii="Times New Roman" w:hAnsi="Times New Roman"/>
                      <w:b/>
                      <w:szCs w:val="21"/>
                    </w:rPr>
                    <w:t>85</w:t>
                  </w:r>
                </w:p>
              </w:tc>
            </w:tr>
          </w:tbl>
          <w:p>
            <w:pPr>
              <w:adjustRightInd w:val="0"/>
              <w:snapToGrid w:val="0"/>
              <w:spacing w:line="360" w:lineRule="auto"/>
              <w:ind w:firstLine="482" w:firstLineChars="200"/>
              <w:rPr>
                <w:rFonts w:ascii="宋体" w:hAnsi="宋体" w:cs="宋体"/>
                <w:b/>
                <w:kern w:val="0"/>
                <w:sz w:val="24"/>
              </w:rPr>
            </w:pPr>
            <w:r>
              <w:rPr>
                <w:rFonts w:ascii="宋体" w:hAnsi="宋体" w:cs="宋体"/>
                <w:b/>
                <w:kern w:val="0"/>
                <w:sz w:val="24"/>
              </w:rPr>
              <w:t>二、废水</w:t>
            </w:r>
          </w:p>
          <w:p>
            <w:pPr>
              <w:pStyle w:val="30"/>
              <w:adjustRightInd w:val="0"/>
              <w:snapToGrid w:val="0"/>
              <w:spacing w:after="0" w:line="360" w:lineRule="auto"/>
              <w:ind w:firstLine="480" w:firstLineChars="200"/>
              <w:rPr>
                <w:rFonts w:ascii="Times New Roman" w:hAnsi="Times New Roman"/>
                <w:sz w:val="24"/>
              </w:rPr>
            </w:pPr>
            <w:r>
              <w:rPr>
                <w:rFonts w:hint="eastAsia"/>
                <w:kern w:val="0"/>
                <w:sz w:val="24"/>
              </w:rPr>
              <w:t>项目运营期车间地面保洁废水及生活污水经化粪池预处理达到衡山高新区综合污水处理厂设计进水水质</w:t>
            </w:r>
            <w:r>
              <w:rPr>
                <w:rFonts w:hint="eastAsia" w:ascii="Times New Roman" w:hAnsi="Times New Roman"/>
                <w:sz w:val="24"/>
              </w:rPr>
              <w:t>标准后后</w:t>
            </w:r>
            <w:r>
              <w:rPr>
                <w:rFonts w:hint="eastAsia"/>
                <w:kern w:val="0"/>
                <w:sz w:val="24"/>
              </w:rPr>
              <w:t>排入市政污水管网</w:t>
            </w:r>
            <w:r>
              <w:rPr>
                <w:rFonts w:ascii="Times New Roman" w:hAnsi="Times New Roman"/>
                <w:kern w:val="0"/>
                <w:sz w:val="24"/>
              </w:rPr>
              <w:t>，</w:t>
            </w:r>
            <w:r>
              <w:rPr>
                <w:rFonts w:ascii="Times New Roman" w:hAnsi="Times New Roman"/>
                <w:bCs/>
                <w:kern w:val="0"/>
                <w:sz w:val="24"/>
              </w:rPr>
              <w:t>近期（衡山高新区综合污水处理厂扩容提标工程投产前），</w:t>
            </w:r>
            <w:r>
              <w:rPr>
                <w:rFonts w:ascii="Times New Roman" w:hAnsi="Times New Roman"/>
                <w:kern w:val="0"/>
                <w:sz w:val="24"/>
              </w:rPr>
              <w:t>经衡山高新区综合污水处理厂处理达到</w:t>
            </w:r>
            <w:r>
              <w:rPr>
                <w:rFonts w:ascii="Times New Roman" w:hAnsi="Times New Roman"/>
                <w:sz w:val="24"/>
              </w:rPr>
              <w:t>《污水综合排放标准》（GB8978-1996）一级标准后排入衡山县城污水处理厂处理，最终排入湘江；远期（衡山高新区综合污水处理厂扩容提标工程投产后），</w:t>
            </w:r>
            <w:r>
              <w:rPr>
                <w:rFonts w:ascii="Times New Roman" w:hAnsi="Times New Roman"/>
                <w:kern w:val="0"/>
                <w:sz w:val="24"/>
              </w:rPr>
              <w:t>经衡山高新区综合污水处理厂处理达到</w:t>
            </w:r>
            <w:r>
              <w:rPr>
                <w:rFonts w:ascii="Times New Roman" w:hAnsi="Times New Roman"/>
                <w:sz w:val="24"/>
              </w:rPr>
              <w:t>《城镇污水处理厂污染物排放标准》（GB18918-2002）一级A标准排放至湘江。</w:t>
            </w:r>
            <w:r>
              <w:rPr>
                <w:rFonts w:hint="eastAsia" w:ascii="Times New Roman" w:hAnsi="Times New Roman"/>
                <w:sz w:val="24"/>
              </w:rPr>
              <w:t>衡山县城污水处理厂出水的COD、NH</w:t>
            </w:r>
            <w:r>
              <w:rPr>
                <w:rFonts w:hint="eastAsia" w:ascii="Times New Roman" w:hAnsi="Times New Roman"/>
                <w:sz w:val="24"/>
                <w:vertAlign w:val="subscript"/>
              </w:rPr>
              <w:t>3</w:t>
            </w:r>
            <w:r>
              <w:rPr>
                <w:rFonts w:hint="eastAsia" w:ascii="Times New Roman" w:hAnsi="Times New Roman"/>
                <w:sz w:val="24"/>
              </w:rPr>
              <w:t>-N、TP、TN等污染物执行《湖南省城镇污水处理厂主要水污染物排放标准（DB43/T1546-2018）》表1中二级标准，其它因子执行《城镇污水处理厂污染物排放标准》（GB18918-2002）一级A标准。</w:t>
            </w:r>
          </w:p>
          <w:p>
            <w:pPr>
              <w:pStyle w:val="14"/>
              <w:spacing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 xml:space="preserve">3-10 </w:t>
            </w:r>
            <w:r>
              <w:rPr>
                <w:rFonts w:ascii="Times New Roman" w:hAnsi="Times New Roman"/>
                <w:color w:val="auto"/>
                <w:sz w:val="21"/>
              </w:rPr>
              <w:t xml:space="preserve"> </w:t>
            </w:r>
            <w:r>
              <w:rPr>
                <w:rFonts w:hint="eastAsia" w:ascii="Times New Roman" w:hAnsi="Times New Roman"/>
                <w:color w:val="auto"/>
                <w:sz w:val="21"/>
              </w:rPr>
              <w:t>衡山高新区综合污水处理厂</w:t>
            </w:r>
            <w:r>
              <w:rPr>
                <w:rFonts w:ascii="Times New Roman" w:hAnsi="Times New Roman"/>
                <w:color w:val="auto"/>
                <w:sz w:val="21"/>
              </w:rPr>
              <w:t>设计进水出水质（mg/L）</w:t>
            </w:r>
          </w:p>
          <w:tbl>
            <w:tblPr>
              <w:tblStyle w:val="31"/>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28" w:type="dxa"/>
                <w:bottom w:w="0" w:type="dxa"/>
                <w:right w:w="28" w:type="dxa"/>
              </w:tblCellMar>
            </w:tblPr>
            <w:tblGrid>
              <w:gridCol w:w="2100"/>
              <w:gridCol w:w="1840"/>
              <w:gridCol w:w="1847"/>
              <w:gridCol w:w="1840"/>
              <w:gridCol w:w="17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397" w:hRule="atLeast"/>
                <w:jc w:val="center"/>
              </w:trPr>
              <w:tc>
                <w:tcPr>
                  <w:tcW w:w="1119" w:type="pct"/>
                  <w:vAlign w:val="center"/>
                </w:tcPr>
                <w:p>
                  <w:pPr>
                    <w:pStyle w:val="107"/>
                    <w:rPr>
                      <w:b/>
                      <w:bCs/>
                      <w:color w:val="auto"/>
                    </w:rPr>
                  </w:pPr>
                  <w:r>
                    <w:rPr>
                      <w:b/>
                      <w:bCs/>
                      <w:color w:val="auto"/>
                    </w:rPr>
                    <w:t>指标</w:t>
                  </w:r>
                </w:p>
              </w:tc>
              <w:tc>
                <w:tcPr>
                  <w:tcW w:w="980" w:type="pct"/>
                  <w:vAlign w:val="center"/>
                </w:tcPr>
                <w:p>
                  <w:pPr>
                    <w:pStyle w:val="107"/>
                    <w:rPr>
                      <w:b/>
                      <w:bCs/>
                      <w:color w:val="auto"/>
                    </w:rPr>
                  </w:pPr>
                  <w:r>
                    <w:rPr>
                      <w:b/>
                      <w:bCs/>
                      <w:color w:val="auto"/>
                    </w:rPr>
                    <w:t>COD</w:t>
                  </w:r>
                  <w:r>
                    <w:rPr>
                      <w:b/>
                      <w:bCs/>
                      <w:color w:val="auto"/>
                      <w:vertAlign w:val="subscript"/>
                    </w:rPr>
                    <w:t>Cr</w:t>
                  </w:r>
                </w:p>
              </w:tc>
              <w:tc>
                <w:tcPr>
                  <w:tcW w:w="984" w:type="pct"/>
                  <w:vAlign w:val="center"/>
                </w:tcPr>
                <w:p>
                  <w:pPr>
                    <w:pStyle w:val="107"/>
                    <w:rPr>
                      <w:b/>
                      <w:bCs/>
                      <w:color w:val="auto"/>
                    </w:rPr>
                  </w:pPr>
                  <w:r>
                    <w:rPr>
                      <w:b/>
                      <w:bCs/>
                      <w:color w:val="auto"/>
                    </w:rPr>
                    <w:t>BOD</w:t>
                  </w:r>
                  <w:r>
                    <w:rPr>
                      <w:b/>
                      <w:bCs/>
                      <w:color w:val="auto"/>
                      <w:vertAlign w:val="subscript"/>
                    </w:rPr>
                    <w:t>5</w:t>
                  </w:r>
                </w:p>
              </w:tc>
              <w:tc>
                <w:tcPr>
                  <w:tcW w:w="980" w:type="pct"/>
                  <w:vAlign w:val="center"/>
                </w:tcPr>
                <w:p>
                  <w:pPr>
                    <w:pStyle w:val="107"/>
                    <w:rPr>
                      <w:b/>
                      <w:bCs/>
                      <w:color w:val="auto"/>
                    </w:rPr>
                  </w:pPr>
                  <w:r>
                    <w:rPr>
                      <w:b/>
                      <w:bCs/>
                      <w:color w:val="auto"/>
                    </w:rPr>
                    <w:t>SS</w:t>
                  </w:r>
                </w:p>
              </w:tc>
              <w:tc>
                <w:tcPr>
                  <w:tcW w:w="934" w:type="pct"/>
                  <w:vAlign w:val="center"/>
                </w:tcPr>
                <w:p>
                  <w:pPr>
                    <w:pStyle w:val="107"/>
                    <w:rPr>
                      <w:b/>
                      <w:bCs/>
                      <w:color w:val="auto"/>
                    </w:rPr>
                  </w:pPr>
                  <w:r>
                    <w:rPr>
                      <w:b/>
                      <w:bCs/>
                      <w:color w:val="auto"/>
                    </w:rPr>
                    <w:t>NH</w:t>
                  </w:r>
                  <w:r>
                    <w:rPr>
                      <w:b/>
                      <w:bCs/>
                      <w:color w:val="auto"/>
                      <w:vertAlign w:val="subscript"/>
                    </w:rPr>
                    <w:t>3</w:t>
                  </w:r>
                  <w:r>
                    <w:rPr>
                      <w:b/>
                      <w:bCs/>
                      <w:color w:val="auto"/>
                    </w:rPr>
                    <w:t>-N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119" w:type="pct"/>
                  <w:vAlign w:val="center"/>
                </w:tcPr>
                <w:p>
                  <w:pPr>
                    <w:pStyle w:val="107"/>
                    <w:rPr>
                      <w:color w:val="auto"/>
                    </w:rPr>
                  </w:pPr>
                  <w:r>
                    <w:rPr>
                      <w:color w:val="auto"/>
                    </w:rPr>
                    <w:t>进水</w:t>
                  </w:r>
                </w:p>
              </w:tc>
              <w:tc>
                <w:tcPr>
                  <w:tcW w:w="980" w:type="pct"/>
                  <w:vAlign w:val="center"/>
                </w:tcPr>
                <w:p>
                  <w:pPr>
                    <w:pStyle w:val="107"/>
                    <w:rPr>
                      <w:color w:val="auto"/>
                    </w:rPr>
                  </w:pPr>
                  <w:r>
                    <w:rPr>
                      <w:color w:val="auto"/>
                    </w:rPr>
                    <w:t>≤</w:t>
                  </w:r>
                  <w:r>
                    <w:rPr>
                      <w:rFonts w:hint="eastAsia"/>
                      <w:color w:val="auto"/>
                    </w:rPr>
                    <w:t>400</w:t>
                  </w:r>
                </w:p>
              </w:tc>
              <w:tc>
                <w:tcPr>
                  <w:tcW w:w="984" w:type="pct"/>
                  <w:vAlign w:val="center"/>
                </w:tcPr>
                <w:p>
                  <w:pPr>
                    <w:pStyle w:val="107"/>
                    <w:rPr>
                      <w:color w:val="auto"/>
                    </w:rPr>
                  </w:pPr>
                  <w:r>
                    <w:rPr>
                      <w:color w:val="auto"/>
                    </w:rPr>
                    <w:t>≤</w:t>
                  </w:r>
                  <w:r>
                    <w:rPr>
                      <w:rFonts w:hint="eastAsia"/>
                      <w:color w:val="auto"/>
                    </w:rPr>
                    <w:t>200</w:t>
                  </w:r>
                </w:p>
              </w:tc>
              <w:tc>
                <w:tcPr>
                  <w:tcW w:w="980" w:type="pct"/>
                  <w:vAlign w:val="center"/>
                </w:tcPr>
                <w:p>
                  <w:pPr>
                    <w:pStyle w:val="107"/>
                    <w:rPr>
                      <w:color w:val="auto"/>
                    </w:rPr>
                  </w:pPr>
                  <w:r>
                    <w:rPr>
                      <w:color w:val="auto"/>
                    </w:rPr>
                    <w:t>≤</w:t>
                  </w:r>
                  <w:r>
                    <w:rPr>
                      <w:rFonts w:hint="eastAsia"/>
                      <w:color w:val="auto"/>
                    </w:rPr>
                    <w:t>200</w:t>
                  </w:r>
                </w:p>
              </w:tc>
              <w:tc>
                <w:tcPr>
                  <w:tcW w:w="934" w:type="pct"/>
                  <w:vAlign w:val="center"/>
                </w:tcPr>
                <w:p>
                  <w:pPr>
                    <w:pStyle w:val="107"/>
                    <w:rPr>
                      <w:color w:val="auto"/>
                    </w:rPr>
                  </w:pPr>
                  <w:r>
                    <w:rPr>
                      <w:color w:val="auto"/>
                    </w:rPr>
                    <w:t>≤</w:t>
                  </w:r>
                  <w:r>
                    <w:rPr>
                      <w:rFonts w:hint="eastAsia"/>
                      <w:color w:val="auto"/>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cantSplit/>
                <w:trHeight w:val="397" w:hRule="atLeast"/>
                <w:jc w:val="center"/>
              </w:trPr>
              <w:tc>
                <w:tcPr>
                  <w:tcW w:w="1119" w:type="pct"/>
                  <w:vAlign w:val="center"/>
                </w:tcPr>
                <w:p>
                  <w:pPr>
                    <w:pStyle w:val="107"/>
                    <w:rPr>
                      <w:color w:val="auto"/>
                    </w:rPr>
                  </w:pPr>
                  <w:r>
                    <w:rPr>
                      <w:color w:val="auto"/>
                    </w:rPr>
                    <w:t>出水</w:t>
                  </w:r>
                </w:p>
              </w:tc>
              <w:tc>
                <w:tcPr>
                  <w:tcW w:w="980" w:type="pct"/>
                  <w:vAlign w:val="center"/>
                </w:tcPr>
                <w:p>
                  <w:pPr>
                    <w:pStyle w:val="107"/>
                    <w:rPr>
                      <w:color w:val="auto"/>
                    </w:rPr>
                  </w:pPr>
                  <w:r>
                    <w:rPr>
                      <w:color w:val="auto"/>
                    </w:rPr>
                    <w:t>≤100</w:t>
                  </w:r>
                </w:p>
              </w:tc>
              <w:tc>
                <w:tcPr>
                  <w:tcW w:w="984" w:type="pct"/>
                  <w:vAlign w:val="center"/>
                </w:tcPr>
                <w:p>
                  <w:pPr>
                    <w:pStyle w:val="107"/>
                    <w:rPr>
                      <w:color w:val="auto"/>
                    </w:rPr>
                  </w:pPr>
                  <w:r>
                    <w:rPr>
                      <w:color w:val="auto"/>
                    </w:rPr>
                    <w:t>≤20</w:t>
                  </w:r>
                </w:p>
              </w:tc>
              <w:tc>
                <w:tcPr>
                  <w:tcW w:w="980" w:type="pct"/>
                  <w:vAlign w:val="center"/>
                </w:tcPr>
                <w:p>
                  <w:pPr>
                    <w:pStyle w:val="107"/>
                    <w:rPr>
                      <w:color w:val="auto"/>
                    </w:rPr>
                  </w:pPr>
                  <w:r>
                    <w:rPr>
                      <w:color w:val="auto"/>
                    </w:rPr>
                    <w:t>≤70</w:t>
                  </w:r>
                </w:p>
              </w:tc>
              <w:tc>
                <w:tcPr>
                  <w:tcW w:w="934" w:type="pct"/>
                  <w:vAlign w:val="center"/>
                </w:tcPr>
                <w:p>
                  <w:pPr>
                    <w:pStyle w:val="107"/>
                    <w:rPr>
                      <w:color w:val="auto"/>
                    </w:rPr>
                  </w:pPr>
                  <w:r>
                    <w:rPr>
                      <w:color w:val="auto"/>
                    </w:rPr>
                    <w:t>≤15</w:t>
                  </w:r>
                </w:p>
              </w:tc>
            </w:tr>
          </w:tbl>
          <w:p>
            <w:pPr>
              <w:pStyle w:val="14"/>
              <w:spacing w:beforeLines="50"/>
              <w:rPr>
                <w:rFonts w:ascii="Times New Roman" w:hAnsi="Times New Roman"/>
                <w:color w:val="auto"/>
                <w:sz w:val="21"/>
              </w:rPr>
            </w:pPr>
            <w:r>
              <w:rPr>
                <w:rFonts w:hint="eastAsia" w:ascii="Times New Roman" w:hAnsi="Times New Roman"/>
                <w:color w:val="auto"/>
                <w:sz w:val="21"/>
              </w:rPr>
              <w:t>表3-11</w:t>
            </w:r>
            <w:r>
              <w:rPr>
                <w:rFonts w:ascii="Times New Roman" w:hAnsi="Times New Roman"/>
                <w:color w:val="auto"/>
                <w:sz w:val="21"/>
              </w:rPr>
              <w:t xml:space="preserve">  城镇污水处理厂污染物排放标准表  单位：mg/L，pH无量纲</w:t>
            </w:r>
          </w:p>
          <w:tbl>
            <w:tblPr>
              <w:tblStyle w:val="3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41"/>
              <w:gridCol w:w="907"/>
              <w:gridCol w:w="1127"/>
              <w:gridCol w:w="1157"/>
              <w:gridCol w:w="1016"/>
              <w:gridCol w:w="1042"/>
              <w:gridCol w:w="1016"/>
              <w:gridCol w:w="9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140" w:type="pct"/>
                  <w:vAlign w:val="center"/>
                </w:tcPr>
                <w:p>
                  <w:pPr>
                    <w:pStyle w:val="107"/>
                    <w:rPr>
                      <w:b/>
                      <w:bCs/>
                      <w:color w:val="auto"/>
                    </w:rPr>
                  </w:pPr>
                  <w:r>
                    <w:rPr>
                      <w:b/>
                      <w:bCs/>
                      <w:color w:val="auto"/>
                    </w:rPr>
                    <w:t>项目</w:t>
                  </w:r>
                </w:p>
              </w:tc>
              <w:tc>
                <w:tcPr>
                  <w:tcW w:w="483" w:type="pct"/>
                  <w:vAlign w:val="center"/>
                </w:tcPr>
                <w:p>
                  <w:pPr>
                    <w:pStyle w:val="107"/>
                    <w:rPr>
                      <w:b/>
                      <w:bCs/>
                      <w:color w:val="auto"/>
                    </w:rPr>
                  </w:pPr>
                  <w:r>
                    <w:rPr>
                      <w:b/>
                      <w:bCs/>
                      <w:color w:val="auto"/>
                    </w:rPr>
                    <w:t>pH</w:t>
                  </w:r>
                </w:p>
              </w:tc>
              <w:tc>
                <w:tcPr>
                  <w:tcW w:w="600" w:type="pct"/>
                  <w:vAlign w:val="center"/>
                </w:tcPr>
                <w:p>
                  <w:pPr>
                    <w:pStyle w:val="107"/>
                    <w:rPr>
                      <w:b/>
                      <w:bCs/>
                      <w:color w:val="auto"/>
                    </w:rPr>
                  </w:pPr>
                  <w:r>
                    <w:rPr>
                      <w:b/>
                      <w:bCs/>
                      <w:color w:val="auto"/>
                    </w:rPr>
                    <w:t>COD</w:t>
                  </w:r>
                </w:p>
              </w:tc>
              <w:tc>
                <w:tcPr>
                  <w:tcW w:w="616" w:type="pct"/>
                  <w:vAlign w:val="center"/>
                </w:tcPr>
                <w:p>
                  <w:pPr>
                    <w:pStyle w:val="107"/>
                    <w:rPr>
                      <w:b/>
                      <w:bCs/>
                      <w:color w:val="auto"/>
                    </w:rPr>
                  </w:pPr>
                  <w:r>
                    <w:rPr>
                      <w:b/>
                      <w:bCs/>
                      <w:color w:val="auto"/>
                    </w:rPr>
                    <w:t>BOD</w:t>
                  </w:r>
                  <w:r>
                    <w:rPr>
                      <w:b/>
                      <w:bCs/>
                      <w:color w:val="auto"/>
                      <w:vertAlign w:val="subscript"/>
                    </w:rPr>
                    <w:t>5</w:t>
                  </w:r>
                </w:p>
              </w:tc>
              <w:tc>
                <w:tcPr>
                  <w:tcW w:w="541" w:type="pct"/>
                  <w:vAlign w:val="center"/>
                </w:tcPr>
                <w:p>
                  <w:pPr>
                    <w:pStyle w:val="107"/>
                    <w:rPr>
                      <w:b/>
                      <w:bCs/>
                      <w:color w:val="auto"/>
                    </w:rPr>
                  </w:pPr>
                  <w:r>
                    <w:rPr>
                      <w:b/>
                      <w:bCs/>
                      <w:color w:val="auto"/>
                    </w:rPr>
                    <w:t>SS</w:t>
                  </w:r>
                </w:p>
              </w:tc>
              <w:tc>
                <w:tcPr>
                  <w:tcW w:w="555" w:type="pct"/>
                  <w:vAlign w:val="center"/>
                </w:tcPr>
                <w:p>
                  <w:pPr>
                    <w:pStyle w:val="107"/>
                    <w:rPr>
                      <w:b/>
                      <w:bCs/>
                      <w:color w:val="auto"/>
                    </w:rPr>
                  </w:pPr>
                  <w:r>
                    <w:rPr>
                      <w:b/>
                      <w:bCs/>
                      <w:color w:val="auto"/>
                    </w:rPr>
                    <w:t>氨氮</w:t>
                  </w:r>
                </w:p>
              </w:tc>
              <w:tc>
                <w:tcPr>
                  <w:tcW w:w="541" w:type="pct"/>
                  <w:vAlign w:val="center"/>
                </w:tcPr>
                <w:p>
                  <w:pPr>
                    <w:pStyle w:val="107"/>
                    <w:rPr>
                      <w:b/>
                      <w:bCs/>
                      <w:color w:val="auto"/>
                    </w:rPr>
                  </w:pPr>
                  <w:r>
                    <w:rPr>
                      <w:b/>
                      <w:bCs/>
                      <w:color w:val="auto"/>
                    </w:rPr>
                    <w:t>TN</w:t>
                  </w:r>
                </w:p>
              </w:tc>
              <w:tc>
                <w:tcPr>
                  <w:tcW w:w="521" w:type="pct"/>
                  <w:vAlign w:val="center"/>
                </w:tcPr>
                <w:p>
                  <w:pPr>
                    <w:pStyle w:val="107"/>
                    <w:rPr>
                      <w:b/>
                      <w:bCs/>
                      <w:color w:val="auto"/>
                    </w:rPr>
                  </w:pPr>
                  <w:r>
                    <w:rPr>
                      <w:b/>
                      <w:bCs/>
                      <w:color w:val="auto"/>
                    </w:rPr>
                    <w:t>TP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140" w:type="pct"/>
                  <w:vAlign w:val="center"/>
                </w:tcPr>
                <w:p>
                  <w:pPr>
                    <w:pStyle w:val="107"/>
                    <w:rPr>
                      <w:color w:val="auto"/>
                    </w:rPr>
                  </w:pPr>
                  <w:r>
                    <w:rPr>
                      <w:color w:val="auto"/>
                    </w:rPr>
                    <w:t>一级A标准</w:t>
                  </w:r>
                </w:p>
              </w:tc>
              <w:tc>
                <w:tcPr>
                  <w:tcW w:w="483" w:type="pct"/>
                  <w:vAlign w:val="center"/>
                </w:tcPr>
                <w:p>
                  <w:pPr>
                    <w:pStyle w:val="107"/>
                    <w:rPr>
                      <w:color w:val="auto"/>
                    </w:rPr>
                  </w:pPr>
                  <w:r>
                    <w:rPr>
                      <w:color w:val="auto"/>
                    </w:rPr>
                    <w:t>6~9</w:t>
                  </w:r>
                </w:p>
              </w:tc>
              <w:tc>
                <w:tcPr>
                  <w:tcW w:w="600" w:type="pct"/>
                  <w:vAlign w:val="center"/>
                </w:tcPr>
                <w:p>
                  <w:pPr>
                    <w:pStyle w:val="107"/>
                    <w:rPr>
                      <w:color w:val="auto"/>
                    </w:rPr>
                  </w:pPr>
                  <w:r>
                    <w:rPr>
                      <w:color w:val="auto"/>
                    </w:rPr>
                    <w:t>50</w:t>
                  </w:r>
                </w:p>
              </w:tc>
              <w:tc>
                <w:tcPr>
                  <w:tcW w:w="616" w:type="pct"/>
                  <w:vAlign w:val="center"/>
                </w:tcPr>
                <w:p>
                  <w:pPr>
                    <w:pStyle w:val="107"/>
                    <w:rPr>
                      <w:color w:val="auto"/>
                    </w:rPr>
                  </w:pPr>
                  <w:r>
                    <w:rPr>
                      <w:color w:val="auto"/>
                    </w:rPr>
                    <w:t>10</w:t>
                  </w:r>
                </w:p>
              </w:tc>
              <w:tc>
                <w:tcPr>
                  <w:tcW w:w="541" w:type="pct"/>
                  <w:vAlign w:val="center"/>
                </w:tcPr>
                <w:p>
                  <w:pPr>
                    <w:pStyle w:val="107"/>
                    <w:rPr>
                      <w:color w:val="auto"/>
                    </w:rPr>
                  </w:pPr>
                  <w:r>
                    <w:rPr>
                      <w:color w:val="auto"/>
                    </w:rPr>
                    <w:t>10</w:t>
                  </w:r>
                </w:p>
              </w:tc>
              <w:tc>
                <w:tcPr>
                  <w:tcW w:w="555" w:type="pct"/>
                  <w:vAlign w:val="center"/>
                </w:tcPr>
                <w:p>
                  <w:pPr>
                    <w:pStyle w:val="107"/>
                    <w:rPr>
                      <w:color w:val="auto"/>
                    </w:rPr>
                  </w:pPr>
                  <w:r>
                    <w:rPr>
                      <w:color w:val="auto"/>
                    </w:rPr>
                    <w:t>5（8）</w:t>
                  </w:r>
                </w:p>
              </w:tc>
              <w:tc>
                <w:tcPr>
                  <w:tcW w:w="541" w:type="pct"/>
                  <w:vAlign w:val="center"/>
                </w:tcPr>
                <w:p>
                  <w:pPr>
                    <w:pStyle w:val="107"/>
                    <w:rPr>
                      <w:color w:val="auto"/>
                    </w:rPr>
                  </w:pPr>
                  <w:r>
                    <w:rPr>
                      <w:color w:val="auto"/>
                    </w:rPr>
                    <w:t>15</w:t>
                  </w:r>
                </w:p>
              </w:tc>
              <w:tc>
                <w:tcPr>
                  <w:tcW w:w="521" w:type="pct"/>
                  <w:vAlign w:val="center"/>
                </w:tcPr>
                <w:p>
                  <w:pPr>
                    <w:pStyle w:val="107"/>
                    <w:rPr>
                      <w:color w:val="auto"/>
                    </w:rPr>
                  </w:pPr>
                  <w:r>
                    <w:rPr>
                      <w:color w:val="auto"/>
                    </w:rPr>
                    <w:t>0.5</w:t>
                  </w:r>
                </w:p>
              </w:tc>
            </w:tr>
          </w:tbl>
          <w:p>
            <w:pPr>
              <w:pStyle w:val="14"/>
              <w:spacing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3-12</w:t>
            </w:r>
            <w:r>
              <w:rPr>
                <w:rFonts w:ascii="Times New Roman" w:hAnsi="Times New Roman"/>
                <w:color w:val="auto"/>
                <w:sz w:val="21"/>
              </w:rPr>
              <w:t xml:space="preserve">  湖南省城镇污水处理厂主要水污染物排放标准  单位：mg/L</w:t>
            </w:r>
          </w:p>
          <w:tbl>
            <w:tblPr>
              <w:tblStyle w:val="31"/>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801"/>
              <w:gridCol w:w="1751"/>
              <w:gridCol w:w="2245"/>
              <w:gridCol w:w="1316"/>
              <w:gridCol w:w="12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3" w:type="pct"/>
                  <w:vAlign w:val="center"/>
                </w:tcPr>
                <w:p>
                  <w:pPr>
                    <w:pStyle w:val="107"/>
                    <w:rPr>
                      <w:color w:val="auto"/>
                    </w:rPr>
                  </w:pPr>
                  <w:r>
                    <w:rPr>
                      <w:color w:val="auto"/>
                    </w:rPr>
                    <w:t>项目</w:t>
                  </w:r>
                </w:p>
              </w:tc>
              <w:tc>
                <w:tcPr>
                  <w:tcW w:w="933" w:type="pct"/>
                  <w:vAlign w:val="center"/>
                </w:tcPr>
                <w:p>
                  <w:pPr>
                    <w:pStyle w:val="107"/>
                    <w:rPr>
                      <w:color w:val="auto"/>
                    </w:rPr>
                  </w:pPr>
                  <w:r>
                    <w:rPr>
                      <w:color w:val="auto"/>
                    </w:rPr>
                    <w:t>COD</w:t>
                  </w:r>
                </w:p>
              </w:tc>
              <w:tc>
                <w:tcPr>
                  <w:tcW w:w="1196" w:type="pct"/>
                  <w:vAlign w:val="center"/>
                </w:tcPr>
                <w:p>
                  <w:pPr>
                    <w:pStyle w:val="107"/>
                    <w:rPr>
                      <w:color w:val="auto"/>
                    </w:rPr>
                  </w:pPr>
                  <w:r>
                    <w:rPr>
                      <w:color w:val="auto"/>
                    </w:rPr>
                    <w:t>氨氮</w:t>
                  </w:r>
                </w:p>
              </w:tc>
              <w:tc>
                <w:tcPr>
                  <w:tcW w:w="701" w:type="pct"/>
                  <w:vAlign w:val="center"/>
                </w:tcPr>
                <w:p>
                  <w:pPr>
                    <w:pStyle w:val="107"/>
                    <w:rPr>
                      <w:color w:val="auto"/>
                    </w:rPr>
                  </w:pPr>
                  <w:r>
                    <w:rPr>
                      <w:color w:val="auto"/>
                    </w:rPr>
                    <w:t>TN</w:t>
                  </w:r>
                </w:p>
              </w:tc>
              <w:tc>
                <w:tcPr>
                  <w:tcW w:w="677" w:type="pct"/>
                  <w:vAlign w:val="center"/>
                </w:tcPr>
                <w:p>
                  <w:pPr>
                    <w:pStyle w:val="107"/>
                    <w:rPr>
                      <w:color w:val="auto"/>
                    </w:rPr>
                  </w:pPr>
                  <w:r>
                    <w:rPr>
                      <w:color w:val="auto"/>
                    </w:rPr>
                    <w:t>TP</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1493" w:type="pct"/>
                  <w:vAlign w:val="center"/>
                </w:tcPr>
                <w:p>
                  <w:pPr>
                    <w:pStyle w:val="107"/>
                    <w:rPr>
                      <w:color w:val="auto"/>
                    </w:rPr>
                  </w:pPr>
                  <w:r>
                    <w:rPr>
                      <w:color w:val="auto"/>
                    </w:rPr>
                    <w:t>二级标准</w:t>
                  </w:r>
                </w:p>
              </w:tc>
              <w:tc>
                <w:tcPr>
                  <w:tcW w:w="933" w:type="pct"/>
                  <w:vAlign w:val="center"/>
                </w:tcPr>
                <w:p>
                  <w:pPr>
                    <w:pStyle w:val="107"/>
                    <w:rPr>
                      <w:color w:val="auto"/>
                    </w:rPr>
                  </w:pPr>
                  <w:r>
                    <w:rPr>
                      <w:color w:val="auto"/>
                    </w:rPr>
                    <w:t>40</w:t>
                  </w:r>
                </w:p>
              </w:tc>
              <w:tc>
                <w:tcPr>
                  <w:tcW w:w="1196" w:type="pct"/>
                  <w:vAlign w:val="center"/>
                </w:tcPr>
                <w:p>
                  <w:pPr>
                    <w:pStyle w:val="107"/>
                    <w:rPr>
                      <w:color w:val="auto"/>
                    </w:rPr>
                  </w:pPr>
                  <w:r>
                    <w:rPr>
                      <w:color w:val="auto"/>
                    </w:rPr>
                    <w:t>3（5）</w:t>
                  </w:r>
                </w:p>
              </w:tc>
              <w:tc>
                <w:tcPr>
                  <w:tcW w:w="701" w:type="pct"/>
                  <w:vAlign w:val="center"/>
                </w:tcPr>
                <w:p>
                  <w:pPr>
                    <w:pStyle w:val="107"/>
                    <w:rPr>
                      <w:color w:val="auto"/>
                    </w:rPr>
                  </w:pPr>
                  <w:r>
                    <w:rPr>
                      <w:color w:val="auto"/>
                    </w:rPr>
                    <w:t>15</w:t>
                  </w:r>
                </w:p>
              </w:tc>
              <w:tc>
                <w:tcPr>
                  <w:tcW w:w="677" w:type="pct"/>
                  <w:vAlign w:val="center"/>
                </w:tcPr>
                <w:p>
                  <w:pPr>
                    <w:pStyle w:val="107"/>
                    <w:rPr>
                      <w:color w:val="auto"/>
                    </w:rPr>
                  </w:pPr>
                  <w:r>
                    <w:rPr>
                      <w:color w:val="auto"/>
                    </w:rPr>
                    <w:t>0.5</w:t>
                  </w:r>
                </w:p>
              </w:tc>
            </w:tr>
          </w:tbl>
          <w:p>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三、噪声</w:t>
            </w:r>
          </w:p>
          <w:p>
            <w:pPr>
              <w:adjustRightInd w:val="0"/>
              <w:snapToGrid w:val="0"/>
              <w:spacing w:line="360" w:lineRule="auto"/>
              <w:ind w:firstLine="480" w:firstLineChars="200"/>
              <w:rPr>
                <w:sz w:val="24"/>
              </w:rPr>
            </w:pPr>
            <w:r>
              <w:rPr>
                <w:bCs/>
                <w:sz w:val="24"/>
              </w:rPr>
              <w:t>项目施工期噪声执行《建筑施工场界环境噪声排放标准》（GB12523-2011）标准（昼间70dB（A），夜间55dB（A）</w:t>
            </w:r>
            <w:r>
              <w:rPr>
                <w:sz w:val="24"/>
              </w:rPr>
              <w:t>）</w:t>
            </w:r>
          </w:p>
          <w:p>
            <w:pPr>
              <w:adjustRightInd w:val="0"/>
              <w:snapToGrid w:val="0"/>
              <w:spacing w:line="360" w:lineRule="auto"/>
              <w:ind w:firstLine="480" w:firstLineChars="200"/>
              <w:rPr>
                <w:sz w:val="24"/>
              </w:rPr>
            </w:pPr>
            <w:r>
              <w:rPr>
                <w:sz w:val="24"/>
              </w:rPr>
              <w:t>项目运营期</w:t>
            </w:r>
            <w:r>
              <w:rPr>
                <w:rFonts w:hint="eastAsia"/>
                <w:sz w:val="24"/>
              </w:rPr>
              <w:t>东</w:t>
            </w:r>
            <w:r>
              <w:rPr>
                <w:sz w:val="24"/>
              </w:rPr>
              <w:t>厂界噪声执行《工业企业厂界环境噪声排放标准》（GB12348-2008）</w:t>
            </w:r>
            <w:r>
              <w:rPr>
                <w:rFonts w:hint="eastAsia"/>
                <w:sz w:val="24"/>
              </w:rPr>
              <w:t>4</w:t>
            </w:r>
            <w:r>
              <w:rPr>
                <w:sz w:val="24"/>
              </w:rPr>
              <w:t>类标准</w:t>
            </w:r>
            <w:r>
              <w:rPr>
                <w:rFonts w:hint="eastAsia"/>
                <w:sz w:val="24"/>
              </w:rPr>
              <w:t>，其他</w:t>
            </w:r>
            <w:r>
              <w:rPr>
                <w:sz w:val="24"/>
              </w:rPr>
              <w:t>厂界噪声执行《工业企业厂界环境噪声排放标准》（GB12348-2008）</w:t>
            </w:r>
            <w:r>
              <w:rPr>
                <w:rFonts w:hint="eastAsia"/>
                <w:sz w:val="24"/>
              </w:rPr>
              <w:t>3</w:t>
            </w:r>
            <w:r>
              <w:rPr>
                <w:sz w:val="24"/>
              </w:rPr>
              <w:t>类标准。具体标准值见表</w:t>
            </w:r>
            <w:r>
              <w:rPr>
                <w:rFonts w:hint="eastAsia"/>
                <w:sz w:val="24"/>
              </w:rPr>
              <w:t>3-13</w:t>
            </w:r>
            <w:r>
              <w:rPr>
                <w:sz w:val="24"/>
              </w:rPr>
              <w:t>。</w:t>
            </w:r>
          </w:p>
          <w:p>
            <w:pPr>
              <w:pStyle w:val="14"/>
              <w:spacing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 xml:space="preserve">3-13  </w:t>
            </w:r>
            <w:r>
              <w:rPr>
                <w:rFonts w:ascii="Times New Roman" w:hAnsi="Times New Roman"/>
                <w:color w:val="auto"/>
                <w:sz w:val="21"/>
              </w:rPr>
              <w:t>项目运营期噪声排放执行标准</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8"/>
              <w:gridCol w:w="2444"/>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Merge w:val="restart"/>
                  <w:vAlign w:val="center"/>
                </w:tcPr>
                <w:p>
                  <w:pPr>
                    <w:pStyle w:val="62"/>
                    <w:spacing w:line="240" w:lineRule="auto"/>
                    <w:jc w:val="center"/>
                    <w:rPr>
                      <w:rFonts w:eastAsia="宋体"/>
                      <w:b/>
                      <w:sz w:val="21"/>
                      <w:szCs w:val="21"/>
                    </w:rPr>
                  </w:pPr>
                  <w:r>
                    <w:rPr>
                      <w:rFonts w:eastAsia="宋体"/>
                      <w:b/>
                      <w:sz w:val="21"/>
                      <w:szCs w:val="21"/>
                    </w:rPr>
                    <w:t>厂界外声环境功能区类别</w:t>
                  </w:r>
                </w:p>
              </w:tc>
              <w:tc>
                <w:tcPr>
                  <w:tcW w:w="2539" w:type="pct"/>
                  <w:gridSpan w:val="2"/>
                  <w:vAlign w:val="center"/>
                </w:tcPr>
                <w:p>
                  <w:pPr>
                    <w:pStyle w:val="62"/>
                    <w:spacing w:line="240" w:lineRule="auto"/>
                    <w:jc w:val="center"/>
                    <w:rPr>
                      <w:rFonts w:eastAsia="宋体"/>
                      <w:b/>
                      <w:sz w:val="21"/>
                      <w:szCs w:val="21"/>
                    </w:rPr>
                  </w:pPr>
                  <w:r>
                    <w:rPr>
                      <w:rFonts w:eastAsia="宋体"/>
                      <w:b/>
                      <w:sz w:val="21"/>
                      <w:szCs w:val="21"/>
                    </w:rPr>
                    <w:t>标准值dB（</w:t>
                  </w:r>
                  <w:r>
                    <w:rPr>
                      <w:rFonts w:hint="eastAsia" w:eastAsia="宋体"/>
                      <w:b/>
                      <w:sz w:val="21"/>
                      <w:szCs w:val="21"/>
                    </w:rPr>
                    <w:t>A</w:t>
                  </w:r>
                  <w:r>
                    <w:rPr>
                      <w:rFonts w:eastAsia="宋体"/>
                      <w:b/>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Merge w:val="continue"/>
                  <w:vAlign w:val="center"/>
                </w:tcPr>
                <w:p>
                  <w:pPr>
                    <w:pStyle w:val="62"/>
                    <w:spacing w:line="240" w:lineRule="auto"/>
                    <w:jc w:val="center"/>
                    <w:rPr>
                      <w:rFonts w:eastAsia="宋体"/>
                      <w:b/>
                      <w:sz w:val="21"/>
                      <w:szCs w:val="21"/>
                    </w:rPr>
                  </w:pPr>
                </w:p>
              </w:tc>
              <w:tc>
                <w:tcPr>
                  <w:tcW w:w="1302" w:type="pct"/>
                  <w:vAlign w:val="center"/>
                </w:tcPr>
                <w:p>
                  <w:pPr>
                    <w:pStyle w:val="62"/>
                    <w:spacing w:line="240" w:lineRule="auto"/>
                    <w:jc w:val="center"/>
                    <w:rPr>
                      <w:rFonts w:eastAsia="宋体"/>
                      <w:b/>
                      <w:sz w:val="21"/>
                      <w:szCs w:val="21"/>
                    </w:rPr>
                  </w:pPr>
                  <w:r>
                    <w:rPr>
                      <w:rFonts w:eastAsia="宋体"/>
                      <w:b/>
                      <w:sz w:val="21"/>
                      <w:szCs w:val="21"/>
                    </w:rPr>
                    <w:t>昼间</w:t>
                  </w:r>
                </w:p>
              </w:tc>
              <w:tc>
                <w:tcPr>
                  <w:tcW w:w="1237" w:type="pct"/>
                  <w:vAlign w:val="center"/>
                </w:tcPr>
                <w:p>
                  <w:pPr>
                    <w:pStyle w:val="62"/>
                    <w:spacing w:line="240" w:lineRule="auto"/>
                    <w:jc w:val="center"/>
                    <w:rPr>
                      <w:rFonts w:eastAsia="宋体"/>
                      <w:b/>
                      <w:sz w:val="21"/>
                      <w:szCs w:val="21"/>
                    </w:rPr>
                  </w:pPr>
                  <w:r>
                    <w:rPr>
                      <w:rFonts w:eastAsia="宋体"/>
                      <w:b/>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Align w:val="center"/>
                </w:tcPr>
                <w:p>
                  <w:pPr>
                    <w:pStyle w:val="62"/>
                    <w:spacing w:line="240" w:lineRule="auto"/>
                    <w:jc w:val="center"/>
                    <w:rPr>
                      <w:rFonts w:eastAsia="宋体"/>
                      <w:sz w:val="21"/>
                      <w:szCs w:val="21"/>
                    </w:rPr>
                  </w:pPr>
                  <w:r>
                    <w:rPr>
                      <w:rFonts w:hint="eastAsia" w:eastAsia="宋体"/>
                      <w:sz w:val="21"/>
                      <w:szCs w:val="21"/>
                    </w:rPr>
                    <w:t>3</w:t>
                  </w:r>
                  <w:r>
                    <w:rPr>
                      <w:rFonts w:eastAsia="宋体"/>
                      <w:sz w:val="21"/>
                      <w:szCs w:val="21"/>
                    </w:rPr>
                    <w:t>类</w:t>
                  </w:r>
                </w:p>
              </w:tc>
              <w:tc>
                <w:tcPr>
                  <w:tcW w:w="1302" w:type="pct"/>
                  <w:vAlign w:val="center"/>
                </w:tcPr>
                <w:p>
                  <w:pPr>
                    <w:pStyle w:val="62"/>
                    <w:spacing w:line="240" w:lineRule="auto"/>
                    <w:jc w:val="center"/>
                    <w:rPr>
                      <w:rFonts w:eastAsia="宋体"/>
                      <w:sz w:val="21"/>
                      <w:szCs w:val="21"/>
                    </w:rPr>
                  </w:pPr>
                  <w:r>
                    <w:rPr>
                      <w:rFonts w:hint="eastAsia" w:eastAsia="宋体"/>
                      <w:sz w:val="21"/>
                      <w:szCs w:val="21"/>
                    </w:rPr>
                    <w:t>65</w:t>
                  </w:r>
                </w:p>
              </w:tc>
              <w:tc>
                <w:tcPr>
                  <w:tcW w:w="1237" w:type="pct"/>
                  <w:vAlign w:val="center"/>
                </w:tcPr>
                <w:p>
                  <w:pPr>
                    <w:pStyle w:val="62"/>
                    <w:spacing w:line="240" w:lineRule="auto"/>
                    <w:jc w:val="center"/>
                    <w:rPr>
                      <w:rFonts w:eastAsia="宋体"/>
                      <w:sz w:val="21"/>
                      <w:szCs w:val="21"/>
                    </w:rPr>
                  </w:pPr>
                  <w:r>
                    <w:rPr>
                      <w:rFonts w:eastAsia="宋体"/>
                      <w:sz w:val="21"/>
                      <w:szCs w:val="21"/>
                    </w:rPr>
                    <w:t>5</w:t>
                  </w:r>
                  <w:r>
                    <w:rPr>
                      <w:rFonts w:hint="eastAsia" w:eastAsia="宋体"/>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Align w:val="center"/>
                </w:tcPr>
                <w:p>
                  <w:pPr>
                    <w:pStyle w:val="62"/>
                    <w:spacing w:line="240" w:lineRule="auto"/>
                    <w:jc w:val="center"/>
                    <w:rPr>
                      <w:rFonts w:eastAsia="宋体"/>
                      <w:sz w:val="21"/>
                      <w:szCs w:val="21"/>
                    </w:rPr>
                  </w:pPr>
                  <w:r>
                    <w:rPr>
                      <w:rFonts w:hint="eastAsia" w:eastAsia="宋体"/>
                      <w:sz w:val="21"/>
                      <w:szCs w:val="21"/>
                    </w:rPr>
                    <w:t>4类</w:t>
                  </w:r>
                </w:p>
              </w:tc>
              <w:tc>
                <w:tcPr>
                  <w:tcW w:w="1302" w:type="pct"/>
                  <w:vAlign w:val="center"/>
                </w:tcPr>
                <w:p>
                  <w:pPr>
                    <w:pStyle w:val="62"/>
                    <w:spacing w:line="240" w:lineRule="auto"/>
                    <w:jc w:val="center"/>
                    <w:rPr>
                      <w:rFonts w:eastAsia="宋体"/>
                      <w:sz w:val="21"/>
                      <w:szCs w:val="21"/>
                    </w:rPr>
                  </w:pPr>
                  <w:r>
                    <w:rPr>
                      <w:rFonts w:hint="eastAsia" w:eastAsia="宋体"/>
                      <w:sz w:val="21"/>
                      <w:szCs w:val="21"/>
                    </w:rPr>
                    <w:t>70</w:t>
                  </w:r>
                </w:p>
              </w:tc>
              <w:tc>
                <w:tcPr>
                  <w:tcW w:w="1237" w:type="pct"/>
                  <w:vAlign w:val="center"/>
                </w:tcPr>
                <w:p>
                  <w:pPr>
                    <w:pStyle w:val="62"/>
                    <w:spacing w:line="240" w:lineRule="auto"/>
                    <w:jc w:val="center"/>
                    <w:rPr>
                      <w:rFonts w:eastAsia="宋体"/>
                      <w:sz w:val="21"/>
                      <w:szCs w:val="21"/>
                    </w:rPr>
                  </w:pPr>
                  <w:r>
                    <w:rPr>
                      <w:rFonts w:hint="eastAsia" w:eastAsia="宋体"/>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pPr>
                    <w:pStyle w:val="62"/>
                    <w:spacing w:line="240" w:lineRule="auto"/>
                    <w:jc w:val="center"/>
                    <w:rPr>
                      <w:rFonts w:eastAsia="宋体"/>
                      <w:sz w:val="21"/>
                      <w:szCs w:val="21"/>
                    </w:rPr>
                  </w:pPr>
                  <w:r>
                    <w:rPr>
                      <w:rFonts w:hint="eastAsia" w:eastAsia="宋体"/>
                      <w:sz w:val="21"/>
                      <w:szCs w:val="21"/>
                    </w:rPr>
                    <w:t>标准来源：《工业企业厂界环境噪声排放标准》（GB 12348-2008）</w:t>
                  </w:r>
                </w:p>
              </w:tc>
            </w:tr>
          </w:tbl>
          <w:p>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四、固体废弃物</w:t>
            </w:r>
          </w:p>
          <w:p>
            <w:pPr>
              <w:adjustRightInd w:val="0"/>
              <w:snapToGrid w:val="0"/>
              <w:spacing w:line="360" w:lineRule="auto"/>
              <w:ind w:firstLine="480" w:firstLineChars="200"/>
              <w:rPr>
                <w:sz w:val="24"/>
              </w:rPr>
            </w:pPr>
            <w:r>
              <w:rPr>
                <w:rFonts w:hint="eastAsia"/>
                <w:sz w:val="24"/>
              </w:rPr>
              <w:t>一般固体废弃物处置执行《一般工业固体废物贮存、处置场污染控制标准》（</w:t>
            </w:r>
            <w:r>
              <w:rPr>
                <w:sz w:val="24"/>
              </w:rPr>
              <w:t>GB18599-20</w:t>
            </w:r>
            <w:r>
              <w:rPr>
                <w:rFonts w:hint="eastAsia"/>
                <w:sz w:val="24"/>
              </w:rPr>
              <w:t>20）标准要求；危险废物贮存执行《危险废物贮存污染控制标准》（</w:t>
            </w:r>
            <w:r>
              <w:rPr>
                <w:sz w:val="24"/>
              </w:rPr>
              <w:t>18957-20</w:t>
            </w:r>
            <w:r>
              <w:rPr>
                <w:rFonts w:hint="eastAsia"/>
                <w:sz w:val="24"/>
              </w:rPr>
              <w:t>23）标准中相关要求</w:t>
            </w:r>
            <w:r>
              <w:rPr>
                <w:rFonts w:hint="eastAsia" w:hAnsi="宋体"/>
                <w:sz w:val="24"/>
              </w:rPr>
              <w:t>；生活垃圾处置标准执行《生活垃圾填埋场污染控制标准》（GB16889-2008）</w:t>
            </w:r>
            <w:r>
              <w:rPr>
                <w:sz w:val="24"/>
              </w:rPr>
              <w:t>。</w:t>
            </w:r>
            <w:bookmarkStart w:id="13" w:name="表3-6_医疗机构污泥排放标准值"/>
            <w:bookmarkEnd w:id="1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pPr>
              <w:adjustRightInd w:val="0"/>
              <w:snapToGrid w:val="0"/>
              <w:jc w:val="center"/>
              <w:rPr>
                <w:rFonts w:ascii="宋体" w:hAnsi="宋体" w:cs="宋体"/>
                <w:b/>
                <w:kern w:val="0"/>
                <w:sz w:val="24"/>
              </w:rPr>
            </w:pPr>
            <w:r>
              <w:rPr>
                <w:rFonts w:hint="eastAsia" w:ascii="宋体" w:hAnsi="宋体" w:cs="宋体"/>
                <w:b/>
                <w:kern w:val="0"/>
                <w:sz w:val="24"/>
              </w:rPr>
              <w:t>总量</w:t>
            </w:r>
          </w:p>
          <w:p>
            <w:pPr>
              <w:adjustRightInd w:val="0"/>
              <w:snapToGrid w:val="0"/>
              <w:jc w:val="center"/>
              <w:rPr>
                <w:rFonts w:ascii="宋体" w:hAnsi="宋体" w:cs="宋体"/>
                <w:b/>
                <w:kern w:val="0"/>
                <w:sz w:val="24"/>
              </w:rPr>
            </w:pPr>
            <w:r>
              <w:rPr>
                <w:rFonts w:hint="eastAsia" w:ascii="宋体" w:hAnsi="宋体" w:cs="宋体"/>
                <w:b/>
                <w:kern w:val="0"/>
                <w:sz w:val="24"/>
              </w:rPr>
              <w:t>控制</w:t>
            </w:r>
          </w:p>
          <w:p>
            <w:pPr>
              <w:adjustRightInd w:val="0"/>
              <w:snapToGrid w:val="0"/>
              <w:jc w:val="center"/>
              <w:rPr>
                <w:rFonts w:ascii="宋体" w:hAnsi="宋体" w:cs="宋体"/>
                <w:b/>
                <w:kern w:val="0"/>
                <w:sz w:val="24"/>
              </w:rPr>
            </w:pPr>
            <w:r>
              <w:rPr>
                <w:rFonts w:hint="eastAsia" w:ascii="宋体" w:hAnsi="宋体" w:cs="宋体"/>
                <w:b/>
                <w:kern w:val="0"/>
                <w:sz w:val="24"/>
              </w:rPr>
              <w:t>指标</w:t>
            </w:r>
          </w:p>
        </w:tc>
        <w:tc>
          <w:tcPr>
            <w:tcW w:w="4718" w:type="pct"/>
            <w:vAlign w:val="center"/>
          </w:tcPr>
          <w:p>
            <w:pPr>
              <w:adjustRightInd w:val="0"/>
              <w:snapToGrid w:val="0"/>
              <w:spacing w:line="360" w:lineRule="auto"/>
              <w:ind w:firstLine="480" w:firstLineChars="200"/>
              <w:rPr>
                <w:sz w:val="24"/>
              </w:rPr>
            </w:pPr>
            <w:r>
              <w:rPr>
                <w:sz w:val="24"/>
              </w:rPr>
              <w:t>根据要求结合本项目的工程特点，给出本项目的总量控制建议指标值如下：</w:t>
            </w:r>
          </w:p>
          <w:p>
            <w:pPr>
              <w:adjustRightInd w:val="0"/>
              <w:snapToGrid w:val="0"/>
              <w:spacing w:line="360" w:lineRule="auto"/>
              <w:ind w:firstLine="480" w:firstLineChars="200"/>
              <w:rPr>
                <w:sz w:val="24"/>
              </w:rPr>
            </w:pPr>
            <w:r>
              <w:rPr>
                <w:sz w:val="24"/>
              </w:rPr>
              <w:t>根据《</w:t>
            </w:r>
            <w:r>
              <w:rPr>
                <w:rFonts w:asciiTheme="minorEastAsia" w:hAnsiTheme="minorEastAsia" w:eastAsiaTheme="minorEastAsia"/>
                <w:sz w:val="24"/>
              </w:rPr>
              <w:t>“十三五”主要污染物总量控制规划</w:t>
            </w:r>
            <w:r>
              <w:rPr>
                <w:sz w:val="24"/>
              </w:rPr>
              <w:t>》，大气污染物总量控制指标为SO</w:t>
            </w:r>
            <w:r>
              <w:rPr>
                <w:sz w:val="24"/>
                <w:vertAlign w:val="subscript"/>
              </w:rPr>
              <w:t>2</w:t>
            </w:r>
            <w:r>
              <w:rPr>
                <w:sz w:val="24"/>
              </w:rPr>
              <w:t>、NOx、</w:t>
            </w:r>
            <w:r>
              <w:rPr>
                <w:rFonts w:hint="eastAsia"/>
                <w:sz w:val="24"/>
              </w:rPr>
              <w:t>VOCs</w:t>
            </w:r>
            <w:r>
              <w:rPr>
                <w:sz w:val="24"/>
              </w:rPr>
              <w:t>，水污染物控制指标为COD、NH</w:t>
            </w:r>
            <w:r>
              <w:rPr>
                <w:sz w:val="24"/>
                <w:vertAlign w:val="subscript"/>
              </w:rPr>
              <w:t>3</w:t>
            </w:r>
            <w:r>
              <w:rPr>
                <w:sz w:val="24"/>
              </w:rPr>
              <w:t>-N。</w:t>
            </w:r>
          </w:p>
          <w:p>
            <w:pPr>
              <w:spacing w:line="360" w:lineRule="auto"/>
              <w:ind w:firstLine="480" w:firstLineChars="200"/>
              <w:rPr>
                <w:kern w:val="0"/>
                <w:sz w:val="24"/>
              </w:rPr>
            </w:pPr>
            <w:r>
              <w:rPr>
                <w:rFonts w:hint="eastAsia"/>
                <w:kern w:val="0"/>
                <w:sz w:val="24"/>
              </w:rPr>
              <w:t>项目所在区域属于</w:t>
            </w:r>
            <w:r>
              <w:rPr>
                <w:rFonts w:hint="eastAsia" w:eastAsiaTheme="minorEastAsia"/>
                <w:sz w:val="24"/>
              </w:rPr>
              <w:t>衡山高新区综合污水处理厂</w:t>
            </w:r>
            <w:r>
              <w:rPr>
                <w:rFonts w:hint="eastAsia"/>
                <w:kern w:val="0"/>
                <w:sz w:val="24"/>
              </w:rPr>
              <w:t>的纳污范围，则项目外排废水均汇入</w:t>
            </w:r>
            <w:r>
              <w:rPr>
                <w:rFonts w:hint="eastAsia" w:eastAsiaTheme="minorEastAsia"/>
                <w:sz w:val="24"/>
              </w:rPr>
              <w:t>衡山高新区综合污水处理厂</w:t>
            </w:r>
            <w:r>
              <w:rPr>
                <w:rFonts w:hint="eastAsia"/>
                <w:kern w:val="0"/>
                <w:sz w:val="24"/>
              </w:rPr>
              <w:t>进一步处理，其总量将从</w:t>
            </w:r>
            <w:r>
              <w:rPr>
                <w:rFonts w:hint="eastAsia" w:eastAsiaTheme="minorEastAsia"/>
                <w:sz w:val="24"/>
              </w:rPr>
              <w:t>污水处理厂</w:t>
            </w:r>
            <w:r>
              <w:rPr>
                <w:rFonts w:hint="eastAsia"/>
                <w:kern w:val="0"/>
                <w:sz w:val="24"/>
              </w:rPr>
              <w:t>总量中调配，本项目不再另行分配。</w:t>
            </w:r>
          </w:p>
          <w:p>
            <w:pPr>
              <w:adjustRightInd w:val="0"/>
              <w:snapToGrid w:val="0"/>
              <w:spacing w:line="360" w:lineRule="auto"/>
              <w:ind w:firstLine="480" w:firstLineChars="200"/>
              <w:rPr>
                <w:sz w:val="24"/>
              </w:rPr>
            </w:pPr>
            <w:r>
              <w:rPr>
                <w:rFonts w:hint="eastAsia"/>
                <w:kern w:val="0"/>
                <w:sz w:val="24"/>
              </w:rPr>
              <w:t>根据工程分析，项目外排废水量为5323.37m</w:t>
            </w:r>
            <w:r>
              <w:rPr>
                <w:rFonts w:hint="eastAsia"/>
                <w:kern w:val="0"/>
                <w:sz w:val="24"/>
                <w:vertAlign w:val="superscript"/>
              </w:rPr>
              <w:t>3</w:t>
            </w:r>
            <w:r>
              <w:rPr>
                <w:rFonts w:hint="eastAsia"/>
                <w:kern w:val="0"/>
                <w:sz w:val="24"/>
              </w:rPr>
              <w:t>/a（16.01m</w:t>
            </w:r>
            <w:r>
              <w:rPr>
                <w:rFonts w:hint="eastAsia"/>
                <w:kern w:val="0"/>
                <w:sz w:val="24"/>
                <w:vertAlign w:val="superscript"/>
              </w:rPr>
              <w:t>3</w:t>
            </w:r>
            <w:r>
              <w:rPr>
                <w:rFonts w:hint="eastAsia"/>
                <w:kern w:val="0"/>
                <w:sz w:val="24"/>
              </w:rPr>
              <w:t>/a），</w:t>
            </w:r>
            <w:r>
              <w:rPr>
                <w:rFonts w:hint="eastAsia"/>
                <w:sz w:val="24"/>
              </w:rPr>
              <w:t>衡山高新区综合污水处理厂扩容提标工程投产前，</w:t>
            </w:r>
            <w:r>
              <w:rPr>
                <w:rFonts w:hint="eastAsia"/>
                <w:kern w:val="0"/>
                <w:sz w:val="24"/>
              </w:rPr>
              <w:t>经</w:t>
            </w:r>
            <w:r>
              <w:rPr>
                <w:rFonts w:hint="eastAsia" w:eastAsiaTheme="minorEastAsia"/>
                <w:sz w:val="24"/>
              </w:rPr>
              <w:t>衡山高新区综合污水处理厂+衡山县污水处理厂处理</w:t>
            </w:r>
            <w:r>
              <w:rPr>
                <w:rFonts w:hint="eastAsia"/>
                <w:kern w:val="0"/>
                <w:sz w:val="24"/>
              </w:rPr>
              <w:t>后主要污染物COD</w:t>
            </w:r>
            <w:r>
              <w:rPr>
                <w:rFonts w:hint="eastAsia"/>
                <w:kern w:val="0"/>
                <w:sz w:val="24"/>
                <w:vertAlign w:val="subscript"/>
              </w:rPr>
              <w:t>Cr</w:t>
            </w:r>
            <w:r>
              <w:rPr>
                <w:rFonts w:hint="eastAsia"/>
                <w:kern w:val="0"/>
                <w:sz w:val="24"/>
              </w:rPr>
              <w:t>排放量为0.213t/a、NH</w:t>
            </w:r>
            <w:r>
              <w:rPr>
                <w:rFonts w:hint="eastAsia"/>
                <w:kern w:val="0"/>
                <w:sz w:val="24"/>
                <w:vertAlign w:val="subscript"/>
              </w:rPr>
              <w:t>3</w:t>
            </w:r>
            <w:r>
              <w:rPr>
                <w:rFonts w:hint="eastAsia"/>
                <w:kern w:val="0"/>
                <w:sz w:val="24"/>
              </w:rPr>
              <w:t>-N排放量为0.016t/a；</w:t>
            </w:r>
            <w:r>
              <w:rPr>
                <w:rFonts w:hint="eastAsia"/>
                <w:sz w:val="24"/>
              </w:rPr>
              <w:t>衡山高新区综合污水处理厂扩容提标工程投产后，</w:t>
            </w:r>
            <w:r>
              <w:rPr>
                <w:rFonts w:hint="eastAsia"/>
                <w:kern w:val="0"/>
                <w:sz w:val="24"/>
              </w:rPr>
              <w:t>经</w:t>
            </w:r>
            <w:r>
              <w:rPr>
                <w:rFonts w:hint="eastAsia" w:eastAsiaTheme="minorEastAsia"/>
                <w:sz w:val="24"/>
              </w:rPr>
              <w:t>衡山高新区综合污水处理厂处理</w:t>
            </w:r>
            <w:r>
              <w:rPr>
                <w:rFonts w:hint="eastAsia"/>
                <w:kern w:val="0"/>
                <w:sz w:val="24"/>
              </w:rPr>
              <w:t>后主要污染物COD</w:t>
            </w:r>
            <w:r>
              <w:rPr>
                <w:rFonts w:hint="eastAsia"/>
                <w:kern w:val="0"/>
                <w:sz w:val="24"/>
                <w:vertAlign w:val="subscript"/>
              </w:rPr>
              <w:t>Cr</w:t>
            </w:r>
            <w:r>
              <w:rPr>
                <w:rFonts w:hint="eastAsia"/>
                <w:kern w:val="0"/>
                <w:sz w:val="24"/>
              </w:rPr>
              <w:t>排放量为0.266t/a、NH</w:t>
            </w:r>
            <w:r>
              <w:rPr>
                <w:rFonts w:hint="eastAsia"/>
                <w:kern w:val="0"/>
                <w:sz w:val="24"/>
                <w:vertAlign w:val="subscript"/>
              </w:rPr>
              <w:t>3</w:t>
            </w:r>
            <w:r>
              <w:rPr>
                <w:rFonts w:hint="eastAsia"/>
                <w:kern w:val="0"/>
                <w:sz w:val="24"/>
              </w:rPr>
              <w:t>-N排放量为0.027t/a</w:t>
            </w:r>
            <w:r>
              <w:rPr>
                <w:rFonts w:hint="eastAsia"/>
                <w:sz w:val="24"/>
              </w:rPr>
              <w:t>。</w:t>
            </w:r>
          </w:p>
          <w:p>
            <w:pPr>
              <w:adjustRightInd w:val="0"/>
              <w:snapToGrid w:val="0"/>
              <w:spacing w:line="360" w:lineRule="auto"/>
              <w:ind w:firstLine="480" w:firstLineChars="200"/>
              <w:rPr>
                <w:sz w:val="24"/>
              </w:rPr>
            </w:pPr>
            <w:r>
              <w:rPr>
                <w:sz w:val="24"/>
              </w:rPr>
              <w:t>项目不涉及国控污染物SO</w:t>
            </w:r>
            <w:r>
              <w:rPr>
                <w:sz w:val="24"/>
                <w:vertAlign w:val="subscript"/>
              </w:rPr>
              <w:t>2</w:t>
            </w:r>
            <w:r>
              <w:rPr>
                <w:sz w:val="24"/>
              </w:rPr>
              <w:t>和NO</w:t>
            </w:r>
            <w:r>
              <w:rPr>
                <w:sz w:val="24"/>
                <w:vertAlign w:val="subscript"/>
              </w:rPr>
              <w:t>X</w:t>
            </w:r>
            <w:r>
              <w:rPr>
                <w:sz w:val="24"/>
              </w:rPr>
              <w:t>排放，主要大气污染物为挥发性有机物，VOCs</w:t>
            </w:r>
            <w:r>
              <w:rPr>
                <w:rFonts w:hint="eastAsia"/>
                <w:kern w:val="0"/>
                <w:sz w:val="24"/>
              </w:rPr>
              <w:t>有组织</w:t>
            </w:r>
            <w:r>
              <w:rPr>
                <w:sz w:val="24"/>
              </w:rPr>
              <w:t>排放总量核算0.</w:t>
            </w:r>
            <w:r>
              <w:rPr>
                <w:rFonts w:hint="eastAsia"/>
                <w:sz w:val="24"/>
              </w:rPr>
              <w:t>240</w:t>
            </w:r>
            <w:r>
              <w:rPr>
                <w:sz w:val="24"/>
              </w:rPr>
              <w:t>t/a，由所在地生态环境保护主管部门根据湖南省及地方环境管理要求，执行挥发性有机物排放总量控制管理</w:t>
            </w:r>
            <w:r>
              <w:rPr>
                <w:rFonts w:hint="eastAsia"/>
                <w:sz w:val="24"/>
              </w:rPr>
              <w:t>。</w:t>
            </w:r>
          </w:p>
          <w:p>
            <w:pPr>
              <w:adjustRightInd w:val="0"/>
              <w:snapToGrid w:val="0"/>
              <w:spacing w:line="360" w:lineRule="auto"/>
              <w:ind w:firstLine="480" w:firstLineChars="200"/>
              <w:rPr>
                <w:sz w:val="24"/>
              </w:rPr>
            </w:pPr>
          </w:p>
          <w:p>
            <w:pPr>
              <w:pStyle w:val="2"/>
            </w:pPr>
          </w:p>
          <w:p/>
          <w:p>
            <w:pPr>
              <w:pStyle w:val="2"/>
            </w:pPr>
          </w:p>
          <w:p>
            <w:pPr>
              <w:pStyle w:val="4"/>
            </w:pPr>
          </w:p>
          <w:p/>
          <w:p>
            <w:pPr>
              <w:pStyle w:val="2"/>
            </w:pPr>
          </w:p>
          <w:p>
            <w:pPr>
              <w:pStyle w:val="4"/>
            </w:pPr>
          </w:p>
          <w:p/>
          <w:p>
            <w:pPr>
              <w:pStyle w:val="2"/>
            </w:pPr>
          </w:p>
          <w:p>
            <w:pPr>
              <w:pStyle w:val="4"/>
            </w:pPr>
          </w:p>
        </w:tc>
      </w:tr>
    </w:tbl>
    <w:p>
      <w:pPr>
        <w:pStyle w:val="28"/>
        <w:jc w:val="center"/>
        <w:outlineLvl w:val="0"/>
        <w:rPr>
          <w:rFonts w:ascii="黑体" w:hAnsi="黑体" w:eastAsia="黑体"/>
          <w:snapToGrid w:val="0"/>
          <w:sz w:val="36"/>
          <w:szCs w:val="36"/>
        </w:rPr>
        <w:sectPr>
          <w:pgSz w:w="11907" w:h="16840"/>
          <w:pgMar w:top="1701" w:right="1531" w:bottom="2127" w:left="1531" w:header="851" w:footer="851" w:gutter="0"/>
          <w:cols w:space="720" w:num="1"/>
          <w:docGrid w:linePitch="312" w:charSpace="0"/>
        </w:sectPr>
      </w:pPr>
    </w:p>
    <w:p>
      <w:pPr>
        <w:pStyle w:val="28"/>
        <w:jc w:val="center"/>
        <w:outlineLvl w:val="0"/>
        <w:rPr>
          <w:rFonts w:ascii="黑体" w:hAnsi="黑体" w:eastAsia="黑体"/>
          <w:snapToGrid w:val="0"/>
          <w:sz w:val="30"/>
          <w:szCs w:val="30"/>
        </w:rPr>
      </w:pPr>
      <w:bookmarkStart w:id="14" w:name="_Toc111712329"/>
      <w:r>
        <w:rPr>
          <w:rFonts w:hint="eastAsia" w:ascii="黑体" w:hAnsi="黑体" w:eastAsia="黑体"/>
          <w:snapToGrid w:val="0"/>
          <w:sz w:val="30"/>
          <w:szCs w:val="30"/>
        </w:rPr>
        <w:t>四、主要环境影响和保护措施</w:t>
      </w:r>
      <w:bookmarkEnd w:id="14"/>
    </w:p>
    <w:tbl>
      <w:tblPr>
        <w:tblStyle w:val="31"/>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9"/>
        <w:gridCol w:w="9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 w:type="pct"/>
            <w:tcMar>
              <w:left w:w="28" w:type="dxa"/>
              <w:right w:w="28" w:type="dxa"/>
            </w:tcMar>
            <w:vAlign w:val="center"/>
          </w:tcPr>
          <w:p>
            <w:pPr>
              <w:pStyle w:val="28"/>
              <w:adjustRightInd w:val="0"/>
              <w:snapToGrid w:val="0"/>
              <w:spacing w:before="0" w:beforeAutospacing="0" w:after="0" w:afterAutospacing="0"/>
              <w:jc w:val="center"/>
              <w:rPr>
                <w:rFonts w:cs="宋体"/>
                <w:b/>
                <w:kern w:val="2"/>
                <w:szCs w:val="24"/>
              </w:rPr>
            </w:pPr>
            <w:r>
              <w:rPr>
                <w:rFonts w:hint="eastAsia" w:cs="宋体"/>
                <w:b/>
                <w:kern w:val="2"/>
                <w:szCs w:val="24"/>
              </w:rPr>
              <w:t>施工</w:t>
            </w:r>
          </w:p>
          <w:p>
            <w:pPr>
              <w:pStyle w:val="28"/>
              <w:adjustRightInd w:val="0"/>
              <w:snapToGrid w:val="0"/>
              <w:spacing w:before="0" w:beforeAutospacing="0" w:after="0" w:afterAutospacing="0"/>
              <w:jc w:val="center"/>
              <w:rPr>
                <w:rFonts w:cs="宋体"/>
                <w:b/>
                <w:kern w:val="2"/>
                <w:szCs w:val="24"/>
              </w:rPr>
            </w:pPr>
            <w:r>
              <w:rPr>
                <w:rFonts w:hint="eastAsia" w:cs="宋体"/>
                <w:b/>
                <w:kern w:val="2"/>
                <w:szCs w:val="24"/>
              </w:rPr>
              <w:t>期环</w:t>
            </w:r>
          </w:p>
          <w:p>
            <w:pPr>
              <w:pStyle w:val="28"/>
              <w:adjustRightInd w:val="0"/>
              <w:snapToGrid w:val="0"/>
              <w:spacing w:before="0" w:beforeAutospacing="0" w:after="0" w:afterAutospacing="0"/>
              <w:jc w:val="center"/>
              <w:rPr>
                <w:rFonts w:cs="宋体"/>
                <w:b/>
                <w:kern w:val="2"/>
                <w:szCs w:val="24"/>
              </w:rPr>
            </w:pPr>
            <w:r>
              <w:rPr>
                <w:rFonts w:hint="eastAsia" w:cs="宋体"/>
                <w:b/>
                <w:kern w:val="2"/>
                <w:szCs w:val="24"/>
              </w:rPr>
              <w:t>境保</w:t>
            </w:r>
          </w:p>
          <w:p>
            <w:pPr>
              <w:pStyle w:val="28"/>
              <w:adjustRightInd w:val="0"/>
              <w:snapToGrid w:val="0"/>
              <w:spacing w:before="0" w:beforeAutospacing="0" w:after="0" w:afterAutospacing="0"/>
              <w:jc w:val="center"/>
              <w:rPr>
                <w:rFonts w:cs="宋体"/>
                <w:b/>
                <w:kern w:val="2"/>
                <w:szCs w:val="24"/>
              </w:rPr>
            </w:pPr>
            <w:r>
              <w:rPr>
                <w:rFonts w:hint="eastAsia" w:cs="宋体"/>
                <w:b/>
                <w:kern w:val="2"/>
                <w:szCs w:val="24"/>
              </w:rPr>
              <w:t>护措</w:t>
            </w:r>
          </w:p>
          <w:p>
            <w:pPr>
              <w:pStyle w:val="28"/>
              <w:adjustRightInd w:val="0"/>
              <w:snapToGrid w:val="0"/>
              <w:spacing w:before="0" w:beforeAutospacing="0" w:after="0" w:afterAutospacing="0"/>
              <w:jc w:val="center"/>
              <w:rPr>
                <w:rFonts w:cs="宋体"/>
                <w:b/>
                <w:bCs/>
                <w:kern w:val="2"/>
                <w:szCs w:val="24"/>
              </w:rPr>
            </w:pPr>
            <w:r>
              <w:rPr>
                <w:rFonts w:hint="eastAsia" w:cs="宋体"/>
                <w:b/>
                <w:kern w:val="2"/>
                <w:szCs w:val="24"/>
              </w:rPr>
              <w:t>施</w:t>
            </w:r>
          </w:p>
        </w:tc>
        <w:tc>
          <w:tcPr>
            <w:tcW w:w="4736" w:type="pct"/>
            <w:vAlign w:val="center"/>
          </w:tcPr>
          <w:p>
            <w:pPr>
              <w:adjustRightInd w:val="0"/>
              <w:snapToGrid w:val="0"/>
              <w:spacing w:line="360" w:lineRule="auto"/>
              <w:ind w:firstLine="482" w:firstLineChars="200"/>
              <w:rPr>
                <w:b/>
                <w:bCs/>
                <w:sz w:val="24"/>
              </w:rPr>
            </w:pPr>
            <w:r>
              <w:rPr>
                <w:rFonts w:hint="eastAsia"/>
                <w:b/>
                <w:bCs/>
                <w:sz w:val="24"/>
              </w:rPr>
              <w:t>一、</w:t>
            </w:r>
            <w:r>
              <w:rPr>
                <w:rFonts w:hint="eastAsia"/>
                <w:b/>
                <w:sz w:val="24"/>
              </w:rPr>
              <w:t>施工期废气污染防治措施</w:t>
            </w:r>
          </w:p>
          <w:p>
            <w:pPr>
              <w:adjustRightInd w:val="0"/>
              <w:snapToGrid w:val="0"/>
              <w:spacing w:line="360" w:lineRule="auto"/>
              <w:ind w:firstLine="482" w:firstLineChars="200"/>
              <w:rPr>
                <w:b/>
                <w:sz w:val="24"/>
              </w:rPr>
            </w:pPr>
            <w:r>
              <w:rPr>
                <w:rFonts w:hint="eastAsia"/>
                <w:b/>
                <w:sz w:val="24"/>
              </w:rPr>
              <w:t>1、施工扬尘</w:t>
            </w:r>
          </w:p>
          <w:p>
            <w:pPr>
              <w:adjustRightInd w:val="0"/>
              <w:snapToGrid w:val="0"/>
              <w:spacing w:line="360" w:lineRule="auto"/>
              <w:ind w:firstLine="480" w:firstLineChars="200"/>
              <w:rPr>
                <w:sz w:val="24"/>
              </w:rPr>
            </w:pPr>
            <w:r>
              <w:rPr>
                <w:rFonts w:hint="eastAsia"/>
                <w:sz w:val="24"/>
              </w:rPr>
              <w:t>本项目购买商品混凝土，不存在灰土搅拌产生的扬尘影响；主要影响为建筑物拆除、土石方施工、材料堆放、建筑材料装卸过程产生的扬尘。类比同类型项目，在无任何防尘措施的情况下，施工现场对周围环境的影响较严重，污染范围约在150m范围内，TSP最大污染浓度是对照点的6.39倍；而在有防尘措施的情况下，污染范围降至50m范围内，最高污染浓度是对照点的4.04倍，最大污染浓度较无防尘措施降低了0.479mg/m</w:t>
            </w:r>
            <w:r>
              <w:rPr>
                <w:rFonts w:hint="eastAsia"/>
                <w:sz w:val="24"/>
                <w:vertAlign w:val="superscript"/>
              </w:rPr>
              <w:t>3</w:t>
            </w:r>
            <w:r>
              <w:rPr>
                <w:rFonts w:hint="eastAsia"/>
                <w:sz w:val="24"/>
              </w:rPr>
              <w:t>。为减轻施工期环境空气污染，建设单位应采取如下污染控制措施：</w:t>
            </w:r>
          </w:p>
          <w:p>
            <w:pPr>
              <w:adjustRightInd w:val="0"/>
              <w:snapToGrid w:val="0"/>
              <w:spacing w:line="360" w:lineRule="auto"/>
              <w:ind w:firstLine="480" w:firstLineChars="200"/>
              <w:rPr>
                <w:bCs/>
                <w:sz w:val="24"/>
              </w:rPr>
            </w:pPr>
            <w:r>
              <w:rPr>
                <w:rFonts w:hint="eastAsia"/>
                <w:bCs/>
                <w:sz w:val="24"/>
              </w:rPr>
              <w:t>①按照《衡阳市扬尘污染防治条例》和扬尘污染管控“八个100%</w:t>
            </w:r>
            <w:r>
              <w:rPr>
                <w:rFonts w:ascii="宋体" w:hAnsi="宋体"/>
                <w:bCs/>
                <w:sz w:val="24"/>
              </w:rPr>
              <w:t>”</w:t>
            </w:r>
            <w:r>
              <w:rPr>
                <w:rFonts w:hint="eastAsia"/>
                <w:bCs/>
                <w:sz w:val="24"/>
              </w:rPr>
              <w:t>的要求，全面落实建筑施工工地抑尘措施：施工工地现场围挡和外架防护100%全封闭，围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pPr>
              <w:adjustRightInd w:val="0"/>
              <w:snapToGrid w:val="0"/>
              <w:spacing w:line="360" w:lineRule="auto"/>
              <w:ind w:firstLine="480" w:firstLineChars="200"/>
              <w:rPr>
                <w:bCs/>
                <w:sz w:val="24"/>
              </w:rPr>
            </w:pPr>
            <w:r>
              <w:rPr>
                <w:rFonts w:hint="eastAsia"/>
                <w:bCs/>
                <w:sz w:val="24"/>
              </w:rPr>
              <w:t>②加强施工扬尘监管，积极推进绿色施工，建设工程施工现场应全封闭设置围挡，严禁敞开式作业；渣土运输车辆应采取密闭措施，推行道路机械化清扫等低尘作业方式。</w:t>
            </w:r>
          </w:p>
          <w:p>
            <w:pPr>
              <w:adjustRightInd w:val="0"/>
              <w:snapToGrid w:val="0"/>
              <w:spacing w:line="360" w:lineRule="auto"/>
              <w:ind w:firstLine="480" w:firstLineChars="200"/>
              <w:rPr>
                <w:bCs/>
                <w:sz w:val="24"/>
              </w:rPr>
            </w:pPr>
            <w:r>
              <w:rPr>
                <w:rFonts w:hint="eastAsia"/>
                <w:bCs/>
                <w:sz w:val="24"/>
              </w:rPr>
              <w:t>③在施工过程中，临近敏感点作业场地需连续设置不低于1.5m高的围挡，并做到坚固美观，既可以保障施工安全，又能够减少对沿线近距离敏感点的影响。</w:t>
            </w:r>
          </w:p>
          <w:p>
            <w:pPr>
              <w:adjustRightInd w:val="0"/>
              <w:snapToGrid w:val="0"/>
              <w:spacing w:line="360" w:lineRule="auto"/>
              <w:ind w:firstLine="480" w:firstLineChars="200"/>
              <w:rPr>
                <w:bCs/>
                <w:sz w:val="24"/>
              </w:rPr>
            </w:pPr>
            <w:r>
              <w:rPr>
                <w:rFonts w:hint="eastAsia"/>
                <w:bCs/>
                <w:sz w:val="24"/>
              </w:rPr>
              <w:t>④在施工场地安排员工定期对施工场地洒水以减少扬尘量，洒水次数根据天气状况而定，一般每天洒水4～5次，若遇到大风或干燥天气可适当增加洒水次数。</w:t>
            </w:r>
          </w:p>
          <w:p>
            <w:pPr>
              <w:adjustRightInd w:val="0"/>
              <w:snapToGrid w:val="0"/>
              <w:spacing w:line="360" w:lineRule="auto"/>
              <w:ind w:firstLine="480" w:firstLineChars="200"/>
              <w:rPr>
                <w:bCs/>
                <w:sz w:val="24"/>
              </w:rPr>
            </w:pPr>
            <w:r>
              <w:rPr>
                <w:rFonts w:hint="eastAsia"/>
                <w:bCs/>
                <w:sz w:val="24"/>
              </w:rPr>
              <w:t>⑤加强回填土方管理，制定土方表面压实、定期喷水、覆盖等措施。不需要的弃土、垃圾应及时运走，不宜长时间堆积，暂时不能运出施工工地的土方，应采取集中堆放、压实、覆盖以及适时洒水等有效的控制扬尘措施，减少泥土裸露时间和裸露面积，防止泥土扬尘产生。对于闲置3~6个月以上的现场空地，必须进行硬化、覆盖或临时绿化等处理。</w:t>
            </w:r>
          </w:p>
          <w:p>
            <w:pPr>
              <w:adjustRightInd w:val="0"/>
              <w:snapToGrid w:val="0"/>
              <w:spacing w:line="360" w:lineRule="auto"/>
              <w:ind w:firstLine="480" w:firstLineChars="200"/>
              <w:rPr>
                <w:bCs/>
                <w:sz w:val="24"/>
              </w:rPr>
            </w:pPr>
            <w:r>
              <w:rPr>
                <w:rFonts w:hint="eastAsia"/>
                <w:bCs/>
                <w:sz w:val="24"/>
              </w:rPr>
              <w:t>⑥施工工地中任何易产生扬尘的物料，必须采取覆盖措施；砂石料堆积边坡角度不宜过大，并适当保持湿润，防止被风吹散，必要时堆放的土石料应用遮布盖住，避免风吹起尘。</w:t>
            </w:r>
          </w:p>
          <w:p>
            <w:pPr>
              <w:adjustRightInd w:val="0"/>
              <w:snapToGrid w:val="0"/>
              <w:spacing w:line="360" w:lineRule="auto"/>
              <w:ind w:firstLine="480" w:firstLineChars="200"/>
              <w:rPr>
                <w:bCs/>
                <w:sz w:val="24"/>
              </w:rPr>
            </w:pPr>
            <w:r>
              <w:rPr>
                <w:rFonts w:hint="eastAsia"/>
                <w:bCs/>
                <w:sz w:val="24"/>
              </w:rPr>
              <w:t>⑦施工工地不得使用有明显无组织排放的中小型粉碎、切割、锯刨等机械设备；施工机械在挖土、运土、堆土作业时必须符合扬尘控制的要求。</w:t>
            </w:r>
          </w:p>
          <w:p>
            <w:pPr>
              <w:adjustRightInd w:val="0"/>
              <w:snapToGrid w:val="0"/>
              <w:spacing w:line="360" w:lineRule="auto"/>
              <w:ind w:firstLine="480" w:firstLineChars="200"/>
              <w:rPr>
                <w:bCs/>
                <w:sz w:val="24"/>
              </w:rPr>
            </w:pPr>
            <w:r>
              <w:rPr>
                <w:rFonts w:hint="eastAsia"/>
                <w:bCs/>
                <w:sz w:val="24"/>
              </w:rPr>
              <w:t>⑧对运输建筑材料及渣土的车辆加盖篷布减少洒落；同时，车辆进出装卸场地时在洗车台用水将轮胎冲洗干净；</w:t>
            </w:r>
          </w:p>
          <w:p>
            <w:pPr>
              <w:adjustRightInd w:val="0"/>
              <w:snapToGrid w:val="0"/>
              <w:spacing w:line="360" w:lineRule="auto"/>
              <w:ind w:firstLine="480" w:firstLineChars="200"/>
              <w:rPr>
                <w:bCs/>
                <w:sz w:val="24"/>
              </w:rPr>
            </w:pPr>
            <w:r>
              <w:rPr>
                <w:rFonts w:hint="eastAsia"/>
                <w:bCs/>
                <w:sz w:val="24"/>
              </w:rPr>
              <w:t>⑨运输车辆应规划好合理的运输路线，尽可能避免穿过中心集镇及居民较多的地区，减轻扬尘对居民的影响。</w:t>
            </w:r>
          </w:p>
          <w:p>
            <w:pPr>
              <w:adjustRightInd w:val="0"/>
              <w:snapToGrid w:val="0"/>
              <w:spacing w:line="360" w:lineRule="auto"/>
              <w:ind w:firstLine="480" w:firstLineChars="200"/>
              <w:rPr>
                <w:bCs/>
                <w:sz w:val="24"/>
              </w:rPr>
            </w:pPr>
            <w:r>
              <w:rPr>
                <w:rFonts w:hint="eastAsia"/>
                <w:bCs/>
                <w:sz w:val="24"/>
              </w:rPr>
              <w:t>总之，只要加强施工期管理、切实落实好以上污染防治措施，施工场地扬尘对周边大气环境的影响将会大大降低，同时其对环境的影响也将随施工的结束而消失，措施有效。</w:t>
            </w:r>
          </w:p>
          <w:p>
            <w:pPr>
              <w:adjustRightInd w:val="0"/>
              <w:snapToGrid w:val="0"/>
              <w:spacing w:line="360" w:lineRule="auto"/>
              <w:ind w:firstLine="482" w:firstLineChars="200"/>
              <w:rPr>
                <w:b/>
                <w:kern w:val="0"/>
                <w:sz w:val="24"/>
              </w:rPr>
            </w:pPr>
            <w:r>
              <w:rPr>
                <w:rFonts w:hint="eastAsia"/>
                <w:b/>
                <w:bCs/>
                <w:sz w:val="24"/>
              </w:rPr>
              <w:t>2、</w:t>
            </w:r>
            <w:r>
              <w:rPr>
                <w:b/>
                <w:kern w:val="0"/>
                <w:sz w:val="24"/>
              </w:rPr>
              <w:t>施工</w:t>
            </w:r>
            <w:r>
              <w:rPr>
                <w:rFonts w:hint="eastAsia"/>
                <w:b/>
                <w:kern w:val="0"/>
                <w:sz w:val="24"/>
              </w:rPr>
              <w:t>机械、车辆</w:t>
            </w:r>
            <w:r>
              <w:rPr>
                <w:b/>
                <w:kern w:val="0"/>
                <w:sz w:val="24"/>
              </w:rPr>
              <w:t>尾气</w:t>
            </w:r>
          </w:p>
          <w:p>
            <w:pPr>
              <w:spacing w:line="360" w:lineRule="auto"/>
              <w:ind w:firstLine="480" w:firstLineChars="200"/>
              <w:rPr>
                <w:kern w:val="0"/>
                <w:sz w:val="24"/>
              </w:rPr>
            </w:pPr>
            <w:r>
              <w:rPr>
                <w:kern w:val="0"/>
                <w:sz w:val="24"/>
              </w:rPr>
              <w:t>为了减轻施工</w:t>
            </w:r>
            <w:r>
              <w:rPr>
                <w:rFonts w:hint="eastAsia"/>
                <w:kern w:val="0"/>
                <w:sz w:val="24"/>
              </w:rPr>
              <w:t>机械</w:t>
            </w:r>
            <w:r>
              <w:rPr>
                <w:kern w:val="0"/>
                <w:sz w:val="24"/>
              </w:rPr>
              <w:t>尾气的影响，建议采取以下防治措施：</w:t>
            </w:r>
          </w:p>
          <w:p>
            <w:pPr>
              <w:spacing w:line="360" w:lineRule="auto"/>
              <w:ind w:firstLine="480" w:firstLineChars="200"/>
              <w:rPr>
                <w:kern w:val="0"/>
                <w:sz w:val="24"/>
              </w:rPr>
            </w:pPr>
            <w:r>
              <w:rPr>
                <w:rFonts w:hint="eastAsia"/>
                <w:kern w:val="0"/>
                <w:sz w:val="24"/>
              </w:rPr>
              <w:t>（1）施工现场应合理布置车辆运输路线，配合有关部门搞好施工期间周围道路的交通组织，保证行驶速度，减少怠速时间，以减少机动车尾气的排放。</w:t>
            </w:r>
          </w:p>
          <w:p>
            <w:pPr>
              <w:spacing w:line="360" w:lineRule="auto"/>
              <w:ind w:firstLine="480" w:firstLineChars="200"/>
              <w:rPr>
                <w:kern w:val="0"/>
                <w:sz w:val="24"/>
              </w:rPr>
            </w:pPr>
            <w:r>
              <w:rPr>
                <w:kern w:val="0"/>
                <w:sz w:val="24"/>
              </w:rPr>
              <w:t>（</w:t>
            </w:r>
            <w:r>
              <w:rPr>
                <w:rFonts w:hint="eastAsia"/>
                <w:kern w:val="0"/>
                <w:sz w:val="24"/>
              </w:rPr>
              <w:t>2</w:t>
            </w:r>
            <w:r>
              <w:rPr>
                <w:kern w:val="0"/>
                <w:sz w:val="24"/>
              </w:rPr>
              <w:t>）尽量选用低能耗、低污染排放的施工机械、车辆</w:t>
            </w:r>
            <w:r>
              <w:rPr>
                <w:rFonts w:hint="eastAsia"/>
                <w:kern w:val="0"/>
                <w:sz w:val="24"/>
              </w:rPr>
              <w:t>。</w:t>
            </w:r>
          </w:p>
          <w:p>
            <w:pPr>
              <w:spacing w:line="360" w:lineRule="auto"/>
              <w:ind w:firstLine="480" w:firstLineChars="200"/>
              <w:rPr>
                <w:kern w:val="0"/>
                <w:sz w:val="24"/>
              </w:rPr>
            </w:pPr>
            <w:r>
              <w:rPr>
                <w:kern w:val="0"/>
                <w:sz w:val="24"/>
              </w:rPr>
              <w:t>（</w:t>
            </w:r>
            <w:r>
              <w:rPr>
                <w:rFonts w:hint="eastAsia"/>
                <w:kern w:val="0"/>
                <w:sz w:val="24"/>
              </w:rPr>
              <w:t>3</w:t>
            </w:r>
            <w:r>
              <w:rPr>
                <w:kern w:val="0"/>
                <w:sz w:val="24"/>
              </w:rPr>
              <w:t>）不得使用劣质燃料，尽量选用</w:t>
            </w:r>
            <w:r>
              <w:rPr>
                <w:rFonts w:hint="eastAsia"/>
                <w:kern w:val="0"/>
                <w:sz w:val="24"/>
              </w:rPr>
              <w:t>产污少、利用率高</w:t>
            </w:r>
            <w:r>
              <w:rPr>
                <w:kern w:val="0"/>
                <w:sz w:val="24"/>
              </w:rPr>
              <w:t>的</w:t>
            </w:r>
            <w:r>
              <w:rPr>
                <w:rFonts w:hint="eastAsia"/>
                <w:kern w:val="0"/>
                <w:sz w:val="24"/>
              </w:rPr>
              <w:t>环保</w:t>
            </w:r>
            <w:r>
              <w:rPr>
                <w:kern w:val="0"/>
                <w:sz w:val="24"/>
              </w:rPr>
              <w:t>燃料。</w:t>
            </w:r>
          </w:p>
          <w:p>
            <w:pPr>
              <w:adjustRightInd w:val="0"/>
              <w:snapToGrid w:val="0"/>
              <w:spacing w:line="360" w:lineRule="auto"/>
              <w:ind w:firstLine="480" w:firstLineChars="200"/>
              <w:rPr>
                <w:b/>
                <w:kern w:val="0"/>
                <w:sz w:val="24"/>
              </w:rPr>
            </w:pPr>
            <w:r>
              <w:rPr>
                <w:rFonts w:hint="eastAsia"/>
                <w:kern w:val="0"/>
                <w:sz w:val="24"/>
              </w:rPr>
              <w:t>（4）加强对施工机械、运输车辆的维修保养，禁止施工机械超负荷工作和运输车辆超载。</w:t>
            </w:r>
          </w:p>
          <w:p>
            <w:pPr>
              <w:adjustRightInd w:val="0"/>
              <w:snapToGrid w:val="0"/>
              <w:spacing w:line="360" w:lineRule="auto"/>
              <w:ind w:firstLine="482" w:firstLineChars="200"/>
              <w:rPr>
                <w:b/>
                <w:sz w:val="24"/>
              </w:rPr>
            </w:pPr>
            <w:r>
              <w:rPr>
                <w:rFonts w:hint="eastAsia"/>
                <w:b/>
                <w:sz w:val="24"/>
              </w:rPr>
              <w:t>3、建筑装饰废气</w:t>
            </w:r>
          </w:p>
          <w:p>
            <w:pPr>
              <w:spacing w:line="360" w:lineRule="auto"/>
              <w:ind w:firstLine="480" w:firstLineChars="200"/>
              <w:rPr>
                <w:kern w:val="0"/>
                <w:sz w:val="24"/>
              </w:rPr>
            </w:pPr>
            <w:r>
              <w:rPr>
                <w:kern w:val="0"/>
                <w:sz w:val="24"/>
              </w:rPr>
              <w:t>为了减轻</w:t>
            </w:r>
            <w:r>
              <w:rPr>
                <w:rFonts w:hint="eastAsia"/>
                <w:sz w:val="24"/>
              </w:rPr>
              <w:t>建筑装饰废气</w:t>
            </w:r>
            <w:r>
              <w:rPr>
                <w:kern w:val="0"/>
                <w:sz w:val="24"/>
              </w:rPr>
              <w:t>的影响，建议采取以下防治措施：</w:t>
            </w:r>
          </w:p>
          <w:p>
            <w:pPr>
              <w:adjustRightInd w:val="0"/>
              <w:snapToGrid w:val="0"/>
              <w:spacing w:line="360" w:lineRule="auto"/>
              <w:ind w:firstLine="480" w:firstLineChars="200"/>
              <w:rPr>
                <w:sz w:val="24"/>
              </w:rPr>
            </w:pPr>
            <w:r>
              <w:rPr>
                <w:rFonts w:hint="eastAsia"/>
                <w:sz w:val="24"/>
              </w:rPr>
              <w:t>（1）采用符合标准的建筑材料，保证建材、有机溶剂和辅助添加剂无毒无害，做到健康设计原则。</w:t>
            </w:r>
          </w:p>
          <w:p>
            <w:pPr>
              <w:adjustRightInd w:val="0"/>
              <w:snapToGrid w:val="0"/>
              <w:spacing w:line="360" w:lineRule="auto"/>
              <w:ind w:firstLine="480" w:firstLineChars="200"/>
              <w:rPr>
                <w:sz w:val="24"/>
                <w:lang w:val="zh-CN"/>
              </w:rPr>
            </w:pPr>
            <w:r>
              <w:rPr>
                <w:rFonts w:hint="eastAsia"/>
                <w:sz w:val="24"/>
              </w:rPr>
              <w:t>（2）加强室内通风</w:t>
            </w:r>
            <w:r>
              <w:rPr>
                <w:sz w:val="24"/>
                <w:lang w:val="zh-CN"/>
              </w:rPr>
              <w:t>。</w:t>
            </w:r>
          </w:p>
          <w:p>
            <w:pPr>
              <w:adjustRightInd w:val="0"/>
              <w:snapToGrid w:val="0"/>
              <w:spacing w:line="360" w:lineRule="auto"/>
              <w:ind w:firstLine="482" w:firstLineChars="200"/>
              <w:rPr>
                <w:b/>
                <w:sz w:val="24"/>
              </w:rPr>
            </w:pPr>
            <w:r>
              <w:rPr>
                <w:rFonts w:hint="eastAsia"/>
                <w:b/>
                <w:sz w:val="24"/>
              </w:rPr>
              <w:t>二、施工废水防治措施</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施工期废水包括施工人员的生活污水和施工废水（泥浆水、基坑开挖排水、混凝土养护水、施工设备清洗及进出车辆冲洗废水），施工废水污染治理措施如下：</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1</w:t>
            </w:r>
            <w:r>
              <w:rPr>
                <w:rFonts w:hint="eastAsia" w:ascii="宋体" w:hAnsi="宋体"/>
                <w:kern w:val="0"/>
                <w:sz w:val="24"/>
              </w:rPr>
              <w:t>）生活污水经临时化粪池处理后，用作农肥，此方法在周边有耕地的地方普遍采用，可减少耕地化肥的施用量，有利于保护环境。</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2</w:t>
            </w:r>
            <w:r>
              <w:rPr>
                <w:rFonts w:hint="eastAsia" w:ascii="宋体" w:hAnsi="宋体"/>
                <w:kern w:val="0"/>
                <w:sz w:val="24"/>
              </w:rPr>
              <w:t>）水泥、黄沙类的建筑材料需集中堆放，四周必须开挖明沟和沉沙井，必要时还要设置阻隔挡墙，防止暴雨径流引起水体污染。及时清扫施工运输过程中抛射的建筑材料，物料堆场。</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3</w:t>
            </w:r>
            <w:r>
              <w:rPr>
                <w:rFonts w:hint="eastAsia" w:ascii="宋体" w:hAnsi="宋体"/>
                <w:kern w:val="0"/>
                <w:sz w:val="24"/>
              </w:rPr>
              <w:t>）建设单位严禁任何废水未经处理随意排放，施工泥浆水须经沉淀池沉淀后全部回用；污水沉淀时间应大于</w:t>
            </w:r>
            <w:r>
              <w:rPr>
                <w:rFonts w:hint="eastAsia"/>
                <w:kern w:val="0"/>
                <w:sz w:val="24"/>
              </w:rPr>
              <w:t>2</w:t>
            </w:r>
            <w:r>
              <w:rPr>
                <w:rFonts w:hint="eastAsia" w:ascii="宋体" w:hAnsi="宋体"/>
                <w:kern w:val="0"/>
                <w:sz w:val="24"/>
              </w:rPr>
              <w:t>小时，因此须在工地施工出口处，设置一个</w:t>
            </w:r>
            <w:r>
              <w:rPr>
                <w:rFonts w:hint="eastAsia"/>
                <w:kern w:val="0"/>
                <w:sz w:val="24"/>
              </w:rPr>
              <w:t>30m</w:t>
            </w:r>
            <w:r>
              <w:rPr>
                <w:rFonts w:hint="eastAsia" w:hAnsi="宋体"/>
                <w:kern w:val="0"/>
                <w:sz w:val="24"/>
                <w:vertAlign w:val="superscript"/>
              </w:rPr>
              <w:t>3</w:t>
            </w:r>
            <w:r>
              <w:rPr>
                <w:rFonts w:hint="eastAsia" w:ascii="宋体" w:hAnsi="宋体"/>
                <w:kern w:val="0"/>
                <w:sz w:val="24"/>
              </w:rPr>
              <w:t>的施工期车辆清洗设施和沉淀池，以收集施工污水，清洗废水经沉淀池澄清后循环使用于生产或者路面养护，本项目设</w:t>
            </w:r>
            <w:r>
              <w:rPr>
                <w:rFonts w:hint="eastAsia" w:hAnsi="宋体"/>
                <w:kern w:val="0"/>
                <w:sz w:val="24"/>
              </w:rPr>
              <w:t>2</w:t>
            </w:r>
            <w:r>
              <w:rPr>
                <w:rFonts w:hint="eastAsia" w:ascii="宋体" w:hAnsi="宋体"/>
                <w:kern w:val="0"/>
                <w:sz w:val="24"/>
              </w:rPr>
              <w:t>个贮水池，污水产生量较多如不能及时回用时可进入贮水池暂时贮存，施工废水不外排。</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4</w:t>
            </w:r>
            <w:r>
              <w:rPr>
                <w:rFonts w:hint="eastAsia" w:ascii="宋体" w:hAnsi="宋体"/>
                <w:kern w:val="0"/>
                <w:sz w:val="24"/>
              </w:rPr>
              <w:t>）在施工工地周界应设置排水明沟，场地冲洗废水和施工场地初期雨水，经隔油沉淀处理后用于生产或者路面养护。</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5</w:t>
            </w:r>
            <w:r>
              <w:rPr>
                <w:rFonts w:hint="eastAsia" w:ascii="宋体" w:hAnsi="宋体"/>
                <w:kern w:val="0"/>
                <w:sz w:val="24"/>
              </w:rPr>
              <w:t>）为了减少养护废水对水环境的影响，在养护洒水过程中，采取少量多次，确保路面湿润而水不流到环境中。</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6</w:t>
            </w:r>
            <w:r>
              <w:rPr>
                <w:rFonts w:hint="eastAsia" w:ascii="宋体" w:hAnsi="宋体"/>
                <w:kern w:val="0"/>
                <w:sz w:val="24"/>
              </w:rPr>
              <w:t>）在施工过程中应加强对机械设备的检修，防止设备漏油现象的发生。施工机械设备的维修应在专业厂家进行，防止施工现场地表油类污染</w:t>
            </w:r>
            <w:r>
              <w:rPr>
                <w:rFonts w:hint="eastAsia"/>
                <w:kern w:val="0"/>
                <w:sz w:val="24"/>
              </w:rPr>
              <w:t>;</w:t>
            </w:r>
            <w:r>
              <w:rPr>
                <w:rFonts w:hint="eastAsia" w:ascii="宋体" w:hAnsi="宋体"/>
                <w:kern w:val="0"/>
                <w:sz w:val="24"/>
              </w:rPr>
              <w:t>定时清洁建筑施工机械表面不必要的润滑油及其它油污，尽量减小建筑施工机械设备与水体的直接接触。</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7</w:t>
            </w:r>
            <w:r>
              <w:rPr>
                <w:rFonts w:hint="eastAsia" w:ascii="宋体" w:hAnsi="宋体"/>
                <w:kern w:val="0"/>
                <w:sz w:val="24"/>
              </w:rPr>
              <w:t>）建筑材料运输及堆放过程必须严格按照</w:t>
            </w:r>
            <w:r>
              <w:rPr>
                <w:rFonts w:hint="eastAsia" w:ascii="宋体" w:hAnsi="宋体"/>
                <w:kern w:val="0"/>
                <w:sz w:val="24"/>
                <w:lang w:eastAsia="zh-CN"/>
              </w:rPr>
              <w:t>交通运输部</w:t>
            </w:r>
            <w:r>
              <w:rPr>
                <w:rFonts w:hint="eastAsia" w:ascii="宋体" w:hAnsi="宋体"/>
                <w:kern w:val="0"/>
                <w:sz w:val="24"/>
              </w:rPr>
              <w:t>有关规范规定，在施工中应根据不同建筑材料的特点，有针对性的加强保护管理措施，禁止废物和有毒物质进入水体。</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8</w:t>
            </w:r>
            <w:r>
              <w:rPr>
                <w:rFonts w:hint="eastAsia" w:ascii="宋体" w:hAnsi="宋体"/>
                <w:kern w:val="0"/>
                <w:sz w:val="24"/>
              </w:rPr>
              <w:t>）土方随挖随填，随铺随压，以减少水土流失。</w:t>
            </w:r>
          </w:p>
          <w:p>
            <w:pPr>
              <w:adjustRightInd w:val="0"/>
              <w:snapToGrid w:val="0"/>
              <w:spacing w:line="360" w:lineRule="auto"/>
              <w:ind w:firstLine="482" w:firstLineChars="200"/>
              <w:rPr>
                <w:b/>
                <w:bCs/>
                <w:sz w:val="24"/>
              </w:rPr>
            </w:pPr>
            <w:r>
              <w:rPr>
                <w:rFonts w:hint="eastAsia"/>
                <w:b/>
                <w:bCs/>
                <w:sz w:val="24"/>
              </w:rPr>
              <w:t>三、施工期声环境保护措施</w:t>
            </w:r>
          </w:p>
          <w:p>
            <w:pPr>
              <w:spacing w:line="360" w:lineRule="auto"/>
              <w:ind w:firstLine="480" w:firstLineChars="200"/>
              <w:rPr>
                <w:sz w:val="24"/>
              </w:rPr>
            </w:pPr>
            <w:r>
              <w:rPr>
                <w:rFonts w:hint="eastAsia" w:ascii="宋体" w:hAnsi="宋体"/>
                <w:sz w:val="24"/>
              </w:rPr>
              <w:t>施工期的噪声主要可分为机械噪声、施工作业噪声和施工车辆噪声等，可分别采取相应的控制措施，防止噪声影响周围环境和人们的正常生活，评价建议：</w:t>
            </w:r>
          </w:p>
          <w:p>
            <w:pPr>
              <w:spacing w:line="360" w:lineRule="auto"/>
              <w:ind w:firstLine="480" w:firstLineChars="200"/>
              <w:rPr>
                <w:sz w:val="24"/>
              </w:rPr>
            </w:pPr>
            <w:r>
              <w:rPr>
                <w:rFonts w:hint="eastAsia" w:ascii="宋体" w:hAnsi="宋体"/>
                <w:sz w:val="24"/>
              </w:rPr>
              <w:t>（</w:t>
            </w:r>
            <w:r>
              <w:rPr>
                <w:rFonts w:hint="eastAsia"/>
                <w:sz w:val="24"/>
              </w:rPr>
              <w:t>1</w:t>
            </w:r>
            <w:r>
              <w:rPr>
                <w:rFonts w:hint="eastAsia" w:ascii="宋体" w:hAnsi="宋体"/>
                <w:sz w:val="24"/>
              </w:rPr>
              <w:t>）使用低噪声机械设备，同时在施工过程中施工单位应设专</w:t>
            </w:r>
            <w:bookmarkStart w:id="20" w:name="_GoBack"/>
            <w:bookmarkEnd w:id="20"/>
            <w:r>
              <w:rPr>
                <w:rFonts w:hint="eastAsia" w:ascii="宋体" w:hAnsi="宋体"/>
                <w:sz w:val="24"/>
              </w:rPr>
              <w:t>人对设备进行定期保养和维护，并负责对现场工作人员进行培训，严格按操作规范使用各类机械。</w:t>
            </w:r>
          </w:p>
          <w:p>
            <w:pPr>
              <w:spacing w:line="360" w:lineRule="auto"/>
              <w:ind w:firstLine="480" w:firstLineChars="200"/>
              <w:rPr>
                <w:sz w:val="24"/>
              </w:rPr>
            </w:pPr>
            <w:r>
              <w:rPr>
                <w:rFonts w:hint="eastAsia" w:ascii="宋体" w:hAnsi="宋体"/>
                <w:sz w:val="24"/>
              </w:rPr>
              <w:t>（</w:t>
            </w:r>
            <w:r>
              <w:rPr>
                <w:rFonts w:hint="eastAsia"/>
                <w:sz w:val="24"/>
              </w:rPr>
              <w:t>2</w:t>
            </w:r>
            <w:r>
              <w:rPr>
                <w:rFonts w:hint="eastAsia" w:ascii="宋体" w:hAnsi="宋体"/>
                <w:sz w:val="24"/>
              </w:rPr>
              <w:t>）对高噪声的施工机械要采取一定的减震、隔音等降噪措施，定期检查施工设备，一发现产生的噪声增加应及时维修或更换。</w:t>
            </w:r>
          </w:p>
          <w:p>
            <w:pPr>
              <w:spacing w:line="360" w:lineRule="auto"/>
              <w:ind w:firstLine="480" w:firstLineChars="200"/>
              <w:rPr>
                <w:sz w:val="24"/>
              </w:rPr>
            </w:pPr>
            <w:r>
              <w:rPr>
                <w:rFonts w:hint="eastAsia" w:ascii="宋体" w:hAnsi="宋体"/>
                <w:sz w:val="24"/>
              </w:rPr>
              <w:t>（</w:t>
            </w:r>
            <w:r>
              <w:rPr>
                <w:rFonts w:hint="eastAsia"/>
                <w:sz w:val="24"/>
              </w:rPr>
              <w:t>3</w:t>
            </w:r>
            <w:r>
              <w:rPr>
                <w:rFonts w:hint="eastAsia" w:ascii="宋体" w:hAnsi="宋体"/>
                <w:sz w:val="24"/>
              </w:rPr>
              <w:t>）合理安排施工计划和施工机械设备组合以及施工时间，避免在同一时间集中使用大量的动力机械设备。</w:t>
            </w:r>
          </w:p>
          <w:p>
            <w:pPr>
              <w:spacing w:line="360" w:lineRule="auto"/>
              <w:ind w:firstLine="480" w:firstLineChars="200"/>
              <w:rPr>
                <w:sz w:val="24"/>
              </w:rPr>
            </w:pPr>
            <w:r>
              <w:rPr>
                <w:rFonts w:hint="eastAsia" w:ascii="宋体" w:hAnsi="宋体"/>
                <w:sz w:val="24"/>
              </w:rPr>
              <w:t>（</w:t>
            </w:r>
            <w:r>
              <w:rPr>
                <w:rFonts w:hint="eastAsia"/>
                <w:sz w:val="24"/>
              </w:rPr>
              <w:t>4</w:t>
            </w:r>
            <w:r>
              <w:rPr>
                <w:rFonts w:hint="eastAsia" w:ascii="宋体" w:hAnsi="宋体"/>
                <w:sz w:val="24"/>
              </w:rPr>
              <w:t>）对施工进行合理布局，尽量使高噪声的机械设备远离环境敏感点。</w:t>
            </w:r>
          </w:p>
          <w:p>
            <w:pPr>
              <w:spacing w:line="360" w:lineRule="auto"/>
              <w:ind w:firstLine="480" w:firstLineChars="200"/>
              <w:rPr>
                <w:sz w:val="24"/>
              </w:rPr>
            </w:pPr>
            <w:r>
              <w:rPr>
                <w:rFonts w:hint="eastAsia" w:ascii="宋体" w:hAnsi="宋体"/>
                <w:sz w:val="24"/>
              </w:rPr>
              <w:t>（</w:t>
            </w:r>
            <w:r>
              <w:rPr>
                <w:rFonts w:hint="eastAsia"/>
                <w:sz w:val="24"/>
              </w:rPr>
              <w:t>5</w:t>
            </w:r>
            <w:r>
              <w:rPr>
                <w:rFonts w:hint="eastAsia" w:ascii="宋体" w:hAnsi="宋体"/>
                <w:sz w:val="24"/>
              </w:rPr>
              <w:t>）在施工场地周围有敏感点的地方设立临时声屏障，在高噪声的机械设备旁建立独立声屏障，以减轻没备噪声对周围环境的影响。</w:t>
            </w:r>
          </w:p>
          <w:p>
            <w:pPr>
              <w:spacing w:line="360" w:lineRule="auto"/>
              <w:ind w:firstLine="480" w:firstLineChars="200"/>
              <w:rPr>
                <w:sz w:val="24"/>
              </w:rPr>
            </w:pPr>
            <w:r>
              <w:rPr>
                <w:rFonts w:hint="eastAsia" w:ascii="宋体" w:hAnsi="宋体"/>
                <w:sz w:val="24"/>
              </w:rPr>
              <w:t>（</w:t>
            </w:r>
            <w:r>
              <w:rPr>
                <w:rFonts w:hint="eastAsia"/>
                <w:sz w:val="24"/>
              </w:rPr>
              <w:t>6</w:t>
            </w:r>
            <w:r>
              <w:rPr>
                <w:rFonts w:hint="eastAsia" w:ascii="宋体" w:hAnsi="宋体"/>
                <w:sz w:val="24"/>
              </w:rPr>
              <w:t>）车辆出入现场时应低速、禁鸣。</w:t>
            </w:r>
          </w:p>
          <w:p>
            <w:pPr>
              <w:spacing w:line="360" w:lineRule="auto"/>
              <w:ind w:firstLine="480" w:firstLineChars="200"/>
              <w:rPr>
                <w:sz w:val="24"/>
              </w:rPr>
            </w:pPr>
            <w:r>
              <w:rPr>
                <w:rFonts w:hint="eastAsia" w:ascii="宋体" w:hAnsi="宋体"/>
                <w:sz w:val="24"/>
              </w:rPr>
              <w:t>（</w:t>
            </w:r>
            <w:r>
              <w:rPr>
                <w:rFonts w:hint="eastAsia"/>
                <w:sz w:val="24"/>
              </w:rPr>
              <w:t>7</w:t>
            </w:r>
            <w:r>
              <w:rPr>
                <w:rFonts w:hint="eastAsia" w:ascii="宋体" w:hAnsi="宋体"/>
                <w:sz w:val="24"/>
              </w:rPr>
              <w:t>）建设管理部门加强对施工场地的噪声管理，施工企业也应对施工噪声进行自律，文明施工，避免因施工噪声产生纠纷。</w:t>
            </w:r>
          </w:p>
          <w:p>
            <w:pPr>
              <w:adjustRightInd w:val="0"/>
              <w:snapToGrid w:val="0"/>
              <w:spacing w:line="360" w:lineRule="auto"/>
              <w:ind w:firstLine="482" w:firstLineChars="200"/>
              <w:rPr>
                <w:b/>
                <w:bCs/>
                <w:sz w:val="24"/>
              </w:rPr>
            </w:pPr>
            <w:r>
              <w:rPr>
                <w:rFonts w:hint="eastAsia"/>
                <w:b/>
                <w:bCs/>
                <w:sz w:val="24"/>
              </w:rPr>
              <w:t>四、</w:t>
            </w:r>
            <w:r>
              <w:rPr>
                <w:b/>
                <w:bCs/>
                <w:sz w:val="24"/>
              </w:rPr>
              <w:t>施工期</w:t>
            </w:r>
            <w:r>
              <w:rPr>
                <w:rFonts w:hint="eastAsia"/>
                <w:b/>
                <w:bCs/>
                <w:sz w:val="24"/>
              </w:rPr>
              <w:t>固体废物污染防治措施</w:t>
            </w:r>
          </w:p>
          <w:p>
            <w:pPr>
              <w:adjustRightInd w:val="0"/>
              <w:snapToGrid w:val="0"/>
              <w:spacing w:line="360" w:lineRule="auto"/>
              <w:ind w:firstLine="480" w:firstLineChars="200"/>
              <w:rPr>
                <w:sz w:val="24"/>
              </w:rPr>
            </w:pPr>
            <w:r>
              <w:rPr>
                <w:rFonts w:hint="eastAsia"/>
                <w:sz w:val="24"/>
              </w:rPr>
              <w:t>施工期产生主要固体废物主要来源于建筑物拆除及建筑物基础基坑开挖土石方、施工人员生活垃圾。施工人员产生的生活垃圾经收集后交由环卫部门定期清运。</w:t>
            </w:r>
          </w:p>
          <w:p>
            <w:pPr>
              <w:spacing w:line="360" w:lineRule="auto"/>
              <w:ind w:firstLine="480" w:firstLineChars="200"/>
              <w:rPr>
                <w:sz w:val="24"/>
              </w:rPr>
            </w:pPr>
            <w:r>
              <w:rPr>
                <w:rFonts w:hint="eastAsia" w:ascii="宋体" w:hAnsi="宋体"/>
                <w:sz w:val="24"/>
              </w:rPr>
              <w:t>建筑物拆除产生的建筑垃圾、及基坑开挖的土石方，能够回填的弃土和施工垃圾尽量及时回填。不能回填的，施工期间基坑开挖土方就近临时堆放在基坑周边的空地，在临时堆放点堆</w:t>
            </w:r>
            <w:r>
              <w:rPr>
                <w:rFonts w:hAnsi="宋体"/>
                <w:sz w:val="24"/>
              </w:rPr>
              <w:t>放的时间不应超过两天，尽量做到日产日清。无法回用的统一清运至指定弃渣场处置。</w:t>
            </w:r>
          </w:p>
          <w:p>
            <w:pPr>
              <w:spacing w:line="360" w:lineRule="auto"/>
              <w:ind w:firstLine="480" w:firstLineChars="200"/>
              <w:rPr>
                <w:sz w:val="24"/>
              </w:rPr>
            </w:pPr>
            <w:r>
              <w:rPr>
                <w:rFonts w:hAnsi="宋体"/>
                <w:sz w:val="24"/>
              </w:rPr>
              <w:t>（</w:t>
            </w:r>
            <w:r>
              <w:rPr>
                <w:sz w:val="24"/>
              </w:rPr>
              <w:t>1</w:t>
            </w:r>
            <w:r>
              <w:rPr>
                <w:rFonts w:hAnsi="宋体"/>
                <w:sz w:val="24"/>
              </w:rPr>
              <w:t>）车辆在运输过程中对车顶采用篷布进行覆盖，防止材料洒落在道路上；</w:t>
            </w:r>
          </w:p>
          <w:p>
            <w:pPr>
              <w:spacing w:line="360" w:lineRule="auto"/>
              <w:ind w:firstLine="480" w:firstLineChars="200"/>
              <w:rPr>
                <w:sz w:val="24"/>
              </w:rPr>
            </w:pPr>
            <w:r>
              <w:rPr>
                <w:rFonts w:hAnsi="宋体"/>
                <w:sz w:val="24"/>
              </w:rPr>
              <w:t>（</w:t>
            </w:r>
            <w:r>
              <w:rPr>
                <w:sz w:val="24"/>
              </w:rPr>
              <w:t>2</w:t>
            </w:r>
            <w:r>
              <w:rPr>
                <w:rFonts w:hAnsi="宋体"/>
                <w:sz w:val="24"/>
              </w:rPr>
              <w:t>）建设工程施工现场出口处应当设置车辆冲洗设施，施工车辆冲洗干净后方可上路行驶；</w:t>
            </w:r>
          </w:p>
          <w:p>
            <w:pPr>
              <w:spacing w:line="360" w:lineRule="auto"/>
              <w:ind w:firstLine="480" w:firstLineChars="200"/>
              <w:rPr>
                <w:sz w:val="24"/>
              </w:rPr>
            </w:pPr>
            <w:r>
              <w:rPr>
                <w:sz w:val="24"/>
              </w:rPr>
              <w:t>（3）</w:t>
            </w:r>
            <w:r>
              <w:rPr>
                <w:rFonts w:hAnsi="宋体"/>
                <w:sz w:val="24"/>
              </w:rPr>
              <w:t>不得占用道路堆放建筑垃圾、工程渣土。</w:t>
            </w:r>
          </w:p>
          <w:p>
            <w:pPr>
              <w:spacing w:line="360" w:lineRule="auto"/>
              <w:ind w:firstLine="480" w:firstLineChars="200"/>
              <w:rPr>
                <w:rFonts w:ascii="宋体" w:hAnsi="宋体"/>
                <w:sz w:val="24"/>
              </w:rPr>
            </w:pPr>
            <w:r>
              <w:rPr>
                <w:rFonts w:hAnsi="宋体"/>
                <w:sz w:val="24"/>
              </w:rPr>
              <w:t>（</w:t>
            </w:r>
            <w:r>
              <w:rPr>
                <w:sz w:val="24"/>
              </w:rPr>
              <w:t>4</w:t>
            </w:r>
            <w:r>
              <w:rPr>
                <w:rFonts w:hAnsi="宋体"/>
                <w:sz w:val="24"/>
              </w:rPr>
              <w:t>）车辆</w:t>
            </w:r>
            <w:r>
              <w:rPr>
                <w:rFonts w:hint="eastAsia" w:ascii="宋体" w:hAnsi="宋体"/>
                <w:sz w:val="24"/>
              </w:rPr>
              <w:t>运输散体物和废弃物时，须用封闭式渣土运输车将建筑垃圾及时清运,不能随意抛弃、转移和扩散，更不能向周围环境转移，及时将固废运到指定地点（如垃圾填埋场、铺路基等）妥善处置，严防制造新的“垃圾堆场”，对周围环境造成二次污染。运载土方的车辆必须在规定的时间内，按指定路段行驶。</w:t>
            </w:r>
          </w:p>
          <w:p>
            <w:pPr>
              <w:spacing w:line="360" w:lineRule="auto"/>
              <w:ind w:firstLine="482" w:firstLineChars="200"/>
              <w:rPr>
                <w:b/>
                <w:sz w:val="24"/>
              </w:rPr>
            </w:pPr>
            <w:r>
              <w:rPr>
                <w:rFonts w:hint="eastAsia"/>
                <w:b/>
                <w:sz w:val="24"/>
              </w:rPr>
              <w:t>五、生态保护措施</w:t>
            </w:r>
          </w:p>
          <w:p>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在施工期间应采取生态环境保护措施，以利于项目建成后的生态环境恢复和建设：</w:t>
            </w:r>
          </w:p>
          <w:p>
            <w:pPr>
              <w:autoSpaceDE w:val="0"/>
              <w:autoSpaceDN w:val="0"/>
              <w:adjustRightInd w:val="0"/>
              <w:spacing w:line="360" w:lineRule="auto"/>
              <w:ind w:firstLine="480" w:firstLineChars="200"/>
              <w:rPr>
                <w:rFonts w:hAnsi="宋体"/>
                <w:kern w:val="0"/>
                <w:sz w:val="24"/>
              </w:rPr>
            </w:pPr>
            <w:r>
              <w:rPr>
                <w:rFonts w:hint="eastAsia" w:hAnsi="宋体"/>
                <w:kern w:val="0"/>
                <w:sz w:val="24"/>
              </w:rPr>
              <w:t>1</w:t>
            </w:r>
            <w:r>
              <w:rPr>
                <w:rFonts w:hint="eastAsia" w:ascii="宋体" w:hAnsi="宋体"/>
                <w:kern w:val="0"/>
                <w:sz w:val="24"/>
              </w:rPr>
              <w:t>、施工期间项目开发区域的大部分植被将会消失，但应尽量结合绿地建设争取保留项目边缘地带的植被，因为这些物种是适合当地生长条件的乡土植物，是当地植被建设的基础。施工期间尽量保留这些植物群落和物种，并适当地对其进行改造，是改善区域生态环境的良好途径，既可节省复绿开支，也可减少物种的生态入侵及绿地与当地景观不协调的问题</w:t>
            </w:r>
            <w:r>
              <w:rPr>
                <w:rFonts w:ascii="宋体" w:hAnsi="宋体"/>
                <w:kern w:val="0"/>
                <w:sz w:val="24"/>
              </w:rPr>
              <w:t>。</w:t>
            </w:r>
          </w:p>
          <w:p>
            <w:pPr>
              <w:autoSpaceDE w:val="0"/>
              <w:autoSpaceDN w:val="0"/>
              <w:adjustRightInd w:val="0"/>
              <w:spacing w:line="360" w:lineRule="auto"/>
              <w:ind w:firstLine="480" w:firstLineChars="200"/>
              <w:rPr>
                <w:rFonts w:hAnsi="宋体"/>
                <w:kern w:val="0"/>
                <w:sz w:val="24"/>
              </w:rPr>
            </w:pPr>
            <w:r>
              <w:rPr>
                <w:rFonts w:hint="eastAsia" w:hAnsi="宋体"/>
                <w:kern w:val="0"/>
                <w:sz w:val="24"/>
              </w:rPr>
              <w:t>2</w:t>
            </w:r>
            <w:r>
              <w:rPr>
                <w:rFonts w:hint="eastAsia" w:ascii="宋体" w:hAnsi="宋体"/>
                <w:kern w:val="0"/>
                <w:sz w:val="24"/>
              </w:rPr>
              <w:t>、水土保持工作应坚持及时、多样、因地制宜、长短期相结合以及总体和局部结合的原则。结合本建设区域的具体情况在施工中可以采取以下对策：</w:t>
            </w:r>
          </w:p>
          <w:p>
            <w:pPr>
              <w:autoSpaceDE w:val="0"/>
              <w:autoSpaceDN w:val="0"/>
              <w:adjustRightInd w:val="0"/>
              <w:spacing w:line="360" w:lineRule="auto"/>
              <w:ind w:firstLine="480" w:firstLineChars="200"/>
              <w:rPr>
                <w:kern w:val="0"/>
                <w:sz w:val="24"/>
              </w:rPr>
            </w:pPr>
            <w:r>
              <w:rPr>
                <w:rFonts w:hint="eastAsia" w:ascii="宋体" w:hAnsi="宋体"/>
                <w:kern w:val="0"/>
                <w:sz w:val="24"/>
              </w:rPr>
              <w:t>①建设单位在动工前应在必要地段完成拦土堤及护坡垒砌工程，在整体上形成完整的档土墙体系。同时，开边沟，边坡要用石块铺砌，填土场的上游要设置导流沟，防止上游的径流冲刷填土场</w:t>
            </w:r>
            <w:r>
              <w:rPr>
                <w:rFonts w:ascii="宋体" w:hAnsi="宋体"/>
                <w:kern w:val="0"/>
                <w:sz w:val="24"/>
              </w:rPr>
              <w:t>。</w:t>
            </w:r>
          </w:p>
          <w:p>
            <w:pPr>
              <w:autoSpaceDE w:val="0"/>
              <w:autoSpaceDN w:val="0"/>
              <w:adjustRightInd w:val="0"/>
              <w:spacing w:line="360" w:lineRule="auto"/>
              <w:ind w:firstLine="480" w:firstLineChars="200"/>
              <w:rPr>
                <w:kern w:val="0"/>
                <w:sz w:val="24"/>
              </w:rPr>
            </w:pPr>
            <w:r>
              <w:rPr>
                <w:rFonts w:hint="eastAsia" w:ascii="宋体" w:hAnsi="宋体"/>
                <w:kern w:val="0"/>
                <w:sz w:val="24"/>
              </w:rPr>
              <w:t>②开发区周围设置防洪墙或淤泥幕，防止对水体的淤积影响。</w:t>
            </w:r>
          </w:p>
          <w:p>
            <w:pPr>
              <w:autoSpaceDE w:val="0"/>
              <w:autoSpaceDN w:val="0"/>
              <w:adjustRightInd w:val="0"/>
              <w:spacing w:line="360" w:lineRule="auto"/>
              <w:ind w:firstLine="480" w:firstLineChars="200"/>
              <w:rPr>
                <w:kern w:val="0"/>
                <w:sz w:val="24"/>
              </w:rPr>
            </w:pPr>
            <w:r>
              <w:rPr>
                <w:rFonts w:hint="eastAsia" w:ascii="宋体" w:hAnsi="宋体"/>
                <w:kern w:val="0"/>
                <w:sz w:val="24"/>
              </w:rPr>
              <w:t>③在推挖填土工程完成后，工地往往还要裸露一段时间才能完成建设或重新绿化，这就要及时在地面的径流汇集线上设置缓流泥砂阻隔带。阻隔带可以采用透水的高强</w:t>
            </w:r>
            <w:r>
              <w:rPr>
                <w:rFonts w:hint="eastAsia"/>
                <w:kern w:val="0"/>
                <w:sz w:val="24"/>
              </w:rPr>
              <w:t>PVC</w:t>
            </w:r>
            <w:r>
              <w:rPr>
                <w:rFonts w:hint="eastAsia" w:ascii="宋体" w:hAnsi="宋体"/>
                <w:kern w:val="0"/>
                <w:sz w:val="24"/>
              </w:rPr>
              <w:t>编织带，用角铁或木桩将编织袋固置于与汇流线相切的方向上，带高一般为</w:t>
            </w:r>
            <w:r>
              <w:rPr>
                <w:rFonts w:hint="eastAsia"/>
                <w:kern w:val="0"/>
                <w:sz w:val="24"/>
              </w:rPr>
              <w:t>50cm</w:t>
            </w:r>
            <w:r>
              <w:rPr>
                <w:rFonts w:hint="eastAsia" w:ascii="宋体" w:hAnsi="宋体"/>
                <w:kern w:val="0"/>
                <w:sz w:val="24"/>
              </w:rPr>
              <w:t>就已足够，带长可以视地形决定，一般为数米至数十米不等，可以有效地阻止泥沙随径流的初始流动，控制住施工期的水土流失</w:t>
            </w:r>
            <w:r>
              <w:rPr>
                <w:rFonts w:ascii="宋体" w:hAnsi="宋体"/>
                <w:kern w:val="0"/>
                <w:sz w:val="24"/>
              </w:rPr>
              <w:t>。</w:t>
            </w:r>
          </w:p>
          <w:p>
            <w:pPr>
              <w:autoSpaceDE w:val="0"/>
              <w:autoSpaceDN w:val="0"/>
              <w:adjustRightInd w:val="0"/>
              <w:spacing w:line="360" w:lineRule="auto"/>
              <w:ind w:firstLine="480" w:firstLineChars="200"/>
              <w:rPr>
                <w:kern w:val="0"/>
                <w:sz w:val="24"/>
              </w:rPr>
            </w:pPr>
            <w:r>
              <w:rPr>
                <w:rFonts w:hint="eastAsia"/>
                <w:kern w:val="0"/>
                <w:sz w:val="24"/>
              </w:rPr>
              <w:t>④在施工中，要合理安排施工计划、施工程序，协调好各个施工步骤，土方填挖应尽量集中和避开暴雨期，并争取土料随挖随运、随填随压，减少堆土裸土的暴露时间，以避免受降雨的直接冲刷。在暴雨期，还应采取应急措施，尽量用覆盖物覆盖新开挖的陡坡，防止冲刷和崩塌。</w:t>
            </w:r>
          </w:p>
          <w:p>
            <w:pPr>
              <w:autoSpaceDE w:val="0"/>
              <w:autoSpaceDN w:val="0"/>
              <w:adjustRightInd w:val="0"/>
              <w:spacing w:line="360" w:lineRule="auto"/>
              <w:ind w:firstLine="480" w:firstLineChars="200"/>
              <w:rPr>
                <w:kern w:val="0"/>
                <w:sz w:val="24"/>
              </w:rPr>
            </w:pPr>
            <w:r>
              <w:rPr>
                <w:rFonts w:hint="eastAsia"/>
                <w:kern w:val="0"/>
                <w:sz w:val="24"/>
              </w:rPr>
              <w:t>⑤各个分项目建成以后，及时恢复被扰乱的地域，重新组织未利用的小块土地，种植人工植被，辟为花园或绿地；管理部门应组织人员对区内荒芜的地块栽种人工植被，减少自然的水土流失。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 w:type="pct"/>
            <w:tcMar>
              <w:left w:w="28" w:type="dxa"/>
              <w:right w:w="28" w:type="dxa"/>
            </w:tcMar>
            <w:vAlign w:val="center"/>
          </w:tcPr>
          <w:p>
            <w:pPr>
              <w:adjustRightInd w:val="0"/>
              <w:snapToGrid w:val="0"/>
              <w:jc w:val="center"/>
              <w:rPr>
                <w:rFonts w:ascii="宋体" w:hAnsi="宋体" w:cs="宋体"/>
                <w:b/>
                <w:bCs/>
                <w:sz w:val="24"/>
              </w:rPr>
            </w:pPr>
            <w:r>
              <w:rPr>
                <w:rFonts w:hint="eastAsia" w:ascii="宋体" w:hAnsi="宋体" w:cs="宋体"/>
                <w:b/>
                <w:bCs/>
                <w:sz w:val="24"/>
              </w:rPr>
              <w:t>运营</w:t>
            </w:r>
          </w:p>
          <w:p>
            <w:pPr>
              <w:adjustRightInd w:val="0"/>
              <w:snapToGrid w:val="0"/>
              <w:jc w:val="center"/>
              <w:rPr>
                <w:rFonts w:ascii="宋体" w:hAnsi="宋体" w:cs="宋体"/>
                <w:b/>
                <w:bCs/>
                <w:sz w:val="24"/>
              </w:rPr>
            </w:pPr>
            <w:r>
              <w:rPr>
                <w:rFonts w:hint="eastAsia" w:ascii="宋体" w:hAnsi="宋体" w:cs="宋体"/>
                <w:b/>
                <w:bCs/>
                <w:sz w:val="24"/>
              </w:rPr>
              <w:t>期环</w:t>
            </w:r>
          </w:p>
          <w:p>
            <w:pPr>
              <w:adjustRightInd w:val="0"/>
              <w:snapToGrid w:val="0"/>
              <w:jc w:val="center"/>
              <w:rPr>
                <w:rFonts w:ascii="宋体" w:hAnsi="宋体" w:cs="宋体"/>
                <w:b/>
                <w:bCs/>
                <w:sz w:val="24"/>
              </w:rPr>
            </w:pPr>
            <w:r>
              <w:rPr>
                <w:rFonts w:hint="eastAsia" w:ascii="宋体" w:hAnsi="宋体" w:cs="宋体"/>
                <w:b/>
                <w:bCs/>
                <w:sz w:val="24"/>
              </w:rPr>
              <w:t>境影</w:t>
            </w:r>
          </w:p>
          <w:p>
            <w:pPr>
              <w:adjustRightInd w:val="0"/>
              <w:snapToGrid w:val="0"/>
              <w:jc w:val="center"/>
              <w:rPr>
                <w:rFonts w:ascii="宋体" w:hAnsi="宋体" w:cs="宋体"/>
                <w:b/>
                <w:bCs/>
                <w:sz w:val="24"/>
              </w:rPr>
            </w:pPr>
            <w:r>
              <w:rPr>
                <w:rFonts w:hint="eastAsia" w:ascii="宋体" w:hAnsi="宋体" w:cs="宋体"/>
                <w:b/>
                <w:bCs/>
                <w:sz w:val="24"/>
              </w:rPr>
              <w:t>响和</w:t>
            </w:r>
          </w:p>
          <w:p>
            <w:pPr>
              <w:adjustRightInd w:val="0"/>
              <w:snapToGrid w:val="0"/>
              <w:jc w:val="center"/>
              <w:rPr>
                <w:rFonts w:ascii="宋体" w:hAnsi="宋体" w:cs="宋体"/>
                <w:b/>
                <w:bCs/>
                <w:sz w:val="24"/>
              </w:rPr>
            </w:pPr>
            <w:r>
              <w:rPr>
                <w:rFonts w:hint="eastAsia" w:ascii="宋体" w:hAnsi="宋体" w:cs="宋体"/>
                <w:b/>
                <w:bCs/>
                <w:sz w:val="24"/>
              </w:rPr>
              <w:t>保护</w:t>
            </w:r>
          </w:p>
          <w:p>
            <w:pPr>
              <w:adjustRightInd w:val="0"/>
              <w:snapToGrid w:val="0"/>
              <w:jc w:val="center"/>
              <w:rPr>
                <w:rFonts w:ascii="宋体" w:hAnsi="宋体" w:cs="宋体"/>
                <w:b/>
                <w:bCs/>
                <w:sz w:val="24"/>
              </w:rPr>
            </w:pPr>
            <w:r>
              <w:rPr>
                <w:rFonts w:hint="eastAsia" w:ascii="宋体" w:hAnsi="宋体" w:cs="宋体"/>
                <w:b/>
                <w:bCs/>
                <w:sz w:val="24"/>
              </w:rPr>
              <w:t>措施</w:t>
            </w:r>
          </w:p>
        </w:tc>
        <w:tc>
          <w:tcPr>
            <w:tcW w:w="4736" w:type="pct"/>
            <w:vAlign w:val="center"/>
          </w:tcPr>
          <w:p>
            <w:pPr>
              <w:adjustRightInd w:val="0"/>
              <w:snapToGrid w:val="0"/>
              <w:spacing w:line="360" w:lineRule="auto"/>
              <w:ind w:firstLine="482" w:firstLineChars="200"/>
              <w:rPr>
                <w:b/>
                <w:sz w:val="24"/>
              </w:rPr>
            </w:pPr>
            <w:r>
              <w:rPr>
                <w:b/>
                <w:sz w:val="24"/>
              </w:rPr>
              <w:t>一、废气</w:t>
            </w:r>
          </w:p>
          <w:p>
            <w:pPr>
              <w:adjustRightInd w:val="0"/>
              <w:snapToGrid w:val="0"/>
              <w:spacing w:line="360" w:lineRule="auto"/>
              <w:ind w:firstLine="482" w:firstLineChars="200"/>
              <w:rPr>
                <w:b/>
                <w:sz w:val="24"/>
              </w:rPr>
            </w:pPr>
            <w:r>
              <w:rPr>
                <w:rFonts w:hint="eastAsia"/>
                <w:b/>
                <w:sz w:val="24"/>
              </w:rPr>
              <w:t>1、废气源强</w:t>
            </w:r>
          </w:p>
          <w:p>
            <w:pPr>
              <w:pStyle w:val="2"/>
              <w:spacing w:line="360" w:lineRule="auto"/>
              <w:ind w:firstLine="482" w:firstLineChars="200"/>
              <w:jc w:val="both"/>
              <w:rPr>
                <w:rFonts w:ascii="Times New Roman" w:cs="Times New Roman"/>
                <w:b/>
                <w:bCs/>
                <w:color w:val="auto"/>
              </w:rPr>
            </w:pPr>
            <w:r>
              <w:rPr>
                <w:rFonts w:hint="eastAsia" w:ascii="Times New Roman" w:cs="Times New Roman"/>
                <w:b/>
                <w:bCs/>
                <w:color w:val="auto"/>
              </w:rPr>
              <w:t>（1）1#厂房</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本项目1#厂房生产水基清洗剂4320t/a（动力电池结构件专用清洗剂2400 t/a、除蜡水120t/a、工业清洗剂1800t/a）、切削液1320t/a（半合成切削液720t/a、全合成切削液600t/a）、碳氢清洗剂2880t/a（多功能碳氢清洗剂1800t/a、环保碳氢清洗剂1080t/a）。运营期1#厂房的污染物主要为投料粉尘；投料、搅拌、分装工序废气；储罐呼吸废气。</w:t>
            </w:r>
          </w:p>
          <w:p>
            <w:pPr>
              <w:pStyle w:val="2"/>
              <w:spacing w:line="360" w:lineRule="auto"/>
              <w:ind w:firstLine="482"/>
              <w:jc w:val="both"/>
              <w:rPr>
                <w:rFonts w:ascii="Times New Roman" w:cs="Times New Roman"/>
                <w:b/>
                <w:bCs/>
                <w:color w:val="auto"/>
              </w:rPr>
            </w:pPr>
            <w:r>
              <w:rPr>
                <w:rFonts w:hint="eastAsia" w:ascii="Times New Roman" w:cs="Times New Roman"/>
                <w:b/>
                <w:bCs/>
                <w:color w:val="auto"/>
              </w:rPr>
              <w:t>①水基清洗剂</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水基清洗剂的生产原料中</w:t>
            </w:r>
            <w:r>
              <w:rPr>
                <w:rFonts w:ascii="Times New Roman" w:cs="Times New Roman"/>
                <w:color w:val="auto"/>
                <w:kern w:val="0"/>
              </w:rPr>
              <w:t>异构醇油酸皂DF-20、氢氧化钠、异构醇聚氧乙烯醚1309、</w:t>
            </w:r>
            <w:r>
              <w:rPr>
                <w:rFonts w:ascii="Times New Roman"/>
                <w:color w:val="auto"/>
                <w:kern w:val="0"/>
              </w:rPr>
              <w:t>烷基糖苷</w:t>
            </w:r>
            <w:r>
              <w:rPr>
                <w:rFonts w:ascii="Times New Roman" w:cs="Times New Roman"/>
                <w:color w:val="auto"/>
                <w:kern w:val="0"/>
              </w:rPr>
              <w:t>APG、</w:t>
            </w:r>
            <w:r>
              <w:rPr>
                <w:rFonts w:hint="eastAsia" w:ascii="Times New Roman" w:cs="Times New Roman"/>
                <w:color w:val="auto"/>
                <w:kern w:val="0"/>
              </w:rPr>
              <w:t>椰子油酸二乙醇酰胺、三乙醇胺、聚氧乙烯醚1309、纯水均属于</w:t>
            </w:r>
            <w:r>
              <w:rPr>
                <w:rFonts w:ascii="Times New Roman" w:cs="Times New Roman"/>
                <w:color w:val="auto"/>
                <w:kern w:val="0"/>
              </w:rPr>
              <w:t>液体原料，</w:t>
            </w:r>
            <w:r>
              <w:rPr>
                <w:rFonts w:hAnsi="宋体"/>
                <w:kern w:val="0"/>
              </w:rPr>
              <w:t>五水偏硅酸钠、葡萄糖酸钠、</w:t>
            </w:r>
            <w:r>
              <w:rPr>
                <w:rFonts w:hint="eastAsia" w:ascii="Times New Roman" w:cs="Times New Roman"/>
                <w:color w:val="auto"/>
                <w:kern w:val="0"/>
              </w:rPr>
              <w:t>乙二胺四乙酸二钠（EDTA）、柠檬酸、柠檬酸钠属于粉状原料，因此上料过程中会产生少量粉尘，参照《排放源统计调查产排污核算方法和系数手册》-268日用化学产品制造行业系数手册中产污系数进行估算，单位产品颗粒物产生系数为1.4kg/吨粉料，水基清洗剂各类粉料年用量共计388.8t/a，则水基清洗剂上料粉尘产生量为0.544t/a。</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液态原料利用自动抽料泵按一定比例抽进搅拌罐内，上料完成后密闭投料口，开始搅拌均匀，整个过程在常温常压（25℃，101Kpa）下进行，为物理混合过程，不涉及化学反应 ，原料无挥发性，故上料、搅拌混匀、分装生产过程不涉及有机废气产排。</w:t>
            </w:r>
          </w:p>
          <w:p>
            <w:pPr>
              <w:pStyle w:val="2"/>
              <w:spacing w:line="360" w:lineRule="auto"/>
              <w:ind w:firstLine="480" w:firstLineChars="200"/>
              <w:rPr>
                <w:rFonts w:ascii="Times New Roman" w:cs="Times New Roman"/>
                <w:color w:val="auto"/>
                <w:kern w:val="0"/>
              </w:rPr>
            </w:pPr>
            <w:r>
              <w:rPr>
                <w:rFonts w:hint="eastAsia" w:ascii="Times New Roman"/>
              </w:rPr>
              <w:t>由于</w:t>
            </w:r>
            <w:r>
              <w:rPr>
                <w:rFonts w:hint="eastAsia" w:ascii="Times New Roman" w:cs="Times New Roman"/>
                <w:color w:val="auto"/>
                <w:kern w:val="0"/>
              </w:rPr>
              <w:t>椰子油酸二乙醇酰胺、</w:t>
            </w:r>
            <w:r>
              <w:rPr>
                <w:rFonts w:hint="eastAsia" w:ascii="Times New Roman"/>
              </w:rPr>
              <w:t>三乙醇胺一般含有微量胺类物质，因此过程会产生少量的臭气浓度，仅作定性分析。</w:t>
            </w:r>
          </w:p>
          <w:p>
            <w:pPr>
              <w:pStyle w:val="2"/>
              <w:spacing w:line="360" w:lineRule="auto"/>
              <w:ind w:firstLine="482" w:firstLineChars="200"/>
              <w:rPr>
                <w:rFonts w:ascii="Times New Roman" w:cs="Times New Roman"/>
                <w:b/>
                <w:color w:val="auto"/>
                <w:kern w:val="0"/>
              </w:rPr>
            </w:pPr>
            <w:r>
              <w:rPr>
                <w:rFonts w:hint="eastAsia" w:ascii="Times New Roman" w:cs="Times New Roman"/>
                <w:b/>
                <w:color w:val="auto"/>
                <w:kern w:val="0"/>
              </w:rPr>
              <w:t>②切削液</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切削液的生产原料中三乙醇胺、环烷油、妥尔油、司盘80、石油磺酸钠T702、一乙醇胺、聚醚、三乙醇胺硼酸酯属于</w:t>
            </w:r>
            <w:r>
              <w:rPr>
                <w:rFonts w:ascii="Times New Roman" w:cs="Times New Roman"/>
                <w:color w:val="auto"/>
                <w:kern w:val="0"/>
              </w:rPr>
              <w:t>液体原料，</w:t>
            </w:r>
            <w:r>
              <w:rPr>
                <w:rFonts w:hint="eastAsia" w:ascii="Times New Roman" w:cs="Times New Roman"/>
                <w:color w:val="auto"/>
                <w:kern w:val="0"/>
              </w:rPr>
              <w:t>三元羧酸、苯并三氮唑、三元羧酸、癸二酸属于粉状原料，因此上料过程中会产生少量粉尘，参照《排放源统计调查产排污核算方法和系数手册》-268日用化学产品制造行业系数手册中产污系数进行估算，单位产品颗粒物产生系数为1.4kg/吨粉料，切削液各类粉料年用量共计99.6t/a，则切削液上料粉尘产生量为0.139t/a。</w:t>
            </w:r>
          </w:p>
          <w:p>
            <w:pPr>
              <w:pStyle w:val="2"/>
              <w:spacing w:line="360" w:lineRule="auto"/>
              <w:ind w:firstLine="480" w:firstLineChars="200"/>
              <w:rPr>
                <w:rFonts w:ascii="Times New Roman"/>
              </w:rPr>
            </w:pPr>
            <w:r>
              <w:rPr>
                <w:rFonts w:hint="eastAsia" w:ascii="Times New Roman" w:cs="Times New Roman"/>
                <w:color w:val="auto"/>
                <w:kern w:val="0"/>
              </w:rPr>
              <w:t>液态原料利用自动抽料泵按一定比例抽进搅拌罐内，上料完成后密闭投料口，开始搅拌均匀，整个过程在常温常压（25℃，101Kpa）下进行，为物理混合过程，不涉及化学反应，原料中</w:t>
            </w:r>
            <w:r>
              <w:rPr>
                <w:rFonts w:hint="eastAsia" w:ascii="Times New Roman"/>
              </w:rPr>
              <w:t>一乙醇胺、三乙醇胺硼酸酯、苯并三氮唑属于挥发性有机物，故上料、搅拌混匀、分装过程涉及非甲烷总烃的产排，由于上料及分装采用管道输送，输送管道密闭且原料包装桶开口及灌装开口较小，故此过程中废气产生量较少，对环境影响极小，仅定性分析，主要分析混合搅拌过程非甲烷总烃的产排，由于《排放源统计调查产排污核算方法和系数手册》、《排污许可证申请与核发技术规范》、二污普中无该类产品的产排污系数，所以本次参考《《广东省石油化工行业 VOCs 排放量计算方法（试行）》中的“表 2.6-2 石油化学工业生产产品 VOCs 产污系数-其他化学品”，产污系数为0.021kg/t-产品，项目切削液年产量1320吨，则非甲烷总烃产生量为0.027t/a。</w:t>
            </w:r>
          </w:p>
          <w:p>
            <w:pPr>
              <w:pStyle w:val="2"/>
              <w:spacing w:line="360" w:lineRule="auto"/>
              <w:ind w:firstLine="480" w:firstLineChars="200"/>
              <w:rPr>
                <w:rFonts w:ascii="Times New Roman" w:cs="Times New Roman"/>
                <w:color w:val="auto"/>
                <w:kern w:val="0"/>
              </w:rPr>
            </w:pPr>
            <w:r>
              <w:rPr>
                <w:rFonts w:hint="eastAsia" w:ascii="Times New Roman"/>
              </w:rPr>
              <w:t>由于三乙醇胺、一乙醇胺、三乙醇胺硼酸酯一般含有微量胺类物质，因此过程会产生少量的臭气浓度，仅作定性分析。</w:t>
            </w:r>
          </w:p>
          <w:p>
            <w:pPr>
              <w:pStyle w:val="2"/>
              <w:spacing w:line="360" w:lineRule="auto"/>
              <w:ind w:firstLine="482" w:firstLineChars="200"/>
              <w:rPr>
                <w:rFonts w:ascii="Times New Roman" w:cs="Times New Roman"/>
                <w:b/>
                <w:color w:val="auto"/>
                <w:kern w:val="0"/>
              </w:rPr>
            </w:pPr>
            <w:r>
              <w:rPr>
                <w:rFonts w:hint="eastAsia" w:ascii="Times New Roman" w:cs="Times New Roman"/>
                <w:b/>
                <w:color w:val="auto"/>
                <w:kern w:val="0"/>
              </w:rPr>
              <w:t>③碳氢清洗剂</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A、投料、搅拌、分装工序废气</w:t>
            </w:r>
          </w:p>
          <w:p>
            <w:pPr>
              <w:pStyle w:val="2"/>
              <w:spacing w:line="360" w:lineRule="auto"/>
              <w:ind w:firstLine="480" w:firstLineChars="200"/>
              <w:rPr>
                <w:rFonts w:ascii="Times New Roman" w:cs="Times New Roman"/>
                <w:color w:val="auto"/>
                <w:kern w:val="0"/>
              </w:rPr>
            </w:pPr>
            <w:r>
              <w:rPr>
                <w:rFonts w:ascii="Times New Roman" w:cs="Times New Roman"/>
                <w:color w:val="auto"/>
                <w:kern w:val="0"/>
              </w:rPr>
              <w:t>碳氢清洗剂生产原料中异构烷烃</w:t>
            </w:r>
            <w:r>
              <w:rPr>
                <w:rFonts w:hint="eastAsia" w:ascii="Times New Roman" w:cs="Times New Roman"/>
                <w:color w:val="auto"/>
                <w:kern w:val="0"/>
              </w:rPr>
              <w:t>IP60</w:t>
            </w:r>
            <w:r>
              <w:rPr>
                <w:rFonts w:ascii="Times New Roman" w:cs="Times New Roman"/>
                <w:color w:val="auto"/>
                <w:kern w:val="0"/>
              </w:rPr>
              <w:t>、二丙二醇二甲醚、饱和烷烃均为液体，无投料粉尘产排</w:t>
            </w:r>
            <w:r>
              <w:rPr>
                <w:rFonts w:hint="eastAsia" w:ascii="Times New Roman" w:cs="Times New Roman"/>
                <w:color w:val="auto"/>
                <w:kern w:val="0"/>
              </w:rPr>
              <w:t>。</w:t>
            </w:r>
            <w:r>
              <w:rPr>
                <w:rFonts w:ascii="Times New Roman" w:cs="Times New Roman"/>
                <w:color w:val="auto"/>
                <w:kern w:val="0"/>
              </w:rPr>
              <w:t>烷烃储罐与调和罐管道相连，通过输送泵密闭送至调和罐，液态添加剂按照比例由管道密闭泵入到调和罐内混合搅拌，</w:t>
            </w:r>
            <w:r>
              <w:rPr>
                <w:rFonts w:hint="eastAsia" w:ascii="Times New Roman" w:cs="Times New Roman"/>
                <w:color w:val="auto"/>
                <w:kern w:val="0"/>
              </w:rPr>
              <w:t>整个过程在常温常压（25℃，101Kpa）下进行，为物理混合过程，不涉及化学反应。原料中</w:t>
            </w:r>
            <w:r>
              <w:rPr>
                <w:rFonts w:ascii="Times New Roman" w:cs="Times New Roman"/>
                <w:color w:val="auto"/>
                <w:kern w:val="0"/>
              </w:rPr>
              <w:t>异构烷烃</w:t>
            </w:r>
            <w:r>
              <w:rPr>
                <w:rFonts w:hint="eastAsia" w:ascii="Times New Roman" w:cs="Times New Roman"/>
                <w:color w:val="auto"/>
                <w:kern w:val="0"/>
              </w:rPr>
              <w:t>IP60</w:t>
            </w:r>
            <w:r>
              <w:rPr>
                <w:rFonts w:ascii="Times New Roman" w:cs="Times New Roman"/>
                <w:color w:val="auto"/>
                <w:kern w:val="0"/>
              </w:rPr>
              <w:t>、二丙二醇二甲醚、饱和烷烃</w:t>
            </w:r>
            <w:r>
              <w:rPr>
                <w:rFonts w:hint="eastAsia" w:ascii="Times New Roman"/>
              </w:rPr>
              <w:t>属于挥发性有机物，故上料、搅拌混匀、分装过程涉及非甲烷总烃的产排，由于上料及分装采用管道输送，输送管道密闭且原料包装桶开口及灌装开口较小，故此过程中废气产生量较少，对环境影响极小，仅定性分析，主要分析混合搅拌过程非甲烷总烃的产排，由于《排放源统计调查产排污核算方法和系数手册》、《排污许可证申请与核发技术规范》、二污普中无该类产品的产排污系数，所以本次参考《广东省石油化工行业 VOCs 排放量计算方法（试行）》中的“表 2.6-2 石油化学工业生产产品 VOCs 产污系数-其他化学品”，产污系数为0.021kg/t-产品，项目碳氢清洗剂年产量2880吨，则非甲烷总烃产生量为0.060t/a。</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B、储罐呼吸废气</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项目设置储罐用于储存</w:t>
            </w:r>
            <w:r>
              <w:rPr>
                <w:rFonts w:ascii="Times New Roman" w:cs="Times New Roman"/>
                <w:color w:val="auto"/>
                <w:kern w:val="0"/>
              </w:rPr>
              <w:t>异构烷烃</w:t>
            </w:r>
            <w:r>
              <w:rPr>
                <w:rFonts w:hint="eastAsia" w:ascii="Times New Roman" w:cs="Times New Roman"/>
                <w:color w:val="auto"/>
                <w:kern w:val="0"/>
              </w:rPr>
              <w:t>IP60、</w:t>
            </w:r>
            <w:r>
              <w:rPr>
                <w:rFonts w:ascii="Times New Roman" w:cs="Times New Roman"/>
                <w:color w:val="auto"/>
                <w:kern w:val="0"/>
              </w:rPr>
              <w:t>饱和烷烃，</w:t>
            </w:r>
            <w:r>
              <w:rPr>
                <w:rStyle w:val="90"/>
                <w:rFonts w:hint="default" w:ascii="Times New Roman" w:cs="Times New Roman"/>
              </w:rPr>
              <w:t>储存过程中，存在</w:t>
            </w:r>
            <w:r>
              <w:rPr>
                <w:rStyle w:val="90"/>
                <w:rFonts w:hint="default" w:cs="Times New Roman" w:asciiTheme="minorEastAsia" w:hAnsiTheme="minorEastAsia" w:eastAsiaTheme="minorEastAsia"/>
              </w:rPr>
              <w:t>“大、小呼吸”</w:t>
            </w:r>
            <w:r>
              <w:rPr>
                <w:rStyle w:val="90"/>
                <w:rFonts w:hint="default" w:ascii="Times New Roman" w:cs="Times New Roman"/>
              </w:rPr>
              <w:t>，有少量有机废气</w:t>
            </w:r>
            <w:r>
              <w:rPr>
                <w:rFonts w:hint="eastAsia" w:ascii="Times New Roman" w:cs="Times New Roman"/>
                <w:kern w:val="0"/>
                <w:szCs w:val="21"/>
              </w:rPr>
              <w:t>（</w:t>
            </w:r>
            <w:r>
              <w:rPr>
                <w:rFonts w:ascii="Times New Roman" w:cs="Times New Roman"/>
                <w:kern w:val="0"/>
                <w:szCs w:val="21"/>
              </w:rPr>
              <w:t>以非甲烷总烃和臭气浓度表征</w:t>
            </w:r>
            <w:r>
              <w:rPr>
                <w:rFonts w:hint="eastAsia" w:ascii="Times New Roman" w:cs="Times New Roman"/>
                <w:kern w:val="0"/>
                <w:szCs w:val="21"/>
              </w:rPr>
              <w:t>）</w:t>
            </w:r>
            <w:r>
              <w:rPr>
                <w:rStyle w:val="90"/>
                <w:rFonts w:hint="default" w:ascii="Times New Roman" w:cs="Times New Roman"/>
              </w:rPr>
              <w:t>挥发进入大气。</w:t>
            </w:r>
          </w:p>
          <w:p>
            <w:pPr>
              <w:pStyle w:val="2"/>
              <w:spacing w:line="360" w:lineRule="auto"/>
              <w:ind w:firstLine="480" w:firstLineChars="200"/>
              <w:rPr>
                <w:rFonts w:ascii="Times New Roman" w:cs="Times New Roman"/>
                <w:kern w:val="0"/>
                <w:szCs w:val="21"/>
              </w:rPr>
            </w:pPr>
            <w:r>
              <w:rPr>
                <w:rFonts w:ascii="Times New Roman" w:cs="Times New Roman"/>
                <w:kern w:val="0"/>
                <w:szCs w:val="21"/>
              </w:rPr>
              <w:t>储存过程中蒸发静置损失</w:t>
            </w:r>
            <w:r>
              <w:rPr>
                <w:rFonts w:hint="eastAsia" w:ascii="Times New Roman" w:cs="Times New Roman"/>
                <w:kern w:val="0"/>
                <w:szCs w:val="21"/>
              </w:rPr>
              <w:t>（</w:t>
            </w:r>
            <w:r>
              <w:rPr>
                <w:rFonts w:ascii="Times New Roman" w:cs="Times New Roman"/>
                <w:kern w:val="0"/>
                <w:szCs w:val="21"/>
              </w:rPr>
              <w:t>俗称</w:t>
            </w:r>
            <w:r>
              <w:rPr>
                <w:rFonts w:cs="Times New Roman" w:asciiTheme="minorEastAsia" w:hAnsiTheme="minorEastAsia" w:eastAsiaTheme="minorEastAsia"/>
                <w:kern w:val="0"/>
                <w:szCs w:val="21"/>
              </w:rPr>
              <w:t>“小呼吸”</w:t>
            </w:r>
            <w:r>
              <w:rPr>
                <w:rFonts w:hint="eastAsia" w:ascii="Times New Roman" w:cs="Times New Roman"/>
                <w:kern w:val="0"/>
                <w:szCs w:val="21"/>
              </w:rPr>
              <w:t>）</w:t>
            </w:r>
            <w:r>
              <w:rPr>
                <w:rFonts w:ascii="Times New Roman" w:cs="Times New Roman"/>
                <w:kern w:val="0"/>
                <w:szCs w:val="21"/>
              </w:rPr>
              <w:t>，主要为有机液体储存过程中自然挥发产生的有机废气，项目</w:t>
            </w:r>
            <w:r>
              <w:rPr>
                <w:rFonts w:ascii="Times New Roman" w:cs="Times New Roman"/>
                <w:color w:val="auto"/>
                <w:kern w:val="0"/>
              </w:rPr>
              <w:t>异构烷烃IP60、饱和烷烃</w:t>
            </w:r>
            <w:r>
              <w:rPr>
                <w:rFonts w:ascii="Times New Roman" w:cs="Times New Roman"/>
                <w:kern w:val="0"/>
                <w:szCs w:val="21"/>
              </w:rPr>
              <w:t>均为高端环保型碳氢溶剂，属于溶剂油类别，采用立式储罐储存，非甲烷总烃产生系数参照《散装液态石油产品损耗》</w:t>
            </w:r>
            <w:r>
              <w:rPr>
                <w:rFonts w:hint="eastAsia" w:ascii="Times New Roman" w:cs="Times New Roman"/>
                <w:kern w:val="0"/>
                <w:szCs w:val="21"/>
              </w:rPr>
              <w:t>（</w:t>
            </w:r>
            <w:r>
              <w:rPr>
                <w:rFonts w:ascii="Times New Roman" w:cs="Times New Roman"/>
                <w:kern w:val="0"/>
                <w:szCs w:val="21"/>
              </w:rPr>
              <w:t>GB11085-1989</w:t>
            </w:r>
            <w:r>
              <w:rPr>
                <w:rFonts w:hint="eastAsia" w:ascii="Times New Roman" w:cs="Times New Roman"/>
                <w:kern w:val="0"/>
                <w:szCs w:val="21"/>
              </w:rPr>
              <w:t>）</w:t>
            </w:r>
            <w:r>
              <w:rPr>
                <w:rFonts w:ascii="Times New Roman" w:cs="Times New Roman"/>
                <w:kern w:val="0"/>
                <w:szCs w:val="21"/>
              </w:rPr>
              <w:t>中表1</w:t>
            </w:r>
            <w:r>
              <w:rPr>
                <w:rFonts w:hint="eastAsia" w:ascii="Times New Roman" w:cs="Times New Roman"/>
                <w:kern w:val="0"/>
                <w:szCs w:val="21"/>
              </w:rPr>
              <w:t>“</w:t>
            </w:r>
            <w:r>
              <w:rPr>
                <w:rFonts w:ascii="Times New Roman" w:cs="Times New Roman"/>
                <w:kern w:val="0"/>
                <w:szCs w:val="21"/>
              </w:rPr>
              <w:t>立式金属罐-其他油-不分季节</w:t>
            </w:r>
            <w:r>
              <w:rPr>
                <w:rFonts w:hint="eastAsia" w:ascii="Times New Roman" w:cs="Times New Roman"/>
                <w:kern w:val="0"/>
                <w:szCs w:val="21"/>
              </w:rPr>
              <w:t>”</w:t>
            </w:r>
            <w:r>
              <w:rPr>
                <w:rFonts w:ascii="Times New Roman" w:cs="Times New Roman"/>
                <w:kern w:val="0"/>
                <w:szCs w:val="21"/>
              </w:rPr>
              <w:t>贮存损耗率0.01%，项目采用储罐储存的</w:t>
            </w:r>
            <w:r>
              <w:rPr>
                <w:rFonts w:ascii="Times New Roman" w:cs="Times New Roman"/>
                <w:color w:val="auto"/>
                <w:kern w:val="0"/>
              </w:rPr>
              <w:t>异构烷烃IP60、饱和烷烃</w:t>
            </w:r>
            <w:r>
              <w:rPr>
                <w:rFonts w:ascii="Times New Roman" w:cs="Times New Roman"/>
                <w:kern w:val="0"/>
                <w:szCs w:val="21"/>
              </w:rPr>
              <w:t>储存总量为</w:t>
            </w:r>
            <w:r>
              <w:rPr>
                <w:rFonts w:hint="eastAsia" w:ascii="Times New Roman" w:cs="Times New Roman"/>
                <w:kern w:val="0"/>
                <w:szCs w:val="21"/>
              </w:rPr>
              <w:t>2502</w:t>
            </w:r>
            <w:r>
              <w:rPr>
                <w:rFonts w:ascii="Times New Roman" w:cs="Times New Roman"/>
                <w:kern w:val="0"/>
                <w:szCs w:val="21"/>
              </w:rPr>
              <w:t>t</w:t>
            </w:r>
            <w:r>
              <w:rPr>
                <w:rFonts w:hint="eastAsia" w:ascii="Times New Roman" w:cs="Times New Roman"/>
                <w:kern w:val="0"/>
                <w:szCs w:val="21"/>
              </w:rPr>
              <w:t>/</w:t>
            </w:r>
            <w:r>
              <w:rPr>
                <w:rFonts w:ascii="Times New Roman" w:cs="Times New Roman"/>
                <w:kern w:val="0"/>
                <w:szCs w:val="21"/>
              </w:rPr>
              <w:t>a，则储存过程中蒸发静置损失量约为0.</w:t>
            </w:r>
            <w:r>
              <w:rPr>
                <w:rFonts w:hint="eastAsia" w:ascii="Times New Roman" w:cs="Times New Roman"/>
                <w:kern w:val="0"/>
                <w:szCs w:val="21"/>
              </w:rPr>
              <w:t>25</w:t>
            </w:r>
            <w:r>
              <w:rPr>
                <w:rFonts w:ascii="Times New Roman" w:cs="Times New Roman"/>
                <w:kern w:val="0"/>
                <w:szCs w:val="21"/>
              </w:rPr>
              <w:t>t/a</w:t>
            </w:r>
            <w:r>
              <w:rPr>
                <w:rFonts w:hint="eastAsia" w:ascii="Times New Roman" w:cs="Times New Roman"/>
                <w:kern w:val="0"/>
                <w:szCs w:val="21"/>
              </w:rPr>
              <w:t>。</w:t>
            </w:r>
          </w:p>
          <w:p>
            <w:pPr>
              <w:pStyle w:val="2"/>
              <w:spacing w:line="360" w:lineRule="auto"/>
              <w:ind w:firstLine="480" w:firstLineChars="200"/>
              <w:rPr>
                <w:rFonts w:ascii="Times New Roman" w:cs="Times New Roman"/>
                <w:kern w:val="0"/>
                <w:szCs w:val="21"/>
              </w:rPr>
            </w:pPr>
            <w:r>
              <w:rPr>
                <w:rFonts w:hint="eastAsia"/>
                <w:kern w:val="0"/>
                <w:szCs w:val="21"/>
              </w:rPr>
              <w:t>接受物料过程中产生的工作损失(俗称“大呼吸”)，主要为输转损耗。输转损耗主要为</w:t>
            </w:r>
            <w:r>
              <w:rPr>
                <w:rFonts w:hint="eastAsia" w:ascii="Times New Roman" w:cs="Times New Roman"/>
                <w:kern w:val="0"/>
                <w:szCs w:val="21"/>
              </w:rPr>
              <w:t>原料</w:t>
            </w:r>
            <w:r>
              <w:rPr>
                <w:rFonts w:ascii="Times New Roman" w:cs="Times New Roman"/>
                <w:kern w:val="0"/>
                <w:szCs w:val="21"/>
              </w:rPr>
              <w:t>烷烃</w:t>
            </w:r>
            <w:r>
              <w:rPr>
                <w:rFonts w:hint="eastAsia" w:ascii="Times New Roman" w:cs="Times New Roman"/>
                <w:kern w:val="0"/>
                <w:szCs w:val="21"/>
              </w:rPr>
              <w:t>由输送车通过管道进入</w:t>
            </w:r>
            <w:r>
              <w:rPr>
                <w:rFonts w:ascii="Times New Roman" w:cs="Times New Roman"/>
                <w:color w:val="auto"/>
                <w:kern w:val="0"/>
              </w:rPr>
              <w:t>烷烃</w:t>
            </w:r>
            <w:r>
              <w:rPr>
                <w:rFonts w:hint="eastAsia" w:ascii="Times New Roman" w:cs="Times New Roman"/>
                <w:kern w:val="0"/>
                <w:szCs w:val="21"/>
              </w:rPr>
              <w:t>储罐过程，该过程输转量为2502t/a；</w:t>
            </w:r>
            <w:r>
              <w:rPr>
                <w:rFonts w:ascii="Times New Roman" w:cs="Times New Roman"/>
                <w:color w:val="auto"/>
                <w:kern w:val="0"/>
              </w:rPr>
              <w:t>烷烃</w:t>
            </w:r>
            <w:r>
              <w:rPr>
                <w:rFonts w:hint="eastAsia" w:ascii="Times New Roman" w:cs="Times New Roman"/>
                <w:kern w:val="0"/>
                <w:szCs w:val="21"/>
              </w:rPr>
              <w:t>储罐内</w:t>
            </w:r>
            <w:r>
              <w:rPr>
                <w:rFonts w:ascii="Times New Roman" w:cs="Times New Roman"/>
                <w:color w:val="auto"/>
                <w:kern w:val="0"/>
              </w:rPr>
              <w:t>烷烃</w:t>
            </w:r>
            <w:r>
              <w:rPr>
                <w:rFonts w:hint="eastAsia" w:ascii="Times New Roman" w:cs="Times New Roman"/>
                <w:kern w:val="0"/>
                <w:szCs w:val="21"/>
              </w:rPr>
              <w:t>通过管道进入调和罐过程，输转量为2502t/a；本项目物料输转均在常温常压下进行输转过程中出料罐成负压，进料罐成正压，输转罐之间采用气相平衡管进行连接，进料罐中的废气通过气相平衡管进入出料罐，达到回收废气的目的，根据齐刚2010年4月发布在“北方环境第22卷第2期《利用气相平衡管原理控制有机污染物的无组织排放》中的结论“原料储罐、计量罐在常温常压条件下工作，采取气相平衡管实施呼吸尾气内循环治理后，可大大减小原料储罐的呼吸排放，预测可减小罐体大呼吸排放量的90%以上”，输转损耗率参照《散装液态石油产品损耗》（</w:t>
            </w:r>
            <w:r>
              <w:rPr>
                <w:rFonts w:ascii="Times New Roman" w:cs="Times New Roman"/>
                <w:kern w:val="0"/>
                <w:szCs w:val="21"/>
              </w:rPr>
              <w:t>GB11085-1989</w:t>
            </w:r>
            <w:r>
              <w:rPr>
                <w:rFonts w:hint="eastAsia" w:ascii="Times New Roman" w:cs="Times New Roman"/>
                <w:kern w:val="0"/>
                <w:szCs w:val="21"/>
              </w:rPr>
              <w:t>）中表5“其他油-不分季节、罐型”输转损耗率0.01%，本项目物料输转损耗量约为（2502+2502）×0.01%=0.5004t/a，通过油气回收装置气相平衡管实施呼吸尾气内循环回收后，约90%的废气通过气相平衡管进入出料罐，达到废气回收的目的，剩余10%的废气排出形成有机废气，则物料输转损耗量约为0.05t/a。</w:t>
            </w:r>
          </w:p>
          <w:p>
            <w:pPr>
              <w:pStyle w:val="2"/>
              <w:spacing w:line="360" w:lineRule="auto"/>
              <w:ind w:firstLine="480" w:firstLineChars="200"/>
              <w:rPr>
                <w:rFonts w:ascii="Times New Roman" w:cs="Times New Roman"/>
                <w:kern w:val="0"/>
                <w:szCs w:val="21"/>
              </w:rPr>
            </w:pPr>
            <w:r>
              <w:rPr>
                <w:rFonts w:hint="eastAsia" w:ascii="Times New Roman" w:cs="Times New Roman"/>
                <w:kern w:val="0"/>
                <w:szCs w:val="21"/>
              </w:rPr>
              <w:t>项目储罐呼吸废气产生量为0.30t/a。</w:t>
            </w:r>
          </w:p>
          <w:p>
            <w:pPr>
              <w:pStyle w:val="2"/>
              <w:spacing w:line="360" w:lineRule="auto"/>
              <w:ind w:firstLine="482" w:firstLineChars="200"/>
              <w:rPr>
                <w:b/>
                <w:kern w:val="0"/>
                <w:szCs w:val="21"/>
              </w:rPr>
            </w:pPr>
            <w:r>
              <w:rPr>
                <w:rFonts w:hint="eastAsia"/>
                <w:b/>
                <w:kern w:val="0"/>
                <w:szCs w:val="21"/>
              </w:rPr>
              <w:t>④汇总</w:t>
            </w:r>
          </w:p>
          <w:p>
            <w:pPr>
              <w:pStyle w:val="2"/>
              <w:spacing w:line="360" w:lineRule="auto"/>
              <w:ind w:firstLine="480" w:firstLineChars="200"/>
              <w:rPr>
                <w:kern w:val="0"/>
                <w:szCs w:val="21"/>
              </w:rPr>
            </w:pPr>
            <w:r>
              <w:rPr>
                <w:rFonts w:hint="eastAsia" w:ascii="Times New Roman" w:cs="Times New Roman"/>
                <w:kern w:val="0"/>
                <w:szCs w:val="21"/>
              </w:rPr>
              <w:t>综上，项目1#厂房生产过程中非甲烷总烃产生量合计0.387t/a、粉产生量合计0.683t/a，此外，还有少量的臭气浓度。</w:t>
            </w:r>
          </w:p>
          <w:p>
            <w:pPr>
              <w:pStyle w:val="2"/>
              <w:spacing w:line="360" w:lineRule="auto"/>
              <w:ind w:firstLine="480" w:firstLineChars="200"/>
              <w:rPr>
                <w:kern w:val="0"/>
                <w:szCs w:val="21"/>
              </w:rPr>
            </w:pPr>
            <w:r>
              <w:rPr>
                <w:rFonts w:hint="eastAsia"/>
                <w:kern w:val="0"/>
                <w:szCs w:val="21"/>
              </w:rPr>
              <w:t>针对上述工序产生的粉尘、有机废气及</w:t>
            </w:r>
            <w:r>
              <w:rPr>
                <w:rFonts w:ascii="Times New Roman" w:cs="Times New Roman"/>
                <w:kern w:val="0"/>
                <w:szCs w:val="21"/>
              </w:rPr>
              <w:t>臭气浓度</w:t>
            </w:r>
            <w:r>
              <w:rPr>
                <w:rFonts w:hint="eastAsia"/>
                <w:kern w:val="0"/>
                <w:szCs w:val="21"/>
              </w:rPr>
              <w:t>，本环评要求企业生产时车间保持密闭，在水基清洗剂、切削液高速搅拌机投料口上方设置集气罩</w:t>
            </w:r>
            <w:r>
              <w:rPr>
                <w:rFonts w:ascii="Times New Roman" w:cs="Times New Roman"/>
                <w:kern w:val="0"/>
                <w:szCs w:val="21"/>
              </w:rPr>
              <w:t>（收集效率为90%）</w:t>
            </w:r>
            <w:r>
              <w:rPr>
                <w:rFonts w:hint="eastAsia"/>
                <w:kern w:val="0"/>
                <w:szCs w:val="21"/>
              </w:rPr>
              <w:t>；碳氢清洗剂调和罐顶部设置排气管</w:t>
            </w:r>
            <w:r>
              <w:rPr>
                <w:rFonts w:ascii="Times New Roman" w:cs="Times New Roman"/>
                <w:kern w:val="0"/>
                <w:szCs w:val="21"/>
              </w:rPr>
              <w:t>（收集效率为9</w:t>
            </w:r>
            <w:r>
              <w:rPr>
                <w:rFonts w:hint="eastAsia" w:ascii="Times New Roman" w:cs="Times New Roman"/>
                <w:kern w:val="0"/>
                <w:szCs w:val="21"/>
              </w:rPr>
              <w:t>5</w:t>
            </w:r>
            <w:r>
              <w:rPr>
                <w:rFonts w:ascii="Times New Roman" w:cs="Times New Roman"/>
                <w:kern w:val="0"/>
                <w:szCs w:val="21"/>
              </w:rPr>
              <w:t>%）</w:t>
            </w:r>
            <w:r>
              <w:rPr>
                <w:rFonts w:hint="eastAsia"/>
                <w:kern w:val="0"/>
                <w:szCs w:val="21"/>
              </w:rPr>
              <w:t>；</w:t>
            </w:r>
            <w:r>
              <w:rPr>
                <w:rFonts w:ascii="Times New Roman" w:cs="Times New Roman"/>
                <w:color w:val="auto"/>
                <w:kern w:val="0"/>
              </w:rPr>
              <w:t>烷烃</w:t>
            </w:r>
            <w:r>
              <w:rPr>
                <w:rFonts w:hint="eastAsia"/>
                <w:kern w:val="0"/>
                <w:szCs w:val="21"/>
              </w:rPr>
              <w:t>储罐泄压阀排气口设置集气软管</w:t>
            </w:r>
            <w:r>
              <w:rPr>
                <w:rFonts w:ascii="Times New Roman" w:cs="Times New Roman"/>
                <w:kern w:val="0"/>
                <w:szCs w:val="21"/>
              </w:rPr>
              <w:t>（收集效率为9</w:t>
            </w:r>
            <w:r>
              <w:rPr>
                <w:rFonts w:hint="eastAsia" w:ascii="Times New Roman" w:cs="Times New Roman"/>
                <w:kern w:val="0"/>
                <w:szCs w:val="21"/>
              </w:rPr>
              <w:t>5</w:t>
            </w:r>
            <w:r>
              <w:rPr>
                <w:rFonts w:ascii="Times New Roman" w:cs="Times New Roman"/>
                <w:kern w:val="0"/>
                <w:szCs w:val="21"/>
              </w:rPr>
              <w:t>%）</w:t>
            </w:r>
            <w:r>
              <w:rPr>
                <w:rFonts w:hint="eastAsia"/>
                <w:kern w:val="0"/>
                <w:szCs w:val="21"/>
              </w:rPr>
              <w:t>对废气</w:t>
            </w:r>
            <w:r>
              <w:rPr>
                <w:rFonts w:ascii="Times New Roman" w:cs="Times New Roman"/>
                <w:kern w:val="0"/>
                <w:szCs w:val="21"/>
              </w:rPr>
              <w:t>进行收集，各股废气汇入总管后，经引风机引至布袋除尘器+</w:t>
            </w:r>
            <w:r>
              <w:rPr>
                <w:rFonts w:hint="eastAsia" w:ascii="Times New Roman" w:cs="Times New Roman"/>
                <w:kern w:val="0"/>
                <w:szCs w:val="21"/>
              </w:rPr>
              <w:t>二级活性炭</w:t>
            </w:r>
            <w:r>
              <w:rPr>
                <w:rFonts w:ascii="Times New Roman" w:cs="Times New Roman"/>
                <w:kern w:val="0"/>
                <w:szCs w:val="21"/>
              </w:rPr>
              <w:t>设施处理</w:t>
            </w:r>
            <w:r>
              <w:rPr>
                <w:rFonts w:hint="eastAsia" w:ascii="Times New Roman" w:cs="Times New Roman"/>
                <w:kern w:val="0"/>
                <w:szCs w:val="21"/>
              </w:rPr>
              <w:t>后通过1根15m</w:t>
            </w:r>
            <w:r>
              <w:rPr>
                <w:rFonts w:ascii="Times New Roman" w:cs="Times New Roman"/>
                <w:kern w:val="0"/>
                <w:szCs w:val="21"/>
              </w:rPr>
              <w:t>高排气筒</w:t>
            </w:r>
            <w:r>
              <w:rPr>
                <w:rFonts w:hint="eastAsia" w:ascii="Times New Roman" w:cs="Times New Roman"/>
                <w:kern w:val="0"/>
                <w:szCs w:val="21"/>
              </w:rPr>
              <w:t>DA001</w:t>
            </w:r>
            <w:r>
              <w:rPr>
                <w:rFonts w:ascii="Times New Roman" w:cs="Times New Roman"/>
                <w:kern w:val="0"/>
                <w:szCs w:val="21"/>
              </w:rPr>
              <w:t>排放，风机风量1</w:t>
            </w:r>
            <w:r>
              <w:rPr>
                <w:rFonts w:hint="eastAsia" w:ascii="Times New Roman" w:cs="Times New Roman"/>
                <w:kern w:val="0"/>
                <w:szCs w:val="21"/>
              </w:rPr>
              <w:t>5</w:t>
            </w:r>
            <w:r>
              <w:rPr>
                <w:rFonts w:ascii="Times New Roman" w:cs="Times New Roman"/>
                <w:kern w:val="0"/>
                <w:szCs w:val="21"/>
              </w:rPr>
              <w:t>000m</w:t>
            </w:r>
            <w:r>
              <w:rPr>
                <w:rFonts w:ascii="Times New Roman" w:cs="Times New Roman"/>
                <w:kern w:val="0"/>
                <w:szCs w:val="21"/>
                <w:vertAlign w:val="superscript"/>
              </w:rPr>
              <w:t>3</w:t>
            </w:r>
            <w:r>
              <w:rPr>
                <w:rFonts w:ascii="Times New Roman" w:cs="Times New Roman"/>
                <w:kern w:val="0"/>
                <w:szCs w:val="21"/>
              </w:rPr>
              <w:t>/h，布袋除尘器处理效率9</w:t>
            </w:r>
            <w:r>
              <w:rPr>
                <w:rFonts w:hint="eastAsia" w:ascii="Times New Roman" w:cs="Times New Roman"/>
                <w:kern w:val="0"/>
                <w:szCs w:val="21"/>
              </w:rPr>
              <w:t>9</w:t>
            </w:r>
            <w:r>
              <w:rPr>
                <w:rFonts w:ascii="Times New Roman" w:cs="Times New Roman"/>
                <w:kern w:val="0"/>
                <w:szCs w:val="21"/>
              </w:rPr>
              <w:t>%，</w:t>
            </w:r>
            <w:r>
              <w:rPr>
                <w:rFonts w:hint="eastAsia" w:ascii="Times New Roman" w:cs="Times New Roman"/>
                <w:kern w:val="0"/>
                <w:szCs w:val="21"/>
              </w:rPr>
              <w:t>二级活性炭</w:t>
            </w:r>
            <w:r>
              <w:rPr>
                <w:rFonts w:ascii="Times New Roman" w:cs="Times New Roman"/>
                <w:kern w:val="0"/>
                <w:szCs w:val="21"/>
              </w:rPr>
              <w:t>效率</w:t>
            </w:r>
            <w:r>
              <w:rPr>
                <w:rFonts w:hint="eastAsia" w:ascii="Times New Roman" w:cs="Times New Roman"/>
                <w:kern w:val="0"/>
                <w:szCs w:val="21"/>
              </w:rPr>
              <w:t>80</w:t>
            </w:r>
            <w:r>
              <w:rPr>
                <w:rFonts w:ascii="Times New Roman" w:cs="Times New Roman"/>
                <w:kern w:val="0"/>
                <w:szCs w:val="21"/>
              </w:rPr>
              <w:t>%。</w:t>
            </w:r>
            <w:r>
              <w:rPr>
                <w:rFonts w:hint="eastAsia" w:ascii="Times New Roman" w:cs="Times New Roman"/>
                <w:kern w:val="0"/>
                <w:szCs w:val="21"/>
              </w:rPr>
              <w:t>则1#厂房产排情况见下表。</w:t>
            </w:r>
          </w:p>
          <w:p>
            <w:pPr>
              <w:jc w:val="center"/>
              <w:rPr>
                <w:b/>
                <w:szCs w:val="21"/>
              </w:rPr>
            </w:pPr>
            <w:r>
              <w:rPr>
                <w:rFonts w:hint="eastAsia"/>
                <w:b/>
                <w:szCs w:val="21"/>
              </w:rPr>
              <w:t>表4-1  1#厂房废气产排情况</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865"/>
              <w:gridCol w:w="833"/>
              <w:gridCol w:w="942"/>
              <w:gridCol w:w="942"/>
              <w:gridCol w:w="942"/>
              <w:gridCol w:w="942"/>
              <w:gridCol w:w="942"/>
              <w:gridCol w:w="955"/>
              <w:gridCol w:w="9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废气种类</w:t>
                  </w:r>
                </w:p>
              </w:tc>
              <w:tc>
                <w:tcPr>
                  <w:tcW w:w="459"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污染物</w:t>
                  </w:r>
                </w:p>
              </w:tc>
              <w:tc>
                <w:tcPr>
                  <w:tcW w:w="442"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产生量</w:t>
                  </w:r>
                  <w:r>
                    <w:rPr>
                      <w:rFonts w:hint="eastAsia" w:eastAsiaTheme="minorEastAsia"/>
                      <w:b/>
                      <w:bCs/>
                      <w:sz w:val="21"/>
                      <w:szCs w:val="21"/>
                    </w:rPr>
                    <w:t>t/a</w:t>
                  </w:r>
                </w:p>
              </w:tc>
              <w:tc>
                <w:tcPr>
                  <w:tcW w:w="3007" w:type="pct"/>
                  <w:gridSpan w:val="6"/>
                  <w:tcBorders>
                    <w:tl2br w:val="nil"/>
                    <w:tr2bl w:val="nil"/>
                  </w:tcBorders>
                  <w:vAlign w:val="center"/>
                </w:tcPr>
                <w:p>
                  <w:pPr>
                    <w:pStyle w:val="69"/>
                    <w:rPr>
                      <w:rFonts w:eastAsiaTheme="minorEastAsia"/>
                      <w:b/>
                      <w:bCs/>
                      <w:sz w:val="21"/>
                      <w:szCs w:val="21"/>
                    </w:rPr>
                  </w:pPr>
                  <w:r>
                    <w:rPr>
                      <w:rFonts w:eastAsiaTheme="minorEastAsia"/>
                      <w:b/>
                      <w:bCs/>
                      <w:sz w:val="21"/>
                      <w:szCs w:val="21"/>
                    </w:rPr>
                    <w:t>有组织</w:t>
                  </w:r>
                </w:p>
              </w:tc>
              <w:tc>
                <w:tcPr>
                  <w:tcW w:w="492" w:type="pct"/>
                  <w:tcBorders>
                    <w:tl2br w:val="nil"/>
                    <w:tr2bl w:val="nil"/>
                  </w:tcBorders>
                  <w:vAlign w:val="center"/>
                </w:tcPr>
                <w:p>
                  <w:pPr>
                    <w:pStyle w:val="69"/>
                    <w:rPr>
                      <w:rFonts w:eastAsiaTheme="minorEastAsia"/>
                      <w:b/>
                      <w:bCs/>
                      <w:sz w:val="21"/>
                      <w:szCs w:val="21"/>
                    </w:rPr>
                  </w:pPr>
                  <w:r>
                    <w:rPr>
                      <w:rFonts w:eastAsiaTheme="minorEastAsia"/>
                      <w:b/>
                      <w:bCs/>
                      <w:sz w:val="21"/>
                      <w:szCs w:val="21"/>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pct"/>
                  <w:vMerge w:val="continue"/>
                  <w:tcBorders>
                    <w:tl2br w:val="nil"/>
                    <w:tr2bl w:val="nil"/>
                  </w:tcBorders>
                  <w:vAlign w:val="center"/>
                </w:tcPr>
                <w:p>
                  <w:pPr>
                    <w:jc w:val="center"/>
                    <w:rPr>
                      <w:szCs w:val="21"/>
                    </w:rPr>
                  </w:pPr>
                </w:p>
              </w:tc>
              <w:tc>
                <w:tcPr>
                  <w:tcW w:w="459" w:type="pct"/>
                  <w:vMerge w:val="continue"/>
                  <w:tcBorders>
                    <w:tl2br w:val="nil"/>
                    <w:tr2bl w:val="nil"/>
                  </w:tcBorders>
                  <w:vAlign w:val="center"/>
                </w:tcPr>
                <w:p>
                  <w:pPr>
                    <w:pStyle w:val="69"/>
                    <w:rPr>
                      <w:rFonts w:eastAsiaTheme="minorEastAsia"/>
                      <w:sz w:val="21"/>
                      <w:szCs w:val="21"/>
                    </w:rPr>
                  </w:pPr>
                </w:p>
              </w:tc>
              <w:tc>
                <w:tcPr>
                  <w:tcW w:w="442" w:type="pct"/>
                  <w:vMerge w:val="continue"/>
                  <w:tcBorders>
                    <w:tl2br w:val="nil"/>
                    <w:tr2bl w:val="nil"/>
                  </w:tcBorders>
                  <w:vAlign w:val="center"/>
                </w:tcPr>
                <w:p>
                  <w:pPr>
                    <w:pStyle w:val="69"/>
                    <w:rPr>
                      <w:rFonts w:eastAsiaTheme="minorEastAsia"/>
                      <w:sz w:val="21"/>
                      <w:szCs w:val="21"/>
                    </w:rPr>
                  </w:pP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收集量</w:t>
                  </w:r>
                  <w:r>
                    <w:rPr>
                      <w:rFonts w:hint="eastAsia" w:eastAsiaTheme="minorEastAsia"/>
                      <w:b/>
                      <w:sz w:val="21"/>
                      <w:szCs w:val="21"/>
                    </w:rPr>
                    <w:t>t/a</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产生速率</w:t>
                  </w:r>
                  <w:r>
                    <w:rPr>
                      <w:rFonts w:hint="eastAsia" w:eastAsiaTheme="minorEastAsia"/>
                      <w:b/>
                      <w:sz w:val="21"/>
                      <w:szCs w:val="21"/>
                    </w:rPr>
                    <w:t>kg/h</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产生</w:t>
                  </w:r>
                </w:p>
                <w:p>
                  <w:pPr>
                    <w:pStyle w:val="69"/>
                    <w:rPr>
                      <w:rFonts w:eastAsiaTheme="minorEastAsia"/>
                      <w:b/>
                      <w:sz w:val="21"/>
                      <w:szCs w:val="21"/>
                    </w:rPr>
                  </w:pPr>
                  <w:r>
                    <w:rPr>
                      <w:rFonts w:eastAsiaTheme="minorEastAsia"/>
                      <w:b/>
                      <w:sz w:val="21"/>
                      <w:szCs w:val="21"/>
                    </w:rPr>
                    <w:t>浓度m</w:t>
                  </w:r>
                  <w:r>
                    <w:rPr>
                      <w:rFonts w:hint="eastAsia" w:eastAsiaTheme="minorEastAsia"/>
                      <w:b/>
                      <w:sz w:val="21"/>
                      <w:szCs w:val="21"/>
                    </w:rPr>
                    <w:t>g/m</w:t>
                  </w:r>
                  <w:r>
                    <w:rPr>
                      <w:rFonts w:hint="eastAsia" w:eastAsiaTheme="minorEastAsia"/>
                      <w:b/>
                      <w:sz w:val="21"/>
                      <w:szCs w:val="21"/>
                      <w:vertAlign w:val="superscript"/>
                    </w:rPr>
                    <w:t>3</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排放量</w:t>
                  </w:r>
                  <w:r>
                    <w:rPr>
                      <w:rFonts w:hint="eastAsia" w:eastAsiaTheme="minorEastAsia"/>
                      <w:b/>
                      <w:sz w:val="21"/>
                      <w:szCs w:val="21"/>
                    </w:rPr>
                    <w:t>t/a</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排放速率</w:t>
                  </w:r>
                  <w:r>
                    <w:rPr>
                      <w:rFonts w:hint="eastAsia" w:eastAsiaTheme="minorEastAsia"/>
                      <w:b/>
                      <w:sz w:val="21"/>
                      <w:szCs w:val="21"/>
                    </w:rPr>
                    <w:t>kg/h</w:t>
                  </w:r>
                </w:p>
              </w:tc>
              <w:tc>
                <w:tcPr>
                  <w:tcW w:w="507" w:type="pct"/>
                  <w:tcBorders>
                    <w:tl2br w:val="nil"/>
                    <w:tr2bl w:val="nil"/>
                  </w:tcBorders>
                  <w:vAlign w:val="center"/>
                </w:tcPr>
                <w:p>
                  <w:pPr>
                    <w:pStyle w:val="69"/>
                    <w:rPr>
                      <w:rFonts w:eastAsiaTheme="minorEastAsia"/>
                      <w:b/>
                      <w:sz w:val="21"/>
                      <w:szCs w:val="21"/>
                    </w:rPr>
                  </w:pPr>
                  <w:r>
                    <w:rPr>
                      <w:rFonts w:eastAsiaTheme="minorEastAsia"/>
                      <w:b/>
                      <w:sz w:val="21"/>
                      <w:szCs w:val="21"/>
                    </w:rPr>
                    <w:t>排放</w:t>
                  </w:r>
                </w:p>
                <w:p>
                  <w:pPr>
                    <w:pStyle w:val="69"/>
                    <w:rPr>
                      <w:rFonts w:eastAsiaTheme="minorEastAsia"/>
                      <w:b/>
                      <w:sz w:val="21"/>
                      <w:szCs w:val="21"/>
                    </w:rPr>
                  </w:pPr>
                  <w:r>
                    <w:rPr>
                      <w:rFonts w:eastAsiaTheme="minorEastAsia"/>
                      <w:b/>
                      <w:sz w:val="21"/>
                      <w:szCs w:val="21"/>
                    </w:rPr>
                    <w:t>浓度m</w:t>
                  </w:r>
                  <w:r>
                    <w:rPr>
                      <w:rFonts w:hint="eastAsia" w:eastAsiaTheme="minorEastAsia"/>
                      <w:b/>
                      <w:sz w:val="21"/>
                      <w:szCs w:val="21"/>
                    </w:rPr>
                    <w:t>g/m</w:t>
                  </w:r>
                  <w:r>
                    <w:rPr>
                      <w:rFonts w:hint="eastAsia" w:eastAsiaTheme="minorEastAsia"/>
                      <w:b/>
                      <w:sz w:val="21"/>
                      <w:szCs w:val="21"/>
                      <w:vertAlign w:val="superscript"/>
                    </w:rPr>
                    <w:t>3</w:t>
                  </w:r>
                </w:p>
              </w:tc>
              <w:tc>
                <w:tcPr>
                  <w:tcW w:w="492" w:type="pct"/>
                  <w:tcBorders>
                    <w:tl2br w:val="nil"/>
                    <w:tr2bl w:val="nil"/>
                  </w:tcBorders>
                  <w:vAlign w:val="center"/>
                </w:tcPr>
                <w:p>
                  <w:pPr>
                    <w:pStyle w:val="69"/>
                    <w:rPr>
                      <w:rFonts w:eastAsiaTheme="minorEastAsia"/>
                      <w:sz w:val="21"/>
                      <w:szCs w:val="21"/>
                    </w:rPr>
                  </w:pPr>
                  <w:r>
                    <w:rPr>
                      <w:rFonts w:hint="eastAsia" w:eastAsiaTheme="minorEastAsia"/>
                      <w:b/>
                      <w:bCs/>
                      <w:sz w:val="21"/>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pct"/>
                  <w:tcBorders>
                    <w:tl2br w:val="nil"/>
                    <w:tr2bl w:val="nil"/>
                  </w:tcBorders>
                  <w:vAlign w:val="center"/>
                </w:tcPr>
                <w:p>
                  <w:pPr>
                    <w:jc w:val="center"/>
                    <w:rPr>
                      <w:szCs w:val="21"/>
                    </w:rPr>
                  </w:pPr>
                  <w:r>
                    <w:rPr>
                      <w:rFonts w:eastAsiaTheme="minorEastAsia"/>
                      <w:szCs w:val="21"/>
                    </w:rPr>
                    <w:t>投料粉尘</w:t>
                  </w:r>
                </w:p>
              </w:tc>
              <w:tc>
                <w:tcPr>
                  <w:tcW w:w="459" w:type="pct"/>
                  <w:tcBorders>
                    <w:tl2br w:val="nil"/>
                    <w:tr2bl w:val="nil"/>
                  </w:tcBorders>
                  <w:vAlign w:val="center"/>
                </w:tcPr>
                <w:p>
                  <w:pPr>
                    <w:pStyle w:val="69"/>
                    <w:rPr>
                      <w:rFonts w:eastAsiaTheme="minorEastAsia"/>
                      <w:sz w:val="21"/>
                      <w:szCs w:val="21"/>
                    </w:rPr>
                  </w:pPr>
                  <w:r>
                    <w:rPr>
                      <w:rFonts w:eastAsiaTheme="minorEastAsia"/>
                      <w:sz w:val="21"/>
                      <w:szCs w:val="21"/>
                    </w:rPr>
                    <w:t>颗粒物</w:t>
                  </w:r>
                </w:p>
              </w:tc>
              <w:tc>
                <w:tcPr>
                  <w:tcW w:w="442" w:type="pct"/>
                  <w:tcBorders>
                    <w:tl2br w:val="nil"/>
                    <w:tr2bl w:val="nil"/>
                  </w:tcBorders>
                  <w:vAlign w:val="center"/>
                </w:tcPr>
                <w:p>
                  <w:pPr>
                    <w:pStyle w:val="69"/>
                    <w:rPr>
                      <w:rFonts w:eastAsiaTheme="minorEastAsia"/>
                      <w:sz w:val="21"/>
                      <w:szCs w:val="21"/>
                    </w:rPr>
                  </w:pPr>
                  <w:r>
                    <w:rPr>
                      <w:rFonts w:hint="eastAsia" w:eastAsiaTheme="minorEastAsia"/>
                      <w:sz w:val="21"/>
                      <w:szCs w:val="21"/>
                    </w:rPr>
                    <w:t>0.683</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0.615</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0.275</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18.30</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0.006</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0.003</w:t>
                  </w:r>
                </w:p>
              </w:tc>
              <w:tc>
                <w:tcPr>
                  <w:tcW w:w="507" w:type="pct"/>
                  <w:tcBorders>
                    <w:tl2br w:val="nil"/>
                    <w:tr2bl w:val="nil"/>
                  </w:tcBorders>
                  <w:vAlign w:val="center"/>
                </w:tcPr>
                <w:p>
                  <w:pPr>
                    <w:pStyle w:val="69"/>
                    <w:rPr>
                      <w:rFonts w:eastAsiaTheme="minorEastAsia"/>
                      <w:sz w:val="21"/>
                      <w:szCs w:val="21"/>
                    </w:rPr>
                  </w:pPr>
                  <w:r>
                    <w:rPr>
                      <w:rFonts w:hint="eastAsia" w:eastAsiaTheme="minorEastAsia"/>
                      <w:sz w:val="21"/>
                      <w:szCs w:val="21"/>
                    </w:rPr>
                    <w:t>0.183</w:t>
                  </w:r>
                </w:p>
              </w:tc>
              <w:tc>
                <w:tcPr>
                  <w:tcW w:w="492" w:type="pct"/>
                  <w:tcBorders>
                    <w:tl2br w:val="nil"/>
                    <w:tr2bl w:val="nil"/>
                  </w:tcBorders>
                  <w:vAlign w:val="center"/>
                </w:tcPr>
                <w:p>
                  <w:pPr>
                    <w:pStyle w:val="69"/>
                    <w:rPr>
                      <w:rFonts w:eastAsiaTheme="minorEastAsia"/>
                      <w:bCs/>
                      <w:sz w:val="21"/>
                      <w:szCs w:val="21"/>
                    </w:rPr>
                  </w:pPr>
                  <w:r>
                    <w:rPr>
                      <w:rFonts w:hint="eastAsia" w:eastAsiaTheme="minorEastAsia"/>
                      <w:bCs/>
                      <w:sz w:val="21"/>
                      <w:szCs w:val="21"/>
                    </w:rPr>
                    <w:t>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pct"/>
                  <w:tcBorders>
                    <w:tl2br w:val="nil"/>
                    <w:tr2bl w:val="nil"/>
                  </w:tcBorders>
                  <w:vAlign w:val="center"/>
                </w:tcPr>
                <w:p>
                  <w:pPr>
                    <w:jc w:val="center"/>
                    <w:rPr>
                      <w:szCs w:val="21"/>
                    </w:rPr>
                  </w:pPr>
                  <w:r>
                    <w:rPr>
                      <w:rFonts w:hint="eastAsia"/>
                      <w:szCs w:val="21"/>
                    </w:rPr>
                    <w:t>投料、搅拌、分装、储罐呼吸废气</w:t>
                  </w:r>
                </w:p>
              </w:tc>
              <w:tc>
                <w:tcPr>
                  <w:tcW w:w="459" w:type="pct"/>
                  <w:tcBorders>
                    <w:tl2br w:val="nil"/>
                    <w:tr2bl w:val="nil"/>
                  </w:tcBorders>
                  <w:vAlign w:val="center"/>
                </w:tcPr>
                <w:p>
                  <w:pPr>
                    <w:pStyle w:val="69"/>
                    <w:rPr>
                      <w:rFonts w:eastAsiaTheme="minorEastAsia"/>
                      <w:sz w:val="21"/>
                      <w:szCs w:val="21"/>
                    </w:rPr>
                  </w:pPr>
                  <w:r>
                    <w:rPr>
                      <w:rFonts w:eastAsiaTheme="minorEastAsia"/>
                      <w:sz w:val="21"/>
                      <w:szCs w:val="21"/>
                    </w:rPr>
                    <w:t>非甲烷总烃</w:t>
                  </w:r>
                </w:p>
              </w:tc>
              <w:tc>
                <w:tcPr>
                  <w:tcW w:w="442" w:type="pct"/>
                  <w:tcBorders>
                    <w:tl2br w:val="nil"/>
                    <w:tr2bl w:val="nil"/>
                  </w:tcBorders>
                  <w:vAlign w:val="center"/>
                </w:tcPr>
                <w:p>
                  <w:pPr>
                    <w:pStyle w:val="69"/>
                    <w:rPr>
                      <w:rFonts w:eastAsiaTheme="minorEastAsia"/>
                      <w:sz w:val="21"/>
                      <w:szCs w:val="21"/>
                    </w:rPr>
                  </w:pPr>
                  <w:r>
                    <w:rPr>
                      <w:rFonts w:hint="eastAsia" w:eastAsiaTheme="minorEastAsia"/>
                      <w:sz w:val="21"/>
                      <w:szCs w:val="21"/>
                    </w:rPr>
                    <w:t>0.387</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0.366</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0.164</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10.90</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0.073</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0.033</w:t>
                  </w:r>
                </w:p>
              </w:tc>
              <w:tc>
                <w:tcPr>
                  <w:tcW w:w="507" w:type="pct"/>
                  <w:tcBorders>
                    <w:tl2br w:val="nil"/>
                    <w:tr2bl w:val="nil"/>
                  </w:tcBorders>
                  <w:vAlign w:val="center"/>
                </w:tcPr>
                <w:p>
                  <w:pPr>
                    <w:pStyle w:val="69"/>
                    <w:rPr>
                      <w:rFonts w:eastAsiaTheme="minorEastAsia"/>
                      <w:sz w:val="21"/>
                      <w:szCs w:val="21"/>
                    </w:rPr>
                  </w:pPr>
                  <w:r>
                    <w:rPr>
                      <w:rFonts w:hint="eastAsia" w:eastAsiaTheme="minorEastAsia"/>
                      <w:sz w:val="21"/>
                      <w:szCs w:val="21"/>
                    </w:rPr>
                    <w:t>2.18</w:t>
                  </w:r>
                </w:p>
              </w:tc>
              <w:tc>
                <w:tcPr>
                  <w:tcW w:w="492" w:type="pct"/>
                  <w:tcBorders>
                    <w:tl2br w:val="nil"/>
                    <w:tr2bl w:val="nil"/>
                  </w:tcBorders>
                  <w:vAlign w:val="center"/>
                </w:tcPr>
                <w:p>
                  <w:pPr>
                    <w:pStyle w:val="69"/>
                    <w:rPr>
                      <w:rFonts w:eastAsiaTheme="minorEastAsia"/>
                      <w:sz w:val="21"/>
                      <w:szCs w:val="21"/>
                    </w:rPr>
                  </w:pPr>
                  <w:r>
                    <w:rPr>
                      <w:rFonts w:hint="eastAsia" w:eastAsiaTheme="minorEastAsia"/>
                      <w:sz w:val="21"/>
                      <w:szCs w:val="21"/>
                    </w:rPr>
                    <w:t>0.021</w:t>
                  </w:r>
                </w:p>
              </w:tc>
            </w:tr>
          </w:tbl>
          <w:p>
            <w:pPr>
              <w:pStyle w:val="2"/>
              <w:spacing w:line="360" w:lineRule="auto"/>
              <w:ind w:firstLine="482" w:firstLineChars="200"/>
              <w:jc w:val="both"/>
              <w:rPr>
                <w:rFonts w:ascii="Times New Roman" w:cs="Times New Roman"/>
                <w:b/>
                <w:bCs/>
                <w:color w:val="auto"/>
              </w:rPr>
            </w:pPr>
            <w:r>
              <w:rPr>
                <w:rFonts w:hint="eastAsia" w:ascii="Times New Roman" w:cs="Times New Roman"/>
                <w:b/>
                <w:bCs/>
                <w:color w:val="auto"/>
              </w:rPr>
              <w:t>（2）2#厂房</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本项目2#厂房用于生产润滑油1440t/a（导轨油360t/a、冲压油480t/a、拉伸油600t/a）。运营期2#厂房的污染物主要为投料、搅拌、分装工序废气；储罐呼吸废气。</w:t>
            </w:r>
          </w:p>
          <w:p>
            <w:pPr>
              <w:pStyle w:val="4"/>
              <w:spacing w:after="0" w:line="360" w:lineRule="auto"/>
              <w:ind w:left="0" w:leftChars="0" w:firstLine="482"/>
              <w:rPr>
                <w:b/>
                <w:kern w:val="0"/>
                <w:sz w:val="24"/>
              </w:rPr>
            </w:pPr>
            <w:r>
              <w:rPr>
                <w:rFonts w:hint="eastAsia"/>
                <w:b/>
                <w:kern w:val="0"/>
                <w:sz w:val="24"/>
              </w:rPr>
              <w:t>①投料、搅拌、分装工序废气</w:t>
            </w:r>
          </w:p>
          <w:p>
            <w:pPr>
              <w:pStyle w:val="2"/>
              <w:spacing w:line="360" w:lineRule="auto"/>
              <w:ind w:firstLine="480" w:firstLineChars="200"/>
              <w:rPr>
                <w:rFonts w:ascii="Times New Roman" w:cs="Times New Roman"/>
                <w:color w:val="auto"/>
                <w:kern w:val="0"/>
              </w:rPr>
            </w:pPr>
            <w:r>
              <w:rPr>
                <w:rFonts w:hint="eastAsia"/>
                <w:kern w:val="0"/>
              </w:rPr>
              <w:t>润滑油生产原料中基础油</w:t>
            </w:r>
            <w:r>
              <w:rPr>
                <w:rFonts w:hint="eastAsia" w:ascii="Times New Roman" w:cs="Times New Roman"/>
                <w:color w:val="auto"/>
                <w:kern w:val="0"/>
              </w:rPr>
              <w:t>（150N基础白油、500N基础白油）、轻质白油、10#基础白油、菜籽油、150BS基础白油、150SN基础白油</w:t>
            </w:r>
            <w:r>
              <w:rPr>
                <w:rFonts w:hint="eastAsia"/>
                <w:kern w:val="0"/>
              </w:rPr>
              <w:t>、三羟甲基丙烷油酸脂、聚异丁烯</w:t>
            </w:r>
            <w:r>
              <w:rPr>
                <w:rFonts w:ascii="Times New Roman" w:cs="Times New Roman"/>
                <w:color w:val="auto"/>
                <w:kern w:val="0"/>
              </w:rPr>
              <w:t>均为液体，无投料粉尘产排</w:t>
            </w:r>
            <w:r>
              <w:rPr>
                <w:rFonts w:hint="eastAsia" w:ascii="Times New Roman" w:cs="Times New Roman"/>
                <w:color w:val="auto"/>
                <w:kern w:val="0"/>
              </w:rPr>
              <w:t>。</w:t>
            </w:r>
            <w:r>
              <w:rPr>
                <w:rFonts w:hint="eastAsia"/>
                <w:kern w:val="0"/>
              </w:rPr>
              <w:t>基础油</w:t>
            </w:r>
            <w:r>
              <w:rPr>
                <w:rFonts w:ascii="Times New Roman" w:cs="Times New Roman"/>
                <w:color w:val="auto"/>
                <w:kern w:val="0"/>
              </w:rPr>
              <w:t>储罐与调和罐管道相连，通过输送泵密闭送至调和罐，液态添加剂按照比例由管道密闭泵入到调和罐内混合搅拌，</w:t>
            </w:r>
            <w:r>
              <w:rPr>
                <w:rFonts w:hint="eastAsia" w:ascii="Times New Roman" w:cs="Times New Roman"/>
                <w:color w:val="auto"/>
                <w:kern w:val="0"/>
              </w:rPr>
              <w:t>整个过程在常压下进行，</w:t>
            </w:r>
            <w:r>
              <w:rPr>
                <w:rFonts w:hint="eastAsia"/>
                <w:kern w:val="0"/>
              </w:rPr>
              <w:t>部分产品需加热至</w:t>
            </w:r>
            <w:r>
              <w:rPr>
                <w:rFonts w:ascii="Times New Roman" w:cs="Times New Roman"/>
                <w:kern w:val="0"/>
              </w:rPr>
              <w:t>50-70℃，</w:t>
            </w:r>
            <w:r>
              <w:rPr>
                <w:rFonts w:ascii="Times New Roman" w:cs="Times New Roman"/>
                <w:color w:val="auto"/>
                <w:kern w:val="0"/>
              </w:rPr>
              <w:t>为</w:t>
            </w:r>
            <w:r>
              <w:rPr>
                <w:rFonts w:hint="eastAsia" w:ascii="Times New Roman" w:cs="Times New Roman"/>
                <w:color w:val="auto"/>
                <w:kern w:val="0"/>
              </w:rPr>
              <w:t>物理混合过程，不涉及化学反应，投料、搅拌、分装生产过程有有机废气产生</w:t>
            </w:r>
            <w:r>
              <w:rPr>
                <w:rFonts w:hint="eastAsia" w:ascii="Times New Roman"/>
              </w:rPr>
              <w:t>，由于《排放源统计调查产排污核算方法和系数手册》、《排污许可证申请与核发技术规范》、二污普中无该类产品的产排污系数，所以本次参考《广东省石油化工行业 VOCs 排放量计算方法（试行）》中的“表 2.6-2 石油化学工业生产产品VOCs产污系数-润滑油生产”，产污系数为0.077kg/m</w:t>
            </w:r>
            <w:r>
              <w:rPr>
                <w:rFonts w:hint="eastAsia" w:ascii="Times New Roman"/>
                <w:vertAlign w:val="superscript"/>
              </w:rPr>
              <w:t>3</w:t>
            </w:r>
            <w:r>
              <w:rPr>
                <w:rFonts w:hint="eastAsia" w:ascii="Times New Roman"/>
              </w:rPr>
              <w:t>-产品，项目</w:t>
            </w:r>
            <w:r>
              <w:rPr>
                <w:rFonts w:hint="eastAsia" w:ascii="Times New Roman" w:cs="Times New Roman"/>
                <w:color w:val="auto"/>
                <w:kern w:val="0"/>
              </w:rPr>
              <w:t>润滑油总产量为1440t/a</w:t>
            </w:r>
            <w:r>
              <w:rPr>
                <w:rFonts w:hint="eastAsia" w:ascii="Times New Roman"/>
              </w:rPr>
              <w:t>，产品密度约0.92g/cm</w:t>
            </w:r>
            <w:r>
              <w:rPr>
                <w:rFonts w:hint="eastAsia" w:ascii="Times New Roman"/>
                <w:vertAlign w:val="superscript"/>
              </w:rPr>
              <w:t>3</w:t>
            </w:r>
            <w:r>
              <w:rPr>
                <w:rFonts w:hint="eastAsia" w:ascii="Times New Roman"/>
              </w:rPr>
              <w:t>，则非甲烷总烃产生量为0.121t/a。</w:t>
            </w:r>
          </w:p>
          <w:p>
            <w:pPr>
              <w:pStyle w:val="2"/>
              <w:spacing w:line="360" w:lineRule="auto"/>
              <w:ind w:firstLine="482" w:firstLineChars="200"/>
              <w:rPr>
                <w:rFonts w:ascii="Times New Roman" w:cs="Times New Roman"/>
                <w:b/>
                <w:color w:val="auto"/>
                <w:kern w:val="0"/>
              </w:rPr>
            </w:pPr>
            <w:r>
              <w:rPr>
                <w:rFonts w:hint="eastAsia" w:ascii="Times New Roman" w:cs="Times New Roman"/>
                <w:b/>
                <w:color w:val="auto"/>
                <w:kern w:val="0"/>
              </w:rPr>
              <w:t>②储罐呼吸废气</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项目设置储罐用于储存基础油（150N基础白油、500N基础白油）</w:t>
            </w:r>
            <w:r>
              <w:rPr>
                <w:rFonts w:ascii="Times New Roman" w:cs="Times New Roman"/>
                <w:color w:val="auto"/>
                <w:kern w:val="0"/>
              </w:rPr>
              <w:t>，</w:t>
            </w:r>
            <w:r>
              <w:rPr>
                <w:rStyle w:val="90"/>
                <w:rFonts w:hint="default" w:ascii="Times New Roman" w:cs="Times New Roman"/>
              </w:rPr>
              <w:t>储存过程中，存在</w:t>
            </w:r>
            <w:r>
              <w:rPr>
                <w:rStyle w:val="90"/>
                <w:rFonts w:hint="default" w:cs="Times New Roman" w:asciiTheme="minorEastAsia" w:hAnsiTheme="minorEastAsia" w:eastAsiaTheme="minorEastAsia"/>
              </w:rPr>
              <w:t>“大、小呼吸”</w:t>
            </w:r>
            <w:r>
              <w:rPr>
                <w:rStyle w:val="90"/>
                <w:rFonts w:hint="default" w:ascii="Times New Roman" w:cs="Times New Roman"/>
              </w:rPr>
              <w:t>，有少量有机废气</w:t>
            </w:r>
            <w:r>
              <w:rPr>
                <w:rFonts w:hint="eastAsia" w:ascii="Times New Roman" w:cs="Times New Roman"/>
                <w:kern w:val="0"/>
                <w:szCs w:val="21"/>
              </w:rPr>
              <w:t>（</w:t>
            </w:r>
            <w:r>
              <w:rPr>
                <w:rFonts w:ascii="Times New Roman" w:cs="Times New Roman"/>
                <w:kern w:val="0"/>
                <w:szCs w:val="21"/>
              </w:rPr>
              <w:t>以非甲烷总烃和臭气浓度表征</w:t>
            </w:r>
            <w:r>
              <w:rPr>
                <w:rFonts w:hint="eastAsia" w:ascii="Times New Roman" w:cs="Times New Roman"/>
                <w:kern w:val="0"/>
                <w:szCs w:val="21"/>
              </w:rPr>
              <w:t>）</w:t>
            </w:r>
            <w:r>
              <w:rPr>
                <w:rStyle w:val="90"/>
                <w:rFonts w:hint="default" w:ascii="Times New Roman" w:cs="Times New Roman"/>
              </w:rPr>
              <w:t>挥发进入大气。</w:t>
            </w:r>
          </w:p>
          <w:p>
            <w:pPr>
              <w:pStyle w:val="2"/>
              <w:spacing w:line="360" w:lineRule="auto"/>
              <w:ind w:firstLine="480" w:firstLineChars="200"/>
              <w:rPr>
                <w:rFonts w:ascii="Times New Roman" w:cs="Times New Roman"/>
                <w:kern w:val="0"/>
                <w:szCs w:val="21"/>
              </w:rPr>
            </w:pPr>
            <w:r>
              <w:rPr>
                <w:rFonts w:ascii="Times New Roman" w:cs="Times New Roman"/>
                <w:kern w:val="0"/>
                <w:szCs w:val="21"/>
              </w:rPr>
              <w:t>储存过程中蒸发静置损失</w:t>
            </w:r>
            <w:r>
              <w:rPr>
                <w:rFonts w:hint="eastAsia" w:ascii="Times New Roman" w:cs="Times New Roman"/>
                <w:kern w:val="0"/>
                <w:szCs w:val="21"/>
              </w:rPr>
              <w:t>（</w:t>
            </w:r>
            <w:r>
              <w:rPr>
                <w:rFonts w:ascii="Times New Roman" w:cs="Times New Roman"/>
                <w:kern w:val="0"/>
                <w:szCs w:val="21"/>
              </w:rPr>
              <w:t>俗称</w:t>
            </w:r>
            <w:r>
              <w:rPr>
                <w:rFonts w:cs="Times New Roman" w:asciiTheme="minorEastAsia" w:hAnsiTheme="minorEastAsia" w:eastAsiaTheme="minorEastAsia"/>
                <w:kern w:val="0"/>
                <w:szCs w:val="21"/>
              </w:rPr>
              <w:t>“小呼吸”</w:t>
            </w:r>
            <w:r>
              <w:rPr>
                <w:rFonts w:hint="eastAsia" w:ascii="Times New Roman" w:cs="Times New Roman"/>
                <w:kern w:val="0"/>
                <w:szCs w:val="21"/>
              </w:rPr>
              <w:t>）</w:t>
            </w:r>
            <w:r>
              <w:rPr>
                <w:rFonts w:ascii="Times New Roman" w:cs="Times New Roman"/>
                <w:kern w:val="0"/>
                <w:szCs w:val="21"/>
              </w:rPr>
              <w:t>，主要为有机液体储存过程中自然挥发产生的有机废气，项目基础油采用立式储罐储存，非甲烷总烃产生系数参照《散装液态石油产品损耗》</w:t>
            </w:r>
            <w:r>
              <w:rPr>
                <w:rFonts w:hint="eastAsia" w:ascii="Times New Roman" w:cs="Times New Roman"/>
                <w:kern w:val="0"/>
                <w:szCs w:val="21"/>
              </w:rPr>
              <w:t>（</w:t>
            </w:r>
            <w:r>
              <w:rPr>
                <w:rFonts w:ascii="Times New Roman" w:cs="Times New Roman"/>
                <w:kern w:val="0"/>
                <w:szCs w:val="21"/>
              </w:rPr>
              <w:t>GB11085-1989</w:t>
            </w:r>
            <w:r>
              <w:rPr>
                <w:rFonts w:hint="eastAsia" w:ascii="Times New Roman" w:cs="Times New Roman"/>
                <w:kern w:val="0"/>
                <w:szCs w:val="21"/>
              </w:rPr>
              <w:t>）</w:t>
            </w:r>
            <w:r>
              <w:rPr>
                <w:rFonts w:ascii="Times New Roman" w:cs="Times New Roman"/>
                <w:kern w:val="0"/>
                <w:szCs w:val="21"/>
              </w:rPr>
              <w:t>中表1</w:t>
            </w:r>
            <w:r>
              <w:rPr>
                <w:rFonts w:hint="eastAsia" w:ascii="Times New Roman" w:cs="Times New Roman"/>
                <w:kern w:val="0"/>
                <w:szCs w:val="21"/>
              </w:rPr>
              <w:t>“</w:t>
            </w:r>
            <w:r>
              <w:rPr>
                <w:rFonts w:ascii="Times New Roman" w:cs="Times New Roman"/>
                <w:kern w:val="0"/>
                <w:szCs w:val="21"/>
              </w:rPr>
              <w:t>立式金属罐-其他油-不分季节</w:t>
            </w:r>
            <w:r>
              <w:rPr>
                <w:rFonts w:hint="eastAsia" w:ascii="Times New Roman" w:cs="Times New Roman"/>
                <w:kern w:val="0"/>
                <w:szCs w:val="21"/>
              </w:rPr>
              <w:t>”</w:t>
            </w:r>
            <w:r>
              <w:rPr>
                <w:rFonts w:ascii="Times New Roman" w:cs="Times New Roman"/>
                <w:kern w:val="0"/>
                <w:szCs w:val="21"/>
              </w:rPr>
              <w:t>贮存损耗率0.01%，项目采用储罐储存的基础油储存总量为</w:t>
            </w:r>
            <w:r>
              <w:rPr>
                <w:rFonts w:hint="eastAsia" w:ascii="Times New Roman" w:cs="Times New Roman"/>
                <w:kern w:val="0"/>
                <w:szCs w:val="21"/>
              </w:rPr>
              <w:t>663.6</w:t>
            </w:r>
            <w:r>
              <w:rPr>
                <w:rFonts w:ascii="Times New Roman" w:cs="Times New Roman"/>
                <w:kern w:val="0"/>
                <w:szCs w:val="21"/>
              </w:rPr>
              <w:t>t</w:t>
            </w:r>
            <w:r>
              <w:rPr>
                <w:rFonts w:hint="eastAsia" w:ascii="Times New Roman" w:cs="Times New Roman"/>
                <w:kern w:val="0"/>
                <w:szCs w:val="21"/>
              </w:rPr>
              <w:t>/</w:t>
            </w:r>
            <w:r>
              <w:rPr>
                <w:rFonts w:ascii="Times New Roman" w:cs="Times New Roman"/>
                <w:kern w:val="0"/>
                <w:szCs w:val="21"/>
              </w:rPr>
              <w:t>a，则储存过程中蒸发静置损失量约为0.</w:t>
            </w:r>
            <w:r>
              <w:rPr>
                <w:rFonts w:hint="eastAsia" w:ascii="Times New Roman" w:cs="Times New Roman"/>
                <w:kern w:val="0"/>
                <w:szCs w:val="21"/>
              </w:rPr>
              <w:t>0664</w:t>
            </w:r>
            <w:r>
              <w:rPr>
                <w:rFonts w:ascii="Times New Roman" w:cs="Times New Roman"/>
                <w:kern w:val="0"/>
                <w:szCs w:val="21"/>
              </w:rPr>
              <w:t>t/a</w:t>
            </w:r>
            <w:r>
              <w:rPr>
                <w:rFonts w:hint="eastAsia" w:ascii="Times New Roman" w:cs="Times New Roman"/>
                <w:kern w:val="0"/>
                <w:szCs w:val="21"/>
              </w:rPr>
              <w:t>。</w:t>
            </w:r>
          </w:p>
          <w:p>
            <w:pPr>
              <w:pStyle w:val="2"/>
              <w:spacing w:line="360" w:lineRule="auto"/>
              <w:ind w:firstLine="480" w:firstLineChars="200"/>
              <w:rPr>
                <w:rFonts w:ascii="Times New Roman" w:cs="Times New Roman"/>
                <w:kern w:val="0"/>
                <w:szCs w:val="21"/>
              </w:rPr>
            </w:pPr>
            <w:r>
              <w:rPr>
                <w:rFonts w:hint="eastAsia"/>
                <w:kern w:val="0"/>
                <w:szCs w:val="21"/>
              </w:rPr>
              <w:t>接受物料过程中产生的工作损失(俗称“大呼吸”)，主要为输转损耗。输转损耗主要为</w:t>
            </w:r>
            <w:r>
              <w:rPr>
                <w:rFonts w:hint="eastAsia" w:ascii="Times New Roman" w:cs="Times New Roman"/>
                <w:kern w:val="0"/>
                <w:szCs w:val="21"/>
              </w:rPr>
              <w:t>原料</w:t>
            </w:r>
            <w:r>
              <w:rPr>
                <w:rFonts w:ascii="Times New Roman" w:cs="Times New Roman"/>
                <w:kern w:val="0"/>
                <w:szCs w:val="21"/>
              </w:rPr>
              <w:t>基础油</w:t>
            </w:r>
            <w:r>
              <w:rPr>
                <w:rFonts w:hint="eastAsia" w:ascii="Times New Roman" w:cs="Times New Roman"/>
                <w:kern w:val="0"/>
                <w:szCs w:val="21"/>
              </w:rPr>
              <w:t>由输送车通过管道进入</w:t>
            </w:r>
            <w:r>
              <w:rPr>
                <w:rFonts w:ascii="Times New Roman" w:cs="Times New Roman"/>
                <w:kern w:val="0"/>
                <w:szCs w:val="21"/>
              </w:rPr>
              <w:t>基础油</w:t>
            </w:r>
            <w:r>
              <w:rPr>
                <w:rFonts w:hint="eastAsia" w:ascii="Times New Roman" w:cs="Times New Roman"/>
                <w:kern w:val="0"/>
                <w:szCs w:val="21"/>
              </w:rPr>
              <w:t>储罐过程，该过程输转量为1278t/a；</w:t>
            </w:r>
            <w:r>
              <w:rPr>
                <w:rFonts w:ascii="Times New Roman" w:cs="Times New Roman"/>
                <w:kern w:val="0"/>
                <w:szCs w:val="21"/>
              </w:rPr>
              <w:t>基础油</w:t>
            </w:r>
            <w:r>
              <w:rPr>
                <w:rFonts w:hint="eastAsia" w:ascii="Times New Roman" w:cs="Times New Roman"/>
                <w:kern w:val="0"/>
                <w:szCs w:val="21"/>
              </w:rPr>
              <w:t>储罐内</w:t>
            </w:r>
            <w:r>
              <w:rPr>
                <w:rFonts w:ascii="Times New Roman" w:cs="Times New Roman"/>
                <w:kern w:val="0"/>
                <w:szCs w:val="21"/>
              </w:rPr>
              <w:t>基础油</w:t>
            </w:r>
            <w:r>
              <w:rPr>
                <w:rFonts w:hint="eastAsia" w:ascii="Times New Roman" w:cs="Times New Roman"/>
                <w:kern w:val="0"/>
                <w:szCs w:val="21"/>
              </w:rPr>
              <w:t>通过管道进入调和罐过程，输转量为663.6t/a；本项目物料输转均在常温常压下进行输转过程中出料罐成负压，进料罐成正压，输转罐之间采用气相平衡管进行连接，进料罐中的废气通过气相平衡管进入出料罐，达到回收废气的目的，根据齐刚2010年4月发布在“北方环境第22卷第2期《利用气相平衡管原理控制有机污染物的无组织排放》中的结论“原料储罐、计量罐在常温常压条件下工作，采取气相平衡管实施呼吸尾气内循环治理后，可大大减小原料储罐的呼吸排放，预测可减小罐体大呼吸排放量的90%以上”，输转损耗率参照《散装液态石油产品损耗》（</w:t>
            </w:r>
            <w:r>
              <w:rPr>
                <w:rFonts w:ascii="Times New Roman" w:cs="Times New Roman"/>
                <w:kern w:val="0"/>
                <w:szCs w:val="21"/>
              </w:rPr>
              <w:t>GB11085-1989</w:t>
            </w:r>
            <w:r>
              <w:rPr>
                <w:rFonts w:hint="eastAsia" w:ascii="Times New Roman" w:cs="Times New Roman"/>
                <w:kern w:val="0"/>
                <w:szCs w:val="21"/>
              </w:rPr>
              <w:t>）中表5“其他油-不分季节、罐型”输转损耗率0.01%，本项目物料输转损耗量约为（663.6+663.6）×0.01%=0.1327t/a，通过油气回收装置气相平衡管实施呼吸尾气内循环回收后，约90%的废气通过气相平衡管进入出料罐，达到废气回收的目的，剩余10%的废气排出形成有机废气，则物料输转损耗量约为0.0133t/a。</w:t>
            </w:r>
          </w:p>
          <w:p>
            <w:pPr>
              <w:pStyle w:val="2"/>
              <w:spacing w:line="360" w:lineRule="auto"/>
              <w:ind w:firstLine="480" w:firstLineChars="200"/>
              <w:rPr>
                <w:rFonts w:ascii="Times New Roman" w:cs="Times New Roman"/>
                <w:kern w:val="0"/>
                <w:szCs w:val="21"/>
              </w:rPr>
            </w:pPr>
            <w:r>
              <w:rPr>
                <w:rFonts w:hint="eastAsia" w:ascii="Times New Roman" w:cs="Times New Roman"/>
                <w:kern w:val="0"/>
                <w:szCs w:val="21"/>
              </w:rPr>
              <w:t>项目储罐呼吸废气产生量为0.0797t/a。</w:t>
            </w:r>
          </w:p>
          <w:p>
            <w:pPr>
              <w:pStyle w:val="2"/>
              <w:spacing w:line="360" w:lineRule="auto"/>
              <w:ind w:firstLine="482" w:firstLineChars="200"/>
              <w:rPr>
                <w:b/>
                <w:kern w:val="0"/>
                <w:szCs w:val="21"/>
              </w:rPr>
            </w:pPr>
            <w:r>
              <w:rPr>
                <w:rFonts w:hint="eastAsia"/>
                <w:b/>
                <w:kern w:val="0"/>
                <w:szCs w:val="21"/>
              </w:rPr>
              <w:t>④汇总</w:t>
            </w:r>
          </w:p>
          <w:p>
            <w:pPr>
              <w:pStyle w:val="2"/>
              <w:spacing w:line="360" w:lineRule="auto"/>
              <w:ind w:firstLine="480" w:firstLineChars="200"/>
              <w:rPr>
                <w:rFonts w:ascii="Times New Roman" w:cs="Times New Roman"/>
                <w:kern w:val="0"/>
                <w:szCs w:val="21"/>
              </w:rPr>
            </w:pPr>
            <w:r>
              <w:rPr>
                <w:rFonts w:hint="eastAsia" w:ascii="Times New Roman" w:cs="Times New Roman"/>
                <w:kern w:val="0"/>
                <w:szCs w:val="21"/>
              </w:rPr>
              <w:t>综上，项目2#厂房生产过程中非甲烷总烃产生量合计0.200t/a。</w:t>
            </w:r>
          </w:p>
          <w:p>
            <w:pPr>
              <w:pStyle w:val="2"/>
              <w:spacing w:line="360" w:lineRule="auto"/>
              <w:ind w:firstLine="480" w:firstLineChars="200"/>
              <w:rPr>
                <w:kern w:val="0"/>
                <w:szCs w:val="21"/>
              </w:rPr>
            </w:pPr>
            <w:r>
              <w:rPr>
                <w:rFonts w:hint="eastAsia"/>
                <w:kern w:val="0"/>
                <w:szCs w:val="21"/>
              </w:rPr>
              <w:t>针对上述工序产生的有机废气及臭气浓度，本环评要求企业生产时车间保持密闭，在</w:t>
            </w:r>
            <w:r>
              <w:rPr>
                <w:rFonts w:hint="eastAsia"/>
                <w:kern w:val="0"/>
              </w:rPr>
              <w:t>润滑油</w:t>
            </w:r>
            <w:r>
              <w:rPr>
                <w:rFonts w:hint="eastAsia"/>
                <w:kern w:val="0"/>
                <w:szCs w:val="21"/>
              </w:rPr>
              <w:t>调和罐顶部设置排气管</w:t>
            </w:r>
            <w:r>
              <w:rPr>
                <w:rFonts w:ascii="Times New Roman" w:cs="Times New Roman"/>
                <w:kern w:val="0"/>
                <w:szCs w:val="21"/>
              </w:rPr>
              <w:t>（收集效率为9</w:t>
            </w:r>
            <w:r>
              <w:rPr>
                <w:rFonts w:hint="eastAsia" w:ascii="Times New Roman" w:cs="Times New Roman"/>
                <w:kern w:val="0"/>
                <w:szCs w:val="21"/>
              </w:rPr>
              <w:t>5</w:t>
            </w:r>
            <w:r>
              <w:rPr>
                <w:rFonts w:ascii="Times New Roman" w:cs="Times New Roman"/>
                <w:kern w:val="0"/>
                <w:szCs w:val="21"/>
              </w:rPr>
              <w:t>%）</w:t>
            </w:r>
            <w:r>
              <w:rPr>
                <w:rFonts w:hint="eastAsia"/>
                <w:kern w:val="0"/>
                <w:szCs w:val="21"/>
              </w:rPr>
              <w:t>；基础油储罐泄压阀排气口设置集气软管</w:t>
            </w:r>
            <w:r>
              <w:rPr>
                <w:rFonts w:ascii="Times New Roman" w:cs="Times New Roman"/>
                <w:kern w:val="0"/>
                <w:szCs w:val="21"/>
              </w:rPr>
              <w:t>（收集效率为9</w:t>
            </w:r>
            <w:r>
              <w:rPr>
                <w:rFonts w:hint="eastAsia" w:ascii="Times New Roman" w:cs="Times New Roman"/>
                <w:kern w:val="0"/>
                <w:szCs w:val="21"/>
              </w:rPr>
              <w:t>5</w:t>
            </w:r>
            <w:r>
              <w:rPr>
                <w:rFonts w:ascii="Times New Roman" w:cs="Times New Roman"/>
                <w:kern w:val="0"/>
                <w:szCs w:val="21"/>
              </w:rPr>
              <w:t>%）</w:t>
            </w:r>
            <w:r>
              <w:rPr>
                <w:rFonts w:hint="eastAsia"/>
                <w:kern w:val="0"/>
                <w:szCs w:val="21"/>
              </w:rPr>
              <w:t>对废气</w:t>
            </w:r>
            <w:r>
              <w:rPr>
                <w:rFonts w:ascii="Times New Roman" w:cs="Times New Roman"/>
                <w:kern w:val="0"/>
                <w:szCs w:val="21"/>
              </w:rPr>
              <w:t>进行收集，各股废气汇入总管后，经引风机引至</w:t>
            </w:r>
            <w:r>
              <w:rPr>
                <w:rFonts w:hint="eastAsia" w:ascii="Times New Roman" w:cs="Times New Roman"/>
                <w:kern w:val="0"/>
                <w:szCs w:val="21"/>
              </w:rPr>
              <w:t>二级活性炭</w:t>
            </w:r>
            <w:r>
              <w:rPr>
                <w:rFonts w:ascii="Times New Roman" w:cs="Times New Roman"/>
                <w:kern w:val="0"/>
                <w:szCs w:val="21"/>
              </w:rPr>
              <w:t>设施处理</w:t>
            </w:r>
            <w:r>
              <w:rPr>
                <w:rFonts w:hint="eastAsia" w:ascii="Times New Roman" w:cs="Times New Roman"/>
                <w:kern w:val="0"/>
                <w:szCs w:val="21"/>
              </w:rPr>
              <w:t>后通过1根15m</w:t>
            </w:r>
            <w:r>
              <w:rPr>
                <w:rFonts w:ascii="Times New Roman" w:cs="Times New Roman"/>
                <w:kern w:val="0"/>
                <w:szCs w:val="21"/>
              </w:rPr>
              <w:t>高排气筒</w:t>
            </w:r>
            <w:r>
              <w:rPr>
                <w:rFonts w:hint="eastAsia" w:ascii="Times New Roman" w:cs="Times New Roman"/>
                <w:kern w:val="0"/>
                <w:szCs w:val="21"/>
              </w:rPr>
              <w:t>DA002</w:t>
            </w:r>
            <w:r>
              <w:rPr>
                <w:rFonts w:ascii="Times New Roman" w:cs="Times New Roman"/>
                <w:kern w:val="0"/>
                <w:szCs w:val="21"/>
              </w:rPr>
              <w:t>排放，风机风量</w:t>
            </w:r>
            <w:r>
              <w:rPr>
                <w:rFonts w:hint="eastAsia" w:ascii="Times New Roman" w:cs="Times New Roman"/>
                <w:kern w:val="0"/>
                <w:szCs w:val="21"/>
              </w:rPr>
              <w:t>5</w:t>
            </w:r>
            <w:r>
              <w:rPr>
                <w:rFonts w:ascii="Times New Roman" w:cs="Times New Roman"/>
                <w:kern w:val="0"/>
                <w:szCs w:val="21"/>
              </w:rPr>
              <w:t>000m</w:t>
            </w:r>
            <w:r>
              <w:rPr>
                <w:rFonts w:ascii="Times New Roman" w:cs="Times New Roman"/>
                <w:kern w:val="0"/>
                <w:szCs w:val="21"/>
                <w:vertAlign w:val="superscript"/>
              </w:rPr>
              <w:t>3</w:t>
            </w:r>
            <w:r>
              <w:rPr>
                <w:rFonts w:ascii="Times New Roman" w:cs="Times New Roman"/>
                <w:kern w:val="0"/>
                <w:szCs w:val="21"/>
              </w:rPr>
              <w:t>/h，</w:t>
            </w:r>
            <w:r>
              <w:rPr>
                <w:rFonts w:hint="eastAsia" w:ascii="Times New Roman" w:cs="Times New Roman"/>
                <w:kern w:val="0"/>
                <w:szCs w:val="21"/>
              </w:rPr>
              <w:t>二级活性炭</w:t>
            </w:r>
            <w:r>
              <w:rPr>
                <w:rFonts w:ascii="Times New Roman" w:cs="Times New Roman"/>
                <w:kern w:val="0"/>
                <w:szCs w:val="21"/>
              </w:rPr>
              <w:t>效率</w:t>
            </w:r>
            <w:r>
              <w:rPr>
                <w:rFonts w:hint="eastAsia" w:ascii="Times New Roman" w:cs="Times New Roman"/>
                <w:kern w:val="0"/>
                <w:szCs w:val="21"/>
              </w:rPr>
              <w:t>80</w:t>
            </w:r>
            <w:r>
              <w:rPr>
                <w:rFonts w:ascii="Times New Roman" w:cs="Times New Roman"/>
                <w:kern w:val="0"/>
                <w:szCs w:val="21"/>
              </w:rPr>
              <w:t>%。</w:t>
            </w:r>
            <w:r>
              <w:rPr>
                <w:rFonts w:hint="eastAsia" w:ascii="Times New Roman" w:cs="Times New Roman"/>
                <w:kern w:val="0"/>
                <w:szCs w:val="21"/>
              </w:rPr>
              <w:t>则2#厂房产排情况见下表。</w:t>
            </w:r>
          </w:p>
          <w:p>
            <w:pPr>
              <w:jc w:val="center"/>
              <w:rPr>
                <w:b/>
                <w:szCs w:val="21"/>
              </w:rPr>
            </w:pPr>
            <w:r>
              <w:rPr>
                <w:rFonts w:hint="eastAsia"/>
                <w:b/>
                <w:szCs w:val="21"/>
              </w:rPr>
              <w:t>表4-2  2#厂房废气产排情况</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942"/>
              <w:gridCol w:w="940"/>
              <w:gridCol w:w="942"/>
              <w:gridCol w:w="942"/>
              <w:gridCol w:w="942"/>
              <w:gridCol w:w="942"/>
              <w:gridCol w:w="942"/>
              <w:gridCol w:w="957"/>
              <w:gridCol w:w="9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废气种类</w:t>
                  </w:r>
                </w:p>
              </w:tc>
              <w:tc>
                <w:tcPr>
                  <w:tcW w:w="500"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污染物</w:t>
                  </w:r>
                </w:p>
              </w:tc>
              <w:tc>
                <w:tcPr>
                  <w:tcW w:w="499"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产生量</w:t>
                  </w:r>
                  <w:r>
                    <w:rPr>
                      <w:rFonts w:hint="eastAsia" w:eastAsiaTheme="minorEastAsia"/>
                      <w:b/>
                      <w:bCs/>
                      <w:sz w:val="21"/>
                      <w:szCs w:val="21"/>
                    </w:rPr>
                    <w:t>t/a</w:t>
                  </w:r>
                </w:p>
              </w:tc>
              <w:tc>
                <w:tcPr>
                  <w:tcW w:w="3008" w:type="pct"/>
                  <w:gridSpan w:val="6"/>
                  <w:tcBorders>
                    <w:tl2br w:val="nil"/>
                    <w:tr2bl w:val="nil"/>
                  </w:tcBorders>
                  <w:vAlign w:val="center"/>
                </w:tcPr>
                <w:p>
                  <w:pPr>
                    <w:pStyle w:val="69"/>
                    <w:rPr>
                      <w:rFonts w:eastAsiaTheme="minorEastAsia"/>
                      <w:b/>
                      <w:bCs/>
                      <w:sz w:val="21"/>
                      <w:szCs w:val="21"/>
                    </w:rPr>
                  </w:pPr>
                  <w:r>
                    <w:rPr>
                      <w:rFonts w:eastAsiaTheme="minorEastAsia"/>
                      <w:b/>
                      <w:bCs/>
                      <w:sz w:val="21"/>
                      <w:szCs w:val="21"/>
                    </w:rPr>
                    <w:t>有组织</w:t>
                  </w:r>
                </w:p>
              </w:tc>
              <w:tc>
                <w:tcPr>
                  <w:tcW w:w="494" w:type="pct"/>
                  <w:tcBorders>
                    <w:tl2br w:val="nil"/>
                    <w:tr2bl w:val="nil"/>
                  </w:tcBorders>
                  <w:vAlign w:val="center"/>
                </w:tcPr>
                <w:p>
                  <w:pPr>
                    <w:pStyle w:val="69"/>
                    <w:rPr>
                      <w:rFonts w:eastAsiaTheme="minorEastAsia"/>
                      <w:b/>
                      <w:bCs/>
                      <w:sz w:val="21"/>
                      <w:szCs w:val="21"/>
                    </w:rPr>
                  </w:pPr>
                  <w:r>
                    <w:rPr>
                      <w:rFonts w:eastAsiaTheme="minorEastAsia"/>
                      <w:b/>
                      <w:bCs/>
                      <w:sz w:val="21"/>
                      <w:szCs w:val="21"/>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Merge w:val="continue"/>
                  <w:tcBorders>
                    <w:tl2br w:val="nil"/>
                    <w:tr2bl w:val="nil"/>
                  </w:tcBorders>
                  <w:vAlign w:val="center"/>
                </w:tcPr>
                <w:p>
                  <w:pPr>
                    <w:jc w:val="center"/>
                    <w:rPr>
                      <w:szCs w:val="21"/>
                    </w:rPr>
                  </w:pPr>
                </w:p>
              </w:tc>
              <w:tc>
                <w:tcPr>
                  <w:tcW w:w="500" w:type="pct"/>
                  <w:vMerge w:val="continue"/>
                  <w:tcBorders>
                    <w:tl2br w:val="nil"/>
                    <w:tr2bl w:val="nil"/>
                  </w:tcBorders>
                  <w:vAlign w:val="center"/>
                </w:tcPr>
                <w:p>
                  <w:pPr>
                    <w:pStyle w:val="69"/>
                    <w:rPr>
                      <w:rFonts w:eastAsiaTheme="minorEastAsia"/>
                      <w:sz w:val="21"/>
                      <w:szCs w:val="21"/>
                    </w:rPr>
                  </w:pPr>
                </w:p>
              </w:tc>
              <w:tc>
                <w:tcPr>
                  <w:tcW w:w="499" w:type="pct"/>
                  <w:vMerge w:val="continue"/>
                  <w:tcBorders>
                    <w:tl2br w:val="nil"/>
                    <w:tr2bl w:val="nil"/>
                  </w:tcBorders>
                  <w:vAlign w:val="center"/>
                </w:tcPr>
                <w:p>
                  <w:pPr>
                    <w:pStyle w:val="69"/>
                    <w:rPr>
                      <w:rFonts w:eastAsiaTheme="minorEastAsia"/>
                      <w:sz w:val="21"/>
                      <w:szCs w:val="21"/>
                    </w:rPr>
                  </w:pP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收集量</w:t>
                  </w:r>
                  <w:r>
                    <w:rPr>
                      <w:rFonts w:hint="eastAsia" w:eastAsiaTheme="minorEastAsia"/>
                      <w:b/>
                      <w:sz w:val="21"/>
                      <w:szCs w:val="21"/>
                    </w:rPr>
                    <w:t>t/a</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产生速率</w:t>
                  </w:r>
                  <w:r>
                    <w:rPr>
                      <w:rFonts w:hint="eastAsia" w:eastAsiaTheme="minorEastAsia"/>
                      <w:b/>
                      <w:sz w:val="21"/>
                      <w:szCs w:val="21"/>
                    </w:rPr>
                    <w:t>kg/h</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产生</w:t>
                  </w:r>
                </w:p>
                <w:p>
                  <w:pPr>
                    <w:pStyle w:val="69"/>
                    <w:rPr>
                      <w:rFonts w:eastAsiaTheme="minorEastAsia"/>
                      <w:b/>
                      <w:sz w:val="21"/>
                      <w:szCs w:val="21"/>
                    </w:rPr>
                  </w:pPr>
                  <w:r>
                    <w:rPr>
                      <w:rFonts w:eastAsiaTheme="minorEastAsia"/>
                      <w:b/>
                      <w:sz w:val="21"/>
                      <w:szCs w:val="21"/>
                    </w:rPr>
                    <w:t>浓度m</w:t>
                  </w:r>
                  <w:r>
                    <w:rPr>
                      <w:rFonts w:hint="eastAsia" w:eastAsiaTheme="minorEastAsia"/>
                      <w:b/>
                      <w:sz w:val="21"/>
                      <w:szCs w:val="21"/>
                    </w:rPr>
                    <w:t>g/m</w:t>
                  </w:r>
                  <w:r>
                    <w:rPr>
                      <w:rFonts w:hint="eastAsia" w:eastAsiaTheme="minorEastAsia"/>
                      <w:b/>
                      <w:sz w:val="21"/>
                      <w:szCs w:val="21"/>
                      <w:vertAlign w:val="superscript"/>
                    </w:rPr>
                    <w:t>3</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排放量</w:t>
                  </w:r>
                  <w:r>
                    <w:rPr>
                      <w:rFonts w:hint="eastAsia" w:eastAsiaTheme="minorEastAsia"/>
                      <w:b/>
                      <w:sz w:val="21"/>
                      <w:szCs w:val="21"/>
                    </w:rPr>
                    <w:t>t/a</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排放速率</w:t>
                  </w:r>
                  <w:r>
                    <w:rPr>
                      <w:rFonts w:hint="eastAsia" w:eastAsiaTheme="minorEastAsia"/>
                      <w:b/>
                      <w:sz w:val="21"/>
                      <w:szCs w:val="21"/>
                    </w:rPr>
                    <w:t>kg/h</w:t>
                  </w:r>
                </w:p>
              </w:tc>
              <w:tc>
                <w:tcPr>
                  <w:tcW w:w="507" w:type="pct"/>
                  <w:tcBorders>
                    <w:tl2br w:val="nil"/>
                    <w:tr2bl w:val="nil"/>
                  </w:tcBorders>
                  <w:vAlign w:val="center"/>
                </w:tcPr>
                <w:p>
                  <w:pPr>
                    <w:pStyle w:val="69"/>
                    <w:rPr>
                      <w:rFonts w:eastAsiaTheme="minorEastAsia"/>
                      <w:b/>
                      <w:sz w:val="21"/>
                      <w:szCs w:val="21"/>
                    </w:rPr>
                  </w:pPr>
                  <w:r>
                    <w:rPr>
                      <w:rFonts w:eastAsiaTheme="minorEastAsia"/>
                      <w:b/>
                      <w:sz w:val="21"/>
                      <w:szCs w:val="21"/>
                    </w:rPr>
                    <w:t>排放</w:t>
                  </w:r>
                </w:p>
                <w:p>
                  <w:pPr>
                    <w:pStyle w:val="69"/>
                    <w:rPr>
                      <w:rFonts w:eastAsiaTheme="minorEastAsia"/>
                      <w:b/>
                      <w:sz w:val="21"/>
                      <w:szCs w:val="21"/>
                    </w:rPr>
                  </w:pPr>
                  <w:r>
                    <w:rPr>
                      <w:rFonts w:eastAsiaTheme="minorEastAsia"/>
                      <w:b/>
                      <w:sz w:val="21"/>
                      <w:szCs w:val="21"/>
                    </w:rPr>
                    <w:t>浓度m</w:t>
                  </w:r>
                  <w:r>
                    <w:rPr>
                      <w:rFonts w:hint="eastAsia" w:eastAsiaTheme="minorEastAsia"/>
                      <w:b/>
                      <w:sz w:val="21"/>
                      <w:szCs w:val="21"/>
                    </w:rPr>
                    <w:t>g/m</w:t>
                  </w:r>
                  <w:r>
                    <w:rPr>
                      <w:rFonts w:hint="eastAsia" w:eastAsiaTheme="minorEastAsia"/>
                      <w:b/>
                      <w:sz w:val="21"/>
                      <w:szCs w:val="21"/>
                      <w:vertAlign w:val="superscript"/>
                    </w:rPr>
                    <w:t>3</w:t>
                  </w:r>
                </w:p>
              </w:tc>
              <w:tc>
                <w:tcPr>
                  <w:tcW w:w="494" w:type="pct"/>
                  <w:tcBorders>
                    <w:tl2br w:val="nil"/>
                    <w:tr2bl w:val="nil"/>
                  </w:tcBorders>
                  <w:vAlign w:val="center"/>
                </w:tcPr>
                <w:p>
                  <w:pPr>
                    <w:pStyle w:val="69"/>
                    <w:rPr>
                      <w:rFonts w:eastAsiaTheme="minorEastAsia"/>
                      <w:sz w:val="21"/>
                      <w:szCs w:val="21"/>
                    </w:rPr>
                  </w:pPr>
                  <w:r>
                    <w:rPr>
                      <w:rFonts w:hint="eastAsia" w:eastAsiaTheme="minorEastAsia"/>
                      <w:b/>
                      <w:bCs/>
                      <w:sz w:val="21"/>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vAlign w:val="center"/>
                </w:tcPr>
                <w:p>
                  <w:pPr>
                    <w:jc w:val="center"/>
                    <w:rPr>
                      <w:szCs w:val="21"/>
                    </w:rPr>
                  </w:pPr>
                  <w:r>
                    <w:rPr>
                      <w:rFonts w:hint="eastAsia"/>
                      <w:szCs w:val="21"/>
                    </w:rPr>
                    <w:t>搅拌、分装、储罐呼吸废气</w:t>
                  </w:r>
                </w:p>
              </w:tc>
              <w:tc>
                <w:tcPr>
                  <w:tcW w:w="500" w:type="pct"/>
                  <w:tcBorders>
                    <w:tl2br w:val="nil"/>
                    <w:tr2bl w:val="nil"/>
                  </w:tcBorders>
                  <w:vAlign w:val="center"/>
                </w:tcPr>
                <w:p>
                  <w:pPr>
                    <w:pStyle w:val="69"/>
                    <w:rPr>
                      <w:rFonts w:eastAsiaTheme="minorEastAsia"/>
                      <w:sz w:val="21"/>
                      <w:szCs w:val="21"/>
                    </w:rPr>
                  </w:pPr>
                  <w:r>
                    <w:rPr>
                      <w:rFonts w:eastAsiaTheme="minorEastAsia"/>
                      <w:sz w:val="21"/>
                      <w:szCs w:val="21"/>
                    </w:rPr>
                    <w:t>非甲烷总烃</w:t>
                  </w:r>
                </w:p>
              </w:tc>
              <w:tc>
                <w:tcPr>
                  <w:tcW w:w="499" w:type="pct"/>
                  <w:tcBorders>
                    <w:tl2br w:val="nil"/>
                    <w:tr2bl w:val="nil"/>
                  </w:tcBorders>
                  <w:vAlign w:val="center"/>
                </w:tcPr>
                <w:p>
                  <w:pPr>
                    <w:pStyle w:val="69"/>
                    <w:rPr>
                      <w:rFonts w:eastAsiaTheme="minorEastAsia"/>
                      <w:sz w:val="21"/>
                      <w:szCs w:val="21"/>
                    </w:rPr>
                  </w:pPr>
                  <w:r>
                    <w:rPr>
                      <w:rFonts w:hint="eastAsia" w:eastAsiaTheme="minorEastAsia"/>
                      <w:sz w:val="21"/>
                      <w:szCs w:val="21"/>
                    </w:rPr>
                    <w:t>0.200</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0.190</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0.085</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16.96</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0.038</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0.017</w:t>
                  </w:r>
                </w:p>
              </w:tc>
              <w:tc>
                <w:tcPr>
                  <w:tcW w:w="507" w:type="pct"/>
                  <w:tcBorders>
                    <w:tl2br w:val="nil"/>
                    <w:tr2bl w:val="nil"/>
                  </w:tcBorders>
                  <w:vAlign w:val="center"/>
                </w:tcPr>
                <w:p>
                  <w:pPr>
                    <w:pStyle w:val="69"/>
                    <w:rPr>
                      <w:rFonts w:eastAsiaTheme="minorEastAsia"/>
                      <w:sz w:val="21"/>
                      <w:szCs w:val="21"/>
                    </w:rPr>
                  </w:pPr>
                  <w:r>
                    <w:rPr>
                      <w:rFonts w:hint="eastAsia" w:eastAsiaTheme="minorEastAsia"/>
                      <w:sz w:val="21"/>
                      <w:szCs w:val="21"/>
                    </w:rPr>
                    <w:t>3.393</w:t>
                  </w:r>
                </w:p>
              </w:tc>
              <w:tc>
                <w:tcPr>
                  <w:tcW w:w="494" w:type="pct"/>
                  <w:tcBorders>
                    <w:tl2br w:val="nil"/>
                    <w:tr2bl w:val="nil"/>
                  </w:tcBorders>
                  <w:vAlign w:val="center"/>
                </w:tcPr>
                <w:p>
                  <w:pPr>
                    <w:pStyle w:val="69"/>
                    <w:rPr>
                      <w:rFonts w:eastAsiaTheme="minorEastAsia"/>
                      <w:sz w:val="21"/>
                      <w:szCs w:val="21"/>
                    </w:rPr>
                  </w:pPr>
                  <w:r>
                    <w:rPr>
                      <w:rFonts w:hint="eastAsia" w:eastAsiaTheme="minorEastAsia"/>
                      <w:sz w:val="21"/>
                      <w:szCs w:val="21"/>
                    </w:rPr>
                    <w:t>0.010</w:t>
                  </w:r>
                </w:p>
              </w:tc>
            </w:tr>
          </w:tbl>
          <w:p>
            <w:pPr>
              <w:pStyle w:val="2"/>
              <w:spacing w:line="360" w:lineRule="auto"/>
              <w:ind w:firstLine="482" w:firstLineChars="200"/>
              <w:jc w:val="both"/>
              <w:rPr>
                <w:rFonts w:ascii="Times New Roman" w:cs="Times New Roman"/>
                <w:b/>
                <w:bCs/>
                <w:color w:val="auto"/>
              </w:rPr>
            </w:pPr>
            <w:r>
              <w:rPr>
                <w:rFonts w:hint="eastAsia" w:ascii="Times New Roman" w:cs="Times New Roman"/>
                <w:b/>
                <w:bCs/>
                <w:color w:val="auto"/>
              </w:rPr>
              <w:t>（3）3#厂房</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本项目3</w:t>
            </w:r>
            <w:r>
              <w:rPr>
                <w:rFonts w:hint="eastAsia" w:ascii="Times New Roman" w:cs="Times New Roman"/>
                <w:b/>
                <w:bCs/>
                <w:color w:val="auto"/>
              </w:rPr>
              <w:t>#</w:t>
            </w:r>
            <w:r>
              <w:rPr>
                <w:rFonts w:hint="eastAsia" w:ascii="Times New Roman" w:cs="Times New Roman"/>
                <w:color w:val="auto"/>
                <w:kern w:val="0"/>
              </w:rPr>
              <w:t>厂房生产水基工业清洗剂9900t/a。运营期3#厂房的污染物主要为投料粉尘。</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水基工业清洗剂的生产原料中三乙醇胺、聚氧乙烯醚1309属于</w:t>
            </w:r>
            <w:r>
              <w:rPr>
                <w:rFonts w:ascii="Times New Roman" w:cs="Times New Roman"/>
                <w:color w:val="auto"/>
                <w:kern w:val="0"/>
              </w:rPr>
              <w:t>液体原料，</w:t>
            </w:r>
            <w:r>
              <w:rPr>
                <w:rFonts w:hAnsi="宋体"/>
                <w:kern w:val="0"/>
              </w:rPr>
              <w:t>五水偏硅酸钠、</w:t>
            </w:r>
            <w:r>
              <w:rPr>
                <w:rFonts w:hint="eastAsia" w:ascii="Times New Roman" w:cs="Times New Roman"/>
                <w:color w:val="auto"/>
                <w:kern w:val="0"/>
              </w:rPr>
              <w:t>乙二胺四乙酸二钠（EDTA）、柠檬酸钠属于粉状原料，因此上料过程中会产生少量粉尘，参照《排放源统计调查产排污核算方法和系数手册》-268日用化学产品制造行业系数手册中产污系数进行估算，单位产品颗粒物产生系数为1.4kg/吨粉料，水基工业清洗剂各类粉料年用量共计1188t/a，则水基工业清洗剂上料粉尘产生量为1.66t/a。</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液态原料利用自动抽料泵按一定比例抽进搅拌罐内，上料完成后密闭投料口，开始搅拌均匀，整个过程在常温常压（25℃，101Kpa）下进行，为物理混合过程，不涉及化学反应 ，原料无挥发性，故上料、搅拌混匀、分装生产过程不涉及有机废气产排。</w:t>
            </w:r>
          </w:p>
          <w:p>
            <w:pPr>
              <w:pStyle w:val="2"/>
              <w:spacing w:line="360" w:lineRule="auto"/>
              <w:ind w:firstLine="480" w:firstLineChars="200"/>
              <w:rPr>
                <w:rFonts w:ascii="Times New Roman"/>
              </w:rPr>
            </w:pPr>
            <w:r>
              <w:rPr>
                <w:rFonts w:hint="eastAsia" w:ascii="Times New Roman"/>
              </w:rPr>
              <w:t>由于三乙醇胺一般含有微量胺类物质，因此过程会产生少量的臭气浓度，仅作定性分析。</w:t>
            </w:r>
          </w:p>
          <w:p>
            <w:pPr>
              <w:pStyle w:val="2"/>
              <w:spacing w:line="360" w:lineRule="auto"/>
              <w:ind w:firstLine="480" w:firstLineChars="200"/>
              <w:rPr>
                <w:kern w:val="0"/>
                <w:szCs w:val="21"/>
              </w:rPr>
            </w:pPr>
            <w:r>
              <w:rPr>
                <w:rFonts w:hint="eastAsia"/>
                <w:kern w:val="0"/>
                <w:szCs w:val="21"/>
              </w:rPr>
              <w:t>针对上述工序产生的粉尘及臭气浓度，本环评要求企业生产时车间保持密闭，在</w:t>
            </w:r>
            <w:r>
              <w:rPr>
                <w:rFonts w:hint="eastAsia" w:ascii="Times New Roman" w:cs="Times New Roman"/>
                <w:color w:val="auto"/>
                <w:kern w:val="0"/>
              </w:rPr>
              <w:t>水基工业清洗剂</w:t>
            </w:r>
            <w:r>
              <w:rPr>
                <w:rFonts w:hint="eastAsia"/>
                <w:kern w:val="0"/>
                <w:szCs w:val="21"/>
              </w:rPr>
              <w:t>调和罐顶部设置排气管</w:t>
            </w:r>
            <w:r>
              <w:rPr>
                <w:rFonts w:ascii="Times New Roman" w:cs="Times New Roman"/>
                <w:kern w:val="0"/>
                <w:szCs w:val="21"/>
              </w:rPr>
              <w:t>（收集效率为9</w:t>
            </w:r>
            <w:r>
              <w:rPr>
                <w:rFonts w:hint="eastAsia" w:ascii="Times New Roman" w:cs="Times New Roman"/>
                <w:kern w:val="0"/>
                <w:szCs w:val="21"/>
              </w:rPr>
              <w:t>0</w:t>
            </w:r>
            <w:r>
              <w:rPr>
                <w:rFonts w:ascii="Times New Roman" w:cs="Times New Roman"/>
                <w:kern w:val="0"/>
                <w:szCs w:val="21"/>
              </w:rPr>
              <w:t>%）</w:t>
            </w:r>
            <w:r>
              <w:rPr>
                <w:rFonts w:hint="eastAsia"/>
                <w:kern w:val="0"/>
                <w:szCs w:val="21"/>
              </w:rPr>
              <w:t>对废气</w:t>
            </w:r>
            <w:r>
              <w:rPr>
                <w:rFonts w:ascii="Times New Roman" w:cs="Times New Roman"/>
                <w:kern w:val="0"/>
                <w:szCs w:val="21"/>
              </w:rPr>
              <w:t>进行收集，经布袋除尘器</w:t>
            </w:r>
            <w:r>
              <w:rPr>
                <w:rFonts w:hint="eastAsia" w:ascii="Times New Roman" w:cs="Times New Roman"/>
                <w:kern w:val="0"/>
                <w:szCs w:val="21"/>
              </w:rPr>
              <w:t>处理</w:t>
            </w:r>
            <w:r>
              <w:rPr>
                <w:rFonts w:ascii="Times New Roman" w:cs="Times New Roman"/>
                <w:kern w:val="0"/>
                <w:szCs w:val="21"/>
              </w:rPr>
              <w:t>设施处理</w:t>
            </w:r>
            <w:r>
              <w:rPr>
                <w:rFonts w:hint="eastAsia" w:ascii="Times New Roman" w:cs="Times New Roman"/>
                <w:kern w:val="0"/>
                <w:szCs w:val="21"/>
              </w:rPr>
              <w:t>后通过1根15m</w:t>
            </w:r>
            <w:r>
              <w:rPr>
                <w:rFonts w:ascii="Times New Roman" w:cs="Times New Roman"/>
                <w:kern w:val="0"/>
                <w:szCs w:val="21"/>
              </w:rPr>
              <w:t>高排气筒</w:t>
            </w:r>
            <w:r>
              <w:rPr>
                <w:rFonts w:hint="eastAsia" w:ascii="Times New Roman" w:cs="Times New Roman"/>
                <w:kern w:val="0"/>
                <w:szCs w:val="21"/>
              </w:rPr>
              <w:t>DA003</w:t>
            </w:r>
            <w:r>
              <w:rPr>
                <w:rFonts w:ascii="Times New Roman" w:cs="Times New Roman"/>
                <w:kern w:val="0"/>
                <w:szCs w:val="21"/>
              </w:rPr>
              <w:t>排放，风机风量</w:t>
            </w:r>
            <w:r>
              <w:rPr>
                <w:rFonts w:hint="eastAsia" w:ascii="Times New Roman" w:cs="Times New Roman"/>
                <w:kern w:val="0"/>
                <w:szCs w:val="21"/>
              </w:rPr>
              <w:t>10</w:t>
            </w:r>
            <w:r>
              <w:rPr>
                <w:rFonts w:ascii="Times New Roman" w:cs="Times New Roman"/>
                <w:kern w:val="0"/>
                <w:szCs w:val="21"/>
              </w:rPr>
              <w:t>000m</w:t>
            </w:r>
            <w:r>
              <w:rPr>
                <w:rFonts w:ascii="Times New Roman" w:cs="Times New Roman"/>
                <w:kern w:val="0"/>
                <w:szCs w:val="21"/>
                <w:vertAlign w:val="superscript"/>
              </w:rPr>
              <w:t>3</w:t>
            </w:r>
            <w:r>
              <w:rPr>
                <w:rFonts w:ascii="Times New Roman" w:cs="Times New Roman"/>
                <w:kern w:val="0"/>
                <w:szCs w:val="21"/>
              </w:rPr>
              <w:t>/h，布袋除尘器</w:t>
            </w:r>
            <w:r>
              <w:rPr>
                <w:rFonts w:hint="eastAsia" w:ascii="Times New Roman" w:cs="Times New Roman"/>
                <w:kern w:val="0"/>
                <w:szCs w:val="21"/>
              </w:rPr>
              <w:t>处理</w:t>
            </w:r>
            <w:r>
              <w:rPr>
                <w:rFonts w:ascii="Times New Roman" w:cs="Times New Roman"/>
                <w:kern w:val="0"/>
                <w:szCs w:val="21"/>
              </w:rPr>
              <w:t>效率</w:t>
            </w:r>
            <w:r>
              <w:rPr>
                <w:rFonts w:hint="eastAsia" w:ascii="Times New Roman" w:cs="Times New Roman"/>
                <w:kern w:val="0"/>
                <w:szCs w:val="21"/>
              </w:rPr>
              <w:t>99</w:t>
            </w:r>
            <w:r>
              <w:rPr>
                <w:rFonts w:ascii="Times New Roman" w:cs="Times New Roman"/>
                <w:kern w:val="0"/>
                <w:szCs w:val="21"/>
              </w:rPr>
              <w:t>%。</w:t>
            </w:r>
            <w:r>
              <w:rPr>
                <w:rFonts w:hint="eastAsia" w:ascii="Times New Roman" w:cs="Times New Roman"/>
                <w:kern w:val="0"/>
                <w:szCs w:val="21"/>
              </w:rPr>
              <w:t>则3#厂房产排情况见下表。</w:t>
            </w:r>
          </w:p>
          <w:p>
            <w:pPr>
              <w:jc w:val="center"/>
              <w:rPr>
                <w:b/>
                <w:szCs w:val="21"/>
              </w:rPr>
            </w:pPr>
            <w:r>
              <w:rPr>
                <w:rFonts w:hint="eastAsia"/>
                <w:b/>
                <w:szCs w:val="21"/>
              </w:rPr>
              <w:t>表4-3  3#厂房废气产排情况</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942"/>
              <w:gridCol w:w="940"/>
              <w:gridCol w:w="942"/>
              <w:gridCol w:w="942"/>
              <w:gridCol w:w="942"/>
              <w:gridCol w:w="942"/>
              <w:gridCol w:w="942"/>
              <w:gridCol w:w="957"/>
              <w:gridCol w:w="9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废气种类</w:t>
                  </w:r>
                </w:p>
              </w:tc>
              <w:tc>
                <w:tcPr>
                  <w:tcW w:w="500"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污染物</w:t>
                  </w:r>
                </w:p>
              </w:tc>
              <w:tc>
                <w:tcPr>
                  <w:tcW w:w="499"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产生量</w:t>
                  </w:r>
                  <w:r>
                    <w:rPr>
                      <w:rFonts w:hint="eastAsia" w:eastAsiaTheme="minorEastAsia"/>
                      <w:b/>
                      <w:bCs/>
                      <w:sz w:val="21"/>
                      <w:szCs w:val="21"/>
                    </w:rPr>
                    <w:t>t/a</w:t>
                  </w:r>
                </w:p>
              </w:tc>
              <w:tc>
                <w:tcPr>
                  <w:tcW w:w="3008" w:type="pct"/>
                  <w:gridSpan w:val="6"/>
                  <w:tcBorders>
                    <w:tl2br w:val="nil"/>
                    <w:tr2bl w:val="nil"/>
                  </w:tcBorders>
                  <w:vAlign w:val="center"/>
                </w:tcPr>
                <w:p>
                  <w:pPr>
                    <w:pStyle w:val="69"/>
                    <w:rPr>
                      <w:rFonts w:eastAsiaTheme="minorEastAsia"/>
                      <w:b/>
                      <w:bCs/>
                      <w:sz w:val="21"/>
                      <w:szCs w:val="21"/>
                    </w:rPr>
                  </w:pPr>
                  <w:r>
                    <w:rPr>
                      <w:rFonts w:eastAsiaTheme="minorEastAsia"/>
                      <w:b/>
                      <w:bCs/>
                      <w:sz w:val="21"/>
                      <w:szCs w:val="21"/>
                    </w:rPr>
                    <w:t>有组织</w:t>
                  </w:r>
                </w:p>
              </w:tc>
              <w:tc>
                <w:tcPr>
                  <w:tcW w:w="494" w:type="pct"/>
                  <w:tcBorders>
                    <w:tl2br w:val="nil"/>
                    <w:tr2bl w:val="nil"/>
                  </w:tcBorders>
                  <w:vAlign w:val="center"/>
                </w:tcPr>
                <w:p>
                  <w:pPr>
                    <w:pStyle w:val="69"/>
                    <w:rPr>
                      <w:rFonts w:eastAsiaTheme="minorEastAsia"/>
                      <w:b/>
                      <w:bCs/>
                      <w:sz w:val="21"/>
                      <w:szCs w:val="21"/>
                    </w:rPr>
                  </w:pPr>
                  <w:r>
                    <w:rPr>
                      <w:rFonts w:eastAsiaTheme="minorEastAsia"/>
                      <w:b/>
                      <w:bCs/>
                      <w:sz w:val="21"/>
                      <w:szCs w:val="21"/>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Merge w:val="continue"/>
                  <w:tcBorders>
                    <w:tl2br w:val="nil"/>
                    <w:tr2bl w:val="nil"/>
                  </w:tcBorders>
                  <w:vAlign w:val="center"/>
                </w:tcPr>
                <w:p>
                  <w:pPr>
                    <w:jc w:val="center"/>
                    <w:rPr>
                      <w:szCs w:val="21"/>
                    </w:rPr>
                  </w:pPr>
                </w:p>
              </w:tc>
              <w:tc>
                <w:tcPr>
                  <w:tcW w:w="500" w:type="pct"/>
                  <w:vMerge w:val="continue"/>
                  <w:tcBorders>
                    <w:tl2br w:val="nil"/>
                    <w:tr2bl w:val="nil"/>
                  </w:tcBorders>
                  <w:vAlign w:val="center"/>
                </w:tcPr>
                <w:p>
                  <w:pPr>
                    <w:pStyle w:val="69"/>
                    <w:rPr>
                      <w:rFonts w:eastAsiaTheme="minorEastAsia"/>
                      <w:sz w:val="21"/>
                      <w:szCs w:val="21"/>
                    </w:rPr>
                  </w:pPr>
                </w:p>
              </w:tc>
              <w:tc>
                <w:tcPr>
                  <w:tcW w:w="499" w:type="pct"/>
                  <w:vMerge w:val="continue"/>
                  <w:tcBorders>
                    <w:tl2br w:val="nil"/>
                    <w:tr2bl w:val="nil"/>
                  </w:tcBorders>
                  <w:vAlign w:val="center"/>
                </w:tcPr>
                <w:p>
                  <w:pPr>
                    <w:pStyle w:val="69"/>
                    <w:rPr>
                      <w:rFonts w:eastAsiaTheme="minorEastAsia"/>
                      <w:sz w:val="21"/>
                      <w:szCs w:val="21"/>
                    </w:rPr>
                  </w:pP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收集量</w:t>
                  </w:r>
                  <w:r>
                    <w:rPr>
                      <w:rFonts w:hint="eastAsia" w:eastAsiaTheme="minorEastAsia"/>
                      <w:b/>
                      <w:sz w:val="21"/>
                      <w:szCs w:val="21"/>
                    </w:rPr>
                    <w:t>t/a</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产生速率</w:t>
                  </w:r>
                  <w:r>
                    <w:rPr>
                      <w:rFonts w:hint="eastAsia" w:eastAsiaTheme="minorEastAsia"/>
                      <w:b/>
                      <w:sz w:val="21"/>
                      <w:szCs w:val="21"/>
                    </w:rPr>
                    <w:t>kg/h</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产生</w:t>
                  </w:r>
                </w:p>
                <w:p>
                  <w:pPr>
                    <w:pStyle w:val="69"/>
                    <w:rPr>
                      <w:rFonts w:eastAsiaTheme="minorEastAsia"/>
                      <w:b/>
                      <w:sz w:val="21"/>
                      <w:szCs w:val="21"/>
                    </w:rPr>
                  </w:pPr>
                  <w:r>
                    <w:rPr>
                      <w:rFonts w:eastAsiaTheme="minorEastAsia"/>
                      <w:b/>
                      <w:sz w:val="21"/>
                      <w:szCs w:val="21"/>
                    </w:rPr>
                    <w:t>浓度m</w:t>
                  </w:r>
                  <w:r>
                    <w:rPr>
                      <w:rFonts w:hint="eastAsia" w:eastAsiaTheme="minorEastAsia"/>
                      <w:b/>
                      <w:sz w:val="21"/>
                      <w:szCs w:val="21"/>
                    </w:rPr>
                    <w:t>g/m</w:t>
                  </w:r>
                  <w:r>
                    <w:rPr>
                      <w:rFonts w:hint="eastAsia" w:eastAsiaTheme="minorEastAsia"/>
                      <w:b/>
                      <w:sz w:val="21"/>
                      <w:szCs w:val="21"/>
                      <w:vertAlign w:val="superscript"/>
                    </w:rPr>
                    <w:t>3</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排放量</w:t>
                  </w:r>
                  <w:r>
                    <w:rPr>
                      <w:rFonts w:hint="eastAsia" w:eastAsiaTheme="minorEastAsia"/>
                      <w:b/>
                      <w:sz w:val="21"/>
                      <w:szCs w:val="21"/>
                    </w:rPr>
                    <w:t>t/a</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排放速率</w:t>
                  </w:r>
                  <w:r>
                    <w:rPr>
                      <w:rFonts w:hint="eastAsia" w:eastAsiaTheme="minorEastAsia"/>
                      <w:b/>
                      <w:sz w:val="21"/>
                      <w:szCs w:val="21"/>
                    </w:rPr>
                    <w:t>kg/h</w:t>
                  </w:r>
                </w:p>
              </w:tc>
              <w:tc>
                <w:tcPr>
                  <w:tcW w:w="507" w:type="pct"/>
                  <w:tcBorders>
                    <w:tl2br w:val="nil"/>
                    <w:tr2bl w:val="nil"/>
                  </w:tcBorders>
                  <w:vAlign w:val="center"/>
                </w:tcPr>
                <w:p>
                  <w:pPr>
                    <w:pStyle w:val="69"/>
                    <w:rPr>
                      <w:rFonts w:eastAsiaTheme="minorEastAsia"/>
                      <w:b/>
                      <w:sz w:val="21"/>
                      <w:szCs w:val="21"/>
                    </w:rPr>
                  </w:pPr>
                  <w:r>
                    <w:rPr>
                      <w:rFonts w:eastAsiaTheme="minorEastAsia"/>
                      <w:b/>
                      <w:sz w:val="21"/>
                      <w:szCs w:val="21"/>
                    </w:rPr>
                    <w:t>排放</w:t>
                  </w:r>
                </w:p>
                <w:p>
                  <w:pPr>
                    <w:pStyle w:val="69"/>
                    <w:rPr>
                      <w:rFonts w:eastAsiaTheme="minorEastAsia"/>
                      <w:b/>
                      <w:sz w:val="21"/>
                      <w:szCs w:val="21"/>
                    </w:rPr>
                  </w:pPr>
                  <w:r>
                    <w:rPr>
                      <w:rFonts w:eastAsiaTheme="minorEastAsia"/>
                      <w:b/>
                      <w:sz w:val="21"/>
                      <w:szCs w:val="21"/>
                    </w:rPr>
                    <w:t>浓度m</w:t>
                  </w:r>
                  <w:r>
                    <w:rPr>
                      <w:rFonts w:hint="eastAsia" w:eastAsiaTheme="minorEastAsia"/>
                      <w:b/>
                      <w:sz w:val="21"/>
                      <w:szCs w:val="21"/>
                    </w:rPr>
                    <w:t>g/m</w:t>
                  </w:r>
                  <w:r>
                    <w:rPr>
                      <w:rFonts w:hint="eastAsia" w:eastAsiaTheme="minorEastAsia"/>
                      <w:b/>
                      <w:sz w:val="21"/>
                      <w:szCs w:val="21"/>
                      <w:vertAlign w:val="superscript"/>
                    </w:rPr>
                    <w:t>3</w:t>
                  </w:r>
                </w:p>
              </w:tc>
              <w:tc>
                <w:tcPr>
                  <w:tcW w:w="494" w:type="pct"/>
                  <w:tcBorders>
                    <w:tl2br w:val="nil"/>
                    <w:tr2bl w:val="nil"/>
                  </w:tcBorders>
                  <w:vAlign w:val="center"/>
                </w:tcPr>
                <w:p>
                  <w:pPr>
                    <w:pStyle w:val="69"/>
                    <w:rPr>
                      <w:rFonts w:eastAsiaTheme="minorEastAsia"/>
                      <w:sz w:val="21"/>
                      <w:szCs w:val="21"/>
                    </w:rPr>
                  </w:pPr>
                  <w:r>
                    <w:rPr>
                      <w:rFonts w:hint="eastAsia" w:eastAsiaTheme="minorEastAsia"/>
                      <w:b/>
                      <w:bCs/>
                      <w:sz w:val="21"/>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vAlign w:val="center"/>
                </w:tcPr>
                <w:p>
                  <w:pPr>
                    <w:jc w:val="center"/>
                    <w:rPr>
                      <w:szCs w:val="21"/>
                    </w:rPr>
                  </w:pPr>
                  <w:r>
                    <w:rPr>
                      <w:szCs w:val="21"/>
                    </w:rPr>
                    <w:t>投料粉尘</w:t>
                  </w:r>
                </w:p>
              </w:tc>
              <w:tc>
                <w:tcPr>
                  <w:tcW w:w="500" w:type="pct"/>
                  <w:tcBorders>
                    <w:tl2br w:val="nil"/>
                    <w:tr2bl w:val="nil"/>
                  </w:tcBorders>
                  <w:vAlign w:val="center"/>
                </w:tcPr>
                <w:p>
                  <w:pPr>
                    <w:pStyle w:val="69"/>
                    <w:rPr>
                      <w:rFonts w:eastAsiaTheme="minorEastAsia"/>
                      <w:sz w:val="21"/>
                      <w:szCs w:val="21"/>
                    </w:rPr>
                  </w:pPr>
                  <w:r>
                    <w:rPr>
                      <w:rFonts w:eastAsiaTheme="minorEastAsia"/>
                      <w:sz w:val="21"/>
                      <w:szCs w:val="21"/>
                    </w:rPr>
                    <w:t>颗粒物</w:t>
                  </w:r>
                </w:p>
              </w:tc>
              <w:tc>
                <w:tcPr>
                  <w:tcW w:w="499" w:type="pct"/>
                  <w:tcBorders>
                    <w:tl2br w:val="nil"/>
                    <w:tr2bl w:val="nil"/>
                  </w:tcBorders>
                  <w:vAlign w:val="center"/>
                </w:tcPr>
                <w:p>
                  <w:pPr>
                    <w:pStyle w:val="69"/>
                    <w:rPr>
                      <w:rFonts w:eastAsiaTheme="minorEastAsia"/>
                      <w:sz w:val="21"/>
                      <w:szCs w:val="21"/>
                    </w:rPr>
                  </w:pPr>
                  <w:r>
                    <w:rPr>
                      <w:rFonts w:hint="eastAsia" w:eastAsiaTheme="minorEastAsia"/>
                      <w:sz w:val="21"/>
                      <w:szCs w:val="21"/>
                    </w:rPr>
                    <w:t>1.66</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1.494</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0.667</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66.7</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0.015</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0.007</w:t>
                  </w:r>
                </w:p>
              </w:tc>
              <w:tc>
                <w:tcPr>
                  <w:tcW w:w="507" w:type="pct"/>
                  <w:tcBorders>
                    <w:tl2br w:val="nil"/>
                    <w:tr2bl w:val="nil"/>
                  </w:tcBorders>
                  <w:vAlign w:val="center"/>
                </w:tcPr>
                <w:p>
                  <w:pPr>
                    <w:pStyle w:val="69"/>
                    <w:rPr>
                      <w:rFonts w:eastAsiaTheme="minorEastAsia"/>
                      <w:sz w:val="21"/>
                      <w:szCs w:val="21"/>
                    </w:rPr>
                  </w:pPr>
                  <w:r>
                    <w:rPr>
                      <w:rFonts w:hint="eastAsia" w:eastAsiaTheme="minorEastAsia"/>
                      <w:sz w:val="21"/>
                      <w:szCs w:val="21"/>
                    </w:rPr>
                    <w:t>0.667</w:t>
                  </w:r>
                </w:p>
              </w:tc>
              <w:tc>
                <w:tcPr>
                  <w:tcW w:w="494" w:type="pct"/>
                  <w:tcBorders>
                    <w:tl2br w:val="nil"/>
                    <w:tr2bl w:val="nil"/>
                  </w:tcBorders>
                  <w:vAlign w:val="center"/>
                </w:tcPr>
                <w:p>
                  <w:pPr>
                    <w:pStyle w:val="69"/>
                    <w:rPr>
                      <w:rFonts w:eastAsiaTheme="minorEastAsia"/>
                      <w:sz w:val="21"/>
                      <w:szCs w:val="21"/>
                    </w:rPr>
                  </w:pPr>
                  <w:r>
                    <w:rPr>
                      <w:rFonts w:hint="eastAsia" w:eastAsiaTheme="minorEastAsia"/>
                      <w:sz w:val="21"/>
                      <w:szCs w:val="21"/>
                    </w:rPr>
                    <w:t>0.166</w:t>
                  </w:r>
                </w:p>
              </w:tc>
            </w:tr>
          </w:tbl>
          <w:p>
            <w:pPr>
              <w:pStyle w:val="2"/>
              <w:spacing w:line="360" w:lineRule="auto"/>
              <w:ind w:firstLine="482" w:firstLineChars="200"/>
              <w:jc w:val="both"/>
              <w:rPr>
                <w:rFonts w:ascii="Times New Roman" w:cs="Times New Roman"/>
                <w:b/>
                <w:bCs/>
                <w:color w:val="auto"/>
              </w:rPr>
            </w:pPr>
            <w:r>
              <w:rPr>
                <w:rFonts w:hint="eastAsia" w:ascii="Times New Roman" w:cs="Times New Roman"/>
                <w:b/>
                <w:bCs/>
                <w:color w:val="auto"/>
              </w:rPr>
              <w:t>（4）4#厂房</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本项目4</w:t>
            </w:r>
            <w:r>
              <w:rPr>
                <w:rFonts w:hint="eastAsia" w:ascii="Times New Roman" w:cs="Times New Roman"/>
                <w:b/>
                <w:bCs/>
                <w:color w:val="auto"/>
              </w:rPr>
              <w:t>#</w:t>
            </w:r>
            <w:r>
              <w:rPr>
                <w:rFonts w:hint="eastAsia" w:ascii="Times New Roman" w:cs="Times New Roman"/>
                <w:color w:val="auto"/>
                <w:kern w:val="0"/>
              </w:rPr>
              <w:t>厂房生产环保碳基清洗剂3780t/a。运营期4#厂房的污染物主要为投料、搅拌、分装工序废气；储罐呼吸废气。</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①投料、搅拌、分装工序废气</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环保</w:t>
            </w:r>
            <w:r>
              <w:rPr>
                <w:rFonts w:ascii="Times New Roman" w:cs="Times New Roman"/>
                <w:color w:val="auto"/>
                <w:kern w:val="0"/>
              </w:rPr>
              <w:t>碳氢清洗剂生产原料中饱和烷烃、二丙二醇二甲醚均为液体，无投料粉尘产排</w:t>
            </w:r>
            <w:r>
              <w:rPr>
                <w:rFonts w:hint="eastAsia" w:ascii="Times New Roman" w:cs="Times New Roman"/>
                <w:color w:val="auto"/>
                <w:kern w:val="0"/>
              </w:rPr>
              <w:t>。</w:t>
            </w:r>
            <w:r>
              <w:rPr>
                <w:rFonts w:ascii="Times New Roman" w:cs="Times New Roman"/>
                <w:color w:val="auto"/>
                <w:kern w:val="0"/>
              </w:rPr>
              <w:t>烷烃储罐与调和罐管道相连，通过输送泵密闭送至调和罐，液态添加剂按照比例由管道密闭泵入到调和罐内混合搅拌，</w:t>
            </w:r>
            <w:r>
              <w:rPr>
                <w:rFonts w:hint="eastAsia" w:ascii="Times New Roman" w:cs="Times New Roman"/>
                <w:color w:val="auto"/>
                <w:kern w:val="0"/>
              </w:rPr>
              <w:t>整个过程在常温常压（25℃，101Kpa）下进行，为物理混合过程，不涉及化学反应。原料中</w:t>
            </w:r>
            <w:r>
              <w:rPr>
                <w:rFonts w:ascii="Times New Roman" w:cs="Times New Roman"/>
                <w:color w:val="auto"/>
                <w:kern w:val="0"/>
              </w:rPr>
              <w:t>饱和烷烃、二丙二醇二甲醚</w:t>
            </w:r>
            <w:r>
              <w:rPr>
                <w:rFonts w:hint="eastAsia" w:ascii="Times New Roman"/>
              </w:rPr>
              <w:t>属于挥发性有机物，故上料、搅拌混匀、分装过程涉及非甲烷总烃的产排，由于上料及分装采用管道输送，输送管道密闭且原料包装桶开口及灌装开口较小，故此过程中废气产生量较少，对环境影响极小，仅定性分析，主要分析混合搅拌过程非甲烷总烃的产排，由于《排放源统计调查产排污核算方法和系数手册》、《排污许可证申请与核发技术规范》、二污普中无该类产品的产排污系数，所以本次参考《广东省石油化工行业 VOCs 排放量计算方法（试行）》中的“表 2.6-2 石油化学工业生产产品 VOCs 产污系数-其他化学品”，产污系数为0.021kg/t-产品，项目</w:t>
            </w:r>
            <w:r>
              <w:rPr>
                <w:rFonts w:hint="eastAsia" w:ascii="Times New Roman" w:cs="Times New Roman"/>
                <w:color w:val="auto"/>
                <w:kern w:val="0"/>
              </w:rPr>
              <w:t>环保碳基清洗剂</w:t>
            </w:r>
            <w:r>
              <w:rPr>
                <w:rFonts w:hint="eastAsia" w:ascii="Times New Roman"/>
              </w:rPr>
              <w:t>年产量</w:t>
            </w:r>
            <w:r>
              <w:rPr>
                <w:rFonts w:hint="eastAsia" w:ascii="Times New Roman" w:cs="Times New Roman"/>
                <w:color w:val="auto"/>
                <w:kern w:val="0"/>
              </w:rPr>
              <w:t>3780t</w:t>
            </w:r>
            <w:r>
              <w:rPr>
                <w:rFonts w:hint="eastAsia" w:ascii="Times New Roman"/>
              </w:rPr>
              <w:t>，则非甲烷总烃产生量为0.079t/a。</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B、储罐呼吸废气</w:t>
            </w:r>
          </w:p>
          <w:p>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项目设置储罐用于储存</w:t>
            </w:r>
            <w:r>
              <w:rPr>
                <w:rFonts w:ascii="Times New Roman" w:cs="Times New Roman"/>
                <w:color w:val="auto"/>
                <w:kern w:val="0"/>
              </w:rPr>
              <w:t>饱和烷烃，</w:t>
            </w:r>
            <w:r>
              <w:rPr>
                <w:rStyle w:val="90"/>
                <w:rFonts w:hint="default" w:ascii="Times New Roman" w:cs="Times New Roman"/>
              </w:rPr>
              <w:t>储存过程中，存在</w:t>
            </w:r>
            <w:r>
              <w:rPr>
                <w:rStyle w:val="90"/>
                <w:rFonts w:hint="default" w:cs="Times New Roman" w:asciiTheme="minorEastAsia" w:hAnsiTheme="minorEastAsia" w:eastAsiaTheme="minorEastAsia"/>
              </w:rPr>
              <w:t>“大、小呼吸”</w:t>
            </w:r>
            <w:r>
              <w:rPr>
                <w:rStyle w:val="90"/>
                <w:rFonts w:hint="default" w:ascii="Times New Roman" w:cs="Times New Roman"/>
              </w:rPr>
              <w:t>，有少量有机废气</w:t>
            </w:r>
            <w:r>
              <w:rPr>
                <w:rFonts w:hint="eastAsia" w:ascii="Times New Roman" w:cs="Times New Roman"/>
                <w:kern w:val="0"/>
                <w:szCs w:val="21"/>
              </w:rPr>
              <w:t>（</w:t>
            </w:r>
            <w:r>
              <w:rPr>
                <w:rFonts w:ascii="Times New Roman" w:cs="Times New Roman"/>
                <w:kern w:val="0"/>
                <w:szCs w:val="21"/>
              </w:rPr>
              <w:t>以非甲烷总烃和臭气浓度表征</w:t>
            </w:r>
            <w:r>
              <w:rPr>
                <w:rFonts w:hint="eastAsia" w:ascii="Times New Roman" w:cs="Times New Roman"/>
                <w:kern w:val="0"/>
                <w:szCs w:val="21"/>
              </w:rPr>
              <w:t>）</w:t>
            </w:r>
            <w:r>
              <w:rPr>
                <w:rStyle w:val="90"/>
                <w:rFonts w:hint="default" w:ascii="Times New Roman" w:cs="Times New Roman"/>
              </w:rPr>
              <w:t>挥发进入大气。</w:t>
            </w:r>
          </w:p>
          <w:p>
            <w:pPr>
              <w:pStyle w:val="2"/>
              <w:spacing w:line="360" w:lineRule="auto"/>
              <w:ind w:firstLine="480" w:firstLineChars="200"/>
              <w:rPr>
                <w:rFonts w:ascii="Times New Roman" w:cs="Times New Roman"/>
                <w:kern w:val="0"/>
                <w:szCs w:val="21"/>
              </w:rPr>
            </w:pPr>
            <w:r>
              <w:rPr>
                <w:rFonts w:ascii="Times New Roman" w:cs="Times New Roman"/>
                <w:kern w:val="0"/>
                <w:szCs w:val="21"/>
              </w:rPr>
              <w:t>储存过程中蒸发静置损失</w:t>
            </w:r>
            <w:r>
              <w:rPr>
                <w:rFonts w:hint="eastAsia" w:ascii="Times New Roman" w:cs="Times New Roman"/>
                <w:kern w:val="0"/>
                <w:szCs w:val="21"/>
              </w:rPr>
              <w:t>（</w:t>
            </w:r>
            <w:r>
              <w:rPr>
                <w:rFonts w:ascii="Times New Roman" w:cs="Times New Roman"/>
                <w:kern w:val="0"/>
                <w:szCs w:val="21"/>
              </w:rPr>
              <w:t>俗称</w:t>
            </w:r>
            <w:r>
              <w:rPr>
                <w:rFonts w:cs="Times New Roman" w:asciiTheme="minorEastAsia" w:hAnsiTheme="minorEastAsia" w:eastAsiaTheme="minorEastAsia"/>
                <w:kern w:val="0"/>
                <w:szCs w:val="21"/>
              </w:rPr>
              <w:t>“小呼吸”</w:t>
            </w:r>
            <w:r>
              <w:rPr>
                <w:rFonts w:hint="eastAsia" w:ascii="Times New Roman" w:cs="Times New Roman"/>
                <w:kern w:val="0"/>
                <w:szCs w:val="21"/>
              </w:rPr>
              <w:t>）</w:t>
            </w:r>
            <w:r>
              <w:rPr>
                <w:rFonts w:ascii="Times New Roman" w:cs="Times New Roman"/>
                <w:kern w:val="0"/>
                <w:szCs w:val="21"/>
              </w:rPr>
              <w:t>，主要为有机液体储存过程中自然挥发产生的有机废气，项目</w:t>
            </w:r>
            <w:r>
              <w:rPr>
                <w:rFonts w:ascii="Times New Roman" w:cs="Times New Roman"/>
                <w:color w:val="auto"/>
                <w:kern w:val="0"/>
              </w:rPr>
              <w:t>饱和烷烃</w:t>
            </w:r>
            <w:r>
              <w:rPr>
                <w:rFonts w:ascii="Times New Roman" w:cs="Times New Roman"/>
                <w:kern w:val="0"/>
                <w:szCs w:val="21"/>
              </w:rPr>
              <w:t>为高端环保型碳氢溶剂，属于溶剂油类别，采用立式储罐储存，非甲烷总烃产生系数参照《散装液态石油产品损耗》</w:t>
            </w:r>
            <w:r>
              <w:rPr>
                <w:rFonts w:hint="eastAsia" w:ascii="Times New Roman" w:cs="Times New Roman"/>
                <w:kern w:val="0"/>
                <w:szCs w:val="21"/>
              </w:rPr>
              <w:t>（</w:t>
            </w:r>
            <w:r>
              <w:rPr>
                <w:rFonts w:ascii="Times New Roman" w:cs="Times New Roman"/>
                <w:kern w:val="0"/>
                <w:szCs w:val="21"/>
              </w:rPr>
              <w:t>GB11085-1989</w:t>
            </w:r>
            <w:r>
              <w:rPr>
                <w:rFonts w:hint="eastAsia" w:ascii="Times New Roman" w:cs="Times New Roman"/>
                <w:kern w:val="0"/>
                <w:szCs w:val="21"/>
              </w:rPr>
              <w:t>）</w:t>
            </w:r>
            <w:r>
              <w:rPr>
                <w:rFonts w:ascii="Times New Roman" w:cs="Times New Roman"/>
                <w:kern w:val="0"/>
                <w:szCs w:val="21"/>
              </w:rPr>
              <w:t>中表1</w:t>
            </w:r>
            <w:r>
              <w:rPr>
                <w:rFonts w:hint="eastAsia" w:ascii="Times New Roman" w:cs="Times New Roman"/>
                <w:kern w:val="0"/>
                <w:szCs w:val="21"/>
              </w:rPr>
              <w:t>“</w:t>
            </w:r>
            <w:r>
              <w:rPr>
                <w:rFonts w:ascii="Times New Roman" w:cs="Times New Roman"/>
                <w:kern w:val="0"/>
                <w:szCs w:val="21"/>
              </w:rPr>
              <w:t>立式金属罐-其他油-不分季节</w:t>
            </w:r>
            <w:r>
              <w:rPr>
                <w:rFonts w:hint="eastAsia" w:ascii="Times New Roman" w:cs="Times New Roman"/>
                <w:kern w:val="0"/>
                <w:szCs w:val="21"/>
              </w:rPr>
              <w:t>”</w:t>
            </w:r>
            <w:r>
              <w:rPr>
                <w:rFonts w:ascii="Times New Roman" w:cs="Times New Roman"/>
                <w:kern w:val="0"/>
                <w:szCs w:val="21"/>
              </w:rPr>
              <w:t>贮存损耗率0.01%，项目采用储罐储存的</w:t>
            </w:r>
            <w:r>
              <w:rPr>
                <w:rFonts w:ascii="Times New Roman" w:cs="Times New Roman"/>
                <w:color w:val="auto"/>
                <w:kern w:val="0"/>
              </w:rPr>
              <w:t>饱和烷烃</w:t>
            </w:r>
            <w:r>
              <w:rPr>
                <w:rFonts w:ascii="Times New Roman" w:cs="Times New Roman"/>
                <w:kern w:val="0"/>
                <w:szCs w:val="21"/>
              </w:rPr>
              <w:t>储存总量为</w:t>
            </w:r>
            <w:r>
              <w:rPr>
                <w:rFonts w:hint="eastAsia" w:ascii="Times New Roman" w:cs="Times New Roman"/>
                <w:kern w:val="0"/>
                <w:szCs w:val="21"/>
              </w:rPr>
              <w:t>3402</w:t>
            </w:r>
            <w:r>
              <w:rPr>
                <w:rFonts w:ascii="Times New Roman" w:cs="Times New Roman"/>
                <w:kern w:val="0"/>
                <w:szCs w:val="21"/>
              </w:rPr>
              <w:t>t</w:t>
            </w:r>
            <w:r>
              <w:rPr>
                <w:rFonts w:hint="eastAsia" w:ascii="Times New Roman" w:cs="Times New Roman"/>
                <w:kern w:val="0"/>
                <w:szCs w:val="21"/>
              </w:rPr>
              <w:t>/</w:t>
            </w:r>
            <w:r>
              <w:rPr>
                <w:rFonts w:ascii="Times New Roman" w:cs="Times New Roman"/>
                <w:kern w:val="0"/>
                <w:szCs w:val="21"/>
              </w:rPr>
              <w:t>a，则储存过程中蒸发静置损失量约为0.</w:t>
            </w:r>
            <w:r>
              <w:rPr>
                <w:rFonts w:hint="eastAsia" w:ascii="Times New Roman" w:cs="Times New Roman"/>
                <w:kern w:val="0"/>
                <w:szCs w:val="21"/>
              </w:rPr>
              <w:t>3402</w:t>
            </w:r>
            <w:r>
              <w:rPr>
                <w:rFonts w:ascii="Times New Roman" w:cs="Times New Roman"/>
                <w:kern w:val="0"/>
                <w:szCs w:val="21"/>
              </w:rPr>
              <w:t>t/a</w:t>
            </w:r>
            <w:r>
              <w:rPr>
                <w:rFonts w:hint="eastAsia" w:ascii="Times New Roman" w:cs="Times New Roman"/>
                <w:kern w:val="0"/>
                <w:szCs w:val="21"/>
              </w:rPr>
              <w:t>。</w:t>
            </w:r>
          </w:p>
          <w:p>
            <w:pPr>
              <w:pStyle w:val="2"/>
              <w:spacing w:line="360" w:lineRule="auto"/>
              <w:ind w:firstLine="480" w:firstLineChars="200"/>
              <w:rPr>
                <w:rFonts w:ascii="Times New Roman" w:cs="Times New Roman"/>
                <w:kern w:val="0"/>
                <w:szCs w:val="21"/>
              </w:rPr>
            </w:pPr>
            <w:r>
              <w:rPr>
                <w:rFonts w:hint="eastAsia"/>
                <w:kern w:val="0"/>
                <w:szCs w:val="21"/>
              </w:rPr>
              <w:t>接受物料过程中产生的工作损失(俗称“大呼吸”)，主要为输转损耗。输转损耗主要为</w:t>
            </w:r>
            <w:r>
              <w:rPr>
                <w:rFonts w:hint="eastAsia" w:ascii="Times New Roman" w:cs="Times New Roman"/>
                <w:kern w:val="0"/>
                <w:szCs w:val="21"/>
              </w:rPr>
              <w:t>原料</w:t>
            </w:r>
            <w:r>
              <w:rPr>
                <w:rFonts w:ascii="Times New Roman" w:cs="Times New Roman"/>
                <w:kern w:val="0"/>
                <w:szCs w:val="21"/>
              </w:rPr>
              <w:t>烷烃</w:t>
            </w:r>
            <w:r>
              <w:rPr>
                <w:rFonts w:hint="eastAsia" w:ascii="Times New Roman" w:cs="Times New Roman"/>
                <w:kern w:val="0"/>
                <w:szCs w:val="21"/>
              </w:rPr>
              <w:t>由输送车通过管道进入</w:t>
            </w:r>
            <w:r>
              <w:rPr>
                <w:rFonts w:ascii="Times New Roman" w:cs="Times New Roman"/>
                <w:color w:val="auto"/>
                <w:kern w:val="0"/>
              </w:rPr>
              <w:t>烷烃</w:t>
            </w:r>
            <w:r>
              <w:rPr>
                <w:rFonts w:hint="eastAsia" w:ascii="Times New Roman" w:cs="Times New Roman"/>
                <w:kern w:val="0"/>
                <w:szCs w:val="21"/>
              </w:rPr>
              <w:t>储罐过程，该过程输转量为3402t/a；</w:t>
            </w:r>
            <w:r>
              <w:rPr>
                <w:rFonts w:ascii="Times New Roman" w:cs="Times New Roman"/>
                <w:color w:val="auto"/>
                <w:kern w:val="0"/>
              </w:rPr>
              <w:t>烷烃</w:t>
            </w:r>
            <w:r>
              <w:rPr>
                <w:rFonts w:hint="eastAsia" w:ascii="Times New Roman" w:cs="Times New Roman"/>
                <w:kern w:val="0"/>
                <w:szCs w:val="21"/>
              </w:rPr>
              <w:t>储罐内</w:t>
            </w:r>
            <w:r>
              <w:rPr>
                <w:rFonts w:ascii="Times New Roman" w:cs="Times New Roman"/>
                <w:color w:val="auto"/>
                <w:kern w:val="0"/>
              </w:rPr>
              <w:t>烷烃</w:t>
            </w:r>
            <w:r>
              <w:rPr>
                <w:rFonts w:hint="eastAsia" w:ascii="Times New Roman" w:cs="Times New Roman"/>
                <w:kern w:val="0"/>
                <w:szCs w:val="21"/>
              </w:rPr>
              <w:t>通过管道进入调和罐过程，输转量为3402t/a；本项目物料输转均在常温常压下进行输转过程中出料罐成负压，进料罐成正压，输转罐之间采用气相平衡管进行连接，进料罐中的废气通过气相平衡管进入出料罐，达到回收废气的目的，根据齐刚2010年4月发布在“北方环境第22卷第2期《利用气相平衡管原理控制有机污染物的无组织排放》中的结论“原料储罐、计量罐在常温常压条件下工作，采取气相平衡管实施呼吸尾气内循环治理后，可大大减小原料储罐的呼吸排放，预测可减小罐体大呼吸排放量的90%以上”，输转损耗率参照《散装液态石油产品损耗》（</w:t>
            </w:r>
            <w:r>
              <w:rPr>
                <w:rFonts w:ascii="Times New Roman" w:cs="Times New Roman"/>
                <w:kern w:val="0"/>
                <w:szCs w:val="21"/>
              </w:rPr>
              <w:t>GB11085-1989</w:t>
            </w:r>
            <w:r>
              <w:rPr>
                <w:rFonts w:hint="eastAsia" w:ascii="Times New Roman" w:cs="Times New Roman"/>
                <w:kern w:val="0"/>
                <w:szCs w:val="21"/>
              </w:rPr>
              <w:t>）中表5“其他油-不分季节、罐型”输转损耗率0.01%，本项目物料输转损耗量约为（3402+3402）×0.01%=0.6804t/a，通过油气回收装置气相平衡管实施呼吸尾气内循环回收后，约90%的废气通过气相平衡管进入出料罐，达到废气回收的目的，剩余10%的废气排出形成有机废气，则物料输转损耗量约为0.068t/a。</w:t>
            </w:r>
          </w:p>
          <w:p>
            <w:pPr>
              <w:pStyle w:val="2"/>
              <w:spacing w:line="360" w:lineRule="auto"/>
              <w:ind w:firstLine="480" w:firstLineChars="200"/>
              <w:rPr>
                <w:rFonts w:ascii="Times New Roman" w:cs="Times New Roman"/>
                <w:kern w:val="0"/>
                <w:szCs w:val="21"/>
              </w:rPr>
            </w:pPr>
            <w:r>
              <w:rPr>
                <w:rFonts w:hint="eastAsia" w:ascii="Times New Roman" w:cs="Times New Roman"/>
                <w:kern w:val="0"/>
                <w:szCs w:val="21"/>
              </w:rPr>
              <w:t>项目储罐呼吸废气产生量为0.408t/a。</w:t>
            </w:r>
          </w:p>
          <w:p>
            <w:pPr>
              <w:pStyle w:val="2"/>
              <w:spacing w:line="360" w:lineRule="auto"/>
              <w:ind w:firstLine="482" w:firstLineChars="200"/>
              <w:rPr>
                <w:b/>
                <w:kern w:val="0"/>
                <w:szCs w:val="21"/>
              </w:rPr>
            </w:pPr>
            <w:r>
              <w:rPr>
                <w:rFonts w:hint="eastAsia"/>
                <w:b/>
                <w:kern w:val="0"/>
                <w:szCs w:val="21"/>
              </w:rPr>
              <w:t>④汇总</w:t>
            </w:r>
          </w:p>
          <w:p>
            <w:pPr>
              <w:pStyle w:val="2"/>
              <w:spacing w:line="360" w:lineRule="auto"/>
              <w:ind w:firstLine="480" w:firstLineChars="200"/>
              <w:rPr>
                <w:rFonts w:ascii="Times New Roman" w:cs="Times New Roman"/>
                <w:color w:val="auto"/>
                <w:kern w:val="0"/>
              </w:rPr>
            </w:pPr>
            <w:r>
              <w:rPr>
                <w:rFonts w:hint="eastAsia" w:ascii="Times New Roman" w:cs="Times New Roman"/>
                <w:kern w:val="0"/>
                <w:szCs w:val="21"/>
              </w:rPr>
              <w:t>综上，项目4#厂房生产过程中产生非甲烷总烃合计0.408t/a，此外，还有少量的臭气浓度</w:t>
            </w:r>
            <w:r>
              <w:rPr>
                <w:rFonts w:hint="eastAsia" w:ascii="Times New Roman" w:cs="Times New Roman"/>
                <w:color w:val="auto"/>
                <w:kern w:val="0"/>
              </w:rPr>
              <w:t>。</w:t>
            </w:r>
          </w:p>
          <w:p>
            <w:pPr>
              <w:pStyle w:val="2"/>
              <w:spacing w:line="360" w:lineRule="auto"/>
              <w:ind w:firstLine="480" w:firstLineChars="200"/>
              <w:rPr>
                <w:kern w:val="0"/>
                <w:szCs w:val="21"/>
              </w:rPr>
            </w:pPr>
            <w:r>
              <w:rPr>
                <w:rFonts w:hint="eastAsia"/>
                <w:kern w:val="0"/>
                <w:szCs w:val="21"/>
              </w:rPr>
              <w:t>针对上述工序产生的有机废气及臭气浓度，本环评要求企业生产时车间保持密闭，在</w:t>
            </w:r>
            <w:r>
              <w:rPr>
                <w:rFonts w:hint="eastAsia" w:ascii="Times New Roman" w:cs="Times New Roman"/>
                <w:color w:val="auto"/>
                <w:kern w:val="0"/>
              </w:rPr>
              <w:t>环保碳基清洗剂</w:t>
            </w:r>
            <w:r>
              <w:rPr>
                <w:rFonts w:hint="eastAsia"/>
                <w:kern w:val="0"/>
                <w:szCs w:val="21"/>
              </w:rPr>
              <w:t>调和罐顶部设置排气管</w:t>
            </w:r>
            <w:r>
              <w:rPr>
                <w:rFonts w:ascii="Times New Roman" w:cs="Times New Roman"/>
                <w:kern w:val="0"/>
                <w:szCs w:val="21"/>
              </w:rPr>
              <w:t>（收集效率为9</w:t>
            </w:r>
            <w:r>
              <w:rPr>
                <w:rFonts w:hint="eastAsia" w:ascii="Times New Roman" w:cs="Times New Roman"/>
                <w:kern w:val="0"/>
                <w:szCs w:val="21"/>
              </w:rPr>
              <w:t>5</w:t>
            </w:r>
            <w:r>
              <w:rPr>
                <w:rFonts w:ascii="Times New Roman" w:cs="Times New Roman"/>
                <w:kern w:val="0"/>
                <w:szCs w:val="21"/>
              </w:rPr>
              <w:t>%）</w:t>
            </w:r>
            <w:r>
              <w:rPr>
                <w:rFonts w:hint="eastAsia"/>
                <w:kern w:val="0"/>
                <w:szCs w:val="21"/>
              </w:rPr>
              <w:t>；烷烃储罐泄压阀排气口设置集气软管</w:t>
            </w:r>
            <w:r>
              <w:rPr>
                <w:rFonts w:ascii="Times New Roman" w:cs="Times New Roman"/>
                <w:kern w:val="0"/>
                <w:szCs w:val="21"/>
              </w:rPr>
              <w:t>（收集效率为9</w:t>
            </w:r>
            <w:r>
              <w:rPr>
                <w:rFonts w:hint="eastAsia" w:ascii="Times New Roman" w:cs="Times New Roman"/>
                <w:kern w:val="0"/>
                <w:szCs w:val="21"/>
              </w:rPr>
              <w:t>5</w:t>
            </w:r>
            <w:r>
              <w:rPr>
                <w:rFonts w:ascii="Times New Roman" w:cs="Times New Roman"/>
                <w:kern w:val="0"/>
                <w:szCs w:val="21"/>
              </w:rPr>
              <w:t>%）</w:t>
            </w:r>
            <w:r>
              <w:rPr>
                <w:rFonts w:hint="eastAsia"/>
                <w:kern w:val="0"/>
                <w:szCs w:val="21"/>
              </w:rPr>
              <w:t>对废气</w:t>
            </w:r>
            <w:r>
              <w:rPr>
                <w:rFonts w:ascii="Times New Roman" w:cs="Times New Roman"/>
                <w:kern w:val="0"/>
                <w:szCs w:val="21"/>
              </w:rPr>
              <w:t>进行收集，各股废气汇入总管后，经引风机引至</w:t>
            </w:r>
            <w:r>
              <w:rPr>
                <w:rFonts w:hint="eastAsia" w:ascii="Times New Roman" w:cs="Times New Roman"/>
                <w:kern w:val="0"/>
                <w:szCs w:val="21"/>
              </w:rPr>
              <w:t>二级活性炭</w:t>
            </w:r>
            <w:r>
              <w:rPr>
                <w:rFonts w:ascii="Times New Roman" w:cs="Times New Roman"/>
                <w:kern w:val="0"/>
                <w:szCs w:val="21"/>
              </w:rPr>
              <w:t>设施处理</w:t>
            </w:r>
            <w:r>
              <w:rPr>
                <w:rFonts w:hint="eastAsia" w:ascii="Times New Roman" w:cs="Times New Roman"/>
                <w:kern w:val="0"/>
                <w:szCs w:val="21"/>
              </w:rPr>
              <w:t>后通过1根15m</w:t>
            </w:r>
            <w:r>
              <w:rPr>
                <w:rFonts w:ascii="Times New Roman" w:cs="Times New Roman"/>
                <w:kern w:val="0"/>
                <w:szCs w:val="21"/>
              </w:rPr>
              <w:t>高排气筒</w:t>
            </w:r>
            <w:r>
              <w:rPr>
                <w:rFonts w:hint="eastAsia" w:ascii="Times New Roman" w:cs="Times New Roman"/>
                <w:kern w:val="0"/>
                <w:szCs w:val="21"/>
              </w:rPr>
              <w:t>DA004</w:t>
            </w:r>
            <w:r>
              <w:rPr>
                <w:rFonts w:ascii="Times New Roman" w:cs="Times New Roman"/>
                <w:kern w:val="0"/>
                <w:szCs w:val="21"/>
              </w:rPr>
              <w:t>排放，风机风量</w:t>
            </w:r>
            <w:r>
              <w:rPr>
                <w:rFonts w:hint="eastAsia" w:ascii="Times New Roman" w:cs="Times New Roman"/>
                <w:kern w:val="0"/>
                <w:szCs w:val="21"/>
              </w:rPr>
              <w:t>5</w:t>
            </w:r>
            <w:r>
              <w:rPr>
                <w:rFonts w:ascii="Times New Roman" w:cs="Times New Roman"/>
                <w:kern w:val="0"/>
                <w:szCs w:val="21"/>
              </w:rPr>
              <w:t>000m</w:t>
            </w:r>
            <w:r>
              <w:rPr>
                <w:rFonts w:ascii="Times New Roman" w:cs="Times New Roman"/>
                <w:kern w:val="0"/>
                <w:szCs w:val="21"/>
                <w:vertAlign w:val="superscript"/>
              </w:rPr>
              <w:t>3</w:t>
            </w:r>
            <w:r>
              <w:rPr>
                <w:rFonts w:ascii="Times New Roman" w:cs="Times New Roman"/>
                <w:kern w:val="0"/>
                <w:szCs w:val="21"/>
              </w:rPr>
              <w:t>/h，</w:t>
            </w:r>
            <w:r>
              <w:rPr>
                <w:rFonts w:hint="eastAsia" w:ascii="Times New Roman" w:cs="Times New Roman"/>
                <w:kern w:val="0"/>
                <w:szCs w:val="21"/>
              </w:rPr>
              <w:t>二级活性炭</w:t>
            </w:r>
            <w:r>
              <w:rPr>
                <w:rFonts w:ascii="Times New Roman" w:cs="Times New Roman"/>
                <w:kern w:val="0"/>
                <w:szCs w:val="21"/>
              </w:rPr>
              <w:t>效率</w:t>
            </w:r>
            <w:r>
              <w:rPr>
                <w:rFonts w:hint="eastAsia" w:ascii="Times New Roman" w:cs="Times New Roman"/>
                <w:kern w:val="0"/>
                <w:szCs w:val="21"/>
              </w:rPr>
              <w:t>80</w:t>
            </w:r>
            <w:r>
              <w:rPr>
                <w:rFonts w:ascii="Times New Roman" w:cs="Times New Roman"/>
                <w:kern w:val="0"/>
                <w:szCs w:val="21"/>
              </w:rPr>
              <w:t>%。</w:t>
            </w:r>
            <w:r>
              <w:rPr>
                <w:rFonts w:hint="eastAsia" w:ascii="Times New Roman" w:cs="Times New Roman"/>
                <w:kern w:val="0"/>
                <w:szCs w:val="21"/>
              </w:rPr>
              <w:t>则4#厂房产排情况见下表。</w:t>
            </w:r>
          </w:p>
          <w:p>
            <w:pPr>
              <w:jc w:val="center"/>
              <w:rPr>
                <w:b/>
                <w:szCs w:val="21"/>
              </w:rPr>
            </w:pPr>
            <w:r>
              <w:rPr>
                <w:rFonts w:hint="eastAsia"/>
                <w:b/>
                <w:szCs w:val="21"/>
              </w:rPr>
              <w:t>表4-4  4#厂房废气产排情况</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942"/>
              <w:gridCol w:w="940"/>
              <w:gridCol w:w="942"/>
              <w:gridCol w:w="942"/>
              <w:gridCol w:w="942"/>
              <w:gridCol w:w="942"/>
              <w:gridCol w:w="942"/>
              <w:gridCol w:w="957"/>
              <w:gridCol w:w="9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废气</w:t>
                  </w:r>
                </w:p>
                <w:p>
                  <w:pPr>
                    <w:pStyle w:val="69"/>
                    <w:rPr>
                      <w:rFonts w:eastAsiaTheme="minorEastAsia"/>
                      <w:b/>
                      <w:bCs/>
                      <w:sz w:val="21"/>
                      <w:szCs w:val="21"/>
                    </w:rPr>
                  </w:pPr>
                  <w:r>
                    <w:rPr>
                      <w:rFonts w:eastAsiaTheme="minorEastAsia"/>
                      <w:b/>
                      <w:bCs/>
                      <w:sz w:val="21"/>
                      <w:szCs w:val="21"/>
                    </w:rPr>
                    <w:t>种类</w:t>
                  </w:r>
                </w:p>
              </w:tc>
              <w:tc>
                <w:tcPr>
                  <w:tcW w:w="500"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污染物</w:t>
                  </w:r>
                </w:p>
              </w:tc>
              <w:tc>
                <w:tcPr>
                  <w:tcW w:w="499" w:type="pct"/>
                  <w:vMerge w:val="restart"/>
                  <w:tcBorders>
                    <w:tl2br w:val="nil"/>
                    <w:tr2bl w:val="nil"/>
                  </w:tcBorders>
                  <w:vAlign w:val="center"/>
                </w:tcPr>
                <w:p>
                  <w:pPr>
                    <w:pStyle w:val="69"/>
                    <w:rPr>
                      <w:rFonts w:eastAsiaTheme="minorEastAsia"/>
                      <w:b/>
                      <w:bCs/>
                      <w:sz w:val="21"/>
                      <w:szCs w:val="21"/>
                    </w:rPr>
                  </w:pPr>
                  <w:r>
                    <w:rPr>
                      <w:rFonts w:eastAsiaTheme="minorEastAsia"/>
                      <w:b/>
                      <w:bCs/>
                      <w:sz w:val="21"/>
                      <w:szCs w:val="21"/>
                    </w:rPr>
                    <w:t>产生量</w:t>
                  </w:r>
                  <w:r>
                    <w:rPr>
                      <w:rFonts w:hint="eastAsia" w:eastAsiaTheme="minorEastAsia"/>
                      <w:b/>
                      <w:bCs/>
                      <w:sz w:val="21"/>
                      <w:szCs w:val="21"/>
                    </w:rPr>
                    <w:t>t/a</w:t>
                  </w:r>
                </w:p>
              </w:tc>
              <w:tc>
                <w:tcPr>
                  <w:tcW w:w="3008" w:type="pct"/>
                  <w:gridSpan w:val="6"/>
                  <w:tcBorders>
                    <w:tl2br w:val="nil"/>
                    <w:tr2bl w:val="nil"/>
                  </w:tcBorders>
                  <w:vAlign w:val="center"/>
                </w:tcPr>
                <w:p>
                  <w:pPr>
                    <w:pStyle w:val="69"/>
                    <w:rPr>
                      <w:rFonts w:eastAsiaTheme="minorEastAsia"/>
                      <w:b/>
                      <w:bCs/>
                      <w:sz w:val="21"/>
                      <w:szCs w:val="21"/>
                    </w:rPr>
                  </w:pPr>
                  <w:r>
                    <w:rPr>
                      <w:rFonts w:eastAsiaTheme="minorEastAsia"/>
                      <w:b/>
                      <w:bCs/>
                      <w:sz w:val="21"/>
                      <w:szCs w:val="21"/>
                    </w:rPr>
                    <w:t>有组织</w:t>
                  </w:r>
                </w:p>
              </w:tc>
              <w:tc>
                <w:tcPr>
                  <w:tcW w:w="494" w:type="pct"/>
                  <w:tcBorders>
                    <w:tl2br w:val="nil"/>
                    <w:tr2bl w:val="nil"/>
                  </w:tcBorders>
                  <w:vAlign w:val="center"/>
                </w:tcPr>
                <w:p>
                  <w:pPr>
                    <w:pStyle w:val="69"/>
                    <w:rPr>
                      <w:rFonts w:eastAsiaTheme="minorEastAsia"/>
                      <w:b/>
                      <w:bCs/>
                      <w:sz w:val="21"/>
                      <w:szCs w:val="21"/>
                    </w:rPr>
                  </w:pPr>
                  <w:r>
                    <w:rPr>
                      <w:rFonts w:eastAsiaTheme="minorEastAsia"/>
                      <w:b/>
                      <w:bCs/>
                      <w:sz w:val="21"/>
                      <w:szCs w:val="21"/>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00" w:type="pct"/>
                  <w:vMerge w:val="continue"/>
                  <w:tcBorders>
                    <w:tl2br w:val="nil"/>
                    <w:tr2bl w:val="nil"/>
                  </w:tcBorders>
                  <w:vAlign w:val="center"/>
                </w:tcPr>
                <w:p>
                  <w:pPr>
                    <w:jc w:val="center"/>
                    <w:rPr>
                      <w:szCs w:val="21"/>
                    </w:rPr>
                  </w:pPr>
                </w:p>
              </w:tc>
              <w:tc>
                <w:tcPr>
                  <w:tcW w:w="500" w:type="pct"/>
                  <w:vMerge w:val="continue"/>
                  <w:tcBorders>
                    <w:tl2br w:val="nil"/>
                    <w:tr2bl w:val="nil"/>
                  </w:tcBorders>
                  <w:vAlign w:val="center"/>
                </w:tcPr>
                <w:p>
                  <w:pPr>
                    <w:pStyle w:val="69"/>
                    <w:rPr>
                      <w:rFonts w:eastAsiaTheme="minorEastAsia"/>
                      <w:sz w:val="21"/>
                      <w:szCs w:val="21"/>
                    </w:rPr>
                  </w:pPr>
                </w:p>
              </w:tc>
              <w:tc>
                <w:tcPr>
                  <w:tcW w:w="499" w:type="pct"/>
                  <w:vMerge w:val="continue"/>
                  <w:tcBorders>
                    <w:tl2br w:val="nil"/>
                    <w:tr2bl w:val="nil"/>
                  </w:tcBorders>
                  <w:vAlign w:val="center"/>
                </w:tcPr>
                <w:p>
                  <w:pPr>
                    <w:pStyle w:val="69"/>
                    <w:rPr>
                      <w:rFonts w:eastAsiaTheme="minorEastAsia"/>
                      <w:sz w:val="21"/>
                      <w:szCs w:val="21"/>
                    </w:rPr>
                  </w:pP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收集量</w:t>
                  </w:r>
                  <w:r>
                    <w:rPr>
                      <w:rFonts w:hint="eastAsia" w:eastAsiaTheme="minorEastAsia"/>
                      <w:b/>
                      <w:sz w:val="21"/>
                      <w:szCs w:val="21"/>
                    </w:rPr>
                    <w:t>t/a</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产生速率</w:t>
                  </w:r>
                  <w:r>
                    <w:rPr>
                      <w:rFonts w:hint="eastAsia" w:eastAsiaTheme="minorEastAsia"/>
                      <w:b/>
                      <w:sz w:val="21"/>
                      <w:szCs w:val="21"/>
                    </w:rPr>
                    <w:t>kg/h</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产生</w:t>
                  </w:r>
                </w:p>
                <w:p>
                  <w:pPr>
                    <w:pStyle w:val="69"/>
                    <w:rPr>
                      <w:rFonts w:eastAsiaTheme="minorEastAsia"/>
                      <w:b/>
                      <w:sz w:val="21"/>
                      <w:szCs w:val="21"/>
                    </w:rPr>
                  </w:pPr>
                  <w:r>
                    <w:rPr>
                      <w:rFonts w:eastAsiaTheme="minorEastAsia"/>
                      <w:b/>
                      <w:sz w:val="21"/>
                      <w:szCs w:val="21"/>
                    </w:rPr>
                    <w:t>浓度m</w:t>
                  </w:r>
                  <w:r>
                    <w:rPr>
                      <w:rFonts w:hint="eastAsia" w:eastAsiaTheme="minorEastAsia"/>
                      <w:b/>
                      <w:sz w:val="21"/>
                      <w:szCs w:val="21"/>
                    </w:rPr>
                    <w:t>g/m</w:t>
                  </w:r>
                  <w:r>
                    <w:rPr>
                      <w:rFonts w:hint="eastAsia" w:eastAsiaTheme="minorEastAsia"/>
                      <w:b/>
                      <w:sz w:val="21"/>
                      <w:szCs w:val="21"/>
                      <w:vertAlign w:val="superscript"/>
                    </w:rPr>
                    <w:t>3</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排放量</w:t>
                  </w:r>
                  <w:r>
                    <w:rPr>
                      <w:rFonts w:hint="eastAsia" w:eastAsiaTheme="minorEastAsia"/>
                      <w:b/>
                      <w:sz w:val="21"/>
                      <w:szCs w:val="21"/>
                    </w:rPr>
                    <w:t>t/a</w:t>
                  </w:r>
                </w:p>
              </w:tc>
              <w:tc>
                <w:tcPr>
                  <w:tcW w:w="500" w:type="pct"/>
                  <w:tcBorders>
                    <w:tl2br w:val="nil"/>
                    <w:tr2bl w:val="nil"/>
                  </w:tcBorders>
                  <w:vAlign w:val="center"/>
                </w:tcPr>
                <w:p>
                  <w:pPr>
                    <w:pStyle w:val="69"/>
                    <w:rPr>
                      <w:rFonts w:eastAsiaTheme="minorEastAsia"/>
                      <w:b/>
                      <w:sz w:val="21"/>
                      <w:szCs w:val="21"/>
                    </w:rPr>
                  </w:pPr>
                  <w:r>
                    <w:rPr>
                      <w:rFonts w:eastAsiaTheme="minorEastAsia"/>
                      <w:b/>
                      <w:sz w:val="21"/>
                      <w:szCs w:val="21"/>
                    </w:rPr>
                    <w:t>排放速率</w:t>
                  </w:r>
                  <w:r>
                    <w:rPr>
                      <w:rFonts w:hint="eastAsia" w:eastAsiaTheme="minorEastAsia"/>
                      <w:b/>
                      <w:sz w:val="21"/>
                      <w:szCs w:val="21"/>
                    </w:rPr>
                    <w:t>kg/h</w:t>
                  </w:r>
                </w:p>
              </w:tc>
              <w:tc>
                <w:tcPr>
                  <w:tcW w:w="507" w:type="pct"/>
                  <w:tcBorders>
                    <w:tl2br w:val="nil"/>
                    <w:tr2bl w:val="nil"/>
                  </w:tcBorders>
                  <w:vAlign w:val="center"/>
                </w:tcPr>
                <w:p>
                  <w:pPr>
                    <w:pStyle w:val="69"/>
                    <w:rPr>
                      <w:rFonts w:eastAsiaTheme="minorEastAsia"/>
                      <w:b/>
                      <w:sz w:val="21"/>
                      <w:szCs w:val="21"/>
                    </w:rPr>
                  </w:pPr>
                  <w:r>
                    <w:rPr>
                      <w:rFonts w:eastAsiaTheme="minorEastAsia"/>
                      <w:b/>
                      <w:sz w:val="21"/>
                      <w:szCs w:val="21"/>
                    </w:rPr>
                    <w:t>排放</w:t>
                  </w:r>
                </w:p>
                <w:p>
                  <w:pPr>
                    <w:pStyle w:val="69"/>
                    <w:rPr>
                      <w:rFonts w:eastAsiaTheme="minorEastAsia"/>
                      <w:b/>
                      <w:sz w:val="21"/>
                      <w:szCs w:val="21"/>
                    </w:rPr>
                  </w:pPr>
                  <w:r>
                    <w:rPr>
                      <w:rFonts w:eastAsiaTheme="minorEastAsia"/>
                      <w:b/>
                      <w:sz w:val="21"/>
                      <w:szCs w:val="21"/>
                    </w:rPr>
                    <w:t>浓度m</w:t>
                  </w:r>
                  <w:r>
                    <w:rPr>
                      <w:rFonts w:hint="eastAsia" w:eastAsiaTheme="minorEastAsia"/>
                      <w:b/>
                      <w:sz w:val="21"/>
                      <w:szCs w:val="21"/>
                    </w:rPr>
                    <w:t>g/m</w:t>
                  </w:r>
                  <w:r>
                    <w:rPr>
                      <w:rFonts w:hint="eastAsia" w:eastAsiaTheme="minorEastAsia"/>
                      <w:b/>
                      <w:sz w:val="21"/>
                      <w:szCs w:val="21"/>
                      <w:vertAlign w:val="superscript"/>
                    </w:rPr>
                    <w:t>3</w:t>
                  </w:r>
                </w:p>
              </w:tc>
              <w:tc>
                <w:tcPr>
                  <w:tcW w:w="494" w:type="pct"/>
                  <w:tcBorders>
                    <w:tl2br w:val="nil"/>
                    <w:tr2bl w:val="nil"/>
                  </w:tcBorders>
                  <w:vAlign w:val="center"/>
                </w:tcPr>
                <w:p>
                  <w:pPr>
                    <w:pStyle w:val="69"/>
                    <w:rPr>
                      <w:rFonts w:eastAsiaTheme="minorEastAsia"/>
                      <w:sz w:val="21"/>
                      <w:szCs w:val="21"/>
                    </w:rPr>
                  </w:pPr>
                  <w:r>
                    <w:rPr>
                      <w:rFonts w:hint="eastAsia" w:eastAsiaTheme="minorEastAsia"/>
                      <w:b/>
                      <w:bCs/>
                      <w:sz w:val="21"/>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 w:type="pct"/>
                  <w:tcBorders>
                    <w:tl2br w:val="nil"/>
                    <w:tr2bl w:val="nil"/>
                  </w:tcBorders>
                  <w:vAlign w:val="center"/>
                </w:tcPr>
                <w:p>
                  <w:pPr>
                    <w:jc w:val="center"/>
                    <w:rPr>
                      <w:szCs w:val="21"/>
                    </w:rPr>
                  </w:pPr>
                  <w:r>
                    <w:rPr>
                      <w:rFonts w:hint="eastAsia"/>
                      <w:szCs w:val="21"/>
                    </w:rPr>
                    <w:t>搅拌、分装、储罐呼吸废气</w:t>
                  </w:r>
                </w:p>
              </w:tc>
              <w:tc>
                <w:tcPr>
                  <w:tcW w:w="500" w:type="pct"/>
                  <w:tcBorders>
                    <w:tl2br w:val="nil"/>
                    <w:tr2bl w:val="nil"/>
                  </w:tcBorders>
                  <w:vAlign w:val="center"/>
                </w:tcPr>
                <w:p>
                  <w:pPr>
                    <w:pStyle w:val="69"/>
                    <w:rPr>
                      <w:rFonts w:eastAsiaTheme="minorEastAsia"/>
                      <w:sz w:val="21"/>
                      <w:szCs w:val="21"/>
                    </w:rPr>
                  </w:pPr>
                  <w:r>
                    <w:rPr>
                      <w:rFonts w:eastAsiaTheme="minorEastAsia"/>
                      <w:sz w:val="21"/>
                      <w:szCs w:val="21"/>
                    </w:rPr>
                    <w:t>非甲烷总烃</w:t>
                  </w:r>
                </w:p>
              </w:tc>
              <w:tc>
                <w:tcPr>
                  <w:tcW w:w="499" w:type="pct"/>
                  <w:tcBorders>
                    <w:tl2br w:val="nil"/>
                    <w:tr2bl w:val="nil"/>
                  </w:tcBorders>
                  <w:vAlign w:val="center"/>
                </w:tcPr>
                <w:p>
                  <w:pPr>
                    <w:pStyle w:val="69"/>
                    <w:rPr>
                      <w:rFonts w:eastAsiaTheme="minorEastAsia"/>
                      <w:sz w:val="21"/>
                      <w:szCs w:val="21"/>
                    </w:rPr>
                  </w:pPr>
                  <w:r>
                    <w:rPr>
                      <w:rFonts w:hint="eastAsia" w:eastAsiaTheme="minorEastAsia"/>
                      <w:sz w:val="21"/>
                      <w:szCs w:val="21"/>
                    </w:rPr>
                    <w:t>0.408</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0.388</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0.173</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34.61</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0.078</w:t>
                  </w:r>
                </w:p>
              </w:tc>
              <w:tc>
                <w:tcPr>
                  <w:tcW w:w="500" w:type="pct"/>
                  <w:tcBorders>
                    <w:tl2br w:val="nil"/>
                    <w:tr2bl w:val="nil"/>
                  </w:tcBorders>
                  <w:vAlign w:val="center"/>
                </w:tcPr>
                <w:p>
                  <w:pPr>
                    <w:pStyle w:val="69"/>
                    <w:rPr>
                      <w:rFonts w:eastAsiaTheme="minorEastAsia"/>
                      <w:sz w:val="21"/>
                      <w:szCs w:val="21"/>
                    </w:rPr>
                  </w:pPr>
                  <w:r>
                    <w:rPr>
                      <w:rFonts w:hint="eastAsia" w:eastAsiaTheme="minorEastAsia"/>
                      <w:sz w:val="21"/>
                      <w:szCs w:val="21"/>
                    </w:rPr>
                    <w:t>0.035</w:t>
                  </w:r>
                </w:p>
              </w:tc>
              <w:tc>
                <w:tcPr>
                  <w:tcW w:w="507" w:type="pct"/>
                  <w:tcBorders>
                    <w:tl2br w:val="nil"/>
                    <w:tr2bl w:val="nil"/>
                  </w:tcBorders>
                  <w:vAlign w:val="center"/>
                </w:tcPr>
                <w:p>
                  <w:pPr>
                    <w:pStyle w:val="69"/>
                    <w:rPr>
                      <w:rFonts w:eastAsiaTheme="minorEastAsia"/>
                      <w:sz w:val="21"/>
                      <w:szCs w:val="21"/>
                    </w:rPr>
                  </w:pPr>
                  <w:r>
                    <w:rPr>
                      <w:rFonts w:hint="eastAsia" w:eastAsiaTheme="minorEastAsia"/>
                      <w:sz w:val="21"/>
                      <w:szCs w:val="21"/>
                    </w:rPr>
                    <w:t>6.921</w:t>
                  </w:r>
                </w:p>
              </w:tc>
              <w:tc>
                <w:tcPr>
                  <w:tcW w:w="494" w:type="pct"/>
                  <w:tcBorders>
                    <w:tl2br w:val="nil"/>
                    <w:tr2bl w:val="nil"/>
                  </w:tcBorders>
                  <w:vAlign w:val="center"/>
                </w:tcPr>
                <w:p>
                  <w:pPr>
                    <w:pStyle w:val="69"/>
                    <w:rPr>
                      <w:rFonts w:eastAsiaTheme="minorEastAsia"/>
                      <w:sz w:val="21"/>
                      <w:szCs w:val="21"/>
                    </w:rPr>
                  </w:pPr>
                  <w:r>
                    <w:rPr>
                      <w:rFonts w:hint="eastAsia" w:eastAsiaTheme="minorEastAsia"/>
                      <w:sz w:val="21"/>
                      <w:szCs w:val="21"/>
                    </w:rPr>
                    <w:t>0.020</w:t>
                  </w:r>
                </w:p>
              </w:tc>
            </w:tr>
          </w:tbl>
          <w:p>
            <w:pPr>
              <w:pStyle w:val="2"/>
              <w:spacing w:line="360" w:lineRule="auto"/>
              <w:ind w:firstLine="482" w:firstLineChars="200"/>
              <w:jc w:val="both"/>
              <w:rPr>
                <w:rFonts w:ascii="Times New Roman" w:cs="Times New Roman"/>
                <w:b/>
                <w:bCs/>
                <w:color w:val="auto"/>
              </w:rPr>
            </w:pPr>
            <w:r>
              <w:rPr>
                <w:rFonts w:hint="eastAsia" w:ascii="Times New Roman" w:cs="Times New Roman"/>
                <w:b/>
                <w:bCs/>
                <w:color w:val="auto"/>
              </w:rPr>
              <w:t>（5）食堂油烟</w:t>
            </w:r>
          </w:p>
          <w:p>
            <w:pPr>
              <w:adjustRightInd w:val="0"/>
              <w:snapToGrid w:val="0"/>
              <w:spacing w:line="360" w:lineRule="auto"/>
              <w:ind w:firstLine="480" w:firstLineChars="200"/>
              <w:rPr>
                <w:bCs/>
                <w:sz w:val="24"/>
              </w:rPr>
            </w:pPr>
            <w:r>
              <w:rPr>
                <w:rFonts w:hint="eastAsia" w:hAnsiTheme="majorEastAsia" w:eastAsiaTheme="majorEastAsia"/>
                <w:kern w:val="0"/>
                <w:sz w:val="24"/>
              </w:rPr>
              <w:t>项目劳动定员150</w:t>
            </w:r>
            <w:r>
              <w:rPr>
                <w:rFonts w:eastAsiaTheme="majorEastAsia"/>
                <w:kern w:val="0"/>
                <w:sz w:val="24"/>
              </w:rPr>
              <w:t>人，均</w:t>
            </w:r>
            <w:r>
              <w:rPr>
                <w:sz w:val="24"/>
              </w:rPr>
              <w:t>在厂区用餐</w:t>
            </w:r>
            <w:r>
              <w:rPr>
                <w:bCs/>
                <w:sz w:val="24"/>
              </w:rPr>
              <w:t>。一般食堂的食用油耗油系数为3kg/100人·d，则其一天的食用油的用量约为</w:t>
            </w:r>
            <w:r>
              <w:rPr>
                <w:rFonts w:hint="eastAsia"/>
                <w:bCs/>
                <w:sz w:val="24"/>
              </w:rPr>
              <w:t>4.5</w:t>
            </w:r>
            <w:r>
              <w:rPr>
                <w:bCs/>
                <w:sz w:val="24"/>
              </w:rPr>
              <w:t>kg，油烟和油的挥发量占总耗油量的2%～4%之间，取其均值3%，则油烟的产生量约为</w:t>
            </w:r>
            <w:r>
              <w:rPr>
                <w:rFonts w:hint="eastAsia"/>
                <w:bCs/>
                <w:sz w:val="24"/>
              </w:rPr>
              <w:t>37.8</w:t>
            </w:r>
            <w:r>
              <w:rPr>
                <w:bCs/>
                <w:sz w:val="24"/>
              </w:rPr>
              <w:t>kg/a，建议项目在厨房安装油烟净化器（净化效率不小于</w:t>
            </w:r>
            <w:r>
              <w:rPr>
                <w:rFonts w:hint="eastAsia"/>
                <w:bCs/>
                <w:sz w:val="24"/>
              </w:rPr>
              <w:t>85</w:t>
            </w:r>
            <w:r>
              <w:rPr>
                <w:bCs/>
                <w:sz w:val="24"/>
              </w:rPr>
              <w:t>%），厨房油烟经净化器过滤后由风机和排气管引至建筑物楼面高空排放。项目设置</w:t>
            </w:r>
            <w:r>
              <w:rPr>
                <w:rFonts w:hint="eastAsia"/>
                <w:bCs/>
                <w:sz w:val="24"/>
              </w:rPr>
              <w:t>5</w:t>
            </w:r>
            <w:r>
              <w:rPr>
                <w:sz w:val="24"/>
              </w:rPr>
              <w:t>个基准灶头数，</w:t>
            </w:r>
            <w:r>
              <w:rPr>
                <w:bCs/>
                <w:sz w:val="24"/>
              </w:rPr>
              <w:t>风机总风量为</w:t>
            </w:r>
            <w:r>
              <w:rPr>
                <w:rFonts w:hint="eastAsia"/>
                <w:bCs/>
                <w:sz w:val="24"/>
              </w:rPr>
              <w:t>10</w:t>
            </w:r>
            <w:r>
              <w:rPr>
                <w:bCs/>
                <w:sz w:val="24"/>
              </w:rPr>
              <w:t>00</w:t>
            </w:r>
            <w:r>
              <w:rPr>
                <w:rFonts w:hint="eastAsia"/>
                <w:bCs/>
                <w:sz w:val="24"/>
              </w:rPr>
              <w:t>0</w:t>
            </w:r>
            <w:r>
              <w:rPr>
                <w:bCs/>
                <w:sz w:val="24"/>
              </w:rPr>
              <w:t>m</w:t>
            </w:r>
            <w:r>
              <w:rPr>
                <w:rFonts w:hint="eastAsia"/>
                <w:bCs/>
                <w:sz w:val="24"/>
                <w:vertAlign w:val="superscript"/>
              </w:rPr>
              <w:t>3</w:t>
            </w:r>
            <w:r>
              <w:rPr>
                <w:bCs/>
                <w:sz w:val="24"/>
              </w:rPr>
              <w:t>/h，平均每天使用</w:t>
            </w:r>
            <w:r>
              <w:rPr>
                <w:rFonts w:hint="eastAsia"/>
                <w:bCs/>
                <w:sz w:val="24"/>
              </w:rPr>
              <w:t>4</w:t>
            </w:r>
            <w:r>
              <w:rPr>
                <w:bCs/>
                <w:sz w:val="24"/>
              </w:rPr>
              <w:t>小时，工作时间</w:t>
            </w:r>
            <w:r>
              <w:rPr>
                <w:rFonts w:hint="eastAsia"/>
                <w:bCs/>
                <w:sz w:val="24"/>
              </w:rPr>
              <w:t>280</w:t>
            </w:r>
            <w:r>
              <w:rPr>
                <w:bCs/>
                <w:sz w:val="24"/>
              </w:rPr>
              <w:t>天，则风机风量为</w:t>
            </w:r>
            <w:r>
              <w:rPr>
                <w:rFonts w:hint="eastAsia"/>
                <w:bCs/>
                <w:sz w:val="24"/>
              </w:rPr>
              <w:t>1.12</w:t>
            </w:r>
            <w:r>
              <w:rPr>
                <w:sz w:val="24"/>
              </w:rPr>
              <w:t>×10</w:t>
            </w:r>
            <w:r>
              <w:rPr>
                <w:rFonts w:hint="eastAsia"/>
                <w:sz w:val="24"/>
                <w:vertAlign w:val="superscript"/>
              </w:rPr>
              <w:t>7</w:t>
            </w:r>
            <w:r>
              <w:rPr>
                <w:sz w:val="24"/>
              </w:rPr>
              <w:t>m</w:t>
            </w:r>
            <w:r>
              <w:rPr>
                <w:rFonts w:hint="eastAsia"/>
                <w:sz w:val="24"/>
                <w:vertAlign w:val="superscript"/>
              </w:rPr>
              <w:t>3</w:t>
            </w:r>
            <w:r>
              <w:rPr>
                <w:sz w:val="24"/>
              </w:rPr>
              <w:t>/a，油烟产生浓度为</w:t>
            </w:r>
            <w:r>
              <w:rPr>
                <w:rFonts w:hint="eastAsia"/>
                <w:sz w:val="24"/>
              </w:rPr>
              <w:t>3.375</w:t>
            </w:r>
            <w:r>
              <w:rPr>
                <w:sz w:val="24"/>
              </w:rPr>
              <w:t>mg/m</w:t>
            </w:r>
            <w:r>
              <w:rPr>
                <w:sz w:val="24"/>
                <w:vertAlign w:val="superscript"/>
              </w:rPr>
              <w:t>3</w:t>
            </w:r>
            <w:r>
              <w:rPr>
                <w:bCs/>
                <w:sz w:val="24"/>
              </w:rPr>
              <w:t>，排放浓度约为</w:t>
            </w:r>
            <w:r>
              <w:rPr>
                <w:rFonts w:hint="eastAsia"/>
                <w:bCs/>
                <w:sz w:val="24"/>
              </w:rPr>
              <w:t>0.51</w:t>
            </w:r>
            <w:r>
              <w:rPr>
                <w:bCs/>
                <w:sz w:val="24"/>
              </w:rPr>
              <w:t>mg/m</w:t>
            </w:r>
            <w:r>
              <w:rPr>
                <w:bCs/>
                <w:sz w:val="24"/>
                <w:vertAlign w:val="superscript"/>
              </w:rPr>
              <w:t>3</w:t>
            </w:r>
            <w:r>
              <w:rPr>
                <w:bCs/>
                <w:sz w:val="24"/>
              </w:rPr>
              <w:t>，排放量约为</w:t>
            </w:r>
            <w:r>
              <w:rPr>
                <w:rFonts w:hint="eastAsia"/>
                <w:bCs/>
                <w:sz w:val="24"/>
              </w:rPr>
              <w:t>5.67</w:t>
            </w:r>
            <w:r>
              <w:rPr>
                <w:bCs/>
                <w:sz w:val="24"/>
              </w:rPr>
              <w:t>kg/a。</w:t>
            </w:r>
          </w:p>
          <w:p>
            <w:pPr>
              <w:pStyle w:val="2"/>
              <w:spacing w:line="360" w:lineRule="auto"/>
              <w:ind w:firstLine="482" w:firstLineChars="200"/>
              <w:jc w:val="both"/>
              <w:rPr>
                <w:rFonts w:ascii="Times New Roman" w:cs="Times New Roman"/>
                <w:b/>
                <w:bCs/>
                <w:color w:val="auto"/>
              </w:rPr>
            </w:pPr>
            <w:r>
              <w:rPr>
                <w:rFonts w:hint="eastAsia" w:ascii="Times New Roman" w:cs="Times New Roman"/>
                <w:b/>
                <w:bCs/>
                <w:color w:val="auto"/>
              </w:rPr>
              <w:t>（6）运输车辆尾气</w:t>
            </w:r>
          </w:p>
          <w:p>
            <w:pPr>
              <w:autoSpaceDE w:val="0"/>
              <w:autoSpaceDN w:val="0"/>
              <w:adjustRightInd w:val="0"/>
              <w:spacing w:line="360" w:lineRule="auto"/>
              <w:ind w:firstLine="480" w:firstLineChars="200"/>
              <w:rPr>
                <w:rFonts w:eastAsiaTheme="majorEastAsia"/>
                <w:b/>
                <w:bCs/>
                <w:sz w:val="24"/>
              </w:rPr>
            </w:pPr>
            <w:r>
              <w:rPr>
                <w:rFonts w:hint="eastAsia" w:hAnsiTheme="majorEastAsia" w:eastAsiaTheme="majorEastAsia"/>
                <w:kern w:val="0"/>
                <w:sz w:val="24"/>
              </w:rPr>
              <w:t>本项目原料进厂、产品出厂均采用汽车运输方式，汽车进出厂区排放的大气污染物主要为NO、CO、HC，运输车辆尾气经露天分散扩散后，对周围环境影响较小。</w:t>
            </w:r>
          </w:p>
          <w:p>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2、大气污染物排放量核算</w:t>
            </w:r>
          </w:p>
          <w:p>
            <w:pPr>
              <w:pStyle w:val="2"/>
              <w:spacing w:line="360" w:lineRule="auto"/>
              <w:ind w:firstLine="480" w:firstLineChars="200"/>
              <w:jc w:val="both"/>
              <w:rPr>
                <w:rFonts w:ascii="Times New Roman" w:cs="Times New Roman"/>
                <w:color w:val="auto"/>
              </w:rPr>
            </w:pPr>
            <w:r>
              <w:rPr>
                <w:rFonts w:hint="eastAsia" w:ascii="Times New Roman" w:cs="Times New Roman"/>
                <w:color w:val="auto"/>
              </w:rPr>
              <w:t>项目有组织排放量核算表见下表：</w:t>
            </w:r>
          </w:p>
          <w:p>
            <w:pPr>
              <w:spacing w:beforeLines="50"/>
              <w:jc w:val="center"/>
              <w:rPr>
                <w:b/>
                <w:szCs w:val="21"/>
              </w:rPr>
            </w:pPr>
            <w:r>
              <w:rPr>
                <w:rFonts w:hint="eastAsia"/>
                <w:b/>
                <w:szCs w:val="21"/>
              </w:rPr>
              <w:t>表4-5  大气污染物有组织排放量核算表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5"/>
              <w:gridCol w:w="1255"/>
              <w:gridCol w:w="1960"/>
              <w:gridCol w:w="1345"/>
              <w:gridCol w:w="1349"/>
              <w:gridCol w:w="1347"/>
              <w:gridCol w:w="13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Align w:val="center"/>
                </w:tcPr>
                <w:p>
                  <w:pPr>
                    <w:pStyle w:val="2"/>
                    <w:jc w:val="center"/>
                    <w:rPr>
                      <w:rFonts w:ascii="Times New Roman" w:cs="Times New Roman"/>
                      <w:b/>
                      <w:color w:val="auto"/>
                      <w:sz w:val="21"/>
                      <w:szCs w:val="21"/>
                    </w:rPr>
                  </w:pPr>
                  <w:r>
                    <w:rPr>
                      <w:rFonts w:ascii="Times New Roman" w:cs="Times New Roman"/>
                      <w:b/>
                      <w:color w:val="auto"/>
                      <w:sz w:val="21"/>
                      <w:szCs w:val="21"/>
                    </w:rPr>
                    <w:t>序号</w:t>
                  </w:r>
                </w:p>
              </w:tc>
              <w:tc>
                <w:tcPr>
                  <w:tcW w:w="666" w:type="pct"/>
                  <w:vAlign w:val="center"/>
                </w:tcPr>
                <w:p>
                  <w:pPr>
                    <w:pStyle w:val="2"/>
                    <w:jc w:val="center"/>
                    <w:rPr>
                      <w:rFonts w:ascii="Times New Roman" w:cs="Times New Roman"/>
                      <w:b/>
                      <w:color w:val="auto"/>
                      <w:sz w:val="21"/>
                      <w:szCs w:val="21"/>
                    </w:rPr>
                  </w:pPr>
                  <w:r>
                    <w:rPr>
                      <w:rFonts w:ascii="Times New Roman" w:cs="Times New Roman"/>
                      <w:b/>
                      <w:color w:val="auto"/>
                      <w:sz w:val="21"/>
                      <w:szCs w:val="21"/>
                    </w:rPr>
                    <w:t>排放口编号</w:t>
                  </w:r>
                </w:p>
              </w:tc>
              <w:tc>
                <w:tcPr>
                  <w:tcW w:w="1040" w:type="pct"/>
                  <w:vAlign w:val="center"/>
                </w:tcPr>
                <w:p>
                  <w:pPr>
                    <w:pStyle w:val="2"/>
                    <w:jc w:val="center"/>
                    <w:rPr>
                      <w:rFonts w:ascii="Times New Roman" w:cs="Times New Roman"/>
                      <w:b/>
                      <w:color w:val="auto"/>
                      <w:sz w:val="21"/>
                      <w:szCs w:val="21"/>
                    </w:rPr>
                  </w:pPr>
                  <w:r>
                    <w:rPr>
                      <w:rFonts w:ascii="Times New Roman" w:cs="Times New Roman"/>
                      <w:b/>
                      <w:color w:val="auto"/>
                      <w:sz w:val="21"/>
                      <w:szCs w:val="21"/>
                    </w:rPr>
                    <w:t>产污环节</w:t>
                  </w:r>
                </w:p>
              </w:tc>
              <w:tc>
                <w:tcPr>
                  <w:tcW w:w="714" w:type="pct"/>
                  <w:vAlign w:val="center"/>
                </w:tcPr>
                <w:p>
                  <w:pPr>
                    <w:pStyle w:val="2"/>
                    <w:jc w:val="center"/>
                    <w:rPr>
                      <w:rFonts w:ascii="Times New Roman" w:cs="Times New Roman"/>
                      <w:b/>
                      <w:color w:val="auto"/>
                      <w:sz w:val="21"/>
                      <w:szCs w:val="21"/>
                    </w:rPr>
                  </w:pPr>
                  <w:r>
                    <w:rPr>
                      <w:rFonts w:ascii="Times New Roman" w:cs="Times New Roman"/>
                      <w:b/>
                      <w:color w:val="auto"/>
                      <w:sz w:val="21"/>
                      <w:szCs w:val="21"/>
                    </w:rPr>
                    <w:t>污染物</w:t>
                  </w:r>
                </w:p>
              </w:tc>
              <w:tc>
                <w:tcPr>
                  <w:tcW w:w="716" w:type="pct"/>
                  <w:vAlign w:val="center"/>
                </w:tcPr>
                <w:p>
                  <w:pPr>
                    <w:pStyle w:val="2"/>
                    <w:jc w:val="center"/>
                    <w:rPr>
                      <w:rFonts w:ascii="Times New Roman" w:cs="Times New Roman"/>
                      <w:b/>
                      <w:color w:val="auto"/>
                      <w:sz w:val="21"/>
                      <w:szCs w:val="21"/>
                    </w:rPr>
                  </w:pPr>
                  <w:r>
                    <w:rPr>
                      <w:rFonts w:ascii="Times New Roman" w:cs="Times New Roman"/>
                      <w:b/>
                      <w:color w:val="auto"/>
                      <w:sz w:val="21"/>
                      <w:szCs w:val="21"/>
                    </w:rPr>
                    <w:t>核算排放浓度（</w:t>
                  </w:r>
                  <w:r>
                    <w:rPr>
                      <w:rFonts w:hint="eastAsia" w:ascii="Times New Roman" w:cs="Times New Roman"/>
                      <w:b/>
                      <w:color w:val="auto"/>
                      <w:sz w:val="21"/>
                      <w:szCs w:val="21"/>
                    </w:rPr>
                    <w:t>mg/m</w:t>
                  </w:r>
                  <w:r>
                    <w:rPr>
                      <w:rFonts w:hint="eastAsia" w:ascii="Times New Roman" w:cs="Times New Roman"/>
                      <w:b/>
                      <w:color w:val="auto"/>
                      <w:sz w:val="21"/>
                      <w:szCs w:val="21"/>
                      <w:vertAlign w:val="superscript"/>
                    </w:rPr>
                    <w:t>3</w:t>
                  </w:r>
                  <w:r>
                    <w:rPr>
                      <w:rFonts w:ascii="Times New Roman" w:cs="Times New Roman"/>
                      <w:b/>
                      <w:color w:val="auto"/>
                      <w:sz w:val="21"/>
                      <w:szCs w:val="21"/>
                    </w:rPr>
                    <w:t>）</w:t>
                  </w:r>
                </w:p>
              </w:tc>
              <w:tc>
                <w:tcPr>
                  <w:tcW w:w="715" w:type="pct"/>
                  <w:vAlign w:val="center"/>
                </w:tcPr>
                <w:p>
                  <w:pPr>
                    <w:pStyle w:val="2"/>
                    <w:jc w:val="center"/>
                    <w:rPr>
                      <w:rFonts w:ascii="Times New Roman" w:cs="Times New Roman"/>
                      <w:b/>
                      <w:color w:val="auto"/>
                      <w:sz w:val="21"/>
                      <w:szCs w:val="21"/>
                    </w:rPr>
                  </w:pPr>
                  <w:r>
                    <w:rPr>
                      <w:rFonts w:ascii="Times New Roman" w:cs="Times New Roman"/>
                      <w:b/>
                      <w:color w:val="auto"/>
                      <w:sz w:val="21"/>
                      <w:szCs w:val="21"/>
                    </w:rPr>
                    <w:t>核算排放速率（</w:t>
                  </w:r>
                  <w:r>
                    <w:rPr>
                      <w:rFonts w:hint="eastAsia" w:ascii="Times New Roman" w:cs="Times New Roman"/>
                      <w:b/>
                      <w:color w:val="auto"/>
                      <w:sz w:val="21"/>
                      <w:szCs w:val="21"/>
                    </w:rPr>
                    <w:t>kg/h</w:t>
                  </w:r>
                  <w:r>
                    <w:rPr>
                      <w:rFonts w:ascii="Times New Roman" w:cs="Times New Roman"/>
                      <w:b/>
                      <w:color w:val="auto"/>
                      <w:sz w:val="21"/>
                      <w:szCs w:val="21"/>
                    </w:rPr>
                    <w:t>）</w:t>
                  </w:r>
                </w:p>
              </w:tc>
              <w:tc>
                <w:tcPr>
                  <w:tcW w:w="711" w:type="pct"/>
                  <w:vAlign w:val="center"/>
                </w:tcPr>
                <w:p>
                  <w:pPr>
                    <w:pStyle w:val="2"/>
                    <w:jc w:val="center"/>
                    <w:rPr>
                      <w:rFonts w:ascii="Times New Roman" w:cs="Times New Roman"/>
                      <w:b/>
                      <w:color w:val="auto"/>
                      <w:sz w:val="21"/>
                      <w:szCs w:val="21"/>
                    </w:rPr>
                  </w:pPr>
                  <w:r>
                    <w:rPr>
                      <w:rFonts w:ascii="Times New Roman" w:cs="Times New Roman"/>
                      <w:b/>
                      <w:color w:val="auto"/>
                      <w:sz w:val="21"/>
                      <w:szCs w:val="21"/>
                    </w:rPr>
                    <w:t>核算年排放量</w:t>
                  </w:r>
                  <w:r>
                    <w:rPr>
                      <w:rFonts w:hint="eastAsia" w:ascii="Times New Roman" w:cs="Times New Roman"/>
                      <w:b/>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7"/>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1</w:t>
                  </w:r>
                </w:p>
              </w:tc>
              <w:tc>
                <w:tcPr>
                  <w:tcW w:w="666"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DA001</w:t>
                  </w:r>
                </w:p>
              </w:tc>
              <w:tc>
                <w:tcPr>
                  <w:tcW w:w="1040" w:type="pct"/>
                  <w:vAlign w:val="center"/>
                </w:tcPr>
                <w:p>
                  <w:pPr>
                    <w:jc w:val="center"/>
                    <w:rPr>
                      <w:szCs w:val="21"/>
                    </w:rPr>
                  </w:pPr>
                  <w:r>
                    <w:rPr>
                      <w:rFonts w:eastAsiaTheme="minorEastAsia"/>
                      <w:szCs w:val="21"/>
                    </w:rPr>
                    <w:t>投料粉尘</w:t>
                  </w:r>
                </w:p>
              </w:tc>
              <w:tc>
                <w:tcPr>
                  <w:tcW w:w="714" w:type="pct"/>
                  <w:vAlign w:val="center"/>
                </w:tcPr>
                <w:p>
                  <w:pPr>
                    <w:pStyle w:val="69"/>
                    <w:rPr>
                      <w:rFonts w:eastAsiaTheme="minorEastAsia"/>
                      <w:sz w:val="21"/>
                      <w:szCs w:val="21"/>
                    </w:rPr>
                  </w:pPr>
                  <w:r>
                    <w:rPr>
                      <w:rFonts w:eastAsiaTheme="minorEastAsia"/>
                      <w:sz w:val="21"/>
                      <w:szCs w:val="21"/>
                    </w:rPr>
                    <w:t>颗粒物</w:t>
                  </w:r>
                </w:p>
              </w:tc>
              <w:tc>
                <w:tcPr>
                  <w:tcW w:w="71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0.183</w:t>
                  </w:r>
                </w:p>
              </w:tc>
              <w:tc>
                <w:tcPr>
                  <w:tcW w:w="71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0.003</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Merge w:val="continue"/>
                  <w:vAlign w:val="center"/>
                </w:tcPr>
                <w:p>
                  <w:pPr>
                    <w:pStyle w:val="2"/>
                    <w:jc w:val="center"/>
                    <w:rPr>
                      <w:rFonts w:ascii="Times New Roman" w:cs="Times New Roman"/>
                      <w:color w:val="auto"/>
                      <w:sz w:val="21"/>
                      <w:szCs w:val="21"/>
                    </w:rPr>
                  </w:pPr>
                </w:p>
              </w:tc>
              <w:tc>
                <w:tcPr>
                  <w:tcW w:w="666" w:type="pct"/>
                  <w:vMerge w:val="continue"/>
                  <w:vAlign w:val="center"/>
                </w:tcPr>
                <w:p>
                  <w:pPr>
                    <w:pStyle w:val="2"/>
                    <w:jc w:val="center"/>
                    <w:rPr>
                      <w:rFonts w:ascii="Times New Roman" w:cs="Times New Roman"/>
                      <w:color w:val="auto"/>
                      <w:sz w:val="21"/>
                      <w:szCs w:val="21"/>
                    </w:rPr>
                  </w:pPr>
                </w:p>
              </w:tc>
              <w:tc>
                <w:tcPr>
                  <w:tcW w:w="1040" w:type="pct"/>
                  <w:vMerge w:val="restart"/>
                  <w:vAlign w:val="center"/>
                </w:tcPr>
                <w:p>
                  <w:pPr>
                    <w:jc w:val="center"/>
                    <w:rPr>
                      <w:szCs w:val="21"/>
                    </w:rPr>
                  </w:pPr>
                  <w:r>
                    <w:rPr>
                      <w:rFonts w:hint="eastAsia"/>
                      <w:szCs w:val="21"/>
                    </w:rPr>
                    <w:t>投料、搅拌、分装、储罐呼吸废气</w:t>
                  </w:r>
                </w:p>
              </w:tc>
              <w:tc>
                <w:tcPr>
                  <w:tcW w:w="714" w:type="pct"/>
                  <w:vAlign w:val="center"/>
                </w:tcPr>
                <w:p>
                  <w:pPr>
                    <w:pStyle w:val="69"/>
                    <w:rPr>
                      <w:rFonts w:eastAsiaTheme="minorEastAsia"/>
                      <w:sz w:val="21"/>
                      <w:szCs w:val="21"/>
                    </w:rPr>
                  </w:pPr>
                  <w:r>
                    <w:rPr>
                      <w:rFonts w:eastAsiaTheme="minorEastAsia"/>
                      <w:sz w:val="21"/>
                      <w:szCs w:val="21"/>
                    </w:rPr>
                    <w:t>非甲烷总烃</w:t>
                  </w:r>
                </w:p>
              </w:tc>
              <w:tc>
                <w:tcPr>
                  <w:tcW w:w="71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2.18</w:t>
                  </w:r>
                </w:p>
              </w:tc>
              <w:tc>
                <w:tcPr>
                  <w:tcW w:w="71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0.033</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Merge w:val="continue"/>
                  <w:vAlign w:val="center"/>
                </w:tcPr>
                <w:p>
                  <w:pPr>
                    <w:pStyle w:val="2"/>
                    <w:jc w:val="center"/>
                    <w:rPr>
                      <w:rFonts w:ascii="Times New Roman" w:cs="Times New Roman"/>
                      <w:color w:val="auto"/>
                      <w:sz w:val="21"/>
                      <w:szCs w:val="21"/>
                    </w:rPr>
                  </w:pPr>
                </w:p>
              </w:tc>
              <w:tc>
                <w:tcPr>
                  <w:tcW w:w="666" w:type="pct"/>
                  <w:vMerge w:val="continue"/>
                  <w:vAlign w:val="center"/>
                </w:tcPr>
                <w:p>
                  <w:pPr>
                    <w:pStyle w:val="2"/>
                    <w:jc w:val="center"/>
                    <w:rPr>
                      <w:rFonts w:ascii="Times New Roman" w:cs="Times New Roman"/>
                      <w:color w:val="auto"/>
                      <w:sz w:val="21"/>
                      <w:szCs w:val="21"/>
                    </w:rPr>
                  </w:pPr>
                </w:p>
              </w:tc>
              <w:tc>
                <w:tcPr>
                  <w:tcW w:w="1040" w:type="pct"/>
                  <w:vMerge w:val="continue"/>
                  <w:vAlign w:val="center"/>
                </w:tcPr>
                <w:p>
                  <w:pPr>
                    <w:pStyle w:val="2"/>
                    <w:jc w:val="center"/>
                    <w:rPr>
                      <w:rFonts w:ascii="Times New Roman" w:cs="Times New Roman"/>
                      <w:color w:val="auto"/>
                      <w:sz w:val="21"/>
                      <w:szCs w:val="21"/>
                    </w:rPr>
                  </w:pPr>
                </w:p>
              </w:tc>
              <w:tc>
                <w:tcPr>
                  <w:tcW w:w="714" w:type="pct"/>
                  <w:vAlign w:val="center"/>
                </w:tcPr>
                <w:p>
                  <w:pPr>
                    <w:pStyle w:val="2"/>
                    <w:jc w:val="center"/>
                    <w:rPr>
                      <w:rFonts w:ascii="Times New Roman" w:cs="Times New Roman"/>
                      <w:color w:val="auto"/>
                      <w:sz w:val="21"/>
                      <w:szCs w:val="21"/>
                    </w:rPr>
                  </w:pPr>
                  <w:r>
                    <w:rPr>
                      <w:rFonts w:ascii="Times New Roman" w:cs="Times New Roman"/>
                      <w:color w:val="auto"/>
                      <w:sz w:val="21"/>
                      <w:szCs w:val="21"/>
                    </w:rPr>
                    <w:t>臭气浓度</w:t>
                  </w:r>
                </w:p>
              </w:tc>
              <w:tc>
                <w:tcPr>
                  <w:tcW w:w="716" w:type="pct"/>
                  <w:vAlign w:val="center"/>
                </w:tcPr>
                <w:p>
                  <w:pPr>
                    <w:pStyle w:val="2"/>
                    <w:jc w:val="center"/>
                    <w:rPr>
                      <w:rFonts w:ascii="Times New Roman" w:cs="Times New Roman"/>
                      <w:color w:val="auto"/>
                      <w:sz w:val="21"/>
                      <w:szCs w:val="21"/>
                    </w:rPr>
                  </w:pPr>
                  <w:r>
                    <w:rPr>
                      <w:rFonts w:ascii="Times New Roman" w:cs="Times New Roman"/>
                      <w:color w:val="auto"/>
                      <w:sz w:val="21"/>
                      <w:szCs w:val="21"/>
                    </w:rPr>
                    <w:t>≤</w:t>
                  </w:r>
                  <w:r>
                    <w:rPr>
                      <w:rFonts w:hint="eastAsia" w:ascii="Times New Roman" w:cs="Times New Roman"/>
                      <w:color w:val="auto"/>
                      <w:sz w:val="21"/>
                      <w:szCs w:val="21"/>
                    </w:rPr>
                    <w:t>15000（无量纲）</w:t>
                  </w:r>
                </w:p>
              </w:tc>
              <w:tc>
                <w:tcPr>
                  <w:tcW w:w="71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2</w:t>
                  </w:r>
                </w:p>
              </w:tc>
              <w:tc>
                <w:tcPr>
                  <w:tcW w:w="666"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DA002</w:t>
                  </w:r>
                </w:p>
              </w:tc>
              <w:tc>
                <w:tcPr>
                  <w:tcW w:w="1040" w:type="pct"/>
                  <w:vMerge w:val="restart"/>
                  <w:vAlign w:val="center"/>
                </w:tcPr>
                <w:p>
                  <w:pPr>
                    <w:jc w:val="center"/>
                    <w:rPr>
                      <w:szCs w:val="21"/>
                    </w:rPr>
                  </w:pPr>
                  <w:r>
                    <w:rPr>
                      <w:rFonts w:hint="eastAsia"/>
                      <w:szCs w:val="21"/>
                    </w:rPr>
                    <w:t>搅拌、分装、储罐呼吸废气</w:t>
                  </w:r>
                </w:p>
              </w:tc>
              <w:tc>
                <w:tcPr>
                  <w:tcW w:w="714" w:type="pct"/>
                  <w:vAlign w:val="center"/>
                </w:tcPr>
                <w:p>
                  <w:pPr>
                    <w:pStyle w:val="69"/>
                    <w:rPr>
                      <w:rFonts w:eastAsiaTheme="minorEastAsia"/>
                      <w:sz w:val="21"/>
                      <w:szCs w:val="21"/>
                    </w:rPr>
                  </w:pPr>
                  <w:r>
                    <w:rPr>
                      <w:rFonts w:eastAsiaTheme="minorEastAsia"/>
                      <w:sz w:val="21"/>
                      <w:szCs w:val="21"/>
                    </w:rPr>
                    <w:t>非甲烷总烃</w:t>
                  </w:r>
                </w:p>
              </w:tc>
              <w:tc>
                <w:tcPr>
                  <w:tcW w:w="71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3.393</w:t>
                  </w:r>
                </w:p>
              </w:tc>
              <w:tc>
                <w:tcPr>
                  <w:tcW w:w="71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0.017</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Merge w:val="continue"/>
                  <w:vAlign w:val="center"/>
                </w:tcPr>
                <w:p>
                  <w:pPr>
                    <w:pStyle w:val="2"/>
                    <w:jc w:val="center"/>
                    <w:rPr>
                      <w:rFonts w:ascii="Times New Roman" w:cs="Times New Roman"/>
                      <w:color w:val="auto"/>
                      <w:sz w:val="21"/>
                      <w:szCs w:val="21"/>
                    </w:rPr>
                  </w:pPr>
                </w:p>
              </w:tc>
              <w:tc>
                <w:tcPr>
                  <w:tcW w:w="666" w:type="pct"/>
                  <w:vMerge w:val="continue"/>
                  <w:vAlign w:val="center"/>
                </w:tcPr>
                <w:p>
                  <w:pPr>
                    <w:pStyle w:val="2"/>
                    <w:jc w:val="center"/>
                    <w:rPr>
                      <w:rFonts w:ascii="Times New Roman" w:cs="Times New Roman"/>
                      <w:color w:val="auto"/>
                      <w:sz w:val="21"/>
                      <w:szCs w:val="21"/>
                    </w:rPr>
                  </w:pPr>
                </w:p>
              </w:tc>
              <w:tc>
                <w:tcPr>
                  <w:tcW w:w="1040" w:type="pct"/>
                  <w:vMerge w:val="continue"/>
                  <w:vAlign w:val="center"/>
                </w:tcPr>
                <w:p>
                  <w:pPr>
                    <w:pStyle w:val="2"/>
                    <w:jc w:val="center"/>
                    <w:rPr>
                      <w:rFonts w:ascii="Times New Roman" w:cs="Times New Roman"/>
                      <w:color w:val="auto"/>
                      <w:sz w:val="21"/>
                      <w:szCs w:val="21"/>
                    </w:rPr>
                  </w:pPr>
                </w:p>
              </w:tc>
              <w:tc>
                <w:tcPr>
                  <w:tcW w:w="714" w:type="pct"/>
                  <w:vAlign w:val="center"/>
                </w:tcPr>
                <w:p>
                  <w:pPr>
                    <w:pStyle w:val="2"/>
                    <w:jc w:val="center"/>
                    <w:rPr>
                      <w:rFonts w:ascii="Times New Roman" w:cs="Times New Roman"/>
                      <w:color w:val="auto"/>
                      <w:sz w:val="21"/>
                      <w:szCs w:val="21"/>
                    </w:rPr>
                  </w:pPr>
                  <w:r>
                    <w:rPr>
                      <w:rFonts w:ascii="Times New Roman" w:cs="Times New Roman"/>
                      <w:color w:val="auto"/>
                      <w:sz w:val="21"/>
                      <w:szCs w:val="21"/>
                    </w:rPr>
                    <w:t>臭气浓度</w:t>
                  </w:r>
                </w:p>
              </w:tc>
              <w:tc>
                <w:tcPr>
                  <w:tcW w:w="716" w:type="pct"/>
                  <w:vAlign w:val="center"/>
                </w:tcPr>
                <w:p>
                  <w:pPr>
                    <w:pStyle w:val="2"/>
                    <w:jc w:val="center"/>
                    <w:rPr>
                      <w:rFonts w:ascii="Times New Roman" w:cs="Times New Roman"/>
                      <w:color w:val="auto"/>
                      <w:sz w:val="21"/>
                      <w:szCs w:val="21"/>
                    </w:rPr>
                  </w:pPr>
                  <w:r>
                    <w:rPr>
                      <w:rFonts w:ascii="Times New Roman" w:cs="Times New Roman"/>
                      <w:color w:val="auto"/>
                      <w:sz w:val="21"/>
                      <w:szCs w:val="21"/>
                    </w:rPr>
                    <w:t>≤</w:t>
                  </w:r>
                  <w:r>
                    <w:rPr>
                      <w:rFonts w:hint="eastAsia" w:ascii="Times New Roman" w:cs="Times New Roman"/>
                      <w:color w:val="auto"/>
                      <w:sz w:val="21"/>
                      <w:szCs w:val="21"/>
                    </w:rPr>
                    <w:t>15000（无量纲）</w:t>
                  </w:r>
                </w:p>
              </w:tc>
              <w:tc>
                <w:tcPr>
                  <w:tcW w:w="71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3</w:t>
                  </w:r>
                </w:p>
              </w:tc>
              <w:tc>
                <w:tcPr>
                  <w:tcW w:w="66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DA003</w:t>
                  </w:r>
                </w:p>
              </w:tc>
              <w:tc>
                <w:tcPr>
                  <w:tcW w:w="1040" w:type="pct"/>
                  <w:vAlign w:val="center"/>
                </w:tcPr>
                <w:p>
                  <w:pPr>
                    <w:jc w:val="center"/>
                    <w:rPr>
                      <w:szCs w:val="21"/>
                    </w:rPr>
                  </w:pPr>
                  <w:r>
                    <w:rPr>
                      <w:rFonts w:eastAsiaTheme="minorEastAsia"/>
                      <w:szCs w:val="21"/>
                    </w:rPr>
                    <w:t>投料粉尘</w:t>
                  </w:r>
                </w:p>
              </w:tc>
              <w:tc>
                <w:tcPr>
                  <w:tcW w:w="714" w:type="pct"/>
                  <w:vAlign w:val="center"/>
                </w:tcPr>
                <w:p>
                  <w:pPr>
                    <w:pStyle w:val="69"/>
                    <w:rPr>
                      <w:rFonts w:eastAsiaTheme="minorEastAsia"/>
                      <w:sz w:val="21"/>
                      <w:szCs w:val="21"/>
                    </w:rPr>
                  </w:pPr>
                  <w:r>
                    <w:rPr>
                      <w:rFonts w:eastAsiaTheme="minorEastAsia"/>
                      <w:sz w:val="21"/>
                      <w:szCs w:val="21"/>
                    </w:rPr>
                    <w:t>颗粒物</w:t>
                  </w:r>
                </w:p>
              </w:tc>
              <w:tc>
                <w:tcPr>
                  <w:tcW w:w="71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0.667</w:t>
                  </w:r>
                </w:p>
              </w:tc>
              <w:tc>
                <w:tcPr>
                  <w:tcW w:w="71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0.007</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4</w:t>
                  </w:r>
                </w:p>
              </w:tc>
              <w:tc>
                <w:tcPr>
                  <w:tcW w:w="666"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DA004</w:t>
                  </w:r>
                </w:p>
              </w:tc>
              <w:tc>
                <w:tcPr>
                  <w:tcW w:w="1040" w:type="pct"/>
                  <w:vMerge w:val="restart"/>
                  <w:vAlign w:val="center"/>
                </w:tcPr>
                <w:p>
                  <w:pPr>
                    <w:jc w:val="center"/>
                    <w:rPr>
                      <w:rFonts w:eastAsiaTheme="minorEastAsia"/>
                      <w:szCs w:val="21"/>
                    </w:rPr>
                  </w:pPr>
                  <w:r>
                    <w:rPr>
                      <w:rFonts w:hint="eastAsia"/>
                      <w:szCs w:val="21"/>
                    </w:rPr>
                    <w:t>搅拌、分装、储罐呼吸废气</w:t>
                  </w:r>
                </w:p>
              </w:tc>
              <w:tc>
                <w:tcPr>
                  <w:tcW w:w="714" w:type="pct"/>
                  <w:vAlign w:val="center"/>
                </w:tcPr>
                <w:p>
                  <w:pPr>
                    <w:pStyle w:val="69"/>
                    <w:rPr>
                      <w:rFonts w:eastAsiaTheme="minorEastAsia"/>
                      <w:sz w:val="21"/>
                      <w:szCs w:val="21"/>
                    </w:rPr>
                  </w:pPr>
                  <w:r>
                    <w:rPr>
                      <w:rFonts w:eastAsiaTheme="minorEastAsia"/>
                      <w:sz w:val="21"/>
                      <w:szCs w:val="21"/>
                    </w:rPr>
                    <w:t>非甲烷总烃</w:t>
                  </w:r>
                </w:p>
              </w:tc>
              <w:tc>
                <w:tcPr>
                  <w:tcW w:w="71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6.921</w:t>
                  </w:r>
                </w:p>
              </w:tc>
              <w:tc>
                <w:tcPr>
                  <w:tcW w:w="71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0.035</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8" w:type="pct"/>
                  <w:vMerge w:val="continue"/>
                  <w:vAlign w:val="center"/>
                </w:tcPr>
                <w:p>
                  <w:pPr>
                    <w:pStyle w:val="2"/>
                    <w:jc w:val="center"/>
                    <w:rPr>
                      <w:rFonts w:ascii="Times New Roman" w:cs="Times New Roman"/>
                      <w:color w:val="auto"/>
                      <w:sz w:val="21"/>
                      <w:szCs w:val="21"/>
                    </w:rPr>
                  </w:pPr>
                </w:p>
              </w:tc>
              <w:tc>
                <w:tcPr>
                  <w:tcW w:w="666" w:type="pct"/>
                  <w:vMerge w:val="continue"/>
                  <w:vAlign w:val="center"/>
                </w:tcPr>
                <w:p>
                  <w:pPr>
                    <w:pStyle w:val="2"/>
                    <w:jc w:val="center"/>
                    <w:rPr>
                      <w:rFonts w:ascii="Times New Roman" w:cs="Times New Roman"/>
                      <w:color w:val="auto"/>
                      <w:sz w:val="21"/>
                      <w:szCs w:val="21"/>
                    </w:rPr>
                  </w:pPr>
                </w:p>
              </w:tc>
              <w:tc>
                <w:tcPr>
                  <w:tcW w:w="1040" w:type="pct"/>
                  <w:vMerge w:val="continue"/>
                  <w:vAlign w:val="center"/>
                </w:tcPr>
                <w:p>
                  <w:pPr>
                    <w:jc w:val="center"/>
                    <w:rPr>
                      <w:rFonts w:eastAsiaTheme="minorEastAsia"/>
                      <w:szCs w:val="21"/>
                    </w:rPr>
                  </w:pPr>
                </w:p>
              </w:tc>
              <w:tc>
                <w:tcPr>
                  <w:tcW w:w="714" w:type="pct"/>
                  <w:vAlign w:val="center"/>
                </w:tcPr>
                <w:p>
                  <w:pPr>
                    <w:pStyle w:val="2"/>
                    <w:jc w:val="center"/>
                    <w:rPr>
                      <w:rFonts w:ascii="Times New Roman" w:cs="Times New Roman"/>
                      <w:color w:val="auto"/>
                      <w:sz w:val="21"/>
                      <w:szCs w:val="21"/>
                    </w:rPr>
                  </w:pPr>
                  <w:r>
                    <w:rPr>
                      <w:rFonts w:ascii="Times New Roman" w:cs="Times New Roman"/>
                      <w:color w:val="auto"/>
                      <w:sz w:val="21"/>
                      <w:szCs w:val="21"/>
                    </w:rPr>
                    <w:t>臭气浓度</w:t>
                  </w:r>
                </w:p>
              </w:tc>
              <w:tc>
                <w:tcPr>
                  <w:tcW w:w="716" w:type="pct"/>
                  <w:vAlign w:val="center"/>
                </w:tcPr>
                <w:p>
                  <w:pPr>
                    <w:pStyle w:val="2"/>
                    <w:jc w:val="center"/>
                    <w:rPr>
                      <w:rFonts w:ascii="Times New Roman" w:cs="Times New Roman"/>
                      <w:color w:val="auto"/>
                      <w:sz w:val="21"/>
                      <w:szCs w:val="21"/>
                    </w:rPr>
                  </w:pPr>
                  <w:r>
                    <w:rPr>
                      <w:rFonts w:ascii="Times New Roman" w:cs="Times New Roman"/>
                      <w:color w:val="auto"/>
                      <w:sz w:val="21"/>
                      <w:szCs w:val="21"/>
                    </w:rPr>
                    <w:t>≤</w:t>
                  </w:r>
                  <w:r>
                    <w:rPr>
                      <w:rFonts w:hint="eastAsia" w:ascii="Times New Roman" w:cs="Times New Roman"/>
                      <w:color w:val="auto"/>
                      <w:sz w:val="21"/>
                      <w:szCs w:val="21"/>
                    </w:rPr>
                    <w:t>15000（无量纲）</w:t>
                  </w:r>
                </w:p>
              </w:tc>
              <w:tc>
                <w:tcPr>
                  <w:tcW w:w="71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7"/>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有组织排放总计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4" w:type="pct"/>
                  <w:gridSpan w:val="3"/>
                  <w:vMerge w:val="restart"/>
                  <w:vAlign w:val="center"/>
                </w:tcPr>
                <w:p>
                  <w:pPr>
                    <w:jc w:val="center"/>
                    <w:rPr>
                      <w:rFonts w:eastAsiaTheme="minorEastAsia"/>
                      <w:szCs w:val="21"/>
                    </w:rPr>
                  </w:pPr>
                  <w:r>
                    <w:rPr>
                      <w:rFonts w:eastAsiaTheme="minorEastAsia"/>
                      <w:szCs w:val="21"/>
                    </w:rPr>
                    <w:t>有组织排放总计</w:t>
                  </w:r>
                </w:p>
              </w:tc>
              <w:tc>
                <w:tcPr>
                  <w:tcW w:w="2145" w:type="pct"/>
                  <w:gridSpan w:val="3"/>
                  <w:vAlign w:val="center"/>
                </w:tcPr>
                <w:p>
                  <w:pPr>
                    <w:pStyle w:val="2"/>
                    <w:jc w:val="center"/>
                    <w:rPr>
                      <w:rFonts w:ascii="Times New Roman" w:cs="Times New Roman"/>
                      <w:color w:val="auto"/>
                      <w:sz w:val="21"/>
                      <w:szCs w:val="21"/>
                    </w:rPr>
                  </w:pPr>
                  <w:r>
                    <w:rPr>
                      <w:rFonts w:eastAsiaTheme="minorEastAsia"/>
                      <w:sz w:val="21"/>
                      <w:szCs w:val="21"/>
                    </w:rPr>
                    <w:t>颗粒物</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4" w:type="pct"/>
                  <w:gridSpan w:val="3"/>
                  <w:vMerge w:val="continue"/>
                  <w:vAlign w:val="center"/>
                </w:tcPr>
                <w:p>
                  <w:pPr>
                    <w:jc w:val="center"/>
                    <w:rPr>
                      <w:rFonts w:eastAsiaTheme="minorEastAsia"/>
                      <w:szCs w:val="21"/>
                    </w:rPr>
                  </w:pPr>
                </w:p>
              </w:tc>
              <w:tc>
                <w:tcPr>
                  <w:tcW w:w="2145" w:type="pct"/>
                  <w:gridSpan w:val="3"/>
                  <w:vAlign w:val="center"/>
                </w:tcPr>
                <w:p>
                  <w:pPr>
                    <w:pStyle w:val="2"/>
                    <w:jc w:val="center"/>
                    <w:rPr>
                      <w:rFonts w:ascii="Times New Roman" w:cs="Times New Roman"/>
                      <w:color w:val="auto"/>
                      <w:sz w:val="21"/>
                      <w:szCs w:val="21"/>
                    </w:rPr>
                  </w:pPr>
                  <w:r>
                    <w:rPr>
                      <w:rFonts w:eastAsiaTheme="minorEastAsia"/>
                      <w:sz w:val="21"/>
                      <w:szCs w:val="21"/>
                    </w:rPr>
                    <w:t>非甲烷总烃</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0.189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44" w:type="pct"/>
                  <w:gridSpan w:val="3"/>
                  <w:vMerge w:val="continue"/>
                  <w:vAlign w:val="center"/>
                </w:tcPr>
                <w:p>
                  <w:pPr>
                    <w:jc w:val="center"/>
                    <w:rPr>
                      <w:rFonts w:eastAsiaTheme="minorEastAsia"/>
                      <w:szCs w:val="21"/>
                    </w:rPr>
                  </w:pPr>
                </w:p>
              </w:tc>
              <w:tc>
                <w:tcPr>
                  <w:tcW w:w="2145" w:type="pct"/>
                  <w:gridSpan w:val="3"/>
                  <w:vAlign w:val="center"/>
                </w:tcPr>
                <w:p>
                  <w:pPr>
                    <w:pStyle w:val="2"/>
                    <w:jc w:val="center"/>
                    <w:rPr>
                      <w:rFonts w:ascii="Times New Roman" w:cs="Times New Roman"/>
                      <w:color w:val="auto"/>
                      <w:sz w:val="21"/>
                      <w:szCs w:val="21"/>
                    </w:rPr>
                  </w:pPr>
                  <w:r>
                    <w:rPr>
                      <w:rFonts w:ascii="Times New Roman" w:cs="Times New Roman"/>
                      <w:color w:val="auto"/>
                      <w:sz w:val="21"/>
                      <w:szCs w:val="21"/>
                    </w:rPr>
                    <w:t>臭气浓度</w:t>
                  </w:r>
                </w:p>
              </w:tc>
              <w:tc>
                <w:tcPr>
                  <w:tcW w:w="711"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r>
          </w:tbl>
          <w:p>
            <w:pPr>
              <w:spacing w:beforeLines="50"/>
              <w:jc w:val="center"/>
              <w:rPr>
                <w:b/>
                <w:szCs w:val="21"/>
              </w:rPr>
            </w:pPr>
            <w:r>
              <w:rPr>
                <w:rFonts w:hint="eastAsia"/>
                <w:b/>
                <w:szCs w:val="21"/>
              </w:rPr>
              <w:t>表4-6  大气污染物无组织排放量核算表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838"/>
              <w:gridCol w:w="974"/>
              <w:gridCol w:w="976"/>
              <w:gridCol w:w="982"/>
              <w:gridCol w:w="2894"/>
              <w:gridCol w:w="895"/>
              <w:gridCol w:w="262"/>
              <w:gridCol w:w="9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restart"/>
                  <w:vAlign w:val="center"/>
                </w:tcPr>
                <w:p>
                  <w:pPr>
                    <w:pStyle w:val="2"/>
                    <w:jc w:val="center"/>
                    <w:rPr>
                      <w:rFonts w:ascii="Times New Roman" w:cs="Times New Roman"/>
                      <w:b/>
                      <w:color w:val="auto"/>
                      <w:sz w:val="21"/>
                      <w:szCs w:val="21"/>
                    </w:rPr>
                  </w:pPr>
                  <w:r>
                    <w:rPr>
                      <w:rFonts w:ascii="Times New Roman" w:cs="Times New Roman"/>
                      <w:b/>
                      <w:color w:val="auto"/>
                      <w:sz w:val="21"/>
                      <w:szCs w:val="21"/>
                    </w:rPr>
                    <w:t>序号</w:t>
                  </w:r>
                </w:p>
              </w:tc>
              <w:tc>
                <w:tcPr>
                  <w:tcW w:w="445" w:type="pct"/>
                  <w:vMerge w:val="restart"/>
                  <w:vAlign w:val="center"/>
                </w:tcPr>
                <w:p>
                  <w:pPr>
                    <w:pStyle w:val="2"/>
                    <w:jc w:val="center"/>
                    <w:rPr>
                      <w:rFonts w:ascii="Times New Roman" w:cs="Times New Roman"/>
                      <w:b/>
                      <w:color w:val="auto"/>
                      <w:sz w:val="21"/>
                      <w:szCs w:val="21"/>
                    </w:rPr>
                  </w:pPr>
                  <w:r>
                    <w:rPr>
                      <w:rFonts w:ascii="Times New Roman" w:cs="Times New Roman"/>
                      <w:b/>
                      <w:color w:val="auto"/>
                      <w:sz w:val="21"/>
                      <w:szCs w:val="21"/>
                    </w:rPr>
                    <w:t>排放口编号</w:t>
                  </w:r>
                </w:p>
              </w:tc>
              <w:tc>
                <w:tcPr>
                  <w:tcW w:w="517" w:type="pct"/>
                  <w:vMerge w:val="restart"/>
                  <w:vAlign w:val="center"/>
                </w:tcPr>
                <w:p>
                  <w:pPr>
                    <w:pStyle w:val="2"/>
                    <w:jc w:val="center"/>
                    <w:rPr>
                      <w:rFonts w:ascii="Times New Roman" w:cs="Times New Roman"/>
                      <w:b/>
                      <w:color w:val="auto"/>
                      <w:sz w:val="21"/>
                      <w:szCs w:val="21"/>
                    </w:rPr>
                  </w:pPr>
                  <w:r>
                    <w:rPr>
                      <w:rFonts w:ascii="Times New Roman" w:cs="Times New Roman"/>
                      <w:b/>
                      <w:color w:val="auto"/>
                      <w:sz w:val="21"/>
                      <w:szCs w:val="21"/>
                    </w:rPr>
                    <w:t>产污</w:t>
                  </w:r>
                </w:p>
                <w:p>
                  <w:pPr>
                    <w:pStyle w:val="2"/>
                    <w:jc w:val="center"/>
                    <w:rPr>
                      <w:rFonts w:ascii="Times New Roman" w:cs="Times New Roman"/>
                      <w:b/>
                      <w:color w:val="auto"/>
                      <w:sz w:val="21"/>
                      <w:szCs w:val="21"/>
                    </w:rPr>
                  </w:pPr>
                  <w:r>
                    <w:rPr>
                      <w:rFonts w:ascii="Times New Roman" w:cs="Times New Roman"/>
                      <w:b/>
                      <w:color w:val="auto"/>
                      <w:sz w:val="21"/>
                      <w:szCs w:val="21"/>
                    </w:rPr>
                    <w:t>环节</w:t>
                  </w:r>
                </w:p>
              </w:tc>
              <w:tc>
                <w:tcPr>
                  <w:tcW w:w="518" w:type="pct"/>
                  <w:vMerge w:val="restart"/>
                  <w:vAlign w:val="center"/>
                </w:tcPr>
                <w:p>
                  <w:pPr>
                    <w:pStyle w:val="2"/>
                    <w:jc w:val="center"/>
                    <w:rPr>
                      <w:rFonts w:ascii="Times New Roman" w:cs="Times New Roman"/>
                      <w:b/>
                      <w:color w:val="auto"/>
                      <w:sz w:val="21"/>
                      <w:szCs w:val="21"/>
                    </w:rPr>
                  </w:pPr>
                  <w:r>
                    <w:rPr>
                      <w:rFonts w:ascii="Times New Roman" w:cs="Times New Roman"/>
                      <w:b/>
                      <w:color w:val="auto"/>
                      <w:sz w:val="21"/>
                      <w:szCs w:val="21"/>
                    </w:rPr>
                    <w:t>污染物</w:t>
                  </w:r>
                </w:p>
              </w:tc>
              <w:tc>
                <w:tcPr>
                  <w:tcW w:w="521" w:type="pct"/>
                  <w:vMerge w:val="restart"/>
                  <w:vAlign w:val="center"/>
                </w:tcPr>
                <w:p>
                  <w:pPr>
                    <w:pStyle w:val="2"/>
                    <w:jc w:val="center"/>
                    <w:rPr>
                      <w:rFonts w:ascii="Times New Roman" w:cs="Times New Roman"/>
                      <w:b/>
                      <w:color w:val="auto"/>
                      <w:sz w:val="21"/>
                      <w:szCs w:val="21"/>
                    </w:rPr>
                  </w:pPr>
                  <w:r>
                    <w:rPr>
                      <w:rFonts w:ascii="Times New Roman" w:cs="Times New Roman"/>
                      <w:b/>
                      <w:color w:val="auto"/>
                      <w:sz w:val="21"/>
                      <w:szCs w:val="21"/>
                    </w:rPr>
                    <w:t>主要污染物防治措施</w:t>
                  </w:r>
                </w:p>
              </w:tc>
              <w:tc>
                <w:tcPr>
                  <w:tcW w:w="2150" w:type="pct"/>
                  <w:gridSpan w:val="3"/>
                  <w:vAlign w:val="center"/>
                </w:tcPr>
                <w:p>
                  <w:pPr>
                    <w:pStyle w:val="2"/>
                    <w:jc w:val="center"/>
                    <w:rPr>
                      <w:rFonts w:ascii="Times New Roman" w:cs="Times New Roman"/>
                      <w:b/>
                      <w:color w:val="auto"/>
                      <w:sz w:val="21"/>
                      <w:szCs w:val="21"/>
                    </w:rPr>
                  </w:pPr>
                  <w:r>
                    <w:rPr>
                      <w:rFonts w:ascii="Times New Roman" w:cs="Times New Roman"/>
                      <w:b/>
                      <w:color w:val="auto"/>
                      <w:sz w:val="21"/>
                      <w:szCs w:val="21"/>
                    </w:rPr>
                    <w:t>国家或地方污染物排放标准名称</w:t>
                  </w:r>
                </w:p>
              </w:tc>
              <w:tc>
                <w:tcPr>
                  <w:tcW w:w="486" w:type="pct"/>
                  <w:vMerge w:val="restart"/>
                  <w:vAlign w:val="center"/>
                </w:tcPr>
                <w:p>
                  <w:pPr>
                    <w:pStyle w:val="2"/>
                    <w:jc w:val="center"/>
                    <w:rPr>
                      <w:rFonts w:ascii="Times New Roman" w:cs="Times New Roman"/>
                      <w:b/>
                      <w:color w:val="auto"/>
                      <w:sz w:val="21"/>
                      <w:szCs w:val="21"/>
                    </w:rPr>
                  </w:pPr>
                  <w:r>
                    <w:rPr>
                      <w:rFonts w:ascii="Times New Roman" w:cs="Times New Roman"/>
                      <w:b/>
                      <w:color w:val="auto"/>
                      <w:sz w:val="21"/>
                      <w:szCs w:val="21"/>
                    </w:rPr>
                    <w:t>年排放量</w:t>
                  </w:r>
                  <w:r>
                    <w:rPr>
                      <w:rFonts w:hint="eastAsia" w:ascii="Times New Roman" w:cs="Times New Roman"/>
                      <w:b/>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continue"/>
                  <w:vAlign w:val="center"/>
                </w:tcPr>
                <w:p>
                  <w:pPr>
                    <w:pStyle w:val="2"/>
                    <w:jc w:val="center"/>
                    <w:rPr>
                      <w:rFonts w:ascii="Times New Roman" w:cs="Times New Roman"/>
                      <w:b/>
                      <w:color w:val="auto"/>
                      <w:sz w:val="21"/>
                      <w:szCs w:val="21"/>
                    </w:rPr>
                  </w:pPr>
                </w:p>
              </w:tc>
              <w:tc>
                <w:tcPr>
                  <w:tcW w:w="445" w:type="pct"/>
                  <w:vMerge w:val="continue"/>
                  <w:vAlign w:val="center"/>
                </w:tcPr>
                <w:p>
                  <w:pPr>
                    <w:pStyle w:val="2"/>
                    <w:jc w:val="center"/>
                    <w:rPr>
                      <w:rFonts w:ascii="Times New Roman" w:cs="Times New Roman"/>
                      <w:b/>
                      <w:color w:val="auto"/>
                      <w:sz w:val="21"/>
                      <w:szCs w:val="21"/>
                    </w:rPr>
                  </w:pPr>
                </w:p>
              </w:tc>
              <w:tc>
                <w:tcPr>
                  <w:tcW w:w="517" w:type="pct"/>
                  <w:vMerge w:val="continue"/>
                  <w:vAlign w:val="center"/>
                </w:tcPr>
                <w:p>
                  <w:pPr>
                    <w:pStyle w:val="2"/>
                    <w:jc w:val="center"/>
                    <w:rPr>
                      <w:rFonts w:ascii="Times New Roman" w:cs="Times New Roman"/>
                      <w:b/>
                      <w:color w:val="auto"/>
                      <w:sz w:val="21"/>
                      <w:szCs w:val="21"/>
                    </w:rPr>
                  </w:pPr>
                </w:p>
              </w:tc>
              <w:tc>
                <w:tcPr>
                  <w:tcW w:w="518" w:type="pct"/>
                  <w:vMerge w:val="continue"/>
                  <w:vAlign w:val="center"/>
                </w:tcPr>
                <w:p>
                  <w:pPr>
                    <w:pStyle w:val="2"/>
                    <w:jc w:val="center"/>
                    <w:rPr>
                      <w:rFonts w:ascii="Times New Roman" w:cs="Times New Roman"/>
                      <w:b/>
                      <w:color w:val="auto"/>
                      <w:sz w:val="21"/>
                      <w:szCs w:val="21"/>
                    </w:rPr>
                  </w:pPr>
                </w:p>
              </w:tc>
              <w:tc>
                <w:tcPr>
                  <w:tcW w:w="521" w:type="pct"/>
                  <w:vMerge w:val="continue"/>
                  <w:vAlign w:val="center"/>
                </w:tcPr>
                <w:p>
                  <w:pPr>
                    <w:pStyle w:val="2"/>
                    <w:jc w:val="center"/>
                    <w:rPr>
                      <w:rFonts w:ascii="Times New Roman" w:cs="Times New Roman"/>
                      <w:b/>
                      <w:color w:val="auto"/>
                      <w:sz w:val="21"/>
                      <w:szCs w:val="21"/>
                    </w:rPr>
                  </w:pPr>
                </w:p>
              </w:tc>
              <w:tc>
                <w:tcPr>
                  <w:tcW w:w="1536" w:type="pct"/>
                  <w:vAlign w:val="center"/>
                </w:tcPr>
                <w:p>
                  <w:pPr>
                    <w:pStyle w:val="2"/>
                    <w:jc w:val="center"/>
                    <w:rPr>
                      <w:rFonts w:ascii="Times New Roman" w:cs="Times New Roman"/>
                      <w:b/>
                      <w:color w:val="auto"/>
                      <w:sz w:val="21"/>
                      <w:szCs w:val="21"/>
                    </w:rPr>
                  </w:pPr>
                  <w:r>
                    <w:rPr>
                      <w:rFonts w:ascii="Times New Roman" w:cs="Times New Roman"/>
                      <w:b/>
                      <w:color w:val="auto"/>
                      <w:sz w:val="21"/>
                      <w:szCs w:val="21"/>
                    </w:rPr>
                    <w:t>标准名称</w:t>
                  </w:r>
                </w:p>
              </w:tc>
              <w:tc>
                <w:tcPr>
                  <w:tcW w:w="614" w:type="pct"/>
                  <w:gridSpan w:val="2"/>
                  <w:vAlign w:val="center"/>
                </w:tcPr>
                <w:p>
                  <w:pPr>
                    <w:pStyle w:val="2"/>
                    <w:jc w:val="center"/>
                    <w:rPr>
                      <w:rFonts w:ascii="Times New Roman" w:cs="Times New Roman"/>
                      <w:b/>
                      <w:color w:val="auto"/>
                      <w:sz w:val="21"/>
                      <w:szCs w:val="21"/>
                    </w:rPr>
                  </w:pPr>
                  <w:r>
                    <w:rPr>
                      <w:rFonts w:ascii="Times New Roman" w:cs="Times New Roman"/>
                      <w:b/>
                      <w:color w:val="auto"/>
                      <w:sz w:val="21"/>
                      <w:szCs w:val="21"/>
                    </w:rPr>
                    <w:t>浓度限值</w:t>
                  </w:r>
                  <w:r>
                    <w:rPr>
                      <w:rFonts w:hint="eastAsia" w:ascii="Times New Roman" w:cs="Times New Roman"/>
                      <w:b/>
                      <w:color w:val="auto"/>
                      <w:sz w:val="21"/>
                      <w:szCs w:val="21"/>
                    </w:rPr>
                    <w:t>mg/m</w:t>
                  </w:r>
                  <w:r>
                    <w:rPr>
                      <w:rFonts w:hint="eastAsia" w:ascii="Times New Roman" w:cs="Times New Roman"/>
                      <w:b/>
                      <w:color w:val="auto"/>
                      <w:sz w:val="21"/>
                      <w:szCs w:val="21"/>
                      <w:vertAlign w:val="superscript"/>
                    </w:rPr>
                    <w:t>3</w:t>
                  </w:r>
                </w:p>
              </w:tc>
              <w:tc>
                <w:tcPr>
                  <w:tcW w:w="486" w:type="pct"/>
                  <w:vMerge w:val="continue"/>
                  <w:vAlign w:val="center"/>
                </w:tcPr>
                <w:p>
                  <w:pPr>
                    <w:pStyle w:val="2"/>
                    <w:jc w:val="center"/>
                    <w:rPr>
                      <w:rFonts w:ascii="Times New Roman" w:cs="Times New Roman"/>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1</w:t>
                  </w:r>
                </w:p>
              </w:tc>
              <w:tc>
                <w:tcPr>
                  <w:tcW w:w="445"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17"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1#厂房</w:t>
                  </w:r>
                </w:p>
              </w:tc>
              <w:tc>
                <w:tcPr>
                  <w:tcW w:w="518" w:type="pct"/>
                  <w:vAlign w:val="center"/>
                </w:tcPr>
                <w:p>
                  <w:pPr>
                    <w:pStyle w:val="69"/>
                    <w:rPr>
                      <w:rFonts w:eastAsiaTheme="minorEastAsia"/>
                      <w:sz w:val="21"/>
                      <w:szCs w:val="21"/>
                    </w:rPr>
                  </w:pPr>
                  <w:r>
                    <w:rPr>
                      <w:rFonts w:eastAsiaTheme="minorEastAsia"/>
                      <w:sz w:val="21"/>
                      <w:szCs w:val="21"/>
                    </w:rPr>
                    <w:t>颗粒物</w:t>
                  </w:r>
                </w:p>
              </w:tc>
              <w:tc>
                <w:tcPr>
                  <w:tcW w:w="521" w:type="pct"/>
                  <w:vMerge w:val="restart"/>
                  <w:vAlign w:val="center"/>
                </w:tcPr>
                <w:p>
                  <w:pPr>
                    <w:pStyle w:val="2"/>
                    <w:jc w:val="center"/>
                    <w:rPr>
                      <w:rFonts w:ascii="Times New Roman" w:cs="Times New Roman"/>
                      <w:color w:val="auto"/>
                      <w:sz w:val="21"/>
                      <w:szCs w:val="21"/>
                    </w:rPr>
                  </w:pPr>
                  <w:r>
                    <w:rPr>
                      <w:rFonts w:ascii="Times New Roman" w:cs="Times New Roman"/>
                      <w:color w:val="auto"/>
                      <w:sz w:val="21"/>
                      <w:szCs w:val="21"/>
                    </w:rPr>
                    <w:t>无组织排放</w:t>
                  </w:r>
                </w:p>
              </w:tc>
              <w:tc>
                <w:tcPr>
                  <w:tcW w:w="153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《大气污染物综合排放标准》（GB16297-1996）表2无组织排放监控浓度限值</w:t>
                  </w:r>
                </w:p>
              </w:tc>
              <w:tc>
                <w:tcPr>
                  <w:tcW w:w="614" w:type="pct"/>
                  <w:gridSpan w:val="2"/>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1.0</w:t>
                  </w:r>
                </w:p>
              </w:tc>
              <w:tc>
                <w:tcPr>
                  <w:tcW w:w="486" w:type="pct"/>
                  <w:vAlign w:val="center"/>
                </w:tcPr>
                <w:p>
                  <w:pPr>
                    <w:pStyle w:val="69"/>
                    <w:rPr>
                      <w:rFonts w:eastAsiaTheme="minorEastAsia"/>
                      <w:bCs/>
                      <w:sz w:val="21"/>
                      <w:szCs w:val="21"/>
                    </w:rPr>
                  </w:pPr>
                  <w:r>
                    <w:rPr>
                      <w:rFonts w:hint="eastAsia" w:eastAsiaTheme="minorEastAsia"/>
                      <w:bCs/>
                      <w:sz w:val="21"/>
                      <w:szCs w:val="21"/>
                    </w:rPr>
                    <w:t>0.068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continue"/>
                  <w:vAlign w:val="center"/>
                </w:tcPr>
                <w:p>
                  <w:pPr>
                    <w:pStyle w:val="2"/>
                    <w:jc w:val="center"/>
                    <w:rPr>
                      <w:rFonts w:ascii="Times New Roman" w:cs="Times New Roman"/>
                      <w:color w:val="auto"/>
                      <w:sz w:val="21"/>
                      <w:szCs w:val="21"/>
                    </w:rPr>
                  </w:pPr>
                </w:p>
              </w:tc>
              <w:tc>
                <w:tcPr>
                  <w:tcW w:w="445" w:type="pct"/>
                  <w:vMerge w:val="continue"/>
                  <w:vAlign w:val="center"/>
                </w:tcPr>
                <w:p>
                  <w:pPr>
                    <w:pStyle w:val="2"/>
                    <w:jc w:val="center"/>
                    <w:rPr>
                      <w:rFonts w:ascii="Times New Roman" w:cs="Times New Roman"/>
                      <w:color w:val="auto"/>
                      <w:sz w:val="21"/>
                      <w:szCs w:val="21"/>
                    </w:rPr>
                  </w:pPr>
                </w:p>
              </w:tc>
              <w:tc>
                <w:tcPr>
                  <w:tcW w:w="517" w:type="pct"/>
                  <w:vMerge w:val="continue"/>
                  <w:vAlign w:val="center"/>
                </w:tcPr>
                <w:p>
                  <w:pPr>
                    <w:pStyle w:val="2"/>
                    <w:jc w:val="center"/>
                    <w:rPr>
                      <w:rFonts w:ascii="Times New Roman" w:cs="Times New Roman"/>
                      <w:color w:val="auto"/>
                      <w:sz w:val="21"/>
                      <w:szCs w:val="21"/>
                    </w:rPr>
                  </w:pPr>
                </w:p>
              </w:tc>
              <w:tc>
                <w:tcPr>
                  <w:tcW w:w="518" w:type="pct"/>
                  <w:vAlign w:val="center"/>
                </w:tcPr>
                <w:p>
                  <w:pPr>
                    <w:pStyle w:val="69"/>
                    <w:rPr>
                      <w:rFonts w:eastAsiaTheme="minorEastAsia"/>
                      <w:sz w:val="21"/>
                      <w:szCs w:val="21"/>
                    </w:rPr>
                  </w:pPr>
                  <w:r>
                    <w:rPr>
                      <w:rFonts w:eastAsiaTheme="minorEastAsia"/>
                      <w:sz w:val="21"/>
                      <w:szCs w:val="21"/>
                    </w:rPr>
                    <w:t>非甲烷总烃</w:t>
                  </w:r>
                </w:p>
              </w:tc>
              <w:tc>
                <w:tcPr>
                  <w:tcW w:w="521" w:type="pct"/>
                  <w:vMerge w:val="continue"/>
                  <w:vAlign w:val="center"/>
                </w:tcPr>
                <w:p>
                  <w:pPr>
                    <w:pStyle w:val="2"/>
                    <w:jc w:val="center"/>
                    <w:rPr>
                      <w:rFonts w:ascii="Times New Roman" w:cs="Times New Roman"/>
                      <w:color w:val="auto"/>
                      <w:sz w:val="21"/>
                      <w:szCs w:val="21"/>
                    </w:rPr>
                  </w:pPr>
                </w:p>
              </w:tc>
              <w:tc>
                <w:tcPr>
                  <w:tcW w:w="153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《大气污染物综合排放标准》（GB16297-1996）表2无组织排放监控浓度限值</w:t>
                  </w:r>
                </w:p>
              </w:tc>
              <w:tc>
                <w:tcPr>
                  <w:tcW w:w="614" w:type="pct"/>
                  <w:gridSpan w:val="2"/>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4.0</w:t>
                  </w:r>
                </w:p>
              </w:tc>
              <w:tc>
                <w:tcPr>
                  <w:tcW w:w="486" w:type="pct"/>
                  <w:vAlign w:val="center"/>
                </w:tcPr>
                <w:p>
                  <w:pPr>
                    <w:pStyle w:val="69"/>
                    <w:rPr>
                      <w:rFonts w:eastAsiaTheme="minorEastAsia"/>
                      <w:bCs/>
                      <w:sz w:val="21"/>
                      <w:szCs w:val="21"/>
                    </w:rPr>
                  </w:pPr>
                  <w:r>
                    <w:rPr>
                      <w:rFonts w:hint="eastAsia" w:eastAsiaTheme="minorEastAsia"/>
                      <w:sz w:val="21"/>
                      <w:szCs w:val="21"/>
                    </w:rPr>
                    <w:t>0.021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continue"/>
                  <w:vAlign w:val="center"/>
                </w:tcPr>
                <w:p>
                  <w:pPr>
                    <w:pStyle w:val="2"/>
                    <w:jc w:val="center"/>
                    <w:rPr>
                      <w:rFonts w:ascii="Times New Roman" w:cs="Times New Roman"/>
                      <w:color w:val="auto"/>
                      <w:sz w:val="21"/>
                      <w:szCs w:val="21"/>
                    </w:rPr>
                  </w:pPr>
                </w:p>
              </w:tc>
              <w:tc>
                <w:tcPr>
                  <w:tcW w:w="445" w:type="pct"/>
                  <w:vMerge w:val="continue"/>
                  <w:vAlign w:val="center"/>
                </w:tcPr>
                <w:p>
                  <w:pPr>
                    <w:pStyle w:val="2"/>
                    <w:jc w:val="center"/>
                    <w:rPr>
                      <w:rFonts w:ascii="Times New Roman" w:cs="Times New Roman"/>
                      <w:color w:val="auto"/>
                      <w:sz w:val="21"/>
                      <w:szCs w:val="21"/>
                    </w:rPr>
                  </w:pPr>
                </w:p>
              </w:tc>
              <w:tc>
                <w:tcPr>
                  <w:tcW w:w="517" w:type="pct"/>
                  <w:vMerge w:val="continue"/>
                  <w:vAlign w:val="center"/>
                </w:tcPr>
                <w:p>
                  <w:pPr>
                    <w:pStyle w:val="2"/>
                    <w:jc w:val="center"/>
                    <w:rPr>
                      <w:rFonts w:ascii="Times New Roman" w:cs="Times New Roman"/>
                      <w:color w:val="auto"/>
                      <w:sz w:val="21"/>
                      <w:szCs w:val="21"/>
                    </w:rPr>
                  </w:pPr>
                </w:p>
              </w:tc>
              <w:tc>
                <w:tcPr>
                  <w:tcW w:w="518" w:type="pct"/>
                  <w:vAlign w:val="center"/>
                </w:tcPr>
                <w:p>
                  <w:pPr>
                    <w:pStyle w:val="69"/>
                    <w:rPr>
                      <w:rFonts w:eastAsiaTheme="minorEastAsia"/>
                      <w:sz w:val="21"/>
                      <w:szCs w:val="21"/>
                    </w:rPr>
                  </w:pPr>
                  <w:r>
                    <w:rPr>
                      <w:rFonts w:hint="eastAsia" w:eastAsiaTheme="minorEastAsia"/>
                      <w:sz w:val="21"/>
                      <w:szCs w:val="21"/>
                    </w:rPr>
                    <w:t>臭气浓度</w:t>
                  </w:r>
                </w:p>
              </w:tc>
              <w:tc>
                <w:tcPr>
                  <w:tcW w:w="521" w:type="pct"/>
                  <w:vMerge w:val="continue"/>
                  <w:vAlign w:val="center"/>
                </w:tcPr>
                <w:p>
                  <w:pPr>
                    <w:pStyle w:val="2"/>
                    <w:jc w:val="center"/>
                    <w:rPr>
                      <w:rFonts w:ascii="Times New Roman" w:cs="Times New Roman"/>
                      <w:color w:val="auto"/>
                      <w:sz w:val="21"/>
                      <w:szCs w:val="21"/>
                    </w:rPr>
                  </w:pPr>
                </w:p>
              </w:tc>
              <w:tc>
                <w:tcPr>
                  <w:tcW w:w="153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《恶臭污染物排放标准》（GB14554-93）表1恶臭污染物厂界标准值</w:t>
                  </w:r>
                </w:p>
              </w:tc>
              <w:tc>
                <w:tcPr>
                  <w:tcW w:w="614" w:type="pct"/>
                  <w:gridSpan w:val="2"/>
                  <w:vAlign w:val="center"/>
                </w:tcPr>
                <w:p>
                  <w:pPr>
                    <w:pStyle w:val="2"/>
                    <w:jc w:val="center"/>
                    <w:rPr>
                      <w:rFonts w:ascii="Times New Roman" w:cs="Times New Roman"/>
                      <w:color w:val="auto"/>
                      <w:sz w:val="21"/>
                      <w:szCs w:val="21"/>
                    </w:rPr>
                  </w:pPr>
                  <w:r>
                    <w:rPr>
                      <w:rFonts w:ascii="Times New Roman" w:cs="Times New Roman"/>
                      <w:color w:val="auto"/>
                      <w:sz w:val="21"/>
                      <w:szCs w:val="21"/>
                    </w:rPr>
                    <w:t>≤</w:t>
                  </w:r>
                  <w:r>
                    <w:rPr>
                      <w:rFonts w:hint="eastAsia" w:ascii="Times New Roman" w:cs="Times New Roman"/>
                      <w:color w:val="auto"/>
                      <w:sz w:val="21"/>
                      <w:szCs w:val="21"/>
                    </w:rPr>
                    <w:t>20（无量纲）</w:t>
                  </w:r>
                </w:p>
              </w:tc>
              <w:tc>
                <w:tcPr>
                  <w:tcW w:w="486" w:type="pct"/>
                  <w:vAlign w:val="center"/>
                </w:tcPr>
                <w:p>
                  <w:pPr>
                    <w:pStyle w:val="69"/>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2</w:t>
                  </w:r>
                </w:p>
              </w:tc>
              <w:tc>
                <w:tcPr>
                  <w:tcW w:w="445"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17"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2#厂房</w:t>
                  </w:r>
                </w:p>
              </w:tc>
              <w:tc>
                <w:tcPr>
                  <w:tcW w:w="518" w:type="pct"/>
                  <w:vAlign w:val="center"/>
                </w:tcPr>
                <w:p>
                  <w:pPr>
                    <w:pStyle w:val="2"/>
                    <w:jc w:val="center"/>
                    <w:rPr>
                      <w:rFonts w:ascii="Times New Roman" w:cs="Times New Roman"/>
                      <w:color w:val="auto"/>
                      <w:sz w:val="21"/>
                      <w:szCs w:val="21"/>
                    </w:rPr>
                  </w:pPr>
                  <w:r>
                    <w:rPr>
                      <w:rFonts w:eastAsiaTheme="minorEastAsia"/>
                      <w:sz w:val="21"/>
                      <w:szCs w:val="21"/>
                    </w:rPr>
                    <w:t>非甲烷总烃</w:t>
                  </w:r>
                </w:p>
              </w:tc>
              <w:tc>
                <w:tcPr>
                  <w:tcW w:w="521" w:type="pct"/>
                  <w:vMerge w:val="restart"/>
                  <w:vAlign w:val="center"/>
                </w:tcPr>
                <w:p>
                  <w:pPr>
                    <w:pStyle w:val="2"/>
                    <w:jc w:val="center"/>
                    <w:rPr>
                      <w:rFonts w:ascii="Times New Roman" w:cs="Times New Roman"/>
                      <w:color w:val="auto"/>
                      <w:sz w:val="21"/>
                      <w:szCs w:val="21"/>
                    </w:rPr>
                  </w:pPr>
                  <w:r>
                    <w:rPr>
                      <w:rFonts w:ascii="Times New Roman" w:cs="Times New Roman"/>
                      <w:color w:val="auto"/>
                      <w:sz w:val="21"/>
                      <w:szCs w:val="21"/>
                    </w:rPr>
                    <w:t>无组织排放</w:t>
                  </w:r>
                </w:p>
              </w:tc>
              <w:tc>
                <w:tcPr>
                  <w:tcW w:w="153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《大气污染物综合排放标准》（GB16297-1996）表2无组织排放监控浓度限值</w:t>
                  </w:r>
                </w:p>
              </w:tc>
              <w:tc>
                <w:tcPr>
                  <w:tcW w:w="614" w:type="pct"/>
                  <w:gridSpan w:val="2"/>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4.0</w:t>
                  </w:r>
                </w:p>
              </w:tc>
              <w:tc>
                <w:tcPr>
                  <w:tcW w:w="48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continue"/>
                  <w:vAlign w:val="center"/>
                </w:tcPr>
                <w:p>
                  <w:pPr>
                    <w:pStyle w:val="2"/>
                    <w:jc w:val="center"/>
                    <w:rPr>
                      <w:rFonts w:ascii="Times New Roman" w:cs="Times New Roman"/>
                      <w:color w:val="auto"/>
                      <w:sz w:val="21"/>
                      <w:szCs w:val="21"/>
                    </w:rPr>
                  </w:pPr>
                </w:p>
              </w:tc>
              <w:tc>
                <w:tcPr>
                  <w:tcW w:w="445" w:type="pct"/>
                  <w:vMerge w:val="continue"/>
                  <w:vAlign w:val="center"/>
                </w:tcPr>
                <w:p>
                  <w:pPr>
                    <w:pStyle w:val="2"/>
                    <w:jc w:val="center"/>
                    <w:rPr>
                      <w:rFonts w:ascii="Times New Roman" w:cs="Times New Roman"/>
                      <w:color w:val="auto"/>
                      <w:sz w:val="21"/>
                      <w:szCs w:val="21"/>
                    </w:rPr>
                  </w:pPr>
                </w:p>
              </w:tc>
              <w:tc>
                <w:tcPr>
                  <w:tcW w:w="517" w:type="pct"/>
                  <w:vMerge w:val="continue"/>
                  <w:vAlign w:val="center"/>
                </w:tcPr>
                <w:p>
                  <w:pPr>
                    <w:pStyle w:val="2"/>
                    <w:jc w:val="center"/>
                    <w:rPr>
                      <w:rFonts w:ascii="Times New Roman" w:cs="Times New Roman"/>
                      <w:color w:val="auto"/>
                      <w:sz w:val="21"/>
                      <w:szCs w:val="21"/>
                    </w:rPr>
                  </w:pPr>
                </w:p>
              </w:tc>
              <w:tc>
                <w:tcPr>
                  <w:tcW w:w="518" w:type="pct"/>
                  <w:vAlign w:val="center"/>
                </w:tcPr>
                <w:p>
                  <w:pPr>
                    <w:pStyle w:val="2"/>
                    <w:jc w:val="center"/>
                    <w:rPr>
                      <w:rFonts w:eastAsiaTheme="minorEastAsia"/>
                      <w:sz w:val="21"/>
                      <w:szCs w:val="21"/>
                    </w:rPr>
                  </w:pPr>
                  <w:r>
                    <w:rPr>
                      <w:rFonts w:hint="eastAsia" w:eastAsiaTheme="minorEastAsia"/>
                      <w:sz w:val="21"/>
                      <w:szCs w:val="21"/>
                    </w:rPr>
                    <w:t>臭气浓度</w:t>
                  </w:r>
                </w:p>
              </w:tc>
              <w:tc>
                <w:tcPr>
                  <w:tcW w:w="521" w:type="pct"/>
                  <w:vMerge w:val="continue"/>
                  <w:vAlign w:val="center"/>
                </w:tcPr>
                <w:p>
                  <w:pPr>
                    <w:pStyle w:val="2"/>
                    <w:jc w:val="center"/>
                    <w:rPr>
                      <w:rFonts w:ascii="Times New Roman" w:cs="Times New Roman"/>
                      <w:color w:val="auto"/>
                      <w:sz w:val="21"/>
                      <w:szCs w:val="21"/>
                    </w:rPr>
                  </w:pPr>
                </w:p>
              </w:tc>
              <w:tc>
                <w:tcPr>
                  <w:tcW w:w="153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《恶臭污染物排放标准》（GB14554-93）表1恶臭污染物厂界标准值</w:t>
                  </w:r>
                </w:p>
              </w:tc>
              <w:tc>
                <w:tcPr>
                  <w:tcW w:w="614" w:type="pct"/>
                  <w:gridSpan w:val="2"/>
                  <w:vAlign w:val="center"/>
                </w:tcPr>
                <w:p>
                  <w:pPr>
                    <w:pStyle w:val="2"/>
                    <w:jc w:val="center"/>
                    <w:rPr>
                      <w:rFonts w:ascii="Times New Roman" w:cs="Times New Roman"/>
                      <w:color w:val="auto"/>
                      <w:sz w:val="21"/>
                      <w:szCs w:val="21"/>
                    </w:rPr>
                  </w:pPr>
                  <w:r>
                    <w:rPr>
                      <w:rFonts w:ascii="Times New Roman" w:cs="Times New Roman"/>
                      <w:color w:val="auto"/>
                      <w:sz w:val="21"/>
                      <w:szCs w:val="21"/>
                    </w:rPr>
                    <w:t>≤</w:t>
                  </w:r>
                  <w:r>
                    <w:rPr>
                      <w:rFonts w:hint="eastAsia" w:ascii="Times New Roman" w:cs="Times New Roman"/>
                      <w:color w:val="auto"/>
                      <w:sz w:val="21"/>
                      <w:szCs w:val="21"/>
                    </w:rPr>
                    <w:t>20（无量纲）</w:t>
                  </w:r>
                </w:p>
              </w:tc>
              <w:tc>
                <w:tcPr>
                  <w:tcW w:w="486" w:type="pct"/>
                  <w:vAlign w:val="center"/>
                </w:tcPr>
                <w:p>
                  <w:pPr>
                    <w:pStyle w:val="69"/>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3</w:t>
                  </w:r>
                </w:p>
              </w:tc>
              <w:tc>
                <w:tcPr>
                  <w:tcW w:w="445"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17"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3#厂房</w:t>
                  </w:r>
                </w:p>
              </w:tc>
              <w:tc>
                <w:tcPr>
                  <w:tcW w:w="518" w:type="pct"/>
                  <w:vAlign w:val="center"/>
                </w:tcPr>
                <w:p>
                  <w:pPr>
                    <w:pStyle w:val="2"/>
                    <w:jc w:val="center"/>
                    <w:rPr>
                      <w:rFonts w:ascii="Times New Roman" w:cs="Times New Roman"/>
                      <w:color w:val="auto"/>
                      <w:sz w:val="21"/>
                      <w:szCs w:val="21"/>
                    </w:rPr>
                  </w:pPr>
                  <w:r>
                    <w:rPr>
                      <w:rFonts w:eastAsiaTheme="minorEastAsia"/>
                      <w:sz w:val="21"/>
                      <w:szCs w:val="21"/>
                    </w:rPr>
                    <w:t>颗粒物</w:t>
                  </w:r>
                </w:p>
              </w:tc>
              <w:tc>
                <w:tcPr>
                  <w:tcW w:w="521" w:type="pct"/>
                  <w:vAlign w:val="center"/>
                </w:tcPr>
                <w:p>
                  <w:pPr>
                    <w:pStyle w:val="2"/>
                    <w:jc w:val="center"/>
                    <w:rPr>
                      <w:rFonts w:ascii="Times New Roman" w:cs="Times New Roman"/>
                      <w:color w:val="auto"/>
                      <w:sz w:val="21"/>
                      <w:szCs w:val="21"/>
                    </w:rPr>
                  </w:pPr>
                  <w:r>
                    <w:rPr>
                      <w:rFonts w:ascii="Times New Roman" w:cs="Times New Roman"/>
                      <w:color w:val="auto"/>
                      <w:sz w:val="21"/>
                      <w:szCs w:val="21"/>
                    </w:rPr>
                    <w:t>无组织排放</w:t>
                  </w:r>
                </w:p>
              </w:tc>
              <w:tc>
                <w:tcPr>
                  <w:tcW w:w="153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《大气污染物综合排放标准》（GB16297-1996）表2无组织排放监控浓度限值</w:t>
                  </w:r>
                </w:p>
              </w:tc>
              <w:tc>
                <w:tcPr>
                  <w:tcW w:w="614" w:type="pct"/>
                  <w:gridSpan w:val="2"/>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1.0</w:t>
                  </w:r>
                </w:p>
              </w:tc>
              <w:tc>
                <w:tcPr>
                  <w:tcW w:w="48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0.166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4</w:t>
                  </w:r>
                </w:p>
              </w:tc>
              <w:tc>
                <w:tcPr>
                  <w:tcW w:w="445"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w:t>
                  </w:r>
                </w:p>
              </w:tc>
              <w:tc>
                <w:tcPr>
                  <w:tcW w:w="517" w:type="pct"/>
                  <w:vMerge w:val="restar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4#厂房</w:t>
                  </w:r>
                </w:p>
              </w:tc>
              <w:tc>
                <w:tcPr>
                  <w:tcW w:w="518" w:type="pct"/>
                  <w:vAlign w:val="center"/>
                </w:tcPr>
                <w:p>
                  <w:pPr>
                    <w:pStyle w:val="2"/>
                    <w:jc w:val="center"/>
                    <w:rPr>
                      <w:rFonts w:ascii="Times New Roman" w:cs="Times New Roman"/>
                      <w:color w:val="auto"/>
                      <w:sz w:val="21"/>
                      <w:szCs w:val="21"/>
                    </w:rPr>
                  </w:pPr>
                  <w:r>
                    <w:rPr>
                      <w:rFonts w:eastAsiaTheme="minorEastAsia"/>
                      <w:sz w:val="21"/>
                      <w:szCs w:val="21"/>
                    </w:rPr>
                    <w:t>非甲烷总烃</w:t>
                  </w:r>
                </w:p>
              </w:tc>
              <w:tc>
                <w:tcPr>
                  <w:tcW w:w="521" w:type="pct"/>
                  <w:vMerge w:val="restart"/>
                  <w:vAlign w:val="center"/>
                </w:tcPr>
                <w:p>
                  <w:pPr>
                    <w:pStyle w:val="2"/>
                    <w:jc w:val="center"/>
                    <w:rPr>
                      <w:rFonts w:ascii="Times New Roman" w:cs="Times New Roman"/>
                      <w:color w:val="auto"/>
                      <w:sz w:val="21"/>
                      <w:szCs w:val="21"/>
                    </w:rPr>
                  </w:pPr>
                  <w:r>
                    <w:rPr>
                      <w:rFonts w:ascii="Times New Roman" w:cs="Times New Roman"/>
                      <w:color w:val="auto"/>
                      <w:sz w:val="21"/>
                      <w:szCs w:val="21"/>
                    </w:rPr>
                    <w:t>无组织排放</w:t>
                  </w:r>
                </w:p>
              </w:tc>
              <w:tc>
                <w:tcPr>
                  <w:tcW w:w="153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《大气污染物综合排放标准》（GB16297-1996）表2无组织排放监控浓度限值</w:t>
                  </w:r>
                </w:p>
              </w:tc>
              <w:tc>
                <w:tcPr>
                  <w:tcW w:w="614" w:type="pct"/>
                  <w:gridSpan w:val="2"/>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4.0</w:t>
                  </w:r>
                </w:p>
              </w:tc>
              <w:tc>
                <w:tcPr>
                  <w:tcW w:w="48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3" w:type="pct"/>
                  <w:vMerge w:val="continue"/>
                  <w:vAlign w:val="center"/>
                </w:tcPr>
                <w:p>
                  <w:pPr>
                    <w:pStyle w:val="2"/>
                    <w:jc w:val="center"/>
                    <w:rPr>
                      <w:rFonts w:ascii="Times New Roman" w:cs="Times New Roman"/>
                      <w:color w:val="auto"/>
                      <w:sz w:val="21"/>
                      <w:szCs w:val="21"/>
                    </w:rPr>
                  </w:pPr>
                </w:p>
              </w:tc>
              <w:tc>
                <w:tcPr>
                  <w:tcW w:w="445" w:type="pct"/>
                  <w:vMerge w:val="continue"/>
                  <w:vAlign w:val="center"/>
                </w:tcPr>
                <w:p>
                  <w:pPr>
                    <w:pStyle w:val="2"/>
                    <w:jc w:val="center"/>
                    <w:rPr>
                      <w:rFonts w:ascii="Times New Roman" w:cs="Times New Roman"/>
                      <w:color w:val="auto"/>
                      <w:sz w:val="21"/>
                      <w:szCs w:val="21"/>
                    </w:rPr>
                  </w:pPr>
                </w:p>
              </w:tc>
              <w:tc>
                <w:tcPr>
                  <w:tcW w:w="517" w:type="pct"/>
                  <w:vMerge w:val="continue"/>
                  <w:vAlign w:val="center"/>
                </w:tcPr>
                <w:p>
                  <w:pPr>
                    <w:pStyle w:val="2"/>
                    <w:jc w:val="center"/>
                    <w:rPr>
                      <w:rFonts w:ascii="Times New Roman" w:cs="Times New Roman"/>
                      <w:color w:val="auto"/>
                      <w:sz w:val="21"/>
                      <w:szCs w:val="21"/>
                    </w:rPr>
                  </w:pPr>
                </w:p>
              </w:tc>
              <w:tc>
                <w:tcPr>
                  <w:tcW w:w="518" w:type="pct"/>
                  <w:vAlign w:val="center"/>
                </w:tcPr>
                <w:p>
                  <w:pPr>
                    <w:pStyle w:val="2"/>
                    <w:jc w:val="center"/>
                    <w:rPr>
                      <w:rFonts w:eastAsiaTheme="minorEastAsia"/>
                      <w:sz w:val="21"/>
                      <w:szCs w:val="21"/>
                    </w:rPr>
                  </w:pPr>
                  <w:r>
                    <w:rPr>
                      <w:rFonts w:hint="eastAsia" w:eastAsiaTheme="minorEastAsia"/>
                      <w:sz w:val="21"/>
                      <w:szCs w:val="21"/>
                    </w:rPr>
                    <w:t>臭气浓度</w:t>
                  </w:r>
                </w:p>
              </w:tc>
              <w:tc>
                <w:tcPr>
                  <w:tcW w:w="521" w:type="pct"/>
                  <w:vMerge w:val="continue"/>
                  <w:vAlign w:val="center"/>
                </w:tcPr>
                <w:p>
                  <w:pPr>
                    <w:pStyle w:val="2"/>
                    <w:jc w:val="center"/>
                    <w:rPr>
                      <w:rFonts w:ascii="Times New Roman" w:cs="Times New Roman"/>
                      <w:color w:val="auto"/>
                      <w:sz w:val="21"/>
                      <w:szCs w:val="21"/>
                    </w:rPr>
                  </w:pPr>
                </w:p>
              </w:tc>
              <w:tc>
                <w:tcPr>
                  <w:tcW w:w="1536" w:type="pct"/>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《恶臭污染物排放标准》（GB14554-93）表1恶臭污染物厂界标准值</w:t>
                  </w:r>
                </w:p>
              </w:tc>
              <w:tc>
                <w:tcPr>
                  <w:tcW w:w="614" w:type="pct"/>
                  <w:gridSpan w:val="2"/>
                  <w:vAlign w:val="center"/>
                </w:tcPr>
                <w:p>
                  <w:pPr>
                    <w:pStyle w:val="2"/>
                    <w:jc w:val="center"/>
                    <w:rPr>
                      <w:rFonts w:ascii="Times New Roman" w:cs="Times New Roman"/>
                      <w:color w:val="auto"/>
                      <w:sz w:val="21"/>
                      <w:szCs w:val="21"/>
                    </w:rPr>
                  </w:pPr>
                  <w:r>
                    <w:rPr>
                      <w:rFonts w:ascii="Times New Roman" w:cs="Times New Roman"/>
                      <w:color w:val="auto"/>
                      <w:sz w:val="21"/>
                      <w:szCs w:val="21"/>
                    </w:rPr>
                    <w:t>≤</w:t>
                  </w:r>
                  <w:r>
                    <w:rPr>
                      <w:rFonts w:hint="eastAsia" w:ascii="Times New Roman" w:cs="Times New Roman"/>
                      <w:color w:val="auto"/>
                      <w:sz w:val="21"/>
                      <w:szCs w:val="21"/>
                    </w:rPr>
                    <w:t>20（无量纲）</w:t>
                  </w:r>
                </w:p>
              </w:tc>
              <w:tc>
                <w:tcPr>
                  <w:tcW w:w="486" w:type="pct"/>
                  <w:vAlign w:val="center"/>
                </w:tcPr>
                <w:p>
                  <w:pPr>
                    <w:pStyle w:val="69"/>
                    <w:rPr>
                      <w:rFonts w:eastAsiaTheme="minorEastAsia"/>
                      <w:sz w:val="21"/>
                      <w:szCs w:val="21"/>
                    </w:rPr>
                  </w:pPr>
                  <w:r>
                    <w:rPr>
                      <w:rFonts w:hint="eastAsia"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9"/>
                  <w:vAlign w:val="center"/>
                </w:tcPr>
                <w:p>
                  <w:pPr>
                    <w:pStyle w:val="69"/>
                    <w:rPr>
                      <w:rFonts w:eastAsiaTheme="minorEastAsia"/>
                      <w:sz w:val="21"/>
                      <w:szCs w:val="21"/>
                    </w:rPr>
                  </w:pPr>
                  <w:r>
                    <w:rPr>
                      <w:rFonts w:hint="eastAsia" w:eastAsiaTheme="minorEastAsia"/>
                      <w:sz w:val="21"/>
                      <w:szCs w:val="21"/>
                    </w:rPr>
                    <w:t>无组织排放总计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43" w:type="pct"/>
                  <w:gridSpan w:val="4"/>
                  <w:vMerge w:val="restart"/>
                  <w:vAlign w:val="center"/>
                </w:tcPr>
                <w:p>
                  <w:pPr>
                    <w:pStyle w:val="2"/>
                    <w:jc w:val="center"/>
                    <w:rPr>
                      <w:rFonts w:eastAsiaTheme="minorEastAsia"/>
                      <w:sz w:val="21"/>
                      <w:szCs w:val="21"/>
                    </w:rPr>
                  </w:pPr>
                  <w:r>
                    <w:rPr>
                      <w:rFonts w:hint="eastAsia" w:eastAsiaTheme="minorEastAsia"/>
                      <w:sz w:val="21"/>
                      <w:szCs w:val="21"/>
                    </w:rPr>
                    <w:t>无组织排放总计</w:t>
                  </w:r>
                </w:p>
              </w:tc>
              <w:tc>
                <w:tcPr>
                  <w:tcW w:w="2532" w:type="pct"/>
                  <w:gridSpan w:val="3"/>
                  <w:vAlign w:val="center"/>
                </w:tcPr>
                <w:p>
                  <w:pPr>
                    <w:pStyle w:val="2"/>
                    <w:jc w:val="center"/>
                    <w:rPr>
                      <w:rFonts w:ascii="Times New Roman" w:cs="Times New Roman"/>
                      <w:color w:val="auto"/>
                      <w:sz w:val="21"/>
                      <w:szCs w:val="21"/>
                    </w:rPr>
                  </w:pPr>
                  <w:r>
                    <w:rPr>
                      <w:rFonts w:eastAsiaTheme="minorEastAsia"/>
                      <w:sz w:val="21"/>
                      <w:szCs w:val="21"/>
                    </w:rPr>
                    <w:t>颗粒物</w:t>
                  </w:r>
                </w:p>
              </w:tc>
              <w:tc>
                <w:tcPr>
                  <w:tcW w:w="625" w:type="pct"/>
                  <w:gridSpan w:val="2"/>
                  <w:vAlign w:val="center"/>
                </w:tcPr>
                <w:p>
                  <w:pPr>
                    <w:pStyle w:val="69"/>
                    <w:rPr>
                      <w:rFonts w:eastAsiaTheme="minorEastAsia"/>
                      <w:sz w:val="21"/>
                      <w:szCs w:val="21"/>
                    </w:rPr>
                  </w:pPr>
                  <w:r>
                    <w:rPr>
                      <w:rFonts w:hint="eastAsia" w:eastAsiaTheme="minorEastAsia"/>
                      <w:sz w:val="21"/>
                      <w:szCs w:val="21"/>
                    </w:rPr>
                    <w:t>0.234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43" w:type="pct"/>
                  <w:gridSpan w:val="4"/>
                  <w:vMerge w:val="continue"/>
                  <w:vAlign w:val="center"/>
                </w:tcPr>
                <w:p>
                  <w:pPr>
                    <w:pStyle w:val="2"/>
                    <w:jc w:val="center"/>
                    <w:rPr>
                      <w:rFonts w:eastAsiaTheme="minorEastAsia"/>
                      <w:sz w:val="21"/>
                      <w:szCs w:val="21"/>
                    </w:rPr>
                  </w:pPr>
                </w:p>
              </w:tc>
              <w:tc>
                <w:tcPr>
                  <w:tcW w:w="2532" w:type="pct"/>
                  <w:gridSpan w:val="3"/>
                  <w:vAlign w:val="center"/>
                </w:tcPr>
                <w:p>
                  <w:pPr>
                    <w:pStyle w:val="2"/>
                    <w:jc w:val="center"/>
                    <w:rPr>
                      <w:rFonts w:ascii="Times New Roman" w:cs="Times New Roman"/>
                      <w:color w:val="auto"/>
                      <w:sz w:val="21"/>
                      <w:szCs w:val="21"/>
                    </w:rPr>
                  </w:pPr>
                  <w:r>
                    <w:rPr>
                      <w:rFonts w:eastAsiaTheme="minorEastAsia"/>
                      <w:sz w:val="21"/>
                      <w:szCs w:val="21"/>
                    </w:rPr>
                    <w:t>非甲烷总烃</w:t>
                  </w:r>
                </w:p>
              </w:tc>
              <w:tc>
                <w:tcPr>
                  <w:tcW w:w="625" w:type="pct"/>
                  <w:gridSpan w:val="2"/>
                  <w:vAlign w:val="center"/>
                </w:tcPr>
                <w:p>
                  <w:pPr>
                    <w:pStyle w:val="69"/>
                    <w:rPr>
                      <w:rFonts w:eastAsiaTheme="minorEastAsia"/>
                      <w:sz w:val="21"/>
                      <w:szCs w:val="21"/>
                    </w:rPr>
                  </w:pPr>
                  <w:r>
                    <w:rPr>
                      <w:rFonts w:hint="eastAsia" w:eastAsiaTheme="minorEastAsia"/>
                      <w:sz w:val="21"/>
                      <w:szCs w:val="21"/>
                    </w:rPr>
                    <w:t>0.051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43" w:type="pct"/>
                  <w:gridSpan w:val="4"/>
                  <w:vMerge w:val="continue"/>
                  <w:vAlign w:val="center"/>
                </w:tcPr>
                <w:p>
                  <w:pPr>
                    <w:pStyle w:val="2"/>
                    <w:jc w:val="center"/>
                    <w:rPr>
                      <w:rFonts w:eastAsiaTheme="minorEastAsia"/>
                      <w:sz w:val="21"/>
                      <w:szCs w:val="21"/>
                    </w:rPr>
                  </w:pPr>
                </w:p>
              </w:tc>
              <w:tc>
                <w:tcPr>
                  <w:tcW w:w="2532" w:type="pct"/>
                  <w:gridSpan w:val="3"/>
                  <w:vAlign w:val="center"/>
                </w:tcPr>
                <w:p>
                  <w:pPr>
                    <w:pStyle w:val="2"/>
                    <w:jc w:val="center"/>
                    <w:rPr>
                      <w:rFonts w:ascii="Times New Roman" w:cs="Times New Roman"/>
                      <w:color w:val="auto"/>
                      <w:sz w:val="21"/>
                      <w:szCs w:val="21"/>
                    </w:rPr>
                  </w:pPr>
                  <w:r>
                    <w:rPr>
                      <w:rFonts w:ascii="Times New Roman" w:cs="Times New Roman"/>
                      <w:color w:val="auto"/>
                      <w:sz w:val="21"/>
                      <w:szCs w:val="21"/>
                    </w:rPr>
                    <w:t>臭气浓度</w:t>
                  </w:r>
                </w:p>
              </w:tc>
              <w:tc>
                <w:tcPr>
                  <w:tcW w:w="625" w:type="pct"/>
                  <w:gridSpan w:val="2"/>
                  <w:vAlign w:val="center"/>
                </w:tcPr>
                <w:p>
                  <w:pPr>
                    <w:pStyle w:val="69"/>
                    <w:rPr>
                      <w:rFonts w:eastAsiaTheme="minorEastAsia"/>
                      <w:sz w:val="21"/>
                      <w:szCs w:val="21"/>
                    </w:rPr>
                  </w:pPr>
                  <w:r>
                    <w:rPr>
                      <w:rFonts w:hint="eastAsia" w:eastAsiaTheme="minorEastAsia"/>
                      <w:sz w:val="21"/>
                      <w:szCs w:val="21"/>
                    </w:rPr>
                    <w:t>/</w:t>
                  </w:r>
                </w:p>
              </w:tc>
            </w:tr>
          </w:tbl>
          <w:p>
            <w:pPr>
              <w:pStyle w:val="2"/>
              <w:spacing w:line="360" w:lineRule="auto"/>
              <w:ind w:firstLine="480" w:firstLineChars="200"/>
              <w:jc w:val="both"/>
              <w:rPr>
                <w:rFonts w:ascii="Times New Roman" w:cs="Times New Roman" w:eastAsiaTheme="minorEastAsia"/>
                <w:color w:val="auto"/>
              </w:rPr>
            </w:pPr>
            <w:r>
              <w:rPr>
                <w:rFonts w:hint="eastAsia" w:ascii="Times New Roman" w:cs="Times New Roman" w:eastAsiaTheme="minorEastAsia"/>
                <w:color w:val="auto"/>
              </w:rPr>
              <w:t>项目大气污染物年排放量核算表见下表。</w:t>
            </w:r>
          </w:p>
          <w:p>
            <w:pPr>
              <w:spacing w:beforeLines="50"/>
              <w:jc w:val="center"/>
              <w:rPr>
                <w:b/>
                <w:szCs w:val="21"/>
              </w:rPr>
            </w:pPr>
            <w:r>
              <w:rPr>
                <w:rFonts w:hint="eastAsia"/>
                <w:b/>
                <w:szCs w:val="21"/>
              </w:rPr>
              <w:t>表4-7  大气污染物年排放量核算表</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7"/>
              <w:gridCol w:w="1877"/>
              <w:gridCol w:w="1889"/>
              <w:gridCol w:w="1889"/>
              <w:gridCol w:w="18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15" w:type="dxa"/>
                  <w:vAlign w:val="center"/>
                </w:tcPr>
                <w:p>
                  <w:pPr>
                    <w:pStyle w:val="2"/>
                    <w:jc w:val="center"/>
                    <w:rPr>
                      <w:rFonts w:ascii="Times New Roman" w:cs="Times New Roman" w:eastAsiaTheme="minorEastAsia"/>
                      <w:b/>
                      <w:sz w:val="21"/>
                      <w:szCs w:val="21"/>
                    </w:rPr>
                  </w:pPr>
                  <w:r>
                    <w:rPr>
                      <w:rFonts w:ascii="Times New Roman" w:cs="Times New Roman" w:eastAsiaTheme="minorEastAsia"/>
                      <w:b/>
                      <w:sz w:val="21"/>
                      <w:szCs w:val="21"/>
                    </w:rPr>
                    <w:t>序号</w:t>
                  </w:r>
                </w:p>
              </w:tc>
              <w:tc>
                <w:tcPr>
                  <w:tcW w:w="1915" w:type="dxa"/>
                  <w:vAlign w:val="center"/>
                </w:tcPr>
                <w:p>
                  <w:pPr>
                    <w:pStyle w:val="2"/>
                    <w:jc w:val="center"/>
                    <w:rPr>
                      <w:rFonts w:ascii="Times New Roman" w:cs="Times New Roman" w:eastAsiaTheme="minorEastAsia"/>
                      <w:b/>
                      <w:sz w:val="21"/>
                      <w:szCs w:val="21"/>
                    </w:rPr>
                  </w:pPr>
                  <w:r>
                    <w:rPr>
                      <w:rFonts w:ascii="Times New Roman" w:cs="Times New Roman" w:eastAsiaTheme="minorEastAsia"/>
                      <w:b/>
                      <w:sz w:val="21"/>
                      <w:szCs w:val="21"/>
                    </w:rPr>
                    <w:t>污染物</w:t>
                  </w:r>
                </w:p>
              </w:tc>
              <w:tc>
                <w:tcPr>
                  <w:tcW w:w="1915" w:type="dxa"/>
                  <w:vAlign w:val="center"/>
                </w:tcPr>
                <w:p>
                  <w:pPr>
                    <w:pStyle w:val="2"/>
                    <w:jc w:val="center"/>
                    <w:rPr>
                      <w:rFonts w:ascii="Times New Roman" w:cs="Times New Roman" w:eastAsiaTheme="minorEastAsia"/>
                      <w:b/>
                      <w:sz w:val="21"/>
                      <w:szCs w:val="21"/>
                    </w:rPr>
                  </w:pPr>
                  <w:r>
                    <w:rPr>
                      <w:rFonts w:ascii="Times New Roman" w:cs="Times New Roman" w:eastAsiaTheme="minorEastAsia"/>
                      <w:b/>
                      <w:sz w:val="21"/>
                      <w:szCs w:val="21"/>
                    </w:rPr>
                    <w:t>有组织年排放量（</w:t>
                  </w:r>
                  <w:r>
                    <w:rPr>
                      <w:rFonts w:hint="eastAsia" w:ascii="Times New Roman" w:cs="Times New Roman" w:eastAsiaTheme="minorEastAsia"/>
                      <w:b/>
                      <w:sz w:val="21"/>
                      <w:szCs w:val="21"/>
                    </w:rPr>
                    <w:t>t/a</w:t>
                  </w:r>
                  <w:r>
                    <w:rPr>
                      <w:rFonts w:ascii="Times New Roman" w:cs="Times New Roman" w:eastAsiaTheme="minorEastAsia"/>
                      <w:b/>
                      <w:sz w:val="21"/>
                      <w:szCs w:val="21"/>
                    </w:rPr>
                    <w:t>）</w:t>
                  </w:r>
                </w:p>
              </w:tc>
              <w:tc>
                <w:tcPr>
                  <w:tcW w:w="1915" w:type="dxa"/>
                  <w:vAlign w:val="center"/>
                </w:tcPr>
                <w:p>
                  <w:pPr>
                    <w:pStyle w:val="2"/>
                    <w:jc w:val="center"/>
                    <w:rPr>
                      <w:rFonts w:ascii="Times New Roman" w:cs="Times New Roman" w:eastAsiaTheme="minorEastAsia"/>
                      <w:b/>
                      <w:sz w:val="21"/>
                      <w:szCs w:val="21"/>
                    </w:rPr>
                  </w:pPr>
                  <w:r>
                    <w:rPr>
                      <w:rFonts w:ascii="Times New Roman" w:cs="Times New Roman" w:eastAsiaTheme="minorEastAsia"/>
                      <w:b/>
                      <w:sz w:val="21"/>
                      <w:szCs w:val="21"/>
                    </w:rPr>
                    <w:t>无组织年排放量（</w:t>
                  </w:r>
                  <w:r>
                    <w:rPr>
                      <w:rFonts w:hint="eastAsia" w:ascii="Times New Roman" w:cs="Times New Roman" w:eastAsiaTheme="minorEastAsia"/>
                      <w:b/>
                      <w:sz w:val="21"/>
                      <w:szCs w:val="21"/>
                    </w:rPr>
                    <w:t>t/a</w:t>
                  </w:r>
                  <w:r>
                    <w:rPr>
                      <w:rFonts w:ascii="Times New Roman" w:cs="Times New Roman" w:eastAsiaTheme="minorEastAsia"/>
                      <w:b/>
                      <w:sz w:val="21"/>
                      <w:szCs w:val="21"/>
                    </w:rPr>
                    <w:t>）</w:t>
                  </w:r>
                </w:p>
              </w:tc>
              <w:tc>
                <w:tcPr>
                  <w:tcW w:w="1915" w:type="dxa"/>
                  <w:vAlign w:val="center"/>
                </w:tcPr>
                <w:p>
                  <w:pPr>
                    <w:pStyle w:val="2"/>
                    <w:jc w:val="center"/>
                    <w:rPr>
                      <w:rFonts w:ascii="Times New Roman" w:cs="Times New Roman" w:eastAsiaTheme="minorEastAsia"/>
                      <w:b/>
                      <w:sz w:val="21"/>
                      <w:szCs w:val="21"/>
                    </w:rPr>
                  </w:pPr>
                  <w:r>
                    <w:rPr>
                      <w:rFonts w:ascii="Times New Roman" w:cs="Times New Roman" w:eastAsiaTheme="minorEastAsia"/>
                      <w:b/>
                      <w:sz w:val="21"/>
                      <w:szCs w:val="21"/>
                    </w:rPr>
                    <w:t>年排放量（</w:t>
                  </w:r>
                  <w:r>
                    <w:rPr>
                      <w:rFonts w:hint="eastAsia" w:ascii="Times New Roman" w:cs="Times New Roman" w:eastAsiaTheme="minorEastAsia"/>
                      <w:b/>
                      <w:sz w:val="21"/>
                      <w:szCs w:val="21"/>
                    </w:rPr>
                    <w:t>t/a</w:t>
                  </w:r>
                  <w:r>
                    <w:rPr>
                      <w:rFonts w:ascii="Times New Roman" w:cs="Times New Roman" w:eastAsiaTheme="minorEastAsia"/>
                      <w:b/>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15" w:type="dxa"/>
                  <w:vAlign w:val="center"/>
                </w:tcPr>
                <w:p>
                  <w:pPr>
                    <w:pStyle w:val="2"/>
                    <w:jc w:val="center"/>
                    <w:rPr>
                      <w:rFonts w:ascii="Times New Roman" w:cs="Times New Roman" w:eastAsiaTheme="minorEastAsia"/>
                      <w:sz w:val="21"/>
                      <w:szCs w:val="21"/>
                    </w:rPr>
                  </w:pPr>
                  <w:r>
                    <w:rPr>
                      <w:rFonts w:ascii="Times New Roman" w:cs="Times New Roman" w:eastAsiaTheme="minorEastAsia"/>
                      <w:sz w:val="21"/>
                      <w:szCs w:val="21"/>
                    </w:rPr>
                    <w:t>1</w:t>
                  </w:r>
                </w:p>
              </w:tc>
              <w:tc>
                <w:tcPr>
                  <w:tcW w:w="1915" w:type="dxa"/>
                  <w:vAlign w:val="center"/>
                </w:tcPr>
                <w:p>
                  <w:pPr>
                    <w:pStyle w:val="2"/>
                    <w:jc w:val="center"/>
                    <w:rPr>
                      <w:rFonts w:ascii="Times New Roman" w:cs="Times New Roman" w:eastAsiaTheme="minorEastAsia"/>
                      <w:sz w:val="21"/>
                      <w:szCs w:val="21"/>
                    </w:rPr>
                  </w:pPr>
                  <w:r>
                    <w:rPr>
                      <w:rFonts w:ascii="Times New Roman" w:cs="Times New Roman" w:eastAsiaTheme="minorEastAsia"/>
                      <w:sz w:val="21"/>
                      <w:szCs w:val="21"/>
                    </w:rPr>
                    <w:t>颗粒物</w:t>
                  </w:r>
                </w:p>
              </w:tc>
              <w:tc>
                <w:tcPr>
                  <w:tcW w:w="1915" w:type="dxa"/>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0.021</w:t>
                  </w:r>
                </w:p>
              </w:tc>
              <w:tc>
                <w:tcPr>
                  <w:tcW w:w="1915" w:type="dxa"/>
                  <w:vAlign w:val="center"/>
                </w:tcPr>
                <w:p>
                  <w:pPr>
                    <w:pStyle w:val="69"/>
                    <w:rPr>
                      <w:rFonts w:eastAsiaTheme="minorEastAsia"/>
                      <w:sz w:val="21"/>
                      <w:szCs w:val="21"/>
                    </w:rPr>
                  </w:pPr>
                  <w:r>
                    <w:rPr>
                      <w:rFonts w:hint="eastAsia" w:eastAsiaTheme="minorEastAsia"/>
                      <w:sz w:val="21"/>
                      <w:szCs w:val="21"/>
                    </w:rPr>
                    <w:t>0.234</w:t>
                  </w:r>
                </w:p>
              </w:tc>
              <w:tc>
                <w:tcPr>
                  <w:tcW w:w="1915" w:type="dxa"/>
                  <w:vAlign w:val="center"/>
                </w:tcPr>
                <w:p>
                  <w:pPr>
                    <w:pStyle w:val="2"/>
                    <w:jc w:val="center"/>
                    <w:rPr>
                      <w:rFonts w:ascii="Times New Roman" w:cs="Times New Roman" w:eastAsiaTheme="minorEastAsia"/>
                      <w:sz w:val="21"/>
                      <w:szCs w:val="21"/>
                    </w:rPr>
                  </w:pPr>
                  <w:r>
                    <w:rPr>
                      <w:rFonts w:hint="eastAsia" w:ascii="Times New Roman" w:cs="Times New Roman" w:eastAsiaTheme="minorEastAsia"/>
                      <w:sz w:val="21"/>
                      <w:szCs w:val="21"/>
                    </w:rPr>
                    <w:t>0.255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15" w:type="dxa"/>
                  <w:vAlign w:val="center"/>
                </w:tcPr>
                <w:p>
                  <w:pPr>
                    <w:pStyle w:val="2"/>
                    <w:jc w:val="center"/>
                    <w:rPr>
                      <w:rFonts w:ascii="Times New Roman" w:cs="Times New Roman" w:eastAsiaTheme="minorEastAsia"/>
                      <w:sz w:val="21"/>
                      <w:szCs w:val="21"/>
                    </w:rPr>
                  </w:pPr>
                  <w:r>
                    <w:rPr>
                      <w:rFonts w:ascii="Times New Roman" w:cs="Times New Roman" w:eastAsiaTheme="minorEastAsia"/>
                      <w:sz w:val="21"/>
                      <w:szCs w:val="21"/>
                    </w:rPr>
                    <w:t>2</w:t>
                  </w:r>
                </w:p>
              </w:tc>
              <w:tc>
                <w:tcPr>
                  <w:tcW w:w="1915" w:type="dxa"/>
                  <w:vAlign w:val="center"/>
                </w:tcPr>
                <w:p>
                  <w:pPr>
                    <w:pStyle w:val="2"/>
                    <w:jc w:val="center"/>
                    <w:rPr>
                      <w:rFonts w:ascii="Times New Roman" w:cs="Times New Roman" w:eastAsiaTheme="minorEastAsia"/>
                      <w:sz w:val="21"/>
                      <w:szCs w:val="21"/>
                    </w:rPr>
                  </w:pPr>
                  <w:r>
                    <w:rPr>
                      <w:rFonts w:eastAsiaTheme="minorEastAsia"/>
                      <w:sz w:val="21"/>
                      <w:szCs w:val="21"/>
                    </w:rPr>
                    <w:t>非甲烷总烃</w:t>
                  </w:r>
                </w:p>
              </w:tc>
              <w:tc>
                <w:tcPr>
                  <w:tcW w:w="1915" w:type="dxa"/>
                  <w:vAlign w:val="center"/>
                </w:tcPr>
                <w:p>
                  <w:pPr>
                    <w:pStyle w:val="2"/>
                    <w:jc w:val="center"/>
                    <w:rPr>
                      <w:rFonts w:ascii="Times New Roman" w:cs="Times New Roman"/>
                      <w:color w:val="auto"/>
                      <w:sz w:val="21"/>
                      <w:szCs w:val="21"/>
                    </w:rPr>
                  </w:pPr>
                  <w:r>
                    <w:rPr>
                      <w:rFonts w:hint="eastAsia" w:ascii="Times New Roman" w:cs="Times New Roman"/>
                      <w:color w:val="auto"/>
                      <w:sz w:val="21"/>
                      <w:szCs w:val="21"/>
                    </w:rPr>
                    <w:t>0.189</w:t>
                  </w:r>
                </w:p>
              </w:tc>
              <w:tc>
                <w:tcPr>
                  <w:tcW w:w="1915" w:type="dxa"/>
                  <w:vAlign w:val="center"/>
                </w:tcPr>
                <w:p>
                  <w:pPr>
                    <w:pStyle w:val="69"/>
                    <w:rPr>
                      <w:rFonts w:eastAsiaTheme="minorEastAsia"/>
                      <w:sz w:val="21"/>
                      <w:szCs w:val="21"/>
                    </w:rPr>
                  </w:pPr>
                  <w:r>
                    <w:rPr>
                      <w:rFonts w:hint="eastAsia" w:eastAsiaTheme="minorEastAsia"/>
                      <w:sz w:val="21"/>
                      <w:szCs w:val="21"/>
                    </w:rPr>
                    <w:t>0.051</w:t>
                  </w:r>
                </w:p>
              </w:tc>
              <w:tc>
                <w:tcPr>
                  <w:tcW w:w="1915" w:type="dxa"/>
                  <w:vAlign w:val="center"/>
                </w:tcPr>
                <w:p>
                  <w:pPr>
                    <w:pStyle w:val="2"/>
                    <w:jc w:val="center"/>
                    <w:rPr>
                      <w:rFonts w:ascii="Times New Roman" w:cs="Times New Roman" w:eastAsiaTheme="minorEastAsia"/>
                      <w:sz w:val="21"/>
                      <w:szCs w:val="21"/>
                    </w:rPr>
                  </w:pPr>
                  <w:r>
                    <w:rPr>
                      <w:rFonts w:hint="eastAsia" w:ascii="Times New Roman" w:cs="Times New Roman" w:eastAsiaTheme="minorEastAsia"/>
                      <w:sz w:val="21"/>
                      <w:szCs w:val="21"/>
                    </w:rPr>
                    <w:t>0.240</w:t>
                  </w:r>
                </w:p>
              </w:tc>
            </w:tr>
          </w:tbl>
          <w:p>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3、大气污染物排放达标情况</w:t>
            </w:r>
          </w:p>
          <w:p>
            <w:pPr>
              <w:pStyle w:val="96"/>
              <w:ind w:firstLine="482"/>
              <w:jc w:val="both"/>
              <w:rPr>
                <w:b/>
              </w:rPr>
            </w:pPr>
            <w:r>
              <w:rPr>
                <w:rFonts w:eastAsiaTheme="minorEastAsia"/>
                <w:b/>
              </w:rPr>
              <w:t>（</w:t>
            </w:r>
            <w:r>
              <w:rPr>
                <w:rFonts w:hint="eastAsia" w:eastAsiaTheme="minorEastAsia"/>
                <w:b/>
              </w:rPr>
              <w:t>1</w:t>
            </w:r>
            <w:r>
              <w:rPr>
                <w:rFonts w:eastAsiaTheme="minorEastAsia"/>
                <w:b/>
              </w:rPr>
              <w:t>）工艺废气（</w:t>
            </w:r>
            <w:r>
              <w:rPr>
                <w:rFonts w:hint="eastAsia" w:eastAsiaTheme="minorEastAsia"/>
                <w:b/>
              </w:rPr>
              <w:t>颗粒物、</w:t>
            </w:r>
            <w:r>
              <w:rPr>
                <w:rFonts w:eastAsiaTheme="minorEastAsia"/>
                <w:b/>
              </w:rPr>
              <w:t>VOCs、臭气浓度）</w:t>
            </w:r>
          </w:p>
          <w:p>
            <w:pPr>
              <w:pStyle w:val="2"/>
              <w:spacing w:line="360" w:lineRule="auto"/>
              <w:ind w:firstLine="480" w:firstLineChars="200"/>
              <w:jc w:val="both"/>
              <w:rPr>
                <w:rFonts w:ascii="Times New Roman" w:cs="Times New Roman" w:eastAsiaTheme="minorEastAsia"/>
                <w:color w:val="auto"/>
              </w:rPr>
            </w:pPr>
            <w:r>
              <w:rPr>
                <w:rFonts w:hint="eastAsia" w:ascii="Times New Roman" w:cs="Times New Roman" w:eastAsiaTheme="minorEastAsia"/>
                <w:color w:val="auto"/>
              </w:rPr>
              <w:t>项目工艺废气详细治理工艺如下图所示。</w:t>
            </w:r>
          </w:p>
          <w:p>
            <w:pPr>
              <w:pStyle w:val="96"/>
              <w:spacing w:line="240" w:lineRule="auto"/>
              <w:ind w:firstLine="0" w:firstLineChars="0"/>
              <w:jc w:val="center"/>
            </w:pPr>
            <w:r>
              <w:object>
                <v:shape id="_x0000_i1029" o:spt="75" type="#_x0000_t75" style="height:344.25pt;width:441.75pt;" o:ole="t" filled="f" o:preferrelative="t" stroked="f" coordsize="21600,21600">
                  <v:path/>
                  <v:fill on="f" focussize="0,0"/>
                  <v:stroke on="f" joinstyle="miter"/>
                  <v:imagedata r:id="rId21" o:title=""/>
                  <o:lock v:ext="edit" aspectratio="t"/>
                  <w10:wrap type="none"/>
                  <w10:anchorlock/>
                </v:shape>
                <o:OLEObject Type="Embed" ProgID="Visio.Drawing.15" ShapeID="_x0000_i1029" DrawAspect="Content" ObjectID="_1468075729" r:id="rId20">
                  <o:LockedField>false</o:LockedField>
                </o:OLEObject>
              </w:object>
            </w:r>
          </w:p>
          <w:p>
            <w:pPr>
              <w:adjustRightInd w:val="0"/>
              <w:snapToGrid w:val="0"/>
              <w:spacing w:afterLines="50"/>
              <w:jc w:val="center"/>
              <w:rPr>
                <w:b/>
                <w:bCs/>
                <w:szCs w:val="21"/>
              </w:rPr>
            </w:pPr>
            <w:r>
              <w:rPr>
                <w:b/>
                <w:bCs/>
                <w:szCs w:val="21"/>
              </w:rPr>
              <w:t>图</w:t>
            </w:r>
            <w:r>
              <w:rPr>
                <w:rFonts w:hint="eastAsia"/>
                <w:b/>
                <w:bCs/>
                <w:szCs w:val="21"/>
              </w:rPr>
              <w:t>4-1</w:t>
            </w:r>
            <w:r>
              <w:rPr>
                <w:b/>
                <w:bCs/>
                <w:szCs w:val="21"/>
              </w:rPr>
              <w:t xml:space="preserve"> </w:t>
            </w:r>
            <w:r>
              <w:rPr>
                <w:rFonts w:hint="eastAsia"/>
                <w:b/>
                <w:bCs/>
                <w:szCs w:val="21"/>
              </w:rPr>
              <w:t xml:space="preserve"> 项目废气处理工艺图</w:t>
            </w:r>
          </w:p>
          <w:p>
            <w:pPr>
              <w:pStyle w:val="96"/>
            </w:pPr>
            <w:r>
              <w:rPr>
                <w:rFonts w:hint="eastAsia"/>
              </w:rPr>
              <w:t>经以上处理后，外排废气污染物中：有组织排放废气中颗粒物、非甲烷总烃达到《大气污染物综合排放标准》（GB16297-1996）表2新污染物排放限值，臭气浓度达到《恶臭污染物排放标准》表 2 恶臭污染物排放标准值，对区域大气环境影响不大。厂界无组织排放颗粒物、非甲烷总烃达到《大气污染物综合排放标准》（GB16297-1996）表2无组织排放监控浓度限值；臭气浓度达到《恶臭污染物排放标准》（GB14554-93）表1恶臭污染物厂界标准值。</w:t>
            </w:r>
          </w:p>
          <w:p>
            <w:pPr>
              <w:pStyle w:val="96"/>
              <w:ind w:firstLine="482"/>
              <w:jc w:val="both"/>
              <w:rPr>
                <w:rFonts w:eastAsiaTheme="minorEastAsia"/>
                <w:b/>
              </w:rPr>
            </w:pPr>
            <w:r>
              <w:rPr>
                <w:rFonts w:hint="eastAsia" w:eastAsiaTheme="minorEastAsia"/>
                <w:b/>
              </w:rPr>
              <w:t>（2）食堂油烟</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项目员工均在厂区内用餐，厨房油烟经静电油烟净化器处理后，可满足《饮食业油烟排放标准》（GB18483-2001）的相关要求，处理后的油烟经过专用烟道引至所在建筑楼顶高空排放，外排废气经周围大气稀释和扩散后对周围环境无明显影响。</w:t>
            </w:r>
          </w:p>
          <w:p>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4、各环保措施的技术经济可行性分析</w:t>
            </w:r>
          </w:p>
          <w:p>
            <w:pPr>
              <w:pStyle w:val="96"/>
              <w:ind w:firstLine="482"/>
              <w:jc w:val="both"/>
              <w:rPr>
                <w:b/>
              </w:rPr>
            </w:pPr>
            <w:r>
              <w:rPr>
                <w:rFonts w:hint="eastAsia"/>
                <w:b/>
              </w:rPr>
              <w:t>（1）工艺废气</w:t>
            </w:r>
            <w:r>
              <w:rPr>
                <w:rFonts w:eastAsiaTheme="minorEastAsia"/>
                <w:b/>
              </w:rPr>
              <w:t>（</w:t>
            </w:r>
            <w:r>
              <w:rPr>
                <w:rFonts w:hint="eastAsia" w:eastAsiaTheme="minorEastAsia"/>
                <w:b/>
              </w:rPr>
              <w:t>颗粒物、</w:t>
            </w:r>
            <w:r>
              <w:rPr>
                <w:rFonts w:eastAsiaTheme="minorEastAsia"/>
                <w:b/>
              </w:rPr>
              <w:t>VOCs、臭气浓度）</w:t>
            </w:r>
          </w:p>
          <w:p>
            <w:pPr>
              <w:pStyle w:val="96"/>
              <w:ind w:firstLine="482"/>
            </w:pPr>
            <w:r>
              <w:rPr>
                <w:rFonts w:hint="eastAsia"/>
                <w:b/>
              </w:rPr>
              <w:t>布袋除尘器：</w:t>
            </w:r>
            <w:r>
              <w:rPr>
                <w:rFonts w:hint="eastAsia"/>
              </w:rPr>
              <w:t>设备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由于设备分为若干个箱区，所以上述过程是逐箱进行的，一个箱区在清灰时，其余箱区仍在正常工作，保证了设备的连续正常运转</w:t>
            </w:r>
            <w:r>
              <w:t>。</w:t>
            </w:r>
          </w:p>
          <w:p>
            <w:pPr>
              <w:pStyle w:val="96"/>
              <w:ind w:firstLine="482"/>
              <w:jc w:val="both"/>
              <w:rPr>
                <w:b/>
              </w:rPr>
            </w:pPr>
            <w:r>
              <w:rPr>
                <w:rFonts w:hint="eastAsia"/>
                <w:b/>
              </w:rPr>
              <w:t>活性炭吸附：</w:t>
            </w:r>
          </w:p>
          <w:p>
            <w:pPr>
              <w:pStyle w:val="96"/>
            </w:pPr>
            <w:r>
              <w:rPr>
                <w:rFonts w:hint="eastAsia"/>
              </w:rPr>
              <w:t>活性炭是一种很细小的炭粒，有很大的表面积，而且炭粒中还有更细小的孔——毛细管。这种毛细管具有很强的吸附能力，由于炭粒的表面积很大，从而赋予了活性炭所特有的吸附性能，所以能与气体（杂质）充分接触，当这些气体（杂质）碰到毛细管就被吸附，起到净化作用。</w:t>
            </w:r>
          </w:p>
          <w:p>
            <w:pPr>
              <w:pStyle w:val="96"/>
            </w:pPr>
            <w:r>
              <w:rPr>
                <w:rFonts w:hint="eastAsia"/>
              </w:rPr>
              <w:t>活性炭吸附法处理有机废气是目前最成熟的废气处理方式之一，活性炭吸附的效果较好，且设备简单、投资少，从而很大程度上减少对环境的污染。活性炭吸附处理在治理有机废气方面应用比较广泛，活性炭由于比表面积大，质量轻，良好的选择活性及热稳定性等特点，广泛应用于注塑、五金喷漆、喷漆废气、化工及恶臭气体的治理方面。</w:t>
            </w:r>
          </w:p>
          <w:p>
            <w:pPr>
              <w:pStyle w:val="96"/>
            </w:pPr>
            <w:r>
              <w:t>对比《固定污染源排污许可分类管理名录》（2019年版），本项目排污许可申报参考的技术规范为《排污许可</w:t>
            </w:r>
            <w:r>
              <w:rPr>
                <w:rFonts w:hint="eastAsia"/>
              </w:rPr>
              <w:t>证</w:t>
            </w:r>
            <w:r>
              <w:t xml:space="preserve">申请与核发技术规范 </w:t>
            </w:r>
            <w:r>
              <w:rPr>
                <w:rFonts w:hint="eastAsia"/>
              </w:rPr>
              <w:t>专用化学产品制造工业</w:t>
            </w:r>
            <w:r>
              <w:t>》（HJ</w:t>
            </w:r>
            <w:r>
              <w:rPr>
                <w:rFonts w:hint="eastAsia"/>
              </w:rPr>
              <w:t>1103</w:t>
            </w:r>
            <w:r>
              <w:t>-20</w:t>
            </w:r>
            <w:r>
              <w:rPr>
                <w:rFonts w:hint="eastAsia"/>
              </w:rPr>
              <w:t>20</w:t>
            </w:r>
            <w:r>
              <w:t>）</w:t>
            </w:r>
            <w:r>
              <w:rPr>
                <w:rFonts w:hint="eastAsia"/>
              </w:rPr>
              <w:t>。根据表C.1“废气污染防治可行技术参考表”可知，项目有机废气采用活性炭吸附属于可行技术。</w:t>
            </w:r>
          </w:p>
          <w:p>
            <w:pPr>
              <w:pStyle w:val="96"/>
              <w:jc w:val="both"/>
            </w:pPr>
            <w:r>
              <w:rPr>
                <w:rFonts w:hint="eastAsia"/>
              </w:rPr>
              <w:t>根据计算，本项目建成后各排气筒排放的TVOC、</w:t>
            </w:r>
            <w:r>
              <w:t>颗粒物</w:t>
            </w:r>
            <w:r>
              <w:rPr>
                <w:rFonts w:hint="eastAsia"/>
              </w:rPr>
              <w:t>满足《大气污染物综合排放标准》（GB16297-1996）表2新污染物排放限值</w:t>
            </w:r>
            <w:r>
              <w:t>。</w:t>
            </w:r>
            <w:r>
              <w:rPr>
                <w:rFonts w:hint="eastAsia"/>
              </w:rPr>
              <w:t>工程废气处理措施可行。</w:t>
            </w:r>
          </w:p>
          <w:p>
            <w:pPr>
              <w:pStyle w:val="96"/>
              <w:ind w:firstLine="482"/>
              <w:jc w:val="both"/>
              <w:rPr>
                <w:b/>
              </w:rPr>
            </w:pPr>
            <w:r>
              <w:rPr>
                <w:rFonts w:hint="eastAsia"/>
                <w:b/>
              </w:rPr>
              <w:t>（2）食堂油烟</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饮食业排放的大气污染物主要为气溶胶，其中含有食用油及食品在高温下的挥发物，以及由食用油及食品的氧化、裂解、水解而形成的醛类、酮类、链烷类、链烯类、多环芳烃等，成份较为复杂。</w:t>
            </w:r>
          </w:p>
          <w:p>
            <w:pPr>
              <w:spacing w:line="360" w:lineRule="auto"/>
              <w:ind w:firstLine="480" w:firstLineChars="200"/>
              <w:jc w:val="left"/>
              <w:rPr>
                <w:sz w:val="24"/>
              </w:rPr>
            </w:pPr>
            <w:r>
              <w:rPr>
                <w:rFonts w:hint="eastAsia" w:hAnsiTheme="minorEastAsia" w:eastAsiaTheme="minorEastAsia"/>
                <w:kern w:val="0"/>
                <w:sz w:val="24"/>
              </w:rPr>
              <w:t>油烟净化装置工作原理为：在风机的作用下、油烟气混合污染物通过油烟净化器，利用直流电高压电场产生电晕放电现象，对流经净化器的油烟进行电离分解，形成微小荷电的油粒以及烟、尘、水粒子，在经过异极性的平板集尘器时被吸收，最后沉积到净化器的底部储油箱内并经导管排出，同时高压电场中产生的活性因子臭氧（</w:t>
            </w:r>
            <w:r>
              <w:rPr>
                <w:rFonts w:hAnsiTheme="minorEastAsia" w:eastAsiaTheme="minorEastAsia"/>
                <w:kern w:val="0"/>
                <w:sz w:val="24"/>
              </w:rPr>
              <w:t>O</w:t>
            </w:r>
            <w:r>
              <w:rPr>
                <w:rFonts w:hAnsiTheme="minorEastAsia" w:eastAsiaTheme="minorEastAsia"/>
                <w:kern w:val="0"/>
                <w:sz w:val="24"/>
                <w:vertAlign w:val="subscript"/>
              </w:rPr>
              <w:t>3</w:t>
            </w:r>
            <w:r>
              <w:rPr>
                <w:rFonts w:hint="eastAsia" w:hAnsiTheme="minorEastAsia" w:eastAsiaTheme="minorEastAsia"/>
                <w:kern w:val="0"/>
                <w:sz w:val="24"/>
              </w:rPr>
              <w:t>），对烟气中的有毒成份和异味进行分解和除味。目前，我国各大中型城市均已对饮食行业外排油烟进行净化治理。市场上油烟净化设施种类亦较多，且效果较好</w:t>
            </w:r>
            <w:r>
              <w:rPr>
                <w:rFonts w:hint="eastAsia"/>
                <w:sz w:val="24"/>
              </w:rPr>
              <w:t>。</w:t>
            </w:r>
          </w:p>
          <w:p>
            <w:pPr>
              <w:pStyle w:val="96"/>
              <w:ind w:firstLine="482"/>
              <w:jc w:val="both"/>
              <w:rPr>
                <w:b/>
              </w:rPr>
            </w:pPr>
            <w:r>
              <w:rPr>
                <w:rFonts w:hint="eastAsia"/>
                <w:b/>
              </w:rPr>
              <w:t>（3）挥发性有机物无组织排放控制要求</w:t>
            </w:r>
          </w:p>
          <w:p>
            <w:pPr>
              <w:pStyle w:val="109"/>
              <w:rPr>
                <w:rFonts w:hAnsiTheme="minorEastAsia" w:eastAsiaTheme="minorEastAsia"/>
                <w:kern w:val="0"/>
              </w:rPr>
            </w:pPr>
            <w:r>
              <w:rPr>
                <w:rFonts w:hint="eastAsia" w:hAnsiTheme="minorEastAsia" w:eastAsiaTheme="minorEastAsia"/>
                <w:kern w:val="0"/>
              </w:rPr>
              <w:t>为减少无组织 VOCs 废气产排，企业生产阶段应落实如下措施：</w:t>
            </w:r>
          </w:p>
          <w:p>
            <w:pPr>
              <w:pStyle w:val="109"/>
              <w:rPr>
                <w:rFonts w:hAnsiTheme="minorEastAsia" w:eastAsiaTheme="minorEastAsia"/>
                <w:kern w:val="0"/>
              </w:rPr>
            </w:pPr>
            <w:r>
              <w:rPr>
                <w:rFonts w:hint="eastAsia" w:hAnsiTheme="minorEastAsia" w:eastAsiaTheme="minorEastAsia"/>
                <w:kern w:val="0"/>
              </w:rPr>
              <w:t>A、物料储存要求</w:t>
            </w:r>
          </w:p>
          <w:p>
            <w:pPr>
              <w:pStyle w:val="109"/>
              <w:rPr>
                <w:rFonts w:hAnsiTheme="minorEastAsia" w:eastAsiaTheme="minorEastAsia"/>
                <w:kern w:val="0"/>
              </w:rPr>
            </w:pPr>
            <w:r>
              <w:rPr>
                <w:rFonts w:hint="eastAsia" w:hAnsiTheme="minorEastAsia" w:eastAsiaTheme="minorEastAsia"/>
                <w:kern w:val="0"/>
              </w:rPr>
              <w:t>①VOCs物料应储存于密闭的包装桶中，存放于室内或具有防雨、防晒及防渗设施的专用场所，在非取出状态时应加盖、封口，保持密闭；包装桶应密封良好。</w:t>
            </w:r>
          </w:p>
          <w:p>
            <w:pPr>
              <w:pStyle w:val="109"/>
              <w:rPr>
                <w:rFonts w:hAnsiTheme="minorEastAsia" w:eastAsiaTheme="minorEastAsia"/>
                <w:kern w:val="0"/>
              </w:rPr>
            </w:pPr>
            <w:r>
              <w:rPr>
                <w:rFonts w:hint="eastAsia" w:hAnsiTheme="minorEastAsia" w:eastAsiaTheme="minorEastAsia"/>
                <w:kern w:val="0"/>
              </w:rPr>
              <w:t>②搅拌罐、调和罐及分装储罐运行及操作工程中低压操作，除投料（分装）、取样、例行检查、维护及其他正常活动外，应保持密闭。</w:t>
            </w:r>
          </w:p>
          <w:p>
            <w:pPr>
              <w:pStyle w:val="109"/>
              <w:rPr>
                <w:rFonts w:hAnsiTheme="minorEastAsia" w:eastAsiaTheme="minorEastAsia"/>
                <w:kern w:val="0"/>
              </w:rPr>
            </w:pPr>
            <w:r>
              <w:rPr>
                <w:rFonts w:hint="eastAsia" w:hAnsiTheme="minorEastAsia" w:eastAsiaTheme="minorEastAsia"/>
                <w:kern w:val="0"/>
              </w:rPr>
              <w:t>③搅拌罐、调和罐、成品储罐定期检查，杜绝泄漏，不应有孔洞、缝隙；生产阶段除取样、分装、例行检查、维护和其他正常活动外，应密闭。</w:t>
            </w:r>
          </w:p>
          <w:p>
            <w:pPr>
              <w:pStyle w:val="109"/>
              <w:rPr>
                <w:rFonts w:hAnsiTheme="minorEastAsia" w:eastAsiaTheme="minorEastAsia"/>
                <w:kern w:val="0"/>
              </w:rPr>
            </w:pPr>
            <w:r>
              <w:rPr>
                <w:rFonts w:hint="eastAsia" w:hAnsiTheme="minorEastAsia" w:eastAsiaTheme="minorEastAsia"/>
                <w:kern w:val="0"/>
              </w:rPr>
              <w:t>B、物料转移和输送</w:t>
            </w:r>
          </w:p>
          <w:p>
            <w:pPr>
              <w:pStyle w:val="109"/>
              <w:rPr>
                <w:rFonts w:hAnsiTheme="minorEastAsia" w:eastAsiaTheme="minorEastAsia"/>
                <w:kern w:val="0"/>
              </w:rPr>
            </w:pPr>
            <w:r>
              <w:rPr>
                <w:rFonts w:hint="eastAsia" w:hAnsiTheme="minorEastAsia" w:eastAsiaTheme="minorEastAsia"/>
                <w:kern w:val="0"/>
              </w:rPr>
              <w:t>①除粉状物料外，液态物料均需采用密闭管路自动配料及输送至分装储罐。</w:t>
            </w:r>
          </w:p>
          <w:p>
            <w:pPr>
              <w:pStyle w:val="109"/>
              <w:rPr>
                <w:rFonts w:hAnsiTheme="minorEastAsia" w:eastAsiaTheme="minorEastAsia"/>
                <w:kern w:val="0"/>
              </w:rPr>
            </w:pPr>
            <w:r>
              <w:rPr>
                <w:rFonts w:hint="eastAsia" w:hAnsiTheme="minorEastAsia" w:eastAsiaTheme="minorEastAsia"/>
                <w:kern w:val="0"/>
              </w:rPr>
              <w:t>②原料及成品运输阶段均采用密闭中转桶进行物料转移。</w:t>
            </w:r>
          </w:p>
          <w:p>
            <w:pPr>
              <w:pStyle w:val="109"/>
              <w:rPr>
                <w:rFonts w:hAnsiTheme="minorEastAsia" w:eastAsiaTheme="minorEastAsia"/>
                <w:kern w:val="0"/>
              </w:rPr>
            </w:pPr>
            <w:r>
              <w:rPr>
                <w:rFonts w:hint="eastAsia" w:hAnsiTheme="minorEastAsia" w:eastAsiaTheme="minorEastAsia"/>
                <w:kern w:val="0"/>
              </w:rPr>
              <w:t>C、生产过程工艺管控</w:t>
            </w:r>
          </w:p>
          <w:p>
            <w:pPr>
              <w:pStyle w:val="109"/>
              <w:rPr>
                <w:rFonts w:hAnsiTheme="minorEastAsia" w:eastAsiaTheme="minorEastAsia"/>
                <w:kern w:val="0"/>
              </w:rPr>
            </w:pPr>
            <w:r>
              <w:rPr>
                <w:rFonts w:hint="eastAsia" w:hAnsiTheme="minorEastAsia" w:eastAsiaTheme="minorEastAsia"/>
                <w:kern w:val="0"/>
              </w:rPr>
              <w:t>①液态物料采用密闭管路、计量泵等方式密闭投加，分装过程中尽量保持密闭，产品灌装完成后立即加盖、封口。</w:t>
            </w:r>
          </w:p>
          <w:p>
            <w:pPr>
              <w:pStyle w:val="109"/>
              <w:rPr>
                <w:rFonts w:hAnsiTheme="minorEastAsia" w:eastAsiaTheme="minorEastAsia"/>
                <w:kern w:val="0"/>
              </w:rPr>
            </w:pPr>
            <w:r>
              <w:rPr>
                <w:rFonts w:hint="eastAsia" w:hAnsiTheme="minorEastAsia" w:eastAsiaTheme="minorEastAsia"/>
                <w:kern w:val="0"/>
              </w:rPr>
              <w:t>②生产时车间密闭，确保物料在密闭空间内完成操作。运行过程中定期对搅拌罐、调和罐、分装储罐及输送管线、阀门进行泄漏检测，确保设备正常运行，如遇异常状况及时停工检修。</w:t>
            </w:r>
          </w:p>
          <w:p>
            <w:pPr>
              <w:pStyle w:val="109"/>
              <w:rPr>
                <w:rFonts w:hAnsiTheme="minorEastAsia" w:eastAsiaTheme="minorEastAsia"/>
                <w:kern w:val="0"/>
              </w:rPr>
            </w:pPr>
            <w:r>
              <w:rPr>
                <w:rFonts w:hint="eastAsia" w:hAnsiTheme="minorEastAsia" w:eastAsiaTheme="minorEastAsia"/>
                <w:kern w:val="0"/>
              </w:rPr>
              <w:t>D、其他要求</w:t>
            </w:r>
          </w:p>
          <w:p>
            <w:pPr>
              <w:pStyle w:val="109"/>
              <w:rPr>
                <w:rFonts w:hAnsiTheme="minorEastAsia" w:eastAsiaTheme="minorEastAsia"/>
                <w:kern w:val="0"/>
              </w:rPr>
            </w:pPr>
            <w:r>
              <w:rPr>
                <w:rFonts w:hint="eastAsia" w:hAnsiTheme="minorEastAsia" w:eastAsiaTheme="minorEastAsia"/>
                <w:kern w:val="0"/>
              </w:rPr>
              <w:t>①建立台账，记录各物料名称、使用量、进场信息及产品去向等信息，台账保存不少于5年。</w:t>
            </w:r>
          </w:p>
          <w:p>
            <w:pPr>
              <w:pStyle w:val="109"/>
              <w:rPr>
                <w:rFonts w:hAnsiTheme="minorEastAsia" w:eastAsiaTheme="minorEastAsia"/>
                <w:kern w:val="0"/>
              </w:rPr>
            </w:pPr>
            <w:r>
              <w:rPr>
                <w:rFonts w:hint="eastAsia" w:hAnsiTheme="minorEastAsia" w:eastAsiaTheme="minorEastAsia"/>
                <w:kern w:val="0"/>
              </w:rPr>
              <w:t>②生产车间应在符合安全生产、职业卫生相关规定的前提下，根据行业作业规程与标准、工业建筑及洁净厂房通风设计规范的要求，采用合理的通风量。</w:t>
            </w:r>
          </w:p>
          <w:p>
            <w:pPr>
              <w:pStyle w:val="96"/>
              <w:jc w:val="both"/>
              <w:rPr>
                <w:rFonts w:hAnsiTheme="minorEastAsia" w:eastAsiaTheme="minorEastAsia"/>
                <w:kern w:val="0"/>
                <w:szCs w:val="24"/>
              </w:rPr>
            </w:pPr>
            <w:r>
              <w:rPr>
                <w:rFonts w:hint="eastAsia" w:hAnsiTheme="minorEastAsia" w:eastAsiaTheme="minorEastAsia"/>
                <w:kern w:val="0"/>
                <w:szCs w:val="24"/>
              </w:rPr>
              <w:t>综上，项目废气治理措施在技术上是可行的</w:t>
            </w:r>
            <w:r>
              <w:rPr>
                <w:rFonts w:hAnsiTheme="minorEastAsia" w:eastAsiaTheme="minorEastAsia"/>
                <w:kern w:val="0"/>
                <w:szCs w:val="24"/>
              </w:rPr>
              <w:t>。</w:t>
            </w:r>
          </w:p>
          <w:p>
            <w:pPr>
              <w:pStyle w:val="2"/>
              <w:spacing w:line="360" w:lineRule="auto"/>
              <w:ind w:firstLine="482" w:firstLineChars="200"/>
              <w:jc w:val="both"/>
              <w:rPr>
                <w:b/>
                <w:color w:val="auto"/>
              </w:rPr>
            </w:pPr>
            <w:r>
              <w:rPr>
                <w:rFonts w:hint="eastAsia" w:ascii="Times New Roman" w:cs="Times New Roman"/>
                <w:b/>
                <w:color w:val="auto"/>
              </w:rPr>
              <w:t>5、</w:t>
            </w:r>
            <w:r>
              <w:rPr>
                <w:rFonts w:hint="eastAsia"/>
                <w:b/>
                <w:color w:val="auto"/>
              </w:rPr>
              <w:t>排污口设置情况、监测要求</w:t>
            </w:r>
          </w:p>
          <w:p>
            <w:pPr>
              <w:adjustRightInd w:val="0"/>
              <w:snapToGrid w:val="0"/>
              <w:spacing w:line="360" w:lineRule="auto"/>
              <w:ind w:firstLine="480" w:firstLineChars="200"/>
              <w:rPr>
                <w:rFonts w:cs="宋体"/>
                <w:kern w:val="0"/>
                <w:sz w:val="24"/>
              </w:rPr>
            </w:pPr>
            <w:r>
              <w:rPr>
                <w:rFonts w:hint="eastAsia" w:cs="宋体"/>
                <w:kern w:val="0"/>
                <w:sz w:val="24"/>
              </w:rPr>
              <w:t>项目废气排放口情况如下表：</w:t>
            </w:r>
          </w:p>
          <w:p>
            <w:pPr>
              <w:adjustRightInd w:val="0"/>
              <w:snapToGrid w:val="0"/>
              <w:spacing w:beforeLines="50"/>
              <w:jc w:val="center"/>
              <w:rPr>
                <w:b/>
                <w:szCs w:val="21"/>
              </w:rPr>
            </w:pPr>
            <w:r>
              <w:rPr>
                <w:rFonts w:hint="eastAsia"/>
                <w:b/>
                <w:szCs w:val="21"/>
              </w:rPr>
              <w:t>表4-8  本项目废气排放口设置情况</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3"/>
              <w:gridCol w:w="1342"/>
              <w:gridCol w:w="1449"/>
              <w:gridCol w:w="869"/>
              <w:gridCol w:w="854"/>
              <w:gridCol w:w="891"/>
              <w:gridCol w:w="1822"/>
              <w:gridCol w:w="13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469" w:type="pct"/>
                  <w:vMerge w:val="restart"/>
                  <w:vAlign w:val="center"/>
                </w:tcPr>
                <w:p>
                  <w:pPr>
                    <w:adjustRightInd w:val="0"/>
                    <w:snapToGrid w:val="0"/>
                    <w:jc w:val="center"/>
                    <w:rPr>
                      <w:b/>
                      <w:szCs w:val="21"/>
                    </w:rPr>
                  </w:pPr>
                  <w:r>
                    <w:rPr>
                      <w:rFonts w:hint="eastAsia"/>
                      <w:b/>
                      <w:szCs w:val="21"/>
                    </w:rPr>
                    <w:t>排放口编号</w:t>
                  </w:r>
                </w:p>
              </w:tc>
              <w:tc>
                <w:tcPr>
                  <w:tcW w:w="712" w:type="pct"/>
                  <w:vMerge w:val="restart"/>
                  <w:shd w:val="clear" w:color="auto" w:fill="auto"/>
                  <w:vAlign w:val="center"/>
                </w:tcPr>
                <w:p>
                  <w:pPr>
                    <w:adjustRightInd w:val="0"/>
                    <w:snapToGrid w:val="0"/>
                    <w:jc w:val="center"/>
                    <w:rPr>
                      <w:b/>
                      <w:szCs w:val="21"/>
                    </w:rPr>
                  </w:pPr>
                  <w:r>
                    <w:rPr>
                      <w:b/>
                      <w:szCs w:val="21"/>
                    </w:rPr>
                    <w:t>废气类型</w:t>
                  </w:r>
                </w:p>
              </w:tc>
              <w:tc>
                <w:tcPr>
                  <w:tcW w:w="769" w:type="pct"/>
                  <w:vMerge w:val="restart"/>
                  <w:vAlign w:val="center"/>
                </w:tcPr>
                <w:p>
                  <w:pPr>
                    <w:adjustRightInd w:val="0"/>
                    <w:snapToGrid w:val="0"/>
                    <w:jc w:val="center"/>
                    <w:rPr>
                      <w:b/>
                      <w:szCs w:val="21"/>
                    </w:rPr>
                  </w:pPr>
                  <w:r>
                    <w:rPr>
                      <w:rFonts w:hint="eastAsia"/>
                      <w:b/>
                      <w:szCs w:val="21"/>
                    </w:rPr>
                    <w:t>污染物种类</w:t>
                  </w:r>
                </w:p>
              </w:tc>
              <w:tc>
                <w:tcPr>
                  <w:tcW w:w="3050" w:type="pct"/>
                  <w:gridSpan w:val="5"/>
                  <w:shd w:val="clear" w:color="auto" w:fill="auto"/>
                  <w:vAlign w:val="center"/>
                </w:tcPr>
                <w:p>
                  <w:pPr>
                    <w:adjustRightInd w:val="0"/>
                    <w:snapToGrid w:val="0"/>
                    <w:jc w:val="center"/>
                    <w:rPr>
                      <w:b/>
                      <w:szCs w:val="21"/>
                    </w:rPr>
                  </w:pPr>
                  <w:r>
                    <w:rPr>
                      <w:rFonts w:hint="eastAsia"/>
                      <w:b/>
                      <w:szCs w:val="21"/>
                    </w:rPr>
                    <w:t>排放口基本情况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pPr>
                    <w:adjustRightInd w:val="0"/>
                    <w:snapToGrid w:val="0"/>
                    <w:jc w:val="center"/>
                    <w:rPr>
                      <w:b/>
                      <w:szCs w:val="21"/>
                    </w:rPr>
                  </w:pPr>
                </w:p>
              </w:tc>
              <w:tc>
                <w:tcPr>
                  <w:tcW w:w="712" w:type="pct"/>
                  <w:vMerge w:val="continue"/>
                  <w:shd w:val="clear" w:color="auto" w:fill="auto"/>
                  <w:vAlign w:val="center"/>
                </w:tcPr>
                <w:p>
                  <w:pPr>
                    <w:adjustRightInd w:val="0"/>
                    <w:snapToGrid w:val="0"/>
                    <w:jc w:val="center"/>
                    <w:rPr>
                      <w:b/>
                      <w:szCs w:val="21"/>
                    </w:rPr>
                  </w:pPr>
                </w:p>
              </w:tc>
              <w:tc>
                <w:tcPr>
                  <w:tcW w:w="769" w:type="pct"/>
                  <w:vMerge w:val="continue"/>
                  <w:vAlign w:val="center"/>
                </w:tcPr>
                <w:p>
                  <w:pPr>
                    <w:adjustRightInd w:val="0"/>
                    <w:snapToGrid w:val="0"/>
                    <w:jc w:val="center"/>
                    <w:rPr>
                      <w:b/>
                      <w:szCs w:val="21"/>
                    </w:rPr>
                  </w:pPr>
                </w:p>
              </w:tc>
              <w:tc>
                <w:tcPr>
                  <w:tcW w:w="461" w:type="pct"/>
                  <w:shd w:val="clear" w:color="auto" w:fill="auto"/>
                  <w:vAlign w:val="center"/>
                </w:tcPr>
                <w:p>
                  <w:pPr>
                    <w:adjustRightInd w:val="0"/>
                    <w:snapToGrid w:val="0"/>
                    <w:jc w:val="center"/>
                    <w:rPr>
                      <w:b/>
                      <w:szCs w:val="21"/>
                    </w:rPr>
                  </w:pPr>
                  <w:r>
                    <w:rPr>
                      <w:rFonts w:hint="eastAsia"/>
                      <w:b/>
                      <w:szCs w:val="21"/>
                    </w:rPr>
                    <w:t>高度（m）</w:t>
                  </w:r>
                </w:p>
              </w:tc>
              <w:tc>
                <w:tcPr>
                  <w:tcW w:w="453" w:type="pct"/>
                  <w:shd w:val="clear" w:color="auto" w:fill="auto"/>
                  <w:vAlign w:val="center"/>
                </w:tcPr>
                <w:p>
                  <w:pPr>
                    <w:adjustRightInd w:val="0"/>
                    <w:snapToGrid w:val="0"/>
                    <w:jc w:val="center"/>
                    <w:rPr>
                      <w:b/>
                      <w:szCs w:val="21"/>
                    </w:rPr>
                  </w:pPr>
                  <w:r>
                    <w:rPr>
                      <w:rFonts w:hint="eastAsia"/>
                      <w:b/>
                      <w:szCs w:val="21"/>
                    </w:rPr>
                    <w:t>内径（m）</w:t>
                  </w:r>
                </w:p>
              </w:tc>
              <w:tc>
                <w:tcPr>
                  <w:tcW w:w="473" w:type="pct"/>
                  <w:shd w:val="clear" w:color="auto" w:fill="auto"/>
                  <w:vAlign w:val="center"/>
                </w:tcPr>
                <w:p>
                  <w:pPr>
                    <w:adjustRightInd w:val="0"/>
                    <w:snapToGrid w:val="0"/>
                    <w:jc w:val="center"/>
                    <w:rPr>
                      <w:b/>
                      <w:szCs w:val="21"/>
                    </w:rPr>
                  </w:pPr>
                  <w:r>
                    <w:rPr>
                      <w:b/>
                      <w:szCs w:val="21"/>
                    </w:rPr>
                    <w:t>温度（</w:t>
                  </w:r>
                  <w:r>
                    <w:rPr>
                      <w:rFonts w:ascii="宋体" w:hAnsi="宋体" w:cs="宋体"/>
                      <w:b/>
                      <w:szCs w:val="21"/>
                    </w:rPr>
                    <w:t>℃</w:t>
                  </w:r>
                  <w:r>
                    <w:rPr>
                      <w:b/>
                      <w:szCs w:val="21"/>
                    </w:rPr>
                    <w:t>）</w:t>
                  </w:r>
                </w:p>
              </w:tc>
              <w:tc>
                <w:tcPr>
                  <w:tcW w:w="967" w:type="pct"/>
                  <w:shd w:val="clear" w:color="auto" w:fill="auto"/>
                  <w:vAlign w:val="center"/>
                </w:tcPr>
                <w:p>
                  <w:pPr>
                    <w:adjustRightInd w:val="0"/>
                    <w:snapToGrid w:val="0"/>
                    <w:jc w:val="center"/>
                    <w:rPr>
                      <w:b/>
                      <w:szCs w:val="21"/>
                    </w:rPr>
                  </w:pPr>
                  <w:r>
                    <w:rPr>
                      <w:rFonts w:hint="eastAsia"/>
                      <w:b/>
                      <w:szCs w:val="21"/>
                    </w:rPr>
                    <w:t>坐标</w:t>
                  </w:r>
                </w:p>
              </w:tc>
              <w:tc>
                <w:tcPr>
                  <w:tcW w:w="696" w:type="pct"/>
                  <w:shd w:val="clear" w:color="auto" w:fill="auto"/>
                  <w:vAlign w:val="center"/>
                </w:tcPr>
                <w:p>
                  <w:pPr>
                    <w:adjustRightInd w:val="0"/>
                    <w:snapToGrid w:val="0"/>
                    <w:jc w:val="center"/>
                    <w:rPr>
                      <w:b/>
                      <w:szCs w:val="21"/>
                    </w:rPr>
                  </w:pPr>
                  <w:r>
                    <w:rPr>
                      <w:rFonts w:hint="eastAsia"/>
                      <w:b/>
                      <w:szCs w:val="21"/>
                    </w:rPr>
                    <w:t>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Align w:val="center"/>
                </w:tcPr>
                <w:p>
                  <w:pPr>
                    <w:adjustRightInd w:val="0"/>
                    <w:snapToGrid w:val="0"/>
                    <w:jc w:val="center"/>
                    <w:rPr>
                      <w:szCs w:val="21"/>
                    </w:rPr>
                  </w:pPr>
                  <w:r>
                    <w:rPr>
                      <w:rFonts w:hint="eastAsia"/>
                      <w:szCs w:val="21"/>
                    </w:rPr>
                    <w:t>DA001</w:t>
                  </w:r>
                </w:p>
              </w:tc>
              <w:tc>
                <w:tcPr>
                  <w:tcW w:w="712" w:type="pct"/>
                  <w:shd w:val="clear" w:color="auto" w:fill="auto"/>
                  <w:vAlign w:val="center"/>
                </w:tcPr>
                <w:p>
                  <w:pPr>
                    <w:adjustRightInd w:val="0"/>
                    <w:snapToGrid w:val="0"/>
                    <w:jc w:val="center"/>
                    <w:rPr>
                      <w:szCs w:val="21"/>
                    </w:rPr>
                  </w:pPr>
                  <w:r>
                    <w:rPr>
                      <w:szCs w:val="21"/>
                    </w:rPr>
                    <w:t>有组织排放</w:t>
                  </w:r>
                </w:p>
              </w:tc>
              <w:tc>
                <w:tcPr>
                  <w:tcW w:w="769" w:type="pct"/>
                  <w:vAlign w:val="center"/>
                </w:tcPr>
                <w:p>
                  <w:pPr>
                    <w:adjustRightInd w:val="0"/>
                    <w:snapToGrid w:val="0"/>
                    <w:jc w:val="center"/>
                    <w:rPr>
                      <w:szCs w:val="21"/>
                    </w:rPr>
                  </w:pPr>
                  <w:r>
                    <w:rPr>
                      <w:rFonts w:hint="eastAsia"/>
                      <w:szCs w:val="21"/>
                    </w:rPr>
                    <w:t>非甲烷总烃</w:t>
                  </w:r>
                </w:p>
                <w:p>
                  <w:pPr>
                    <w:adjustRightInd w:val="0"/>
                    <w:snapToGrid w:val="0"/>
                    <w:jc w:val="center"/>
                  </w:pPr>
                  <w:r>
                    <w:rPr>
                      <w:rFonts w:hint="eastAsia"/>
                      <w:bCs/>
                      <w:spacing w:val="-10"/>
                      <w:szCs w:val="21"/>
                    </w:rPr>
                    <w:t>颗粒物</w:t>
                  </w:r>
                </w:p>
              </w:tc>
              <w:tc>
                <w:tcPr>
                  <w:tcW w:w="461" w:type="pct"/>
                  <w:shd w:val="clear" w:color="auto" w:fill="auto"/>
                  <w:vAlign w:val="center"/>
                </w:tcPr>
                <w:p>
                  <w:pPr>
                    <w:jc w:val="center"/>
                    <w:rPr>
                      <w:szCs w:val="21"/>
                    </w:rPr>
                  </w:pPr>
                  <w:r>
                    <w:rPr>
                      <w:rFonts w:hint="eastAsia"/>
                      <w:szCs w:val="21"/>
                    </w:rPr>
                    <w:t>15</w:t>
                  </w:r>
                </w:p>
              </w:tc>
              <w:tc>
                <w:tcPr>
                  <w:tcW w:w="453" w:type="pct"/>
                  <w:shd w:val="clear" w:color="auto" w:fill="auto"/>
                  <w:vAlign w:val="center"/>
                </w:tcPr>
                <w:p>
                  <w:pPr>
                    <w:jc w:val="center"/>
                    <w:rPr>
                      <w:szCs w:val="21"/>
                    </w:rPr>
                  </w:pPr>
                  <w:r>
                    <w:rPr>
                      <w:rFonts w:hint="eastAsia"/>
                      <w:szCs w:val="21"/>
                    </w:rPr>
                    <w:t>0.5</w:t>
                  </w:r>
                </w:p>
              </w:tc>
              <w:tc>
                <w:tcPr>
                  <w:tcW w:w="473" w:type="pct"/>
                  <w:shd w:val="clear" w:color="auto" w:fill="auto"/>
                  <w:vAlign w:val="center"/>
                </w:tcPr>
                <w:p>
                  <w:pPr>
                    <w:adjustRightInd w:val="0"/>
                    <w:snapToGrid w:val="0"/>
                    <w:jc w:val="center"/>
                    <w:rPr>
                      <w:szCs w:val="21"/>
                    </w:rPr>
                  </w:pPr>
                  <w:r>
                    <w:rPr>
                      <w:rFonts w:hint="eastAsia"/>
                      <w:szCs w:val="21"/>
                    </w:rPr>
                    <w:t>25</w:t>
                  </w:r>
                </w:p>
              </w:tc>
              <w:tc>
                <w:tcPr>
                  <w:tcW w:w="967" w:type="pct"/>
                  <w:shd w:val="clear" w:color="auto" w:fill="auto"/>
                  <w:vAlign w:val="center"/>
                </w:tcPr>
                <w:p>
                  <w:pPr>
                    <w:adjustRightInd w:val="0"/>
                    <w:snapToGrid w:val="0"/>
                    <w:jc w:val="center"/>
                    <w:rPr>
                      <w:szCs w:val="21"/>
                    </w:rPr>
                  </w:pPr>
                  <w:r>
                    <w:rPr>
                      <w:rFonts w:hint="eastAsia"/>
                      <w:szCs w:val="21"/>
                    </w:rPr>
                    <w:t>E 112.881888°</w:t>
                  </w:r>
                </w:p>
                <w:p>
                  <w:pPr>
                    <w:adjustRightInd w:val="0"/>
                    <w:snapToGrid w:val="0"/>
                    <w:jc w:val="center"/>
                    <w:rPr>
                      <w:szCs w:val="21"/>
                    </w:rPr>
                  </w:pPr>
                  <w:r>
                    <w:rPr>
                      <w:rFonts w:hint="eastAsia"/>
                      <w:szCs w:val="21"/>
                    </w:rPr>
                    <w:t>N 27.280930°</w:t>
                  </w:r>
                </w:p>
              </w:tc>
              <w:tc>
                <w:tcPr>
                  <w:tcW w:w="696" w:type="pct"/>
                  <w:shd w:val="clear" w:color="auto" w:fill="auto"/>
                  <w:vAlign w:val="center"/>
                </w:tcPr>
                <w:p>
                  <w:pPr>
                    <w:adjustRightInd w:val="0"/>
                    <w:snapToGrid w:val="0"/>
                    <w:jc w:val="center"/>
                    <w:rPr>
                      <w:szCs w:val="21"/>
                    </w:rPr>
                  </w:pPr>
                  <w:r>
                    <w:rPr>
                      <w:rFonts w:hint="eastAsia"/>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Align w:val="center"/>
                </w:tcPr>
                <w:p>
                  <w:pPr>
                    <w:adjustRightInd w:val="0"/>
                    <w:snapToGrid w:val="0"/>
                    <w:jc w:val="center"/>
                    <w:rPr>
                      <w:szCs w:val="21"/>
                    </w:rPr>
                  </w:pPr>
                  <w:r>
                    <w:rPr>
                      <w:rFonts w:hint="eastAsia"/>
                      <w:szCs w:val="21"/>
                    </w:rPr>
                    <w:t>DA002</w:t>
                  </w:r>
                </w:p>
              </w:tc>
              <w:tc>
                <w:tcPr>
                  <w:tcW w:w="712" w:type="pct"/>
                  <w:shd w:val="clear" w:color="auto" w:fill="auto"/>
                  <w:vAlign w:val="center"/>
                </w:tcPr>
                <w:p>
                  <w:pPr>
                    <w:adjustRightInd w:val="0"/>
                    <w:snapToGrid w:val="0"/>
                    <w:jc w:val="center"/>
                    <w:rPr>
                      <w:szCs w:val="21"/>
                    </w:rPr>
                  </w:pPr>
                  <w:r>
                    <w:rPr>
                      <w:szCs w:val="21"/>
                    </w:rPr>
                    <w:t>有组织排放</w:t>
                  </w:r>
                </w:p>
              </w:tc>
              <w:tc>
                <w:tcPr>
                  <w:tcW w:w="769" w:type="pct"/>
                  <w:vAlign w:val="center"/>
                </w:tcPr>
                <w:p>
                  <w:pPr>
                    <w:adjustRightInd w:val="0"/>
                    <w:snapToGrid w:val="0"/>
                    <w:jc w:val="center"/>
                    <w:rPr>
                      <w:szCs w:val="21"/>
                    </w:rPr>
                  </w:pPr>
                  <w:r>
                    <w:rPr>
                      <w:rFonts w:hint="eastAsia"/>
                      <w:szCs w:val="21"/>
                    </w:rPr>
                    <w:t>非甲烷总烃</w:t>
                  </w:r>
                </w:p>
              </w:tc>
              <w:tc>
                <w:tcPr>
                  <w:tcW w:w="461" w:type="pct"/>
                  <w:shd w:val="clear" w:color="auto" w:fill="auto"/>
                  <w:vAlign w:val="center"/>
                </w:tcPr>
                <w:p>
                  <w:pPr>
                    <w:jc w:val="center"/>
                    <w:rPr>
                      <w:szCs w:val="21"/>
                    </w:rPr>
                  </w:pPr>
                  <w:r>
                    <w:rPr>
                      <w:rFonts w:hint="eastAsia"/>
                      <w:szCs w:val="21"/>
                    </w:rPr>
                    <w:t>15</w:t>
                  </w:r>
                </w:p>
              </w:tc>
              <w:tc>
                <w:tcPr>
                  <w:tcW w:w="453" w:type="pct"/>
                  <w:shd w:val="clear" w:color="auto" w:fill="auto"/>
                  <w:vAlign w:val="center"/>
                </w:tcPr>
                <w:p>
                  <w:pPr>
                    <w:jc w:val="center"/>
                    <w:rPr>
                      <w:szCs w:val="21"/>
                    </w:rPr>
                  </w:pPr>
                  <w:r>
                    <w:rPr>
                      <w:rFonts w:hint="eastAsia"/>
                      <w:szCs w:val="21"/>
                    </w:rPr>
                    <w:t>0.3</w:t>
                  </w:r>
                </w:p>
              </w:tc>
              <w:tc>
                <w:tcPr>
                  <w:tcW w:w="473" w:type="pct"/>
                  <w:shd w:val="clear" w:color="auto" w:fill="auto"/>
                  <w:vAlign w:val="center"/>
                </w:tcPr>
                <w:p>
                  <w:pPr>
                    <w:adjustRightInd w:val="0"/>
                    <w:snapToGrid w:val="0"/>
                    <w:jc w:val="center"/>
                    <w:rPr>
                      <w:szCs w:val="21"/>
                    </w:rPr>
                  </w:pPr>
                  <w:r>
                    <w:rPr>
                      <w:rFonts w:hint="eastAsia"/>
                      <w:szCs w:val="21"/>
                    </w:rPr>
                    <w:t>25</w:t>
                  </w:r>
                </w:p>
              </w:tc>
              <w:tc>
                <w:tcPr>
                  <w:tcW w:w="967" w:type="pct"/>
                  <w:shd w:val="clear" w:color="auto" w:fill="auto"/>
                  <w:vAlign w:val="center"/>
                </w:tcPr>
                <w:p>
                  <w:pPr>
                    <w:adjustRightInd w:val="0"/>
                    <w:snapToGrid w:val="0"/>
                    <w:jc w:val="center"/>
                    <w:rPr>
                      <w:szCs w:val="21"/>
                    </w:rPr>
                  </w:pPr>
                  <w:r>
                    <w:rPr>
                      <w:rFonts w:hint="eastAsia"/>
                      <w:szCs w:val="21"/>
                    </w:rPr>
                    <w:t>E 112.881277°</w:t>
                  </w:r>
                </w:p>
                <w:p>
                  <w:pPr>
                    <w:jc w:val="center"/>
                    <w:rPr>
                      <w:szCs w:val="21"/>
                    </w:rPr>
                  </w:pPr>
                  <w:r>
                    <w:rPr>
                      <w:rFonts w:hint="eastAsia"/>
                      <w:szCs w:val="21"/>
                    </w:rPr>
                    <w:t>N 27.280928°</w:t>
                  </w:r>
                </w:p>
              </w:tc>
              <w:tc>
                <w:tcPr>
                  <w:tcW w:w="696" w:type="pct"/>
                  <w:shd w:val="clear" w:color="auto" w:fill="auto"/>
                  <w:vAlign w:val="center"/>
                </w:tcPr>
                <w:p>
                  <w:pPr>
                    <w:jc w:val="center"/>
                    <w:rPr>
                      <w:szCs w:val="21"/>
                    </w:rPr>
                  </w:pPr>
                  <w:r>
                    <w:rPr>
                      <w:rFonts w:hint="eastAsia"/>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Align w:val="center"/>
                </w:tcPr>
                <w:p>
                  <w:pPr>
                    <w:adjustRightInd w:val="0"/>
                    <w:snapToGrid w:val="0"/>
                    <w:jc w:val="center"/>
                    <w:rPr>
                      <w:szCs w:val="21"/>
                    </w:rPr>
                  </w:pPr>
                  <w:r>
                    <w:rPr>
                      <w:rFonts w:hint="eastAsia"/>
                      <w:szCs w:val="21"/>
                    </w:rPr>
                    <w:t>DA003</w:t>
                  </w:r>
                </w:p>
              </w:tc>
              <w:tc>
                <w:tcPr>
                  <w:tcW w:w="712" w:type="pct"/>
                  <w:shd w:val="clear" w:color="auto" w:fill="auto"/>
                  <w:vAlign w:val="center"/>
                </w:tcPr>
                <w:p>
                  <w:pPr>
                    <w:adjustRightInd w:val="0"/>
                    <w:snapToGrid w:val="0"/>
                    <w:jc w:val="center"/>
                    <w:rPr>
                      <w:szCs w:val="21"/>
                    </w:rPr>
                  </w:pPr>
                  <w:r>
                    <w:rPr>
                      <w:szCs w:val="21"/>
                    </w:rPr>
                    <w:t>有组织排放</w:t>
                  </w:r>
                </w:p>
              </w:tc>
              <w:tc>
                <w:tcPr>
                  <w:tcW w:w="769" w:type="pct"/>
                  <w:vAlign w:val="center"/>
                </w:tcPr>
                <w:p>
                  <w:pPr>
                    <w:adjustRightInd w:val="0"/>
                    <w:snapToGrid w:val="0"/>
                    <w:jc w:val="center"/>
                    <w:rPr>
                      <w:szCs w:val="21"/>
                    </w:rPr>
                  </w:pPr>
                  <w:r>
                    <w:rPr>
                      <w:rFonts w:hint="eastAsia"/>
                      <w:bCs/>
                      <w:spacing w:val="-10"/>
                      <w:szCs w:val="21"/>
                    </w:rPr>
                    <w:t>颗粒物</w:t>
                  </w:r>
                </w:p>
              </w:tc>
              <w:tc>
                <w:tcPr>
                  <w:tcW w:w="461" w:type="pct"/>
                  <w:shd w:val="clear" w:color="auto" w:fill="auto"/>
                  <w:vAlign w:val="center"/>
                </w:tcPr>
                <w:p>
                  <w:pPr>
                    <w:jc w:val="center"/>
                    <w:rPr>
                      <w:szCs w:val="21"/>
                    </w:rPr>
                  </w:pPr>
                  <w:r>
                    <w:rPr>
                      <w:rFonts w:hint="eastAsia"/>
                      <w:szCs w:val="21"/>
                    </w:rPr>
                    <w:t>15</w:t>
                  </w:r>
                </w:p>
              </w:tc>
              <w:tc>
                <w:tcPr>
                  <w:tcW w:w="453" w:type="pct"/>
                  <w:shd w:val="clear" w:color="auto" w:fill="auto"/>
                  <w:vAlign w:val="center"/>
                </w:tcPr>
                <w:p>
                  <w:pPr>
                    <w:jc w:val="center"/>
                    <w:rPr>
                      <w:szCs w:val="21"/>
                    </w:rPr>
                  </w:pPr>
                  <w:r>
                    <w:rPr>
                      <w:rFonts w:hint="eastAsia"/>
                      <w:szCs w:val="21"/>
                    </w:rPr>
                    <w:t>0.4</w:t>
                  </w:r>
                </w:p>
              </w:tc>
              <w:tc>
                <w:tcPr>
                  <w:tcW w:w="473" w:type="pct"/>
                  <w:shd w:val="clear" w:color="auto" w:fill="auto"/>
                  <w:vAlign w:val="center"/>
                </w:tcPr>
                <w:p>
                  <w:pPr>
                    <w:adjustRightInd w:val="0"/>
                    <w:snapToGrid w:val="0"/>
                    <w:jc w:val="center"/>
                    <w:rPr>
                      <w:szCs w:val="21"/>
                    </w:rPr>
                  </w:pPr>
                  <w:r>
                    <w:rPr>
                      <w:rFonts w:hint="eastAsia"/>
                      <w:szCs w:val="21"/>
                    </w:rPr>
                    <w:t>25</w:t>
                  </w:r>
                </w:p>
              </w:tc>
              <w:tc>
                <w:tcPr>
                  <w:tcW w:w="967" w:type="pct"/>
                  <w:shd w:val="clear" w:color="auto" w:fill="auto"/>
                  <w:vAlign w:val="center"/>
                </w:tcPr>
                <w:p>
                  <w:pPr>
                    <w:adjustRightInd w:val="0"/>
                    <w:snapToGrid w:val="0"/>
                    <w:jc w:val="center"/>
                    <w:rPr>
                      <w:szCs w:val="21"/>
                    </w:rPr>
                  </w:pPr>
                  <w:r>
                    <w:rPr>
                      <w:rFonts w:hint="eastAsia"/>
                      <w:szCs w:val="21"/>
                    </w:rPr>
                    <w:t>E 112.880678°</w:t>
                  </w:r>
                </w:p>
                <w:p>
                  <w:pPr>
                    <w:adjustRightInd w:val="0"/>
                    <w:snapToGrid w:val="0"/>
                    <w:jc w:val="center"/>
                    <w:rPr>
                      <w:szCs w:val="21"/>
                    </w:rPr>
                  </w:pPr>
                  <w:r>
                    <w:rPr>
                      <w:rFonts w:hint="eastAsia"/>
                      <w:szCs w:val="21"/>
                    </w:rPr>
                    <w:t>N 27.280927°</w:t>
                  </w:r>
                </w:p>
              </w:tc>
              <w:tc>
                <w:tcPr>
                  <w:tcW w:w="696" w:type="pct"/>
                  <w:shd w:val="clear" w:color="auto" w:fill="auto"/>
                  <w:vAlign w:val="center"/>
                </w:tcPr>
                <w:p>
                  <w:pPr>
                    <w:adjustRightInd w:val="0"/>
                    <w:snapToGrid w:val="0"/>
                    <w:jc w:val="center"/>
                    <w:rPr>
                      <w:szCs w:val="21"/>
                    </w:rPr>
                  </w:pPr>
                  <w:r>
                    <w:rPr>
                      <w:rFonts w:hint="eastAsia"/>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Align w:val="center"/>
                </w:tcPr>
                <w:p>
                  <w:pPr>
                    <w:adjustRightInd w:val="0"/>
                    <w:snapToGrid w:val="0"/>
                    <w:jc w:val="center"/>
                    <w:rPr>
                      <w:szCs w:val="21"/>
                    </w:rPr>
                  </w:pPr>
                  <w:r>
                    <w:rPr>
                      <w:rFonts w:hint="eastAsia"/>
                      <w:szCs w:val="21"/>
                    </w:rPr>
                    <w:t>DA004</w:t>
                  </w:r>
                </w:p>
              </w:tc>
              <w:tc>
                <w:tcPr>
                  <w:tcW w:w="712" w:type="pct"/>
                  <w:shd w:val="clear" w:color="auto" w:fill="auto"/>
                  <w:vAlign w:val="center"/>
                </w:tcPr>
                <w:p>
                  <w:pPr>
                    <w:adjustRightInd w:val="0"/>
                    <w:snapToGrid w:val="0"/>
                    <w:jc w:val="center"/>
                    <w:rPr>
                      <w:szCs w:val="21"/>
                    </w:rPr>
                  </w:pPr>
                  <w:r>
                    <w:rPr>
                      <w:szCs w:val="21"/>
                    </w:rPr>
                    <w:t>有组织排放</w:t>
                  </w:r>
                </w:p>
              </w:tc>
              <w:tc>
                <w:tcPr>
                  <w:tcW w:w="769" w:type="pct"/>
                  <w:vAlign w:val="center"/>
                </w:tcPr>
                <w:p>
                  <w:pPr>
                    <w:adjustRightInd w:val="0"/>
                    <w:snapToGrid w:val="0"/>
                    <w:jc w:val="center"/>
                    <w:rPr>
                      <w:szCs w:val="21"/>
                    </w:rPr>
                  </w:pPr>
                  <w:r>
                    <w:rPr>
                      <w:rFonts w:hint="eastAsia"/>
                      <w:szCs w:val="21"/>
                    </w:rPr>
                    <w:t>非甲烷总烃</w:t>
                  </w:r>
                </w:p>
              </w:tc>
              <w:tc>
                <w:tcPr>
                  <w:tcW w:w="461" w:type="pct"/>
                  <w:shd w:val="clear" w:color="auto" w:fill="auto"/>
                  <w:vAlign w:val="center"/>
                </w:tcPr>
                <w:p>
                  <w:pPr>
                    <w:jc w:val="center"/>
                    <w:rPr>
                      <w:szCs w:val="21"/>
                    </w:rPr>
                  </w:pPr>
                  <w:r>
                    <w:rPr>
                      <w:rFonts w:hint="eastAsia"/>
                      <w:szCs w:val="21"/>
                    </w:rPr>
                    <w:t>15</w:t>
                  </w:r>
                </w:p>
              </w:tc>
              <w:tc>
                <w:tcPr>
                  <w:tcW w:w="453" w:type="pct"/>
                  <w:shd w:val="clear" w:color="auto" w:fill="auto"/>
                  <w:vAlign w:val="center"/>
                </w:tcPr>
                <w:p>
                  <w:pPr>
                    <w:jc w:val="center"/>
                    <w:rPr>
                      <w:szCs w:val="21"/>
                    </w:rPr>
                  </w:pPr>
                  <w:r>
                    <w:rPr>
                      <w:rFonts w:hint="eastAsia"/>
                      <w:szCs w:val="21"/>
                    </w:rPr>
                    <w:t>0.3</w:t>
                  </w:r>
                </w:p>
              </w:tc>
              <w:tc>
                <w:tcPr>
                  <w:tcW w:w="473" w:type="pct"/>
                  <w:shd w:val="clear" w:color="auto" w:fill="auto"/>
                  <w:vAlign w:val="center"/>
                </w:tcPr>
                <w:p>
                  <w:pPr>
                    <w:adjustRightInd w:val="0"/>
                    <w:snapToGrid w:val="0"/>
                    <w:jc w:val="center"/>
                    <w:rPr>
                      <w:szCs w:val="21"/>
                    </w:rPr>
                  </w:pPr>
                  <w:r>
                    <w:rPr>
                      <w:rFonts w:hint="eastAsia"/>
                      <w:szCs w:val="21"/>
                    </w:rPr>
                    <w:t>25</w:t>
                  </w:r>
                </w:p>
              </w:tc>
              <w:tc>
                <w:tcPr>
                  <w:tcW w:w="967" w:type="pct"/>
                  <w:shd w:val="clear" w:color="auto" w:fill="auto"/>
                  <w:vAlign w:val="center"/>
                </w:tcPr>
                <w:p>
                  <w:pPr>
                    <w:adjustRightInd w:val="0"/>
                    <w:snapToGrid w:val="0"/>
                    <w:jc w:val="center"/>
                    <w:rPr>
                      <w:szCs w:val="21"/>
                    </w:rPr>
                  </w:pPr>
                  <w:r>
                    <w:rPr>
                      <w:rFonts w:hint="eastAsia"/>
                      <w:szCs w:val="21"/>
                    </w:rPr>
                    <w:t>E 112.880075°</w:t>
                  </w:r>
                </w:p>
                <w:p>
                  <w:pPr>
                    <w:adjustRightInd w:val="0"/>
                    <w:snapToGrid w:val="0"/>
                    <w:jc w:val="center"/>
                    <w:rPr>
                      <w:szCs w:val="21"/>
                    </w:rPr>
                  </w:pPr>
                  <w:r>
                    <w:rPr>
                      <w:rFonts w:hint="eastAsia"/>
                      <w:szCs w:val="21"/>
                    </w:rPr>
                    <w:t>N 27.280994°</w:t>
                  </w:r>
                </w:p>
              </w:tc>
              <w:tc>
                <w:tcPr>
                  <w:tcW w:w="696" w:type="pct"/>
                  <w:shd w:val="clear" w:color="auto" w:fill="auto"/>
                  <w:vAlign w:val="center"/>
                </w:tcPr>
                <w:p>
                  <w:pPr>
                    <w:adjustRightInd w:val="0"/>
                    <w:snapToGrid w:val="0"/>
                    <w:jc w:val="center"/>
                    <w:rPr>
                      <w:szCs w:val="21"/>
                    </w:rPr>
                  </w:pPr>
                  <w:r>
                    <w:rPr>
                      <w:rFonts w:hint="eastAsia"/>
                      <w:szCs w:val="21"/>
                    </w:rPr>
                    <w:t>一般排放口</w:t>
                  </w:r>
                </w:p>
              </w:tc>
            </w:tr>
          </w:tbl>
          <w:p>
            <w:pPr>
              <w:spacing w:line="360" w:lineRule="auto"/>
              <w:ind w:firstLine="480" w:firstLineChars="200"/>
              <w:jc w:val="left"/>
              <w:rPr>
                <w:sz w:val="24"/>
              </w:rPr>
            </w:pPr>
            <w:r>
              <w:rPr>
                <w:rFonts w:hint="eastAsia"/>
                <w:sz w:val="24"/>
              </w:rPr>
              <w:t>根据《固定污染源排污许可分类管理名录》（2019年版）、《排污单位自行监测技术指南 总则》（HJ819-2017）、</w:t>
            </w:r>
            <w:r>
              <w:rPr>
                <w:kern w:val="18"/>
                <w:sz w:val="24"/>
                <w:szCs w:val="20"/>
              </w:rPr>
              <w:t>《排污许可证申请与核发技术规范</w:t>
            </w:r>
            <w:r>
              <w:rPr>
                <w:rFonts w:hint="eastAsia"/>
                <w:kern w:val="18"/>
                <w:sz w:val="24"/>
                <w:szCs w:val="20"/>
              </w:rPr>
              <w:t xml:space="preserve"> 专用化学产品制造工业</w:t>
            </w:r>
            <w:r>
              <w:rPr>
                <w:kern w:val="18"/>
                <w:sz w:val="24"/>
                <w:szCs w:val="20"/>
              </w:rPr>
              <w:t>》（HJ1103-2020）</w:t>
            </w:r>
            <w:r>
              <w:rPr>
                <w:rFonts w:hint="eastAsia"/>
                <w:sz w:val="24"/>
              </w:rPr>
              <w:t>中的相关规定，大气监测计划详见下表，制定本项目大气监测计划如下：</w:t>
            </w:r>
          </w:p>
          <w:p>
            <w:pPr>
              <w:adjustRightInd w:val="0"/>
              <w:snapToGrid w:val="0"/>
              <w:spacing w:beforeLines="50"/>
              <w:jc w:val="center"/>
              <w:rPr>
                <w:b/>
                <w:szCs w:val="21"/>
              </w:rPr>
            </w:pPr>
            <w:r>
              <w:rPr>
                <w:rFonts w:hint="eastAsia"/>
                <w:b/>
                <w:szCs w:val="21"/>
              </w:rPr>
              <w:t>表4-9  本项目大气污染物监测计划</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30"/>
              <w:gridCol w:w="1193"/>
              <w:gridCol w:w="1191"/>
              <w:gridCol w:w="1338"/>
              <w:gridCol w:w="43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706" w:type="pct"/>
                  <w:vMerge w:val="restart"/>
                  <w:shd w:val="clear" w:color="auto" w:fill="auto"/>
                  <w:vAlign w:val="center"/>
                </w:tcPr>
                <w:p>
                  <w:pPr>
                    <w:adjustRightInd w:val="0"/>
                    <w:snapToGrid w:val="0"/>
                    <w:jc w:val="center"/>
                    <w:rPr>
                      <w:b/>
                      <w:szCs w:val="21"/>
                    </w:rPr>
                  </w:pPr>
                  <w:r>
                    <w:rPr>
                      <w:rFonts w:hint="eastAsia"/>
                      <w:b/>
                      <w:szCs w:val="21"/>
                    </w:rPr>
                    <w:t>监测点位</w:t>
                  </w:r>
                </w:p>
              </w:tc>
              <w:tc>
                <w:tcPr>
                  <w:tcW w:w="633" w:type="pct"/>
                  <w:vMerge w:val="restart"/>
                  <w:vAlign w:val="center"/>
                </w:tcPr>
                <w:p>
                  <w:pPr>
                    <w:adjustRightInd w:val="0"/>
                    <w:snapToGrid w:val="0"/>
                    <w:jc w:val="center"/>
                    <w:rPr>
                      <w:b/>
                      <w:szCs w:val="21"/>
                    </w:rPr>
                  </w:pPr>
                  <w:r>
                    <w:rPr>
                      <w:rFonts w:hint="eastAsia"/>
                      <w:b/>
                      <w:szCs w:val="21"/>
                    </w:rPr>
                    <w:t>监测因子</w:t>
                  </w:r>
                </w:p>
              </w:tc>
              <w:tc>
                <w:tcPr>
                  <w:tcW w:w="632" w:type="pct"/>
                  <w:vMerge w:val="restart"/>
                  <w:vAlign w:val="center"/>
                </w:tcPr>
                <w:p>
                  <w:pPr>
                    <w:adjustRightInd w:val="0"/>
                    <w:snapToGrid w:val="0"/>
                    <w:jc w:val="center"/>
                    <w:rPr>
                      <w:b/>
                      <w:szCs w:val="21"/>
                    </w:rPr>
                  </w:pPr>
                  <w:r>
                    <w:rPr>
                      <w:rFonts w:hint="eastAsia"/>
                      <w:b/>
                      <w:szCs w:val="21"/>
                    </w:rPr>
                    <w:t>监测频次</w:t>
                  </w:r>
                </w:p>
              </w:tc>
              <w:tc>
                <w:tcPr>
                  <w:tcW w:w="3029" w:type="pct"/>
                  <w:gridSpan w:val="2"/>
                  <w:shd w:val="clear" w:color="auto" w:fill="auto"/>
                  <w:vAlign w:val="center"/>
                </w:tcPr>
                <w:p>
                  <w:pPr>
                    <w:adjustRightInd w:val="0"/>
                    <w:snapToGrid w:val="0"/>
                    <w:jc w:val="center"/>
                    <w:rPr>
                      <w:b/>
                      <w:szCs w:val="21"/>
                    </w:rPr>
                  </w:pPr>
                  <w:r>
                    <w:rPr>
                      <w:rFonts w:hint="eastAsia"/>
                      <w:b/>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vMerge w:val="continue"/>
                  <w:shd w:val="clear" w:color="auto" w:fill="auto"/>
                  <w:vAlign w:val="center"/>
                </w:tcPr>
                <w:p>
                  <w:pPr>
                    <w:adjustRightInd w:val="0"/>
                    <w:snapToGrid w:val="0"/>
                    <w:jc w:val="center"/>
                    <w:rPr>
                      <w:b/>
                      <w:szCs w:val="21"/>
                    </w:rPr>
                  </w:pPr>
                </w:p>
              </w:tc>
              <w:tc>
                <w:tcPr>
                  <w:tcW w:w="633" w:type="pct"/>
                  <w:vMerge w:val="continue"/>
                  <w:vAlign w:val="center"/>
                </w:tcPr>
                <w:p>
                  <w:pPr>
                    <w:adjustRightInd w:val="0"/>
                    <w:snapToGrid w:val="0"/>
                    <w:jc w:val="center"/>
                    <w:rPr>
                      <w:b/>
                      <w:szCs w:val="21"/>
                    </w:rPr>
                  </w:pPr>
                </w:p>
              </w:tc>
              <w:tc>
                <w:tcPr>
                  <w:tcW w:w="632" w:type="pct"/>
                  <w:vMerge w:val="continue"/>
                  <w:vAlign w:val="center"/>
                </w:tcPr>
                <w:p>
                  <w:pPr>
                    <w:adjustRightInd w:val="0"/>
                    <w:snapToGrid w:val="0"/>
                    <w:jc w:val="center"/>
                    <w:rPr>
                      <w:b/>
                      <w:szCs w:val="21"/>
                    </w:rPr>
                  </w:pPr>
                </w:p>
              </w:tc>
              <w:tc>
                <w:tcPr>
                  <w:tcW w:w="710" w:type="pct"/>
                  <w:shd w:val="clear" w:color="auto" w:fill="auto"/>
                  <w:vAlign w:val="center"/>
                </w:tcPr>
                <w:p>
                  <w:pPr>
                    <w:adjustRightInd w:val="0"/>
                    <w:snapToGrid w:val="0"/>
                    <w:jc w:val="center"/>
                    <w:rPr>
                      <w:b/>
                      <w:szCs w:val="21"/>
                    </w:rPr>
                  </w:pPr>
                  <w:r>
                    <w:rPr>
                      <w:rFonts w:hint="eastAsia"/>
                      <w:b/>
                      <w:szCs w:val="21"/>
                    </w:rPr>
                    <w:t>浓度限值（mg/m</w:t>
                  </w:r>
                  <w:r>
                    <w:rPr>
                      <w:rFonts w:hint="eastAsia"/>
                      <w:b/>
                      <w:szCs w:val="21"/>
                      <w:vertAlign w:val="superscript"/>
                    </w:rPr>
                    <w:t>3</w:t>
                  </w:r>
                  <w:r>
                    <w:rPr>
                      <w:rFonts w:hint="eastAsia"/>
                      <w:b/>
                      <w:szCs w:val="21"/>
                    </w:rPr>
                    <w:t>）</w:t>
                  </w:r>
                </w:p>
              </w:tc>
              <w:tc>
                <w:tcPr>
                  <w:tcW w:w="2319" w:type="pct"/>
                  <w:shd w:val="clear" w:color="auto" w:fill="auto"/>
                  <w:vAlign w:val="center"/>
                </w:tcPr>
                <w:p>
                  <w:pPr>
                    <w:adjustRightInd w:val="0"/>
                    <w:snapToGrid w:val="0"/>
                    <w:jc w:val="center"/>
                    <w:rPr>
                      <w:b/>
                      <w:szCs w:val="21"/>
                    </w:rPr>
                  </w:pPr>
                  <w:r>
                    <w:rPr>
                      <w:rFonts w:hint="eastAsia"/>
                      <w:b/>
                      <w:szCs w:val="21"/>
                    </w:rPr>
                    <w:t>标准名称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vMerge w:val="restart"/>
                  <w:shd w:val="clear" w:color="auto" w:fill="auto"/>
                  <w:vAlign w:val="center"/>
                </w:tcPr>
                <w:p>
                  <w:pPr>
                    <w:adjustRightInd w:val="0"/>
                    <w:snapToGrid w:val="0"/>
                    <w:jc w:val="center"/>
                    <w:rPr>
                      <w:szCs w:val="21"/>
                    </w:rPr>
                  </w:pPr>
                  <w:r>
                    <w:rPr>
                      <w:rFonts w:hint="eastAsia"/>
                      <w:szCs w:val="21"/>
                    </w:rPr>
                    <w:t>DA001排气筒</w:t>
                  </w:r>
                </w:p>
              </w:tc>
              <w:tc>
                <w:tcPr>
                  <w:tcW w:w="633" w:type="pct"/>
                  <w:vAlign w:val="center"/>
                </w:tcPr>
                <w:p>
                  <w:pPr>
                    <w:adjustRightInd w:val="0"/>
                    <w:snapToGrid w:val="0"/>
                    <w:jc w:val="center"/>
                    <w:rPr>
                      <w:bCs/>
                      <w:spacing w:val="-10"/>
                      <w:szCs w:val="21"/>
                    </w:rPr>
                  </w:pPr>
                  <w:r>
                    <w:rPr>
                      <w:rFonts w:hint="eastAsia"/>
                      <w:szCs w:val="21"/>
                    </w:rPr>
                    <w:t>NMHC</w:t>
                  </w:r>
                </w:p>
              </w:tc>
              <w:tc>
                <w:tcPr>
                  <w:tcW w:w="632" w:type="pct"/>
                  <w:vAlign w:val="center"/>
                </w:tcPr>
                <w:p>
                  <w:pPr>
                    <w:adjustRightInd w:val="0"/>
                    <w:snapToGrid w:val="0"/>
                    <w:jc w:val="center"/>
                    <w:rPr>
                      <w:szCs w:val="21"/>
                    </w:rPr>
                  </w:pPr>
                  <w:r>
                    <w:rPr>
                      <w:rFonts w:hint="eastAsia"/>
                      <w:szCs w:val="21"/>
                    </w:rPr>
                    <w:t>1次/半年</w:t>
                  </w:r>
                </w:p>
              </w:tc>
              <w:tc>
                <w:tcPr>
                  <w:tcW w:w="710" w:type="pct"/>
                  <w:shd w:val="clear" w:color="auto" w:fill="auto"/>
                  <w:vAlign w:val="center"/>
                </w:tcPr>
                <w:p>
                  <w:pPr>
                    <w:adjustRightInd w:val="0"/>
                    <w:snapToGrid w:val="0"/>
                    <w:jc w:val="center"/>
                    <w:rPr>
                      <w:szCs w:val="21"/>
                    </w:rPr>
                  </w:pPr>
                  <w:r>
                    <w:rPr>
                      <w:rFonts w:hint="eastAsia"/>
                      <w:szCs w:val="21"/>
                    </w:rPr>
                    <w:t>120</w:t>
                  </w:r>
                </w:p>
              </w:tc>
              <w:tc>
                <w:tcPr>
                  <w:tcW w:w="2319" w:type="pct"/>
                  <w:vMerge w:val="restart"/>
                  <w:shd w:val="clear" w:color="auto" w:fill="auto"/>
                  <w:vAlign w:val="center"/>
                </w:tcPr>
                <w:p>
                  <w:pPr>
                    <w:adjustRightInd w:val="0"/>
                    <w:snapToGrid w:val="0"/>
                    <w:jc w:val="center"/>
                  </w:pPr>
                  <w:r>
                    <w:rPr>
                      <w:rFonts w:hint="eastAsia"/>
                    </w:rPr>
                    <w:t>《大气污染物综合排放标准》（GB16297-1996）表2新污染物排放限值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vMerge w:val="continue"/>
                  <w:shd w:val="clear" w:color="auto" w:fill="auto"/>
                  <w:vAlign w:val="center"/>
                </w:tcPr>
                <w:p>
                  <w:pPr>
                    <w:adjustRightInd w:val="0"/>
                    <w:snapToGrid w:val="0"/>
                    <w:jc w:val="center"/>
                    <w:rPr>
                      <w:szCs w:val="21"/>
                    </w:rPr>
                  </w:pPr>
                </w:p>
              </w:tc>
              <w:tc>
                <w:tcPr>
                  <w:tcW w:w="633" w:type="pct"/>
                  <w:vAlign w:val="center"/>
                </w:tcPr>
                <w:p>
                  <w:pPr>
                    <w:adjustRightInd w:val="0"/>
                    <w:snapToGrid w:val="0"/>
                    <w:jc w:val="center"/>
                    <w:rPr>
                      <w:szCs w:val="21"/>
                    </w:rPr>
                  </w:pPr>
                  <w:r>
                    <w:rPr>
                      <w:bCs/>
                      <w:spacing w:val="-10"/>
                      <w:szCs w:val="21"/>
                    </w:rPr>
                    <w:t>颗粒物</w:t>
                  </w:r>
                </w:p>
              </w:tc>
              <w:tc>
                <w:tcPr>
                  <w:tcW w:w="632" w:type="pct"/>
                  <w:vAlign w:val="center"/>
                </w:tcPr>
                <w:p>
                  <w:pPr>
                    <w:adjustRightInd w:val="0"/>
                    <w:snapToGrid w:val="0"/>
                    <w:jc w:val="center"/>
                    <w:rPr>
                      <w:szCs w:val="21"/>
                    </w:rPr>
                  </w:pPr>
                  <w:r>
                    <w:rPr>
                      <w:rFonts w:hint="eastAsia"/>
                      <w:szCs w:val="21"/>
                    </w:rPr>
                    <w:t>1次/半年</w:t>
                  </w:r>
                </w:p>
              </w:tc>
              <w:tc>
                <w:tcPr>
                  <w:tcW w:w="710" w:type="pct"/>
                  <w:shd w:val="clear" w:color="auto" w:fill="auto"/>
                  <w:vAlign w:val="center"/>
                </w:tcPr>
                <w:p>
                  <w:pPr>
                    <w:adjustRightInd w:val="0"/>
                    <w:snapToGrid w:val="0"/>
                    <w:jc w:val="center"/>
                    <w:rPr>
                      <w:szCs w:val="21"/>
                    </w:rPr>
                  </w:pPr>
                  <w:r>
                    <w:rPr>
                      <w:rFonts w:hint="eastAsia"/>
                      <w:szCs w:val="21"/>
                    </w:rPr>
                    <w:t>120</w:t>
                  </w:r>
                </w:p>
              </w:tc>
              <w:tc>
                <w:tcPr>
                  <w:tcW w:w="2319" w:type="pct"/>
                  <w:vMerge w:val="continue"/>
                  <w:shd w:val="clear" w:color="auto" w:fill="auto"/>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shd w:val="clear" w:color="auto" w:fill="auto"/>
                  <w:vAlign w:val="center"/>
                </w:tcPr>
                <w:p>
                  <w:pPr>
                    <w:adjustRightInd w:val="0"/>
                    <w:snapToGrid w:val="0"/>
                    <w:jc w:val="center"/>
                    <w:rPr>
                      <w:szCs w:val="21"/>
                    </w:rPr>
                  </w:pPr>
                  <w:r>
                    <w:rPr>
                      <w:rFonts w:hint="eastAsia"/>
                      <w:szCs w:val="21"/>
                    </w:rPr>
                    <w:t>DA002排气筒</w:t>
                  </w:r>
                </w:p>
              </w:tc>
              <w:tc>
                <w:tcPr>
                  <w:tcW w:w="633" w:type="pct"/>
                  <w:vAlign w:val="center"/>
                </w:tcPr>
                <w:p>
                  <w:pPr>
                    <w:adjustRightInd w:val="0"/>
                    <w:snapToGrid w:val="0"/>
                    <w:jc w:val="center"/>
                    <w:rPr>
                      <w:bCs/>
                      <w:spacing w:val="-10"/>
                      <w:szCs w:val="21"/>
                    </w:rPr>
                  </w:pPr>
                  <w:r>
                    <w:rPr>
                      <w:rFonts w:hint="eastAsia"/>
                      <w:szCs w:val="21"/>
                    </w:rPr>
                    <w:t>NMHC</w:t>
                  </w:r>
                </w:p>
              </w:tc>
              <w:tc>
                <w:tcPr>
                  <w:tcW w:w="632" w:type="pct"/>
                  <w:vAlign w:val="center"/>
                </w:tcPr>
                <w:p>
                  <w:pPr>
                    <w:adjustRightInd w:val="0"/>
                    <w:snapToGrid w:val="0"/>
                    <w:jc w:val="center"/>
                    <w:rPr>
                      <w:szCs w:val="21"/>
                    </w:rPr>
                  </w:pPr>
                  <w:r>
                    <w:rPr>
                      <w:rFonts w:hint="eastAsia"/>
                      <w:szCs w:val="21"/>
                    </w:rPr>
                    <w:t>1次/半年</w:t>
                  </w:r>
                </w:p>
              </w:tc>
              <w:tc>
                <w:tcPr>
                  <w:tcW w:w="710" w:type="pct"/>
                  <w:shd w:val="clear" w:color="auto" w:fill="auto"/>
                  <w:vAlign w:val="center"/>
                </w:tcPr>
                <w:p>
                  <w:pPr>
                    <w:adjustRightInd w:val="0"/>
                    <w:snapToGrid w:val="0"/>
                    <w:jc w:val="center"/>
                    <w:rPr>
                      <w:szCs w:val="21"/>
                    </w:rPr>
                  </w:pPr>
                  <w:r>
                    <w:rPr>
                      <w:rFonts w:hint="eastAsia"/>
                      <w:szCs w:val="21"/>
                    </w:rPr>
                    <w:t>120</w:t>
                  </w:r>
                </w:p>
              </w:tc>
              <w:tc>
                <w:tcPr>
                  <w:tcW w:w="2319" w:type="pct"/>
                  <w:shd w:val="clear" w:color="auto" w:fill="auto"/>
                  <w:vAlign w:val="center"/>
                </w:tcPr>
                <w:p>
                  <w:pPr>
                    <w:adjustRightInd w:val="0"/>
                    <w:snapToGrid w:val="0"/>
                    <w:jc w:val="center"/>
                    <w:rPr>
                      <w:szCs w:val="21"/>
                    </w:rPr>
                  </w:pPr>
                  <w:r>
                    <w:rPr>
                      <w:rFonts w:hint="eastAsia"/>
                    </w:rPr>
                    <w:t>《大气污染物综合排放标准》（GB16297-1996）表2新污染物排放限值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shd w:val="clear" w:color="auto" w:fill="auto"/>
                  <w:vAlign w:val="center"/>
                </w:tcPr>
                <w:p>
                  <w:pPr>
                    <w:adjustRightInd w:val="0"/>
                    <w:snapToGrid w:val="0"/>
                    <w:jc w:val="center"/>
                    <w:rPr>
                      <w:szCs w:val="21"/>
                    </w:rPr>
                  </w:pPr>
                  <w:r>
                    <w:rPr>
                      <w:rFonts w:hint="eastAsia"/>
                      <w:szCs w:val="21"/>
                    </w:rPr>
                    <w:t>DA003排气筒</w:t>
                  </w:r>
                </w:p>
              </w:tc>
              <w:tc>
                <w:tcPr>
                  <w:tcW w:w="633" w:type="pct"/>
                  <w:vAlign w:val="center"/>
                </w:tcPr>
                <w:p>
                  <w:pPr>
                    <w:adjustRightInd w:val="0"/>
                    <w:snapToGrid w:val="0"/>
                    <w:jc w:val="center"/>
                    <w:rPr>
                      <w:szCs w:val="21"/>
                    </w:rPr>
                  </w:pPr>
                  <w:r>
                    <w:rPr>
                      <w:bCs/>
                      <w:spacing w:val="-10"/>
                      <w:szCs w:val="21"/>
                    </w:rPr>
                    <w:t>颗粒物</w:t>
                  </w:r>
                </w:p>
              </w:tc>
              <w:tc>
                <w:tcPr>
                  <w:tcW w:w="632" w:type="pct"/>
                  <w:vAlign w:val="center"/>
                </w:tcPr>
                <w:p>
                  <w:pPr>
                    <w:adjustRightInd w:val="0"/>
                    <w:snapToGrid w:val="0"/>
                    <w:jc w:val="center"/>
                    <w:rPr>
                      <w:szCs w:val="21"/>
                    </w:rPr>
                  </w:pPr>
                  <w:r>
                    <w:rPr>
                      <w:rFonts w:hint="eastAsia"/>
                      <w:szCs w:val="21"/>
                    </w:rPr>
                    <w:t>1次/半年</w:t>
                  </w:r>
                </w:p>
              </w:tc>
              <w:tc>
                <w:tcPr>
                  <w:tcW w:w="710" w:type="pct"/>
                  <w:shd w:val="clear" w:color="auto" w:fill="auto"/>
                  <w:vAlign w:val="center"/>
                </w:tcPr>
                <w:p>
                  <w:pPr>
                    <w:adjustRightInd w:val="0"/>
                    <w:snapToGrid w:val="0"/>
                    <w:jc w:val="center"/>
                    <w:rPr>
                      <w:szCs w:val="21"/>
                    </w:rPr>
                  </w:pPr>
                  <w:r>
                    <w:rPr>
                      <w:rFonts w:hint="eastAsia"/>
                      <w:szCs w:val="21"/>
                    </w:rPr>
                    <w:t>120</w:t>
                  </w:r>
                </w:p>
              </w:tc>
              <w:tc>
                <w:tcPr>
                  <w:tcW w:w="2319" w:type="pct"/>
                  <w:shd w:val="clear" w:color="auto" w:fill="auto"/>
                  <w:vAlign w:val="center"/>
                </w:tcPr>
                <w:p>
                  <w:pPr>
                    <w:adjustRightInd w:val="0"/>
                    <w:snapToGrid w:val="0"/>
                    <w:jc w:val="center"/>
                    <w:rPr>
                      <w:szCs w:val="21"/>
                    </w:rPr>
                  </w:pPr>
                  <w:r>
                    <w:rPr>
                      <w:rFonts w:hint="eastAsia"/>
                    </w:rPr>
                    <w:t>《大气污染物综合排放标准》（GB16297-1996）表2新污染物排放限值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vMerge w:val="restart"/>
                  <w:shd w:val="clear" w:color="auto" w:fill="auto"/>
                  <w:vAlign w:val="center"/>
                </w:tcPr>
                <w:p>
                  <w:pPr>
                    <w:adjustRightInd w:val="0"/>
                    <w:snapToGrid w:val="0"/>
                    <w:jc w:val="center"/>
                    <w:rPr>
                      <w:szCs w:val="21"/>
                    </w:rPr>
                  </w:pPr>
                  <w:r>
                    <w:rPr>
                      <w:rFonts w:hint="eastAsia"/>
                      <w:szCs w:val="21"/>
                    </w:rPr>
                    <w:t>DA004排气筒</w:t>
                  </w:r>
                </w:p>
              </w:tc>
              <w:tc>
                <w:tcPr>
                  <w:tcW w:w="633" w:type="pct"/>
                  <w:vAlign w:val="center"/>
                </w:tcPr>
                <w:p>
                  <w:pPr>
                    <w:adjustRightInd w:val="0"/>
                    <w:snapToGrid w:val="0"/>
                    <w:jc w:val="center"/>
                    <w:rPr>
                      <w:bCs/>
                      <w:spacing w:val="-10"/>
                      <w:szCs w:val="21"/>
                    </w:rPr>
                  </w:pPr>
                  <w:r>
                    <w:rPr>
                      <w:rFonts w:hint="eastAsia"/>
                      <w:szCs w:val="21"/>
                    </w:rPr>
                    <w:t>NMHC</w:t>
                  </w:r>
                </w:p>
              </w:tc>
              <w:tc>
                <w:tcPr>
                  <w:tcW w:w="632" w:type="pct"/>
                  <w:vAlign w:val="center"/>
                </w:tcPr>
                <w:p>
                  <w:pPr>
                    <w:adjustRightInd w:val="0"/>
                    <w:snapToGrid w:val="0"/>
                    <w:jc w:val="center"/>
                    <w:rPr>
                      <w:szCs w:val="21"/>
                    </w:rPr>
                  </w:pPr>
                  <w:r>
                    <w:rPr>
                      <w:rFonts w:hint="eastAsia"/>
                      <w:szCs w:val="21"/>
                    </w:rPr>
                    <w:t>1次/半年</w:t>
                  </w:r>
                </w:p>
              </w:tc>
              <w:tc>
                <w:tcPr>
                  <w:tcW w:w="710" w:type="pct"/>
                  <w:shd w:val="clear" w:color="auto" w:fill="auto"/>
                  <w:vAlign w:val="center"/>
                </w:tcPr>
                <w:p>
                  <w:pPr>
                    <w:adjustRightInd w:val="0"/>
                    <w:snapToGrid w:val="0"/>
                    <w:jc w:val="center"/>
                    <w:rPr>
                      <w:szCs w:val="21"/>
                    </w:rPr>
                  </w:pPr>
                  <w:r>
                    <w:rPr>
                      <w:rFonts w:hint="eastAsia"/>
                      <w:szCs w:val="21"/>
                    </w:rPr>
                    <w:t>120</w:t>
                  </w:r>
                </w:p>
              </w:tc>
              <w:tc>
                <w:tcPr>
                  <w:tcW w:w="2319" w:type="pct"/>
                  <w:vMerge w:val="restart"/>
                  <w:shd w:val="clear" w:color="auto" w:fill="auto"/>
                  <w:vAlign w:val="center"/>
                </w:tcPr>
                <w:p>
                  <w:pPr>
                    <w:adjustRightInd w:val="0"/>
                    <w:snapToGrid w:val="0"/>
                    <w:jc w:val="center"/>
                    <w:rPr>
                      <w:szCs w:val="21"/>
                    </w:rPr>
                  </w:pPr>
                  <w:r>
                    <w:rPr>
                      <w:rFonts w:hint="eastAsia"/>
                    </w:rPr>
                    <w:t>《大气污染物综合排放标准》（GB16297-1996）表2新污染物排放限值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vMerge w:val="continue"/>
                  <w:shd w:val="clear" w:color="auto" w:fill="auto"/>
                  <w:vAlign w:val="center"/>
                </w:tcPr>
                <w:p>
                  <w:pPr>
                    <w:adjustRightInd w:val="0"/>
                    <w:snapToGrid w:val="0"/>
                    <w:jc w:val="center"/>
                    <w:rPr>
                      <w:szCs w:val="21"/>
                    </w:rPr>
                  </w:pPr>
                </w:p>
              </w:tc>
              <w:tc>
                <w:tcPr>
                  <w:tcW w:w="633" w:type="pct"/>
                  <w:vAlign w:val="center"/>
                </w:tcPr>
                <w:p>
                  <w:pPr>
                    <w:adjustRightInd w:val="0"/>
                    <w:snapToGrid w:val="0"/>
                    <w:jc w:val="center"/>
                    <w:rPr>
                      <w:szCs w:val="21"/>
                    </w:rPr>
                  </w:pPr>
                  <w:r>
                    <w:rPr>
                      <w:bCs/>
                      <w:spacing w:val="-10"/>
                      <w:szCs w:val="21"/>
                    </w:rPr>
                    <w:t>颗粒物</w:t>
                  </w:r>
                </w:p>
              </w:tc>
              <w:tc>
                <w:tcPr>
                  <w:tcW w:w="632" w:type="pct"/>
                  <w:vAlign w:val="center"/>
                </w:tcPr>
                <w:p>
                  <w:pPr>
                    <w:adjustRightInd w:val="0"/>
                    <w:snapToGrid w:val="0"/>
                    <w:jc w:val="center"/>
                    <w:rPr>
                      <w:szCs w:val="21"/>
                    </w:rPr>
                  </w:pPr>
                  <w:r>
                    <w:rPr>
                      <w:rFonts w:hint="eastAsia"/>
                      <w:szCs w:val="21"/>
                    </w:rPr>
                    <w:t>1次/半年</w:t>
                  </w:r>
                </w:p>
              </w:tc>
              <w:tc>
                <w:tcPr>
                  <w:tcW w:w="710" w:type="pct"/>
                  <w:shd w:val="clear" w:color="auto" w:fill="auto"/>
                  <w:vAlign w:val="center"/>
                </w:tcPr>
                <w:p>
                  <w:pPr>
                    <w:adjustRightInd w:val="0"/>
                    <w:snapToGrid w:val="0"/>
                    <w:jc w:val="center"/>
                    <w:rPr>
                      <w:szCs w:val="21"/>
                    </w:rPr>
                  </w:pPr>
                  <w:r>
                    <w:rPr>
                      <w:rFonts w:hint="eastAsia"/>
                      <w:szCs w:val="21"/>
                    </w:rPr>
                    <w:t>120</w:t>
                  </w:r>
                </w:p>
              </w:tc>
              <w:tc>
                <w:tcPr>
                  <w:tcW w:w="2319" w:type="pct"/>
                  <w:vMerge w:val="continue"/>
                  <w:shd w:val="clear" w:color="auto" w:fill="auto"/>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vMerge w:val="restart"/>
                  <w:shd w:val="clear" w:color="auto" w:fill="auto"/>
                  <w:vAlign w:val="center"/>
                </w:tcPr>
                <w:p>
                  <w:pPr>
                    <w:adjustRightInd w:val="0"/>
                    <w:snapToGrid w:val="0"/>
                    <w:jc w:val="center"/>
                    <w:rPr>
                      <w:szCs w:val="21"/>
                    </w:rPr>
                  </w:pPr>
                  <w:r>
                    <w:rPr>
                      <w:rFonts w:hint="eastAsia"/>
                      <w:szCs w:val="21"/>
                    </w:rPr>
                    <w:t>厂界</w:t>
                  </w:r>
                </w:p>
              </w:tc>
              <w:tc>
                <w:tcPr>
                  <w:tcW w:w="633" w:type="pct"/>
                  <w:vAlign w:val="center"/>
                </w:tcPr>
                <w:p>
                  <w:pPr>
                    <w:adjustRightInd w:val="0"/>
                    <w:snapToGrid w:val="0"/>
                    <w:jc w:val="center"/>
                    <w:rPr>
                      <w:bCs/>
                      <w:spacing w:val="-10"/>
                      <w:szCs w:val="21"/>
                    </w:rPr>
                  </w:pPr>
                  <w:r>
                    <w:rPr>
                      <w:bCs/>
                      <w:spacing w:val="-10"/>
                      <w:szCs w:val="21"/>
                    </w:rPr>
                    <w:t>颗粒物</w:t>
                  </w:r>
                </w:p>
              </w:tc>
              <w:tc>
                <w:tcPr>
                  <w:tcW w:w="632" w:type="pct"/>
                  <w:vMerge w:val="restart"/>
                  <w:vAlign w:val="center"/>
                </w:tcPr>
                <w:p>
                  <w:pPr>
                    <w:jc w:val="center"/>
                  </w:pPr>
                  <w:r>
                    <w:rPr>
                      <w:rFonts w:hint="eastAsia"/>
                      <w:szCs w:val="21"/>
                    </w:rPr>
                    <w:t>1次/半年</w:t>
                  </w:r>
                </w:p>
              </w:tc>
              <w:tc>
                <w:tcPr>
                  <w:tcW w:w="710" w:type="pct"/>
                  <w:shd w:val="clear" w:color="auto" w:fill="auto"/>
                  <w:vAlign w:val="center"/>
                </w:tcPr>
                <w:p>
                  <w:pPr>
                    <w:tabs>
                      <w:tab w:val="left" w:pos="-2848"/>
                    </w:tabs>
                    <w:spacing w:beforeLines="15" w:afterLines="15"/>
                    <w:jc w:val="center"/>
                    <w:rPr>
                      <w:position w:val="-10"/>
                      <w:szCs w:val="21"/>
                    </w:rPr>
                  </w:pPr>
                  <w:r>
                    <w:rPr>
                      <w:rFonts w:hint="eastAsia"/>
                      <w:position w:val="-10"/>
                      <w:szCs w:val="21"/>
                    </w:rPr>
                    <w:t>1.0</w:t>
                  </w:r>
                </w:p>
              </w:tc>
              <w:tc>
                <w:tcPr>
                  <w:tcW w:w="2319" w:type="pct"/>
                  <w:vMerge w:val="restart"/>
                  <w:shd w:val="clear" w:color="auto" w:fill="auto"/>
                  <w:vAlign w:val="center"/>
                </w:tcPr>
                <w:p>
                  <w:pPr>
                    <w:adjustRightInd w:val="0"/>
                    <w:snapToGrid w:val="0"/>
                    <w:jc w:val="center"/>
                    <w:rPr>
                      <w:szCs w:val="21"/>
                    </w:rPr>
                  </w:pPr>
                  <w:r>
                    <w:rPr>
                      <w:rFonts w:hint="eastAsia"/>
                      <w:szCs w:val="21"/>
                    </w:rPr>
                    <w:t>《大气污染物综合排放标准》（GB16297-1996）</w:t>
                  </w:r>
                  <w:r>
                    <w:rPr>
                      <w:rFonts w:hint="eastAsia"/>
                    </w:rPr>
                    <w:t>表2</w:t>
                  </w:r>
                  <w:r>
                    <w:rPr>
                      <w:rFonts w:hint="eastAsia"/>
                      <w:szCs w:val="21"/>
                    </w:rPr>
                    <w:t>无组织监控浓度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vMerge w:val="continue"/>
                  <w:shd w:val="clear" w:color="auto" w:fill="auto"/>
                  <w:vAlign w:val="center"/>
                </w:tcPr>
                <w:p>
                  <w:pPr>
                    <w:adjustRightInd w:val="0"/>
                    <w:snapToGrid w:val="0"/>
                    <w:jc w:val="center"/>
                    <w:rPr>
                      <w:szCs w:val="21"/>
                    </w:rPr>
                  </w:pPr>
                </w:p>
              </w:tc>
              <w:tc>
                <w:tcPr>
                  <w:tcW w:w="633" w:type="pct"/>
                  <w:vAlign w:val="center"/>
                </w:tcPr>
                <w:p>
                  <w:pPr>
                    <w:adjustRightInd w:val="0"/>
                    <w:snapToGrid w:val="0"/>
                    <w:jc w:val="center"/>
                    <w:rPr>
                      <w:bCs/>
                      <w:spacing w:val="-10"/>
                      <w:szCs w:val="21"/>
                    </w:rPr>
                  </w:pPr>
                  <w:r>
                    <w:rPr>
                      <w:rFonts w:hint="eastAsia"/>
                      <w:szCs w:val="21"/>
                    </w:rPr>
                    <w:t>NMHC</w:t>
                  </w:r>
                </w:p>
              </w:tc>
              <w:tc>
                <w:tcPr>
                  <w:tcW w:w="632" w:type="pct"/>
                  <w:vMerge w:val="continue"/>
                  <w:vAlign w:val="center"/>
                </w:tcPr>
                <w:p>
                  <w:pPr>
                    <w:adjustRightInd w:val="0"/>
                    <w:snapToGrid w:val="0"/>
                    <w:jc w:val="center"/>
                    <w:rPr>
                      <w:szCs w:val="21"/>
                    </w:rPr>
                  </w:pPr>
                </w:p>
              </w:tc>
              <w:tc>
                <w:tcPr>
                  <w:tcW w:w="710" w:type="pct"/>
                  <w:shd w:val="clear" w:color="auto" w:fill="auto"/>
                  <w:vAlign w:val="center"/>
                </w:tcPr>
                <w:p>
                  <w:pPr>
                    <w:tabs>
                      <w:tab w:val="left" w:pos="-2848"/>
                    </w:tabs>
                    <w:spacing w:beforeLines="15" w:afterLines="15"/>
                    <w:jc w:val="center"/>
                    <w:rPr>
                      <w:position w:val="-10"/>
                      <w:szCs w:val="21"/>
                    </w:rPr>
                  </w:pPr>
                  <w:r>
                    <w:rPr>
                      <w:rFonts w:hint="eastAsia"/>
                      <w:position w:val="-10"/>
                      <w:szCs w:val="21"/>
                    </w:rPr>
                    <w:t>4.0</w:t>
                  </w:r>
                </w:p>
              </w:tc>
              <w:tc>
                <w:tcPr>
                  <w:tcW w:w="2319" w:type="pct"/>
                  <w:vMerge w:val="continue"/>
                  <w:shd w:val="clear" w:color="auto" w:fill="auto"/>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vMerge w:val="continue"/>
                  <w:shd w:val="clear" w:color="auto" w:fill="auto"/>
                  <w:vAlign w:val="center"/>
                </w:tcPr>
                <w:p>
                  <w:pPr>
                    <w:adjustRightInd w:val="0"/>
                    <w:snapToGrid w:val="0"/>
                    <w:jc w:val="center"/>
                    <w:rPr>
                      <w:szCs w:val="21"/>
                    </w:rPr>
                  </w:pPr>
                </w:p>
              </w:tc>
              <w:tc>
                <w:tcPr>
                  <w:tcW w:w="633" w:type="pct"/>
                  <w:vAlign w:val="center"/>
                </w:tcPr>
                <w:p>
                  <w:pPr>
                    <w:adjustRightInd w:val="0"/>
                    <w:snapToGrid w:val="0"/>
                    <w:jc w:val="center"/>
                    <w:rPr>
                      <w:szCs w:val="21"/>
                    </w:rPr>
                  </w:pPr>
                  <w:r>
                    <w:rPr>
                      <w:rFonts w:hint="eastAsia"/>
                      <w:szCs w:val="21"/>
                    </w:rPr>
                    <w:t>臭气浓度</w:t>
                  </w:r>
                </w:p>
              </w:tc>
              <w:tc>
                <w:tcPr>
                  <w:tcW w:w="632" w:type="pct"/>
                  <w:vAlign w:val="center"/>
                </w:tcPr>
                <w:p>
                  <w:pPr>
                    <w:jc w:val="center"/>
                  </w:pPr>
                  <w:r>
                    <w:rPr>
                      <w:rFonts w:hint="eastAsia"/>
                      <w:szCs w:val="21"/>
                    </w:rPr>
                    <w:t>1次/半年</w:t>
                  </w:r>
                </w:p>
              </w:tc>
              <w:tc>
                <w:tcPr>
                  <w:tcW w:w="710" w:type="pct"/>
                  <w:shd w:val="clear" w:color="auto" w:fill="auto"/>
                  <w:vAlign w:val="center"/>
                </w:tcPr>
                <w:p>
                  <w:pPr>
                    <w:tabs>
                      <w:tab w:val="left" w:pos="-2848"/>
                    </w:tabs>
                    <w:spacing w:beforeLines="15" w:afterLines="15"/>
                    <w:jc w:val="center"/>
                    <w:rPr>
                      <w:position w:val="-10"/>
                      <w:szCs w:val="21"/>
                    </w:rPr>
                  </w:pPr>
                  <w:r>
                    <w:rPr>
                      <w:rFonts w:hint="eastAsia"/>
                      <w:position w:val="-10"/>
                      <w:szCs w:val="21"/>
                    </w:rPr>
                    <w:t>20（无量纲）</w:t>
                  </w:r>
                </w:p>
              </w:tc>
              <w:tc>
                <w:tcPr>
                  <w:tcW w:w="2319" w:type="pct"/>
                  <w:shd w:val="clear" w:color="auto" w:fill="auto"/>
                  <w:vAlign w:val="center"/>
                </w:tcPr>
                <w:p>
                  <w:pPr>
                    <w:adjustRightInd w:val="0"/>
                    <w:snapToGrid w:val="0"/>
                    <w:jc w:val="center"/>
                    <w:rPr>
                      <w:szCs w:val="21"/>
                    </w:rPr>
                  </w:pPr>
                  <w:r>
                    <w:rPr>
                      <w:rFonts w:hint="eastAsia"/>
                    </w:rPr>
                    <w:t>《恶臭污染物排放标准》（GB14554-93）表1相关限值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06" w:type="pct"/>
                  <w:shd w:val="clear" w:color="auto" w:fill="auto"/>
                  <w:vAlign w:val="center"/>
                </w:tcPr>
                <w:p>
                  <w:pPr>
                    <w:adjustRightInd w:val="0"/>
                    <w:snapToGrid w:val="0"/>
                    <w:jc w:val="center"/>
                    <w:rPr>
                      <w:szCs w:val="21"/>
                    </w:rPr>
                  </w:pPr>
                  <w:r>
                    <w:rPr>
                      <w:szCs w:val="21"/>
                    </w:rPr>
                    <w:t>厂区内</w:t>
                  </w:r>
                </w:p>
              </w:tc>
              <w:tc>
                <w:tcPr>
                  <w:tcW w:w="633" w:type="pct"/>
                  <w:vAlign w:val="center"/>
                </w:tcPr>
                <w:p>
                  <w:pPr>
                    <w:adjustRightInd w:val="0"/>
                    <w:snapToGrid w:val="0"/>
                    <w:jc w:val="center"/>
                    <w:rPr>
                      <w:szCs w:val="21"/>
                    </w:rPr>
                  </w:pPr>
                  <w:r>
                    <w:rPr>
                      <w:rFonts w:hint="eastAsia"/>
                      <w:szCs w:val="21"/>
                    </w:rPr>
                    <w:t>NMHC</w:t>
                  </w:r>
                </w:p>
              </w:tc>
              <w:tc>
                <w:tcPr>
                  <w:tcW w:w="632" w:type="pct"/>
                  <w:vAlign w:val="center"/>
                </w:tcPr>
                <w:p>
                  <w:pPr>
                    <w:adjustRightInd w:val="0"/>
                    <w:snapToGrid w:val="0"/>
                    <w:jc w:val="center"/>
                    <w:rPr>
                      <w:szCs w:val="21"/>
                    </w:rPr>
                  </w:pPr>
                  <w:r>
                    <w:rPr>
                      <w:rFonts w:hint="eastAsia"/>
                      <w:szCs w:val="21"/>
                    </w:rPr>
                    <w:t>1次/年</w:t>
                  </w:r>
                </w:p>
              </w:tc>
              <w:tc>
                <w:tcPr>
                  <w:tcW w:w="710" w:type="pct"/>
                  <w:shd w:val="clear" w:color="auto" w:fill="auto"/>
                  <w:vAlign w:val="center"/>
                </w:tcPr>
                <w:p>
                  <w:pPr>
                    <w:tabs>
                      <w:tab w:val="left" w:pos="-2848"/>
                    </w:tabs>
                    <w:spacing w:beforeLines="15" w:afterLines="15"/>
                    <w:jc w:val="center"/>
                    <w:rPr>
                      <w:position w:val="-10"/>
                      <w:szCs w:val="21"/>
                    </w:rPr>
                  </w:pPr>
                  <w:r>
                    <w:rPr>
                      <w:rFonts w:hint="eastAsia"/>
                      <w:szCs w:val="21"/>
                    </w:rPr>
                    <w:t>1h：6；任意一次：20</w:t>
                  </w:r>
                </w:p>
              </w:tc>
              <w:tc>
                <w:tcPr>
                  <w:tcW w:w="2319" w:type="pct"/>
                  <w:shd w:val="clear" w:color="auto" w:fill="auto"/>
                  <w:vAlign w:val="center"/>
                </w:tcPr>
                <w:p>
                  <w:pPr>
                    <w:adjustRightInd w:val="0"/>
                    <w:snapToGrid w:val="0"/>
                    <w:jc w:val="center"/>
                    <w:rPr>
                      <w:szCs w:val="21"/>
                    </w:rPr>
                  </w:pPr>
                  <w:r>
                    <w:rPr>
                      <w:rFonts w:hint="eastAsia"/>
                      <w:szCs w:val="21"/>
                    </w:rPr>
                    <w:t>《挥发性有机物无组织排放控制标准》（GB37822-2019）附录A表A.1中的排放限值</w:t>
                  </w:r>
                </w:p>
              </w:tc>
            </w:tr>
          </w:tbl>
          <w:p>
            <w:pPr>
              <w:adjustRightInd w:val="0"/>
              <w:snapToGrid w:val="0"/>
              <w:spacing w:line="360" w:lineRule="auto"/>
              <w:ind w:firstLine="482" w:firstLineChars="200"/>
              <w:rPr>
                <w:b/>
                <w:sz w:val="24"/>
                <w:shd w:val="clear" w:color="auto" w:fill="FFFFFF"/>
              </w:rPr>
            </w:pPr>
            <w:r>
              <w:rPr>
                <w:rFonts w:hint="eastAsia"/>
                <w:b/>
                <w:sz w:val="24"/>
                <w:shd w:val="clear" w:color="auto" w:fill="FFFFFF"/>
              </w:rPr>
              <w:t>6、结论</w:t>
            </w:r>
          </w:p>
          <w:p>
            <w:pPr>
              <w:spacing w:line="360" w:lineRule="auto"/>
              <w:ind w:firstLine="480" w:firstLineChars="200"/>
              <w:jc w:val="left"/>
              <w:rPr>
                <w:sz w:val="24"/>
              </w:rPr>
            </w:pPr>
            <w:r>
              <w:rPr>
                <w:rFonts w:hint="eastAsia"/>
                <w:sz w:val="24"/>
              </w:rPr>
              <w:t>根据上述分析，项目废气排放会对环境有一定的影响，但影响较小，项目废气对大气环境的影响在可接受范围内。</w:t>
            </w:r>
          </w:p>
          <w:p>
            <w:pPr>
              <w:adjustRightInd w:val="0"/>
              <w:snapToGrid w:val="0"/>
              <w:spacing w:line="360" w:lineRule="auto"/>
              <w:ind w:firstLine="482" w:firstLineChars="200"/>
              <w:rPr>
                <w:b/>
                <w:sz w:val="24"/>
              </w:rPr>
            </w:pPr>
            <w:r>
              <w:rPr>
                <w:rFonts w:hint="eastAsia"/>
                <w:b/>
                <w:sz w:val="24"/>
              </w:rPr>
              <w:t>二、废水</w:t>
            </w:r>
          </w:p>
          <w:p>
            <w:pPr>
              <w:adjustRightInd w:val="0"/>
              <w:snapToGrid w:val="0"/>
              <w:spacing w:line="360" w:lineRule="auto"/>
              <w:ind w:firstLine="482" w:firstLineChars="200"/>
              <w:rPr>
                <w:b/>
                <w:sz w:val="24"/>
              </w:rPr>
            </w:pPr>
            <w:r>
              <w:rPr>
                <w:rFonts w:hint="eastAsia"/>
                <w:b/>
                <w:sz w:val="24"/>
              </w:rPr>
              <w:t>1、废水源强</w:t>
            </w:r>
          </w:p>
          <w:p>
            <w:pPr>
              <w:pStyle w:val="30"/>
              <w:adjustRightInd w:val="0"/>
              <w:snapToGrid w:val="0"/>
              <w:spacing w:after="0" w:line="360" w:lineRule="auto"/>
              <w:ind w:firstLine="480" w:firstLineChars="200"/>
              <w:rPr>
                <w:sz w:val="24"/>
              </w:rPr>
            </w:pPr>
            <w:r>
              <w:rPr>
                <w:rFonts w:hint="eastAsia"/>
                <w:sz w:val="24"/>
              </w:rPr>
              <w:t>本项目排水采用清污分流、雨污分流制，雨水（不含初期雨水）汇集后通过厂区排水管直接外排至园区雨水管网，最终汇入湘江。</w:t>
            </w:r>
          </w:p>
          <w:p>
            <w:pPr>
              <w:pStyle w:val="30"/>
              <w:adjustRightInd w:val="0"/>
              <w:snapToGrid w:val="0"/>
              <w:spacing w:after="0" w:line="360" w:lineRule="auto"/>
              <w:ind w:firstLine="480" w:firstLineChars="200"/>
              <w:rPr>
                <w:rFonts w:ascii="Times New Roman" w:hAnsi="Times New Roman"/>
                <w:kern w:val="0"/>
                <w:sz w:val="24"/>
              </w:rPr>
            </w:pPr>
            <w:r>
              <w:rPr>
                <w:rFonts w:hint="eastAsia" w:ascii="Times New Roman" w:hAnsi="Times New Roman"/>
                <w:sz w:val="24"/>
              </w:rPr>
              <w:t>项目纯水制备浓水作为清净下水排入市政雨水管网；</w:t>
            </w:r>
            <w:r>
              <w:rPr>
                <w:rFonts w:hint="eastAsia"/>
                <w:spacing w:val="-6"/>
                <w:sz w:val="24"/>
              </w:rPr>
              <w:t>搅拌罐清洗废水</w:t>
            </w:r>
            <w:r>
              <w:rPr>
                <w:rFonts w:hint="eastAsia" w:ascii="Times New Roman" w:hAnsi="Times New Roman"/>
                <w:spacing w:val="-6"/>
                <w:sz w:val="24"/>
              </w:rPr>
              <w:t>采用专用储桶收集后回用对应产品配料，不外排</w:t>
            </w:r>
            <w:r>
              <w:rPr>
                <w:rFonts w:hint="eastAsia"/>
                <w:spacing w:val="-6"/>
                <w:sz w:val="24"/>
              </w:rPr>
              <w:t>。</w:t>
            </w:r>
            <w:r>
              <w:rPr>
                <w:rFonts w:ascii="Times New Roman" w:hAnsi="Times New Roman"/>
                <w:kern w:val="0"/>
                <w:sz w:val="24"/>
              </w:rPr>
              <w:t>项目</w:t>
            </w:r>
            <w:r>
              <w:rPr>
                <w:rFonts w:hint="eastAsia"/>
                <w:kern w:val="0"/>
                <w:sz w:val="24"/>
              </w:rPr>
              <w:t>外排废水主要为车间地面保洁废水及生活污水</w:t>
            </w:r>
            <w:r>
              <w:rPr>
                <w:rFonts w:hint="eastAsia" w:ascii="Times New Roman" w:hAnsi="Times New Roman"/>
                <w:kern w:val="0"/>
                <w:sz w:val="24"/>
              </w:rPr>
              <w:t>。</w:t>
            </w:r>
          </w:p>
          <w:p>
            <w:pPr>
              <w:pStyle w:val="30"/>
              <w:adjustRightInd w:val="0"/>
              <w:snapToGrid w:val="0"/>
              <w:spacing w:after="0" w:line="360" w:lineRule="auto"/>
              <w:ind w:firstLine="480" w:firstLineChars="200"/>
              <w:rPr>
                <w:rFonts w:ascii="Times New Roman" w:hAnsi="Times New Roman"/>
                <w:kern w:val="0"/>
                <w:sz w:val="24"/>
              </w:rPr>
            </w:pPr>
            <w:r>
              <w:rPr>
                <w:rFonts w:asciiTheme="minorEastAsia" w:hAnsiTheme="minorEastAsia" w:eastAsiaTheme="minorEastAsia"/>
                <w:kern w:val="0"/>
                <w:sz w:val="24"/>
              </w:rPr>
              <w:t>①生活</w:t>
            </w:r>
            <w:r>
              <w:rPr>
                <w:rFonts w:ascii="Times New Roman" w:hAnsi="Times New Roman"/>
                <w:kern w:val="0"/>
                <w:sz w:val="24"/>
              </w:rPr>
              <w:t>污水</w:t>
            </w:r>
          </w:p>
          <w:p>
            <w:pPr>
              <w:pStyle w:val="30"/>
              <w:adjustRightInd w:val="0"/>
              <w:snapToGrid w:val="0"/>
              <w:spacing w:after="0" w:line="360" w:lineRule="auto"/>
              <w:ind w:firstLine="480" w:firstLineChars="200"/>
              <w:rPr>
                <w:rFonts w:ascii="Times New Roman" w:hAnsi="Times New Roman"/>
                <w:kern w:val="0"/>
                <w:sz w:val="24"/>
              </w:rPr>
            </w:pPr>
            <w:r>
              <w:rPr>
                <w:rFonts w:ascii="Times New Roman"/>
                <w:kern w:val="0"/>
                <w:sz w:val="24"/>
              </w:rPr>
              <w:t>根据水平衡分析可知，</w:t>
            </w:r>
            <w:r>
              <w:rPr>
                <w:rFonts w:ascii="Times New Roman"/>
                <w:spacing w:val="-6"/>
                <w:sz w:val="24"/>
              </w:rPr>
              <w:t>项目员工生活用水量为</w:t>
            </w:r>
            <w:r>
              <w:rPr>
                <w:rFonts w:hint="eastAsia" w:ascii="Times New Roman" w:hAnsi="Times New Roman"/>
                <w:spacing w:val="-6"/>
                <w:sz w:val="24"/>
              </w:rPr>
              <w:t>21.75</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/d（</w:t>
            </w:r>
            <w:r>
              <w:rPr>
                <w:rFonts w:hint="eastAsia" w:ascii="Times New Roman" w:hAnsi="Times New Roman"/>
                <w:spacing w:val="-6"/>
                <w:sz w:val="24"/>
              </w:rPr>
              <w:t>6090</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ascii="Times New Roman"/>
                <w:spacing w:val="-6"/>
                <w:sz w:val="24"/>
              </w:rPr>
              <w:t>，</w:t>
            </w:r>
            <w:r>
              <w:rPr>
                <w:rFonts w:ascii="Times New Roman" w:hAnsi="Times New Roman"/>
                <w:spacing w:val="-1"/>
                <w:kern w:val="30"/>
                <w:position w:val="-1"/>
                <w:sz w:val="24"/>
              </w:rPr>
              <w:t>排污系数按0.8核算，则项目生活污水排放量</w:t>
            </w:r>
            <w:r>
              <w:rPr>
                <w:rFonts w:ascii="Times New Roman" w:hAnsi="Times New Roman"/>
                <w:spacing w:val="-6"/>
                <w:sz w:val="24"/>
              </w:rPr>
              <w:t>为</w:t>
            </w:r>
            <w:r>
              <w:rPr>
                <w:rFonts w:hint="eastAsia" w:ascii="Times New Roman" w:hAnsi="Times New Roman"/>
                <w:spacing w:val="-6"/>
                <w:sz w:val="24"/>
              </w:rPr>
              <w:t>17.4</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/d（</w:t>
            </w:r>
            <w:r>
              <w:rPr>
                <w:rFonts w:hint="eastAsia" w:ascii="Times New Roman" w:hAnsi="Times New Roman"/>
                <w:spacing w:val="-6"/>
                <w:sz w:val="24"/>
              </w:rPr>
              <w:t>4872</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hint="eastAsia"/>
                <w:spacing w:val="-6"/>
                <w:sz w:val="24"/>
              </w:rPr>
              <w:t>，主要污染物及其浓度为</w:t>
            </w:r>
            <w:r>
              <w:rPr>
                <w:rFonts w:ascii="Times New Roman" w:hAnsi="Times New Roman"/>
                <w:spacing w:val="-6"/>
                <w:sz w:val="24"/>
              </w:rPr>
              <w:t>COD</w:t>
            </w:r>
            <w:r>
              <w:rPr>
                <w:rFonts w:ascii="Times New Roman" w:hAnsi="Times New Roman"/>
                <w:spacing w:val="-6"/>
                <w:sz w:val="24"/>
                <w:vertAlign w:val="subscript"/>
              </w:rPr>
              <w:t>Cr</w:t>
            </w:r>
            <w:r>
              <w:rPr>
                <w:rFonts w:hint="eastAsia" w:ascii="Times New Roman" w:hAnsi="Times New Roman"/>
                <w:spacing w:val="-6"/>
                <w:sz w:val="24"/>
              </w:rPr>
              <w:t>300mg/L</w:t>
            </w:r>
            <w:r>
              <w:rPr>
                <w:rFonts w:ascii="Times New Roman"/>
                <w:spacing w:val="-6"/>
                <w:sz w:val="24"/>
              </w:rPr>
              <w:t>、</w:t>
            </w:r>
            <w:r>
              <w:rPr>
                <w:rFonts w:ascii="Times New Roman" w:hAnsi="Times New Roman"/>
                <w:spacing w:val="-6"/>
                <w:sz w:val="24"/>
              </w:rPr>
              <w:t>BOD</w:t>
            </w:r>
            <w:r>
              <w:rPr>
                <w:rFonts w:ascii="Times New Roman" w:hAnsi="Times New Roman"/>
                <w:spacing w:val="-6"/>
                <w:sz w:val="24"/>
                <w:vertAlign w:val="subscript"/>
              </w:rPr>
              <w:t>5</w:t>
            </w:r>
            <w:r>
              <w:rPr>
                <w:rFonts w:hint="eastAsia" w:ascii="Times New Roman" w:hAnsi="Times New Roman"/>
                <w:spacing w:val="-6"/>
                <w:sz w:val="24"/>
              </w:rPr>
              <w:t>200mg/L</w:t>
            </w:r>
            <w:r>
              <w:rPr>
                <w:rFonts w:ascii="Times New Roman"/>
                <w:spacing w:val="-6"/>
                <w:sz w:val="24"/>
              </w:rPr>
              <w:t>、</w:t>
            </w:r>
            <w:r>
              <w:rPr>
                <w:rFonts w:ascii="Times New Roman" w:hAnsi="Times New Roman"/>
                <w:spacing w:val="-6"/>
                <w:sz w:val="24"/>
              </w:rPr>
              <w:t>SS</w:t>
            </w:r>
            <w:r>
              <w:rPr>
                <w:rFonts w:hint="eastAsia" w:ascii="Times New Roman" w:hAnsi="Times New Roman"/>
                <w:spacing w:val="-6"/>
                <w:sz w:val="24"/>
              </w:rPr>
              <w:t>220mg/L</w:t>
            </w:r>
            <w:r>
              <w:rPr>
                <w:rFonts w:ascii="Times New Roman"/>
                <w:spacing w:val="-6"/>
                <w:sz w:val="24"/>
              </w:rPr>
              <w:t>、氨氮</w:t>
            </w:r>
            <w:r>
              <w:rPr>
                <w:rFonts w:hint="eastAsia" w:ascii="Times New Roman" w:hAnsi="Times New Roman"/>
                <w:spacing w:val="-6"/>
                <w:sz w:val="24"/>
              </w:rPr>
              <w:t>30mg/L</w:t>
            </w:r>
            <w:r>
              <w:rPr>
                <w:rFonts w:ascii="Times New Roman"/>
                <w:spacing w:val="-6"/>
                <w:sz w:val="24"/>
              </w:rPr>
              <w:t>、动植物油</w:t>
            </w:r>
            <w:r>
              <w:rPr>
                <w:rFonts w:hint="eastAsia" w:ascii="Times New Roman" w:hAnsi="Times New Roman"/>
                <w:spacing w:val="-6"/>
                <w:sz w:val="24"/>
              </w:rPr>
              <w:t>40mg/L</w:t>
            </w:r>
            <w:r>
              <w:rPr>
                <w:rFonts w:ascii="Times New Roman"/>
                <w:spacing w:val="-6"/>
                <w:sz w:val="24"/>
              </w:rPr>
              <w:t>等</w:t>
            </w:r>
            <w:r>
              <w:rPr>
                <w:rFonts w:hint="eastAsia" w:ascii="Times New Roman" w:hAnsi="Times New Roman"/>
                <w:spacing w:val="-6"/>
                <w:sz w:val="24"/>
              </w:rPr>
              <w:t>。</w:t>
            </w:r>
          </w:p>
          <w:p>
            <w:pPr>
              <w:pStyle w:val="30"/>
              <w:adjustRightInd w:val="0"/>
              <w:snapToGrid w:val="0"/>
              <w:spacing w:after="0" w:line="360" w:lineRule="auto"/>
              <w:ind w:firstLine="480" w:firstLineChars="200"/>
              <w:rPr>
                <w:kern w:val="0"/>
                <w:sz w:val="24"/>
              </w:rPr>
            </w:pPr>
            <w:r>
              <w:rPr>
                <w:rFonts w:hint="eastAsia"/>
                <w:kern w:val="0"/>
                <w:sz w:val="24"/>
              </w:rPr>
              <w:t>②车间地面保洁废水</w:t>
            </w:r>
          </w:p>
          <w:p>
            <w:pPr>
              <w:pStyle w:val="30"/>
              <w:adjustRightInd w:val="0"/>
              <w:snapToGrid w:val="0"/>
              <w:spacing w:after="0" w:line="360" w:lineRule="auto"/>
              <w:ind w:firstLine="480" w:firstLineChars="200"/>
              <w:rPr>
                <w:rFonts w:ascii="Times New Roman" w:hAnsi="Times New Roman"/>
                <w:kern w:val="0"/>
                <w:sz w:val="24"/>
              </w:rPr>
            </w:pPr>
            <w:r>
              <w:rPr>
                <w:rFonts w:ascii="Times New Roman"/>
                <w:kern w:val="0"/>
                <w:sz w:val="24"/>
              </w:rPr>
              <w:t>根据水平衡分析可知，</w:t>
            </w:r>
            <w:r>
              <w:rPr>
                <w:rFonts w:hint="eastAsia" w:ascii="Times New Roman" w:hAnsi="Times New Roman"/>
                <w:spacing w:val="-6"/>
                <w:sz w:val="24"/>
              </w:rPr>
              <w:t>车间</w:t>
            </w:r>
            <w:r>
              <w:rPr>
                <w:rFonts w:ascii="Times New Roman" w:hAnsi="Times New Roman"/>
                <w:spacing w:val="-6"/>
                <w:sz w:val="24"/>
              </w:rPr>
              <w:t>地面保洁用水量约</w:t>
            </w:r>
            <w:r>
              <w:rPr>
                <w:rFonts w:hint="eastAsia" w:ascii="Times New Roman" w:hAnsi="Times New Roman"/>
                <w:spacing w:val="-6"/>
                <w:sz w:val="24"/>
              </w:rPr>
              <w:t>564.21</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/a，排污系数</w:t>
            </w:r>
            <w:r>
              <w:rPr>
                <w:rFonts w:ascii="Times New Roman" w:hAnsi="Times New Roman"/>
                <w:spacing w:val="-1"/>
                <w:kern w:val="30"/>
                <w:position w:val="-1"/>
                <w:sz w:val="24"/>
              </w:rPr>
              <w:t>按</w:t>
            </w:r>
            <w:r>
              <w:rPr>
                <w:rFonts w:ascii="Times New Roman" w:hAnsi="Times New Roman"/>
                <w:spacing w:val="-6"/>
                <w:sz w:val="24"/>
              </w:rPr>
              <w:t>0.8</w:t>
            </w:r>
            <w:r>
              <w:rPr>
                <w:rFonts w:ascii="Times New Roman" w:hAnsi="Times New Roman"/>
                <w:spacing w:val="-1"/>
                <w:kern w:val="30"/>
                <w:position w:val="-1"/>
                <w:sz w:val="24"/>
              </w:rPr>
              <w:t>核算，则项目</w:t>
            </w:r>
            <w:r>
              <w:rPr>
                <w:rFonts w:ascii="Times New Roman" w:hAnsi="Times New Roman"/>
                <w:kern w:val="0"/>
                <w:sz w:val="24"/>
              </w:rPr>
              <w:t>车间地面保洁废水</w:t>
            </w:r>
            <w:r>
              <w:rPr>
                <w:rFonts w:ascii="Times New Roman" w:hAnsi="Times New Roman"/>
                <w:spacing w:val="-1"/>
                <w:kern w:val="30"/>
                <w:position w:val="-1"/>
                <w:sz w:val="24"/>
              </w:rPr>
              <w:t>排放量</w:t>
            </w:r>
            <w:r>
              <w:rPr>
                <w:rFonts w:ascii="Times New Roman" w:hAnsi="Times New Roman"/>
                <w:spacing w:val="-6"/>
                <w:sz w:val="24"/>
              </w:rPr>
              <w:t>为</w:t>
            </w:r>
            <w:r>
              <w:rPr>
                <w:rFonts w:hint="eastAsia" w:ascii="Times New Roman" w:hAnsi="Times New Roman"/>
                <w:spacing w:val="-6"/>
                <w:sz w:val="24"/>
              </w:rPr>
              <w:t>1.61</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/d（</w:t>
            </w:r>
            <w:r>
              <w:rPr>
                <w:rFonts w:hint="eastAsia" w:ascii="Times New Roman" w:hAnsi="Times New Roman"/>
                <w:spacing w:val="-6"/>
                <w:sz w:val="24"/>
              </w:rPr>
              <w:t>451.37</w:t>
            </w:r>
            <w:r>
              <w:rPr>
                <w:rFonts w:ascii="Times New Roman" w:hAnsi="Times New Roman"/>
                <w:spacing w:val="-6"/>
                <w:sz w:val="24"/>
              </w:rPr>
              <w:t>m</w:t>
            </w:r>
            <w:r>
              <w:rPr>
                <w:rFonts w:ascii="Times New Roman" w:hAnsi="Times New Roman"/>
                <w:spacing w:val="-6"/>
                <w:sz w:val="24"/>
                <w:vertAlign w:val="superscript"/>
              </w:rPr>
              <w:t>3</w:t>
            </w:r>
            <w:r>
              <w:rPr>
                <w:rFonts w:ascii="Times New Roman" w:hAnsi="Times New Roman"/>
                <w:spacing w:val="-6"/>
                <w:sz w:val="24"/>
              </w:rPr>
              <w:t>/a），</w:t>
            </w:r>
            <w:r>
              <w:rPr>
                <w:rFonts w:ascii="Times New Roman" w:hAnsi="Times New Roman"/>
                <w:kern w:val="0"/>
                <w:sz w:val="24"/>
              </w:rPr>
              <w:t>主要污染因子为COD</w:t>
            </w:r>
            <w:r>
              <w:rPr>
                <w:rFonts w:ascii="Times New Roman" w:hAnsi="Times New Roman"/>
                <w:kern w:val="0"/>
                <w:sz w:val="24"/>
                <w:vertAlign w:val="subscript"/>
              </w:rPr>
              <w:t>Cr</w:t>
            </w:r>
            <w:r>
              <w:rPr>
                <w:rFonts w:ascii="Times New Roman" w:hAnsi="Times New Roman"/>
                <w:kern w:val="0"/>
                <w:sz w:val="24"/>
              </w:rPr>
              <w:t>、BOD</w:t>
            </w:r>
            <w:r>
              <w:rPr>
                <w:rFonts w:ascii="Times New Roman" w:hAnsi="Times New Roman"/>
                <w:kern w:val="0"/>
                <w:sz w:val="24"/>
                <w:vertAlign w:val="subscript"/>
              </w:rPr>
              <w:t>5</w:t>
            </w:r>
            <w:r>
              <w:rPr>
                <w:rFonts w:ascii="Times New Roman" w:hAnsi="Times New Roman"/>
                <w:kern w:val="0"/>
                <w:sz w:val="24"/>
              </w:rPr>
              <w:t>、SS</w:t>
            </w:r>
            <w:r>
              <w:rPr>
                <w:rFonts w:hint="eastAsia"/>
                <w:kern w:val="0"/>
                <w:sz w:val="24"/>
              </w:rPr>
              <w:t>、氨氮</w:t>
            </w:r>
            <w:r>
              <w:rPr>
                <w:rFonts w:ascii="Times New Roman" w:hAnsi="Times New Roman"/>
                <w:kern w:val="0"/>
                <w:sz w:val="24"/>
              </w:rPr>
              <w:t>及石油类等，其浓度分别为</w:t>
            </w:r>
            <w:r>
              <w:rPr>
                <w:rFonts w:hint="eastAsia" w:ascii="Times New Roman" w:hAnsi="Times New Roman"/>
                <w:kern w:val="0"/>
                <w:sz w:val="24"/>
              </w:rPr>
              <w:t>25</w:t>
            </w:r>
            <w:r>
              <w:rPr>
                <w:rFonts w:ascii="Times New Roman" w:hAnsi="Times New Roman"/>
                <w:kern w:val="0"/>
                <w:sz w:val="24"/>
              </w:rPr>
              <w:t>0mg/L、80mg/L、100mg/L、</w:t>
            </w:r>
            <w:r>
              <w:rPr>
                <w:rFonts w:hint="eastAsia" w:ascii="Times New Roman" w:hAnsi="Times New Roman"/>
                <w:kern w:val="0"/>
                <w:sz w:val="24"/>
              </w:rPr>
              <w:t>3</w:t>
            </w:r>
            <w:r>
              <w:rPr>
                <w:rFonts w:ascii="Times New Roman" w:hAnsi="Times New Roman"/>
                <w:kern w:val="0"/>
                <w:sz w:val="24"/>
              </w:rPr>
              <w:t>0mg/L</w:t>
            </w:r>
            <w:r>
              <w:rPr>
                <w:rFonts w:hint="eastAsia" w:ascii="Times New Roman" w:hAnsi="Times New Roman"/>
                <w:kern w:val="0"/>
                <w:sz w:val="24"/>
              </w:rPr>
              <w:t>、5</w:t>
            </w:r>
            <w:r>
              <w:rPr>
                <w:rFonts w:ascii="Times New Roman" w:hAnsi="Times New Roman"/>
                <w:kern w:val="0"/>
                <w:sz w:val="24"/>
              </w:rPr>
              <w:t>0mg/L。</w:t>
            </w:r>
          </w:p>
          <w:p>
            <w:pPr>
              <w:adjustRightInd w:val="0"/>
              <w:snapToGrid w:val="0"/>
              <w:spacing w:line="360" w:lineRule="auto"/>
              <w:ind w:firstLine="480" w:firstLineChars="200"/>
              <w:rPr>
                <w:rFonts w:hAnsi="宋体"/>
                <w:sz w:val="24"/>
              </w:rPr>
            </w:pPr>
            <w:r>
              <w:rPr>
                <w:rFonts w:hint="eastAsia"/>
                <w:kern w:val="0"/>
                <w:sz w:val="24"/>
              </w:rPr>
              <w:t>项目车间地面保洁废水及生活污水经化粪池预处理后排入市政污水管网，</w:t>
            </w:r>
            <w:r>
              <w:rPr>
                <w:rFonts w:hint="eastAsia" w:hAnsi="宋体"/>
                <w:bCs/>
                <w:kern w:val="0"/>
                <w:sz w:val="24"/>
              </w:rPr>
              <w:t>近期（衡山高新区综合污水处理厂扩容提标工程投产前），</w:t>
            </w:r>
            <w:r>
              <w:rPr>
                <w:rFonts w:hint="eastAsia"/>
                <w:kern w:val="0"/>
                <w:sz w:val="24"/>
              </w:rPr>
              <w:t>经衡山高新区综合</w:t>
            </w:r>
            <w:r>
              <w:rPr>
                <w:kern w:val="0"/>
                <w:sz w:val="24"/>
              </w:rPr>
              <w:t>污水处理厂</w:t>
            </w:r>
            <w:r>
              <w:rPr>
                <w:rFonts w:hint="eastAsia"/>
                <w:kern w:val="0"/>
                <w:sz w:val="24"/>
              </w:rPr>
              <w:t>处理达到</w:t>
            </w:r>
            <w:r>
              <w:rPr>
                <w:rFonts w:hint="eastAsia"/>
                <w:sz w:val="24"/>
              </w:rPr>
              <w:t>《污水综合排放标准》（GB8978-1996）一级标准后排入衡山县城污水处理厂处理，最终排入湘江；远期（衡山高新区综合污水处理厂扩容提标工程投产后），</w:t>
            </w:r>
            <w:r>
              <w:rPr>
                <w:rFonts w:hint="eastAsia"/>
                <w:kern w:val="0"/>
                <w:sz w:val="24"/>
              </w:rPr>
              <w:t>经衡山高新区综合</w:t>
            </w:r>
            <w:r>
              <w:rPr>
                <w:kern w:val="0"/>
                <w:sz w:val="24"/>
              </w:rPr>
              <w:t>污水处理厂</w:t>
            </w:r>
            <w:r>
              <w:rPr>
                <w:rFonts w:hint="eastAsia"/>
                <w:kern w:val="0"/>
                <w:sz w:val="24"/>
              </w:rPr>
              <w:t>处理达到</w:t>
            </w:r>
            <w:r>
              <w:rPr>
                <w:rFonts w:hint="eastAsia"/>
                <w:sz w:val="24"/>
              </w:rPr>
              <w:t>《城镇污水处理厂污染物排放标准》（GB18918-2002）一级A标准排放至湘江。</w:t>
            </w:r>
          </w:p>
          <w:p>
            <w:pPr>
              <w:adjustRightInd w:val="0"/>
              <w:snapToGrid w:val="0"/>
              <w:spacing w:line="360" w:lineRule="auto"/>
              <w:ind w:firstLine="480" w:firstLineChars="200"/>
              <w:rPr>
                <w:rFonts w:hAnsi="宋体"/>
                <w:bCs/>
                <w:kern w:val="0"/>
                <w:sz w:val="24"/>
              </w:rPr>
            </w:pPr>
            <w:r>
              <w:rPr>
                <w:rFonts w:hint="eastAsia" w:hAnsi="宋体"/>
                <w:bCs/>
                <w:kern w:val="0"/>
                <w:sz w:val="24"/>
              </w:rPr>
              <w:t>项目废水主要污染物产生及处理情况详见下表。</w:t>
            </w:r>
          </w:p>
          <w:p>
            <w:pPr>
              <w:spacing w:beforeLines="50"/>
              <w:jc w:val="center"/>
              <w:rPr>
                <w:b/>
              </w:rPr>
            </w:pPr>
            <w:r>
              <w:rPr>
                <w:rFonts w:hint="eastAsia"/>
                <w:b/>
              </w:rPr>
              <w:t>表4-10  项目运营期水污染物产生及排放情况一览表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130"/>
              <w:gridCol w:w="1424"/>
              <w:gridCol w:w="1056"/>
              <w:gridCol w:w="874"/>
              <w:gridCol w:w="928"/>
              <w:gridCol w:w="819"/>
              <w:gridCol w:w="819"/>
              <w:gridCol w:w="819"/>
              <w:gridCol w:w="8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2" w:type="pct"/>
                  <w:gridSpan w:val="3"/>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项目</w:t>
                  </w:r>
                </w:p>
              </w:tc>
              <w:tc>
                <w:tcPr>
                  <w:tcW w:w="561"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废水量（</w:t>
                  </w:r>
                  <w:r>
                    <w:rPr>
                      <w:rFonts w:hint="eastAsia" w:cs="Times New Roman"/>
                      <w:szCs w:val="21"/>
                      <w:lang w:eastAsia="zh-CN"/>
                    </w:rPr>
                    <w:t>m</w:t>
                  </w:r>
                  <w:r>
                    <w:rPr>
                      <w:rFonts w:hint="eastAsia" w:cs="Times New Roman"/>
                      <w:szCs w:val="21"/>
                      <w:vertAlign w:val="superscript"/>
                      <w:lang w:eastAsia="zh-CN"/>
                    </w:rPr>
                    <w:t>3</w:t>
                  </w:r>
                  <w:r>
                    <w:rPr>
                      <w:rFonts w:hint="eastAsia" w:cs="Times New Roman"/>
                      <w:szCs w:val="21"/>
                      <w:lang w:eastAsia="zh-CN"/>
                    </w:rPr>
                    <w:t>/a</w:t>
                  </w:r>
                  <w:r>
                    <w:rPr>
                      <w:rFonts w:hint="eastAsia" w:cs="Times New Roman"/>
                      <w:b/>
                      <w:bCs/>
                      <w:szCs w:val="21"/>
                      <w:lang w:eastAsia="zh-CN"/>
                    </w:rPr>
                    <w:t>）</w:t>
                  </w:r>
                </w:p>
              </w:tc>
              <w:tc>
                <w:tcPr>
                  <w:tcW w:w="464"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COD</w:t>
                  </w:r>
                  <w:r>
                    <w:rPr>
                      <w:rFonts w:hint="eastAsia" w:cs="Times New Roman"/>
                      <w:b/>
                      <w:bCs/>
                      <w:szCs w:val="21"/>
                      <w:vertAlign w:val="subscript"/>
                      <w:lang w:eastAsia="zh-CN"/>
                    </w:rPr>
                    <w:t>Cr</w:t>
                  </w:r>
                </w:p>
              </w:tc>
              <w:tc>
                <w:tcPr>
                  <w:tcW w:w="493"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BOD</w:t>
                  </w:r>
                  <w:r>
                    <w:rPr>
                      <w:rFonts w:hint="eastAsia" w:cs="Times New Roman"/>
                      <w:b/>
                      <w:bCs/>
                      <w:szCs w:val="21"/>
                      <w:vertAlign w:val="subscript"/>
                      <w:lang w:eastAsia="zh-CN"/>
                    </w:rPr>
                    <w:t>5</w:t>
                  </w:r>
                </w:p>
              </w:tc>
              <w:tc>
                <w:tcPr>
                  <w:tcW w:w="435"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SS</w:t>
                  </w:r>
                </w:p>
              </w:tc>
              <w:tc>
                <w:tcPr>
                  <w:tcW w:w="435"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氨氮</w:t>
                  </w:r>
                </w:p>
              </w:tc>
              <w:tc>
                <w:tcPr>
                  <w:tcW w:w="435"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石油类</w:t>
                  </w:r>
                </w:p>
              </w:tc>
              <w:tc>
                <w:tcPr>
                  <w:tcW w:w="435" w:type="pct"/>
                  <w:tcBorders>
                    <w:tl2br w:val="nil"/>
                    <w:tr2bl w:val="nil"/>
                  </w:tcBorders>
                  <w:vAlign w:val="center"/>
                </w:tcPr>
                <w:p>
                  <w:pPr>
                    <w:pStyle w:val="106"/>
                    <w:ind w:firstLine="0" w:firstLineChars="0"/>
                    <w:jc w:val="center"/>
                    <w:rPr>
                      <w:rFonts w:cs="Times New Roman"/>
                      <w:b/>
                      <w:bCs/>
                      <w:szCs w:val="21"/>
                      <w:lang w:eastAsia="zh-CN"/>
                    </w:rPr>
                  </w:pPr>
                  <w:r>
                    <w:rPr>
                      <w:rFonts w:hint="eastAsia" w:cs="Times New Roman"/>
                      <w:b/>
                      <w:bCs/>
                      <w:szCs w:val="21"/>
                      <w:lang w:eastAsia="zh-CN"/>
                    </w:rPr>
                    <w:t>动植物油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restar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生产废水</w:t>
                  </w:r>
                </w:p>
              </w:tc>
              <w:tc>
                <w:tcPr>
                  <w:tcW w:w="600" w:type="pct"/>
                  <w:vMerge w:val="restar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车间地面保洁废水</w:t>
                  </w:r>
                </w:p>
              </w:tc>
              <w:tc>
                <w:tcPr>
                  <w:tcW w:w="756" w:type="pct"/>
                  <w:tcBorders>
                    <w:tl2br w:val="nil"/>
                    <w:tr2bl w:val="nil"/>
                  </w:tcBorders>
                  <w:vAlign w:val="center"/>
                </w:tcPr>
                <w:p>
                  <w:pPr>
                    <w:jc w:val="center"/>
                    <w:rPr>
                      <w:szCs w:val="21"/>
                    </w:rPr>
                  </w:pPr>
                  <w:r>
                    <w:rPr>
                      <w:rFonts w:hint="eastAsia"/>
                      <w:szCs w:val="21"/>
                    </w:rPr>
                    <w:t>产生浓度（mg/L）</w:t>
                  </w:r>
                </w:p>
              </w:tc>
              <w:tc>
                <w:tcPr>
                  <w:tcW w:w="561" w:type="pct"/>
                  <w:vMerge w:val="restart"/>
                  <w:tcBorders>
                    <w:tl2br w:val="nil"/>
                    <w:tr2bl w:val="nil"/>
                  </w:tcBorders>
                  <w:vAlign w:val="center"/>
                </w:tcPr>
                <w:p>
                  <w:pPr>
                    <w:jc w:val="center"/>
                    <w:rPr>
                      <w:szCs w:val="21"/>
                    </w:rPr>
                  </w:pPr>
                  <w:r>
                    <w:rPr>
                      <w:rFonts w:hint="eastAsia"/>
                      <w:szCs w:val="21"/>
                    </w:rPr>
                    <w:t>451.37</w:t>
                  </w:r>
                </w:p>
              </w:tc>
              <w:tc>
                <w:tcPr>
                  <w:tcW w:w="464" w:type="pct"/>
                  <w:tcBorders>
                    <w:tl2br w:val="nil"/>
                    <w:tr2bl w:val="nil"/>
                  </w:tcBorders>
                  <w:vAlign w:val="center"/>
                </w:tcPr>
                <w:p>
                  <w:pPr>
                    <w:jc w:val="center"/>
                    <w:rPr>
                      <w:szCs w:val="21"/>
                    </w:rPr>
                  </w:pPr>
                  <w:r>
                    <w:rPr>
                      <w:rFonts w:hint="eastAsia"/>
                      <w:szCs w:val="21"/>
                    </w:rPr>
                    <w:t>250</w:t>
                  </w:r>
                </w:p>
              </w:tc>
              <w:tc>
                <w:tcPr>
                  <w:tcW w:w="493" w:type="pct"/>
                  <w:tcBorders>
                    <w:tl2br w:val="nil"/>
                    <w:tr2bl w:val="nil"/>
                  </w:tcBorders>
                  <w:vAlign w:val="center"/>
                </w:tcPr>
                <w:p>
                  <w:pPr>
                    <w:jc w:val="center"/>
                    <w:rPr>
                      <w:szCs w:val="21"/>
                    </w:rPr>
                  </w:pPr>
                  <w:r>
                    <w:rPr>
                      <w:rFonts w:hint="eastAsia"/>
                      <w:szCs w:val="21"/>
                    </w:rPr>
                    <w:t>80</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100</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30</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50</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600"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756" w:type="pct"/>
                  <w:tcBorders>
                    <w:tl2br w:val="nil"/>
                    <w:tr2bl w:val="nil"/>
                  </w:tcBorders>
                  <w:vAlign w:val="center"/>
                </w:tcPr>
                <w:p>
                  <w:pPr>
                    <w:jc w:val="center"/>
                    <w:rPr>
                      <w:szCs w:val="21"/>
                    </w:rPr>
                  </w:pPr>
                  <w:r>
                    <w:rPr>
                      <w:rFonts w:hint="eastAsia"/>
                      <w:szCs w:val="21"/>
                    </w:rPr>
                    <w:t>产生量（t/a）</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szCs w:val="21"/>
                    </w:rPr>
                  </w:pPr>
                  <w:r>
                    <w:rPr>
                      <w:rFonts w:hint="eastAsia"/>
                      <w:szCs w:val="21"/>
                    </w:rPr>
                    <w:t>0.113</w:t>
                  </w:r>
                </w:p>
              </w:tc>
              <w:tc>
                <w:tcPr>
                  <w:tcW w:w="493" w:type="pct"/>
                  <w:tcBorders>
                    <w:tl2br w:val="nil"/>
                    <w:tr2bl w:val="nil"/>
                  </w:tcBorders>
                  <w:vAlign w:val="center"/>
                </w:tcPr>
                <w:p>
                  <w:pPr>
                    <w:jc w:val="center"/>
                    <w:rPr>
                      <w:szCs w:val="21"/>
                    </w:rPr>
                  </w:pPr>
                  <w:r>
                    <w:rPr>
                      <w:rFonts w:hint="eastAsia"/>
                      <w:szCs w:val="21"/>
                    </w:rPr>
                    <w:t>0.036</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0.045</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0.014</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0.023</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restar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生活污水</w:t>
                  </w:r>
                </w:p>
              </w:tc>
              <w:tc>
                <w:tcPr>
                  <w:tcW w:w="600" w:type="pct"/>
                  <w:vMerge w:val="restar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生活污水</w:t>
                  </w:r>
                </w:p>
              </w:tc>
              <w:tc>
                <w:tcPr>
                  <w:tcW w:w="756" w:type="pct"/>
                  <w:tcBorders>
                    <w:tl2br w:val="nil"/>
                    <w:tr2bl w:val="nil"/>
                  </w:tcBorders>
                  <w:vAlign w:val="center"/>
                </w:tcPr>
                <w:p>
                  <w:pPr>
                    <w:jc w:val="center"/>
                    <w:rPr>
                      <w:szCs w:val="21"/>
                    </w:rPr>
                  </w:pPr>
                  <w:r>
                    <w:rPr>
                      <w:rFonts w:hint="eastAsia"/>
                      <w:szCs w:val="21"/>
                    </w:rPr>
                    <w:t>产生浓度（mg/L）</w:t>
                  </w:r>
                </w:p>
              </w:tc>
              <w:tc>
                <w:tcPr>
                  <w:tcW w:w="561" w:type="pct"/>
                  <w:vMerge w:val="restart"/>
                  <w:tcBorders>
                    <w:tl2br w:val="nil"/>
                    <w:tr2bl w:val="nil"/>
                  </w:tcBorders>
                  <w:vAlign w:val="center"/>
                </w:tcPr>
                <w:p>
                  <w:pPr>
                    <w:jc w:val="center"/>
                    <w:rPr>
                      <w:szCs w:val="21"/>
                    </w:rPr>
                  </w:pPr>
                  <w:r>
                    <w:rPr>
                      <w:rFonts w:hint="eastAsia"/>
                      <w:szCs w:val="21"/>
                    </w:rPr>
                    <w:t>4872</w:t>
                  </w:r>
                </w:p>
              </w:tc>
              <w:tc>
                <w:tcPr>
                  <w:tcW w:w="464" w:type="pct"/>
                  <w:tcBorders>
                    <w:tl2br w:val="nil"/>
                    <w:tr2bl w:val="nil"/>
                  </w:tcBorders>
                  <w:vAlign w:val="center"/>
                </w:tcPr>
                <w:p>
                  <w:pPr>
                    <w:jc w:val="center"/>
                    <w:rPr>
                      <w:szCs w:val="21"/>
                    </w:rPr>
                  </w:pPr>
                  <w:r>
                    <w:rPr>
                      <w:rFonts w:hint="eastAsia"/>
                      <w:szCs w:val="21"/>
                    </w:rPr>
                    <w:t>300</w:t>
                  </w:r>
                </w:p>
              </w:tc>
              <w:tc>
                <w:tcPr>
                  <w:tcW w:w="493" w:type="pct"/>
                  <w:tcBorders>
                    <w:tl2br w:val="nil"/>
                    <w:tr2bl w:val="nil"/>
                  </w:tcBorders>
                  <w:vAlign w:val="center"/>
                </w:tcPr>
                <w:p>
                  <w:pPr>
                    <w:jc w:val="center"/>
                    <w:rPr>
                      <w:szCs w:val="21"/>
                    </w:rPr>
                  </w:pPr>
                  <w:r>
                    <w:rPr>
                      <w:rFonts w:hint="eastAsia"/>
                      <w:szCs w:val="21"/>
                    </w:rPr>
                    <w:t>200</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220</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30</w:t>
                  </w:r>
                </w:p>
              </w:tc>
              <w:tc>
                <w:tcPr>
                  <w:tcW w:w="435" w:type="pct"/>
                  <w:tcBorders>
                    <w:tl2br w:val="nil"/>
                    <w:tr2bl w:val="nil"/>
                  </w:tcBorders>
                  <w:vAlign w:val="center"/>
                </w:tcPr>
                <w:p>
                  <w:pPr>
                    <w:jc w:val="center"/>
                    <w:rPr>
                      <w:szCs w:val="21"/>
                    </w:rPr>
                  </w:pPr>
                  <w:r>
                    <w:rPr>
                      <w:rFonts w:hint="eastAsia"/>
                      <w:szCs w:val="21"/>
                    </w:rPr>
                    <w:t>/</w:t>
                  </w:r>
                </w:p>
              </w:tc>
              <w:tc>
                <w:tcPr>
                  <w:tcW w:w="435" w:type="pct"/>
                  <w:tcBorders>
                    <w:tl2br w:val="nil"/>
                    <w:tr2bl w:val="nil"/>
                  </w:tcBorders>
                  <w:vAlign w:val="center"/>
                </w:tcPr>
                <w:p>
                  <w:pPr>
                    <w:jc w:val="center"/>
                    <w:rPr>
                      <w:szCs w:val="21"/>
                    </w:rPr>
                  </w:pPr>
                  <w:r>
                    <w:rPr>
                      <w:rFonts w:hint="eastAsia"/>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600"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756" w:type="pct"/>
                  <w:tcBorders>
                    <w:tl2br w:val="nil"/>
                    <w:tr2bl w:val="nil"/>
                  </w:tcBorders>
                  <w:vAlign w:val="center"/>
                </w:tcPr>
                <w:p>
                  <w:pPr>
                    <w:jc w:val="center"/>
                    <w:rPr>
                      <w:szCs w:val="21"/>
                    </w:rPr>
                  </w:pPr>
                  <w:r>
                    <w:rPr>
                      <w:rFonts w:hint="eastAsia"/>
                      <w:szCs w:val="21"/>
                    </w:rPr>
                    <w:t>产生量（t/a）</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szCs w:val="21"/>
                    </w:rPr>
                  </w:pPr>
                  <w:r>
                    <w:rPr>
                      <w:rFonts w:hint="eastAsia"/>
                      <w:szCs w:val="21"/>
                    </w:rPr>
                    <w:t>1.462</w:t>
                  </w:r>
                </w:p>
              </w:tc>
              <w:tc>
                <w:tcPr>
                  <w:tcW w:w="493" w:type="pct"/>
                  <w:tcBorders>
                    <w:tl2br w:val="nil"/>
                    <w:tr2bl w:val="nil"/>
                  </w:tcBorders>
                  <w:vAlign w:val="center"/>
                </w:tcPr>
                <w:p>
                  <w:pPr>
                    <w:jc w:val="center"/>
                    <w:rPr>
                      <w:szCs w:val="21"/>
                    </w:rPr>
                  </w:pPr>
                  <w:r>
                    <w:rPr>
                      <w:rFonts w:hint="eastAsia"/>
                      <w:szCs w:val="21"/>
                    </w:rPr>
                    <w:t>0.974</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1.072</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0.146</w:t>
                  </w:r>
                </w:p>
              </w:tc>
              <w:tc>
                <w:tcPr>
                  <w:tcW w:w="435" w:type="pct"/>
                  <w:tcBorders>
                    <w:tl2br w:val="nil"/>
                    <w:tr2bl w:val="nil"/>
                  </w:tcBorders>
                  <w:vAlign w:val="center"/>
                </w:tcPr>
                <w:p>
                  <w:pPr>
                    <w:jc w:val="center"/>
                    <w:rPr>
                      <w:szCs w:val="21"/>
                    </w:rPr>
                  </w:pPr>
                  <w:r>
                    <w:rPr>
                      <w:rFonts w:hint="eastAsia"/>
                      <w:szCs w:val="21"/>
                    </w:rPr>
                    <w:t>/</w:t>
                  </w:r>
                </w:p>
              </w:tc>
              <w:tc>
                <w:tcPr>
                  <w:tcW w:w="435" w:type="pct"/>
                  <w:tcBorders>
                    <w:tl2br w:val="nil"/>
                    <w:tr2bl w:val="nil"/>
                  </w:tcBorders>
                  <w:vAlign w:val="center"/>
                </w:tcPr>
                <w:p>
                  <w:pPr>
                    <w:jc w:val="center"/>
                    <w:rPr>
                      <w:szCs w:val="21"/>
                    </w:rPr>
                  </w:pPr>
                  <w:r>
                    <w:rPr>
                      <w:rFonts w:hint="eastAsia"/>
                      <w:szCs w:val="21"/>
                    </w:rPr>
                    <w:t>0.195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restart"/>
                  <w:tcBorders>
                    <w:tl2br w:val="nil"/>
                    <w:tr2bl w:val="nil"/>
                  </w:tcBorders>
                  <w:vAlign w:val="center"/>
                </w:tcPr>
                <w:p>
                  <w:pPr>
                    <w:pStyle w:val="106"/>
                    <w:ind w:firstLine="0" w:firstLineChars="0"/>
                    <w:jc w:val="center"/>
                    <w:rPr>
                      <w:rFonts w:cs="Times New Roman"/>
                      <w:szCs w:val="21"/>
                      <w:lang w:eastAsia="zh-CN"/>
                    </w:rPr>
                  </w:pPr>
                  <w:r>
                    <w:rPr>
                      <w:rFonts w:cs="Times New Roman"/>
                      <w:szCs w:val="21"/>
                      <w:lang w:eastAsia="zh-CN"/>
                    </w:rPr>
                    <w:t>生产废水</w:t>
                  </w:r>
                  <w:r>
                    <w:rPr>
                      <w:rFonts w:hint="eastAsia" w:cs="Times New Roman"/>
                      <w:szCs w:val="21"/>
                      <w:lang w:eastAsia="zh-CN"/>
                    </w:rPr>
                    <w:t>+生活污水</w:t>
                  </w:r>
                </w:p>
              </w:tc>
              <w:tc>
                <w:tcPr>
                  <w:tcW w:w="600" w:type="pct"/>
                  <w:vMerge w:val="restar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经三级化粪池预处理前</w:t>
                  </w:r>
                </w:p>
              </w:tc>
              <w:tc>
                <w:tcPr>
                  <w:tcW w:w="756" w:type="pct"/>
                  <w:tcBorders>
                    <w:tl2br w:val="nil"/>
                    <w:tr2bl w:val="nil"/>
                  </w:tcBorders>
                  <w:vAlign w:val="center"/>
                </w:tcPr>
                <w:p>
                  <w:pPr>
                    <w:jc w:val="center"/>
                    <w:rPr>
                      <w:szCs w:val="21"/>
                    </w:rPr>
                  </w:pPr>
                  <w:r>
                    <w:rPr>
                      <w:rFonts w:hint="eastAsia"/>
                      <w:szCs w:val="21"/>
                    </w:rPr>
                    <w:t>产生浓度（mg/L）</w:t>
                  </w:r>
                </w:p>
              </w:tc>
              <w:tc>
                <w:tcPr>
                  <w:tcW w:w="561" w:type="pct"/>
                  <w:vMerge w:val="restart"/>
                  <w:tcBorders>
                    <w:tl2br w:val="nil"/>
                    <w:tr2bl w:val="nil"/>
                  </w:tcBorders>
                  <w:vAlign w:val="center"/>
                </w:tcPr>
                <w:p>
                  <w:pPr>
                    <w:jc w:val="center"/>
                    <w:rPr>
                      <w:szCs w:val="21"/>
                    </w:rPr>
                  </w:pPr>
                  <w:r>
                    <w:rPr>
                      <w:rFonts w:hint="eastAsia"/>
                      <w:szCs w:val="21"/>
                    </w:rPr>
                    <w:t>5323.37</w:t>
                  </w:r>
                </w:p>
              </w:tc>
              <w:tc>
                <w:tcPr>
                  <w:tcW w:w="464" w:type="pct"/>
                  <w:tcBorders>
                    <w:tl2br w:val="nil"/>
                    <w:tr2bl w:val="nil"/>
                  </w:tcBorders>
                  <w:vAlign w:val="center"/>
                </w:tcPr>
                <w:p>
                  <w:pPr>
                    <w:jc w:val="center"/>
                    <w:rPr>
                      <w:color w:val="000000"/>
                      <w:szCs w:val="21"/>
                    </w:rPr>
                  </w:pPr>
                  <w:r>
                    <w:rPr>
                      <w:color w:val="000000"/>
                      <w:szCs w:val="21"/>
                    </w:rPr>
                    <w:t>295.87</w:t>
                  </w:r>
                </w:p>
              </w:tc>
              <w:tc>
                <w:tcPr>
                  <w:tcW w:w="493" w:type="pct"/>
                  <w:tcBorders>
                    <w:tl2br w:val="nil"/>
                    <w:tr2bl w:val="nil"/>
                  </w:tcBorders>
                  <w:vAlign w:val="center"/>
                </w:tcPr>
                <w:p>
                  <w:pPr>
                    <w:jc w:val="center"/>
                    <w:rPr>
                      <w:color w:val="000000"/>
                      <w:szCs w:val="21"/>
                    </w:rPr>
                  </w:pPr>
                  <w:r>
                    <w:rPr>
                      <w:color w:val="000000"/>
                      <w:szCs w:val="21"/>
                    </w:rPr>
                    <w:t>189.73</w:t>
                  </w:r>
                </w:p>
              </w:tc>
              <w:tc>
                <w:tcPr>
                  <w:tcW w:w="435" w:type="pct"/>
                  <w:tcBorders>
                    <w:tl2br w:val="nil"/>
                    <w:tr2bl w:val="nil"/>
                  </w:tcBorders>
                  <w:vAlign w:val="center"/>
                </w:tcPr>
                <w:p>
                  <w:pPr>
                    <w:jc w:val="center"/>
                    <w:rPr>
                      <w:color w:val="000000"/>
                      <w:szCs w:val="21"/>
                    </w:rPr>
                  </w:pPr>
                  <w:r>
                    <w:rPr>
                      <w:color w:val="000000"/>
                      <w:szCs w:val="21"/>
                    </w:rPr>
                    <w:t>209.83</w:t>
                  </w:r>
                </w:p>
              </w:tc>
              <w:tc>
                <w:tcPr>
                  <w:tcW w:w="435" w:type="pct"/>
                  <w:tcBorders>
                    <w:tl2br w:val="nil"/>
                    <w:tr2bl w:val="nil"/>
                  </w:tcBorders>
                  <w:vAlign w:val="center"/>
                </w:tcPr>
                <w:p>
                  <w:pPr>
                    <w:jc w:val="center"/>
                    <w:rPr>
                      <w:color w:val="000000"/>
                      <w:szCs w:val="21"/>
                    </w:rPr>
                  </w:pPr>
                  <w:r>
                    <w:rPr>
                      <w:color w:val="000000"/>
                      <w:szCs w:val="21"/>
                    </w:rPr>
                    <w:t>30.06</w:t>
                  </w:r>
                </w:p>
              </w:tc>
              <w:tc>
                <w:tcPr>
                  <w:tcW w:w="435" w:type="pct"/>
                  <w:tcBorders>
                    <w:tl2br w:val="nil"/>
                    <w:tr2bl w:val="nil"/>
                  </w:tcBorders>
                  <w:vAlign w:val="center"/>
                </w:tcPr>
                <w:p>
                  <w:pPr>
                    <w:jc w:val="center"/>
                    <w:rPr>
                      <w:color w:val="000000"/>
                      <w:szCs w:val="21"/>
                    </w:rPr>
                  </w:pPr>
                  <w:r>
                    <w:rPr>
                      <w:color w:val="000000"/>
                      <w:szCs w:val="21"/>
                    </w:rPr>
                    <w:t>4.32</w:t>
                  </w:r>
                </w:p>
              </w:tc>
              <w:tc>
                <w:tcPr>
                  <w:tcW w:w="435" w:type="pct"/>
                  <w:tcBorders>
                    <w:tl2br w:val="nil"/>
                    <w:tr2bl w:val="nil"/>
                  </w:tcBorders>
                  <w:vAlign w:val="center"/>
                </w:tcPr>
                <w:p>
                  <w:pPr>
                    <w:jc w:val="center"/>
                    <w:rPr>
                      <w:color w:val="000000"/>
                      <w:szCs w:val="21"/>
                    </w:rPr>
                  </w:pPr>
                  <w:r>
                    <w:rPr>
                      <w:color w:val="000000"/>
                      <w:szCs w:val="21"/>
                    </w:rPr>
                    <w:t>36.63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600"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756" w:type="pct"/>
                  <w:tcBorders>
                    <w:tl2br w:val="nil"/>
                    <w:tr2bl w:val="nil"/>
                  </w:tcBorders>
                  <w:vAlign w:val="center"/>
                </w:tcPr>
                <w:p>
                  <w:pPr>
                    <w:jc w:val="center"/>
                    <w:rPr>
                      <w:szCs w:val="21"/>
                    </w:rPr>
                  </w:pPr>
                  <w:r>
                    <w:rPr>
                      <w:rFonts w:hint="eastAsia"/>
                      <w:szCs w:val="21"/>
                    </w:rPr>
                    <w:t>产生量（t/a）</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color w:val="000000"/>
                      <w:szCs w:val="21"/>
                    </w:rPr>
                  </w:pPr>
                  <w:r>
                    <w:rPr>
                      <w:color w:val="000000"/>
                      <w:szCs w:val="21"/>
                    </w:rPr>
                    <w:t>1.575</w:t>
                  </w:r>
                </w:p>
              </w:tc>
              <w:tc>
                <w:tcPr>
                  <w:tcW w:w="493" w:type="pct"/>
                  <w:tcBorders>
                    <w:tl2br w:val="nil"/>
                    <w:tr2bl w:val="nil"/>
                  </w:tcBorders>
                  <w:vAlign w:val="center"/>
                </w:tcPr>
                <w:p>
                  <w:pPr>
                    <w:jc w:val="center"/>
                    <w:rPr>
                      <w:color w:val="000000"/>
                      <w:szCs w:val="21"/>
                    </w:rPr>
                  </w:pPr>
                  <w:r>
                    <w:rPr>
                      <w:color w:val="000000"/>
                      <w:szCs w:val="21"/>
                    </w:rPr>
                    <w:t>1.01</w:t>
                  </w:r>
                </w:p>
              </w:tc>
              <w:tc>
                <w:tcPr>
                  <w:tcW w:w="435" w:type="pct"/>
                  <w:tcBorders>
                    <w:tl2br w:val="nil"/>
                    <w:tr2bl w:val="nil"/>
                  </w:tcBorders>
                  <w:vAlign w:val="center"/>
                </w:tcPr>
                <w:p>
                  <w:pPr>
                    <w:jc w:val="center"/>
                    <w:rPr>
                      <w:color w:val="000000"/>
                      <w:szCs w:val="21"/>
                    </w:rPr>
                  </w:pPr>
                  <w:r>
                    <w:rPr>
                      <w:color w:val="000000"/>
                      <w:szCs w:val="21"/>
                    </w:rPr>
                    <w:t>1.117</w:t>
                  </w:r>
                </w:p>
              </w:tc>
              <w:tc>
                <w:tcPr>
                  <w:tcW w:w="435" w:type="pct"/>
                  <w:tcBorders>
                    <w:tl2br w:val="nil"/>
                    <w:tr2bl w:val="nil"/>
                  </w:tcBorders>
                  <w:vAlign w:val="center"/>
                </w:tcPr>
                <w:p>
                  <w:pPr>
                    <w:jc w:val="center"/>
                    <w:rPr>
                      <w:color w:val="000000"/>
                      <w:szCs w:val="21"/>
                    </w:rPr>
                  </w:pPr>
                  <w:r>
                    <w:rPr>
                      <w:color w:val="000000"/>
                      <w:szCs w:val="21"/>
                    </w:rPr>
                    <w:t>0.16</w:t>
                  </w:r>
                </w:p>
              </w:tc>
              <w:tc>
                <w:tcPr>
                  <w:tcW w:w="435" w:type="pct"/>
                  <w:tcBorders>
                    <w:tl2br w:val="nil"/>
                    <w:tr2bl w:val="nil"/>
                  </w:tcBorders>
                  <w:vAlign w:val="center"/>
                </w:tcPr>
                <w:p>
                  <w:pPr>
                    <w:jc w:val="center"/>
                    <w:rPr>
                      <w:color w:val="000000"/>
                      <w:szCs w:val="21"/>
                    </w:rPr>
                  </w:pPr>
                  <w:r>
                    <w:rPr>
                      <w:color w:val="000000"/>
                      <w:szCs w:val="21"/>
                    </w:rPr>
                    <w:t>0.023</w:t>
                  </w:r>
                </w:p>
              </w:tc>
              <w:tc>
                <w:tcPr>
                  <w:tcW w:w="435" w:type="pct"/>
                  <w:tcBorders>
                    <w:tl2br w:val="nil"/>
                    <w:tr2bl w:val="nil"/>
                  </w:tcBorders>
                  <w:vAlign w:val="center"/>
                </w:tcPr>
                <w:p>
                  <w:pPr>
                    <w:jc w:val="center"/>
                    <w:rPr>
                      <w:color w:val="000000"/>
                      <w:szCs w:val="21"/>
                    </w:rPr>
                  </w:pPr>
                  <w:r>
                    <w:rPr>
                      <w:color w:val="000000"/>
                      <w:szCs w:val="21"/>
                    </w:rPr>
                    <w:t>0.195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1356" w:type="pct"/>
                  <w:gridSpan w:val="2"/>
                  <w:tcBorders>
                    <w:tl2br w:val="nil"/>
                    <w:tr2bl w:val="nil"/>
                  </w:tcBorders>
                  <w:vAlign w:val="center"/>
                </w:tcPr>
                <w:p>
                  <w:pPr>
                    <w:jc w:val="center"/>
                    <w:rPr>
                      <w:szCs w:val="21"/>
                    </w:rPr>
                  </w:pPr>
                  <w:r>
                    <w:rPr>
                      <w:szCs w:val="21"/>
                    </w:rPr>
                    <w:t>化粪池处理效率</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szCs w:val="21"/>
                    </w:rPr>
                  </w:pPr>
                  <w:r>
                    <w:rPr>
                      <w:rFonts w:hint="eastAsia"/>
                      <w:szCs w:val="21"/>
                    </w:rPr>
                    <w:t>40%</w:t>
                  </w:r>
                </w:p>
              </w:tc>
              <w:tc>
                <w:tcPr>
                  <w:tcW w:w="493" w:type="pct"/>
                  <w:tcBorders>
                    <w:tl2br w:val="nil"/>
                    <w:tr2bl w:val="nil"/>
                  </w:tcBorders>
                  <w:vAlign w:val="center"/>
                </w:tcPr>
                <w:p>
                  <w:pPr>
                    <w:jc w:val="center"/>
                    <w:rPr>
                      <w:szCs w:val="21"/>
                    </w:rPr>
                  </w:pPr>
                  <w:r>
                    <w:rPr>
                      <w:rFonts w:hint="eastAsia"/>
                      <w:szCs w:val="21"/>
                    </w:rPr>
                    <w:t>33%</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60%</w:t>
                  </w:r>
                </w:p>
              </w:tc>
              <w:tc>
                <w:tcPr>
                  <w:tcW w:w="435" w:type="pc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10%</w:t>
                  </w:r>
                </w:p>
              </w:tc>
              <w:tc>
                <w:tcPr>
                  <w:tcW w:w="435" w:type="pct"/>
                  <w:tcBorders>
                    <w:tl2br w:val="nil"/>
                    <w:tr2bl w:val="nil"/>
                  </w:tcBorders>
                  <w:vAlign w:val="center"/>
                </w:tcPr>
                <w:p>
                  <w:pPr>
                    <w:jc w:val="center"/>
                    <w:rPr>
                      <w:szCs w:val="21"/>
                    </w:rPr>
                  </w:pPr>
                  <w:r>
                    <w:rPr>
                      <w:rFonts w:hint="eastAsia"/>
                      <w:szCs w:val="21"/>
                    </w:rPr>
                    <w:t>10%</w:t>
                  </w:r>
                </w:p>
              </w:tc>
              <w:tc>
                <w:tcPr>
                  <w:tcW w:w="435" w:type="pct"/>
                  <w:tcBorders>
                    <w:tl2br w:val="nil"/>
                    <w:tr2bl w:val="nil"/>
                  </w:tcBorders>
                  <w:vAlign w:val="center"/>
                </w:tcPr>
                <w:p>
                  <w:pPr>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600" w:type="pct"/>
                  <w:vMerge w:val="restart"/>
                  <w:tcBorders>
                    <w:tl2br w:val="nil"/>
                    <w:tr2bl w:val="nil"/>
                  </w:tcBorders>
                  <w:vAlign w:val="center"/>
                </w:tcPr>
                <w:p>
                  <w:pPr>
                    <w:pStyle w:val="106"/>
                    <w:ind w:firstLine="0" w:firstLineChars="0"/>
                    <w:jc w:val="center"/>
                    <w:rPr>
                      <w:rFonts w:cs="Times New Roman"/>
                      <w:szCs w:val="21"/>
                      <w:lang w:eastAsia="zh-CN"/>
                    </w:rPr>
                  </w:pPr>
                  <w:r>
                    <w:rPr>
                      <w:rFonts w:hint="eastAsia" w:cs="Times New Roman"/>
                      <w:szCs w:val="21"/>
                      <w:lang w:eastAsia="zh-CN"/>
                    </w:rPr>
                    <w:t>经三级化粪池预处理后</w:t>
                  </w:r>
                </w:p>
              </w:tc>
              <w:tc>
                <w:tcPr>
                  <w:tcW w:w="756" w:type="pct"/>
                  <w:tcBorders>
                    <w:tl2br w:val="nil"/>
                    <w:tr2bl w:val="nil"/>
                  </w:tcBorders>
                  <w:vAlign w:val="center"/>
                </w:tcPr>
                <w:p>
                  <w:pPr>
                    <w:jc w:val="center"/>
                    <w:rPr>
                      <w:szCs w:val="21"/>
                    </w:rPr>
                  </w:pPr>
                  <w:r>
                    <w:rPr>
                      <w:rFonts w:hint="eastAsia"/>
                      <w:szCs w:val="21"/>
                    </w:rPr>
                    <w:t>排放浓度（mg/L）</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color w:val="000000"/>
                      <w:szCs w:val="21"/>
                    </w:rPr>
                  </w:pPr>
                  <w:r>
                    <w:rPr>
                      <w:color w:val="000000"/>
                      <w:szCs w:val="21"/>
                    </w:rPr>
                    <w:t>177.52</w:t>
                  </w:r>
                </w:p>
              </w:tc>
              <w:tc>
                <w:tcPr>
                  <w:tcW w:w="493" w:type="pct"/>
                  <w:tcBorders>
                    <w:tl2br w:val="nil"/>
                    <w:tr2bl w:val="nil"/>
                  </w:tcBorders>
                  <w:vAlign w:val="center"/>
                </w:tcPr>
                <w:p>
                  <w:pPr>
                    <w:jc w:val="center"/>
                    <w:rPr>
                      <w:color w:val="000000"/>
                      <w:szCs w:val="21"/>
                    </w:rPr>
                  </w:pPr>
                  <w:r>
                    <w:rPr>
                      <w:color w:val="000000"/>
                      <w:szCs w:val="21"/>
                    </w:rPr>
                    <w:t>127.12</w:t>
                  </w:r>
                </w:p>
              </w:tc>
              <w:tc>
                <w:tcPr>
                  <w:tcW w:w="435" w:type="pct"/>
                  <w:tcBorders>
                    <w:tl2br w:val="nil"/>
                    <w:tr2bl w:val="nil"/>
                  </w:tcBorders>
                  <w:vAlign w:val="center"/>
                </w:tcPr>
                <w:p>
                  <w:pPr>
                    <w:jc w:val="center"/>
                    <w:rPr>
                      <w:color w:val="000000"/>
                      <w:szCs w:val="21"/>
                    </w:rPr>
                  </w:pPr>
                  <w:r>
                    <w:rPr>
                      <w:color w:val="000000"/>
                      <w:szCs w:val="21"/>
                    </w:rPr>
                    <w:t>83.93</w:t>
                  </w:r>
                </w:p>
              </w:tc>
              <w:tc>
                <w:tcPr>
                  <w:tcW w:w="435" w:type="pct"/>
                  <w:tcBorders>
                    <w:tl2br w:val="nil"/>
                    <w:tr2bl w:val="nil"/>
                  </w:tcBorders>
                  <w:vAlign w:val="center"/>
                </w:tcPr>
                <w:p>
                  <w:pPr>
                    <w:jc w:val="center"/>
                    <w:rPr>
                      <w:color w:val="000000"/>
                      <w:szCs w:val="21"/>
                    </w:rPr>
                  </w:pPr>
                  <w:r>
                    <w:rPr>
                      <w:color w:val="000000"/>
                      <w:szCs w:val="21"/>
                    </w:rPr>
                    <w:t>27.05</w:t>
                  </w:r>
                </w:p>
              </w:tc>
              <w:tc>
                <w:tcPr>
                  <w:tcW w:w="435" w:type="pct"/>
                  <w:tcBorders>
                    <w:tl2br w:val="nil"/>
                    <w:tr2bl w:val="nil"/>
                  </w:tcBorders>
                  <w:vAlign w:val="center"/>
                </w:tcPr>
                <w:p>
                  <w:pPr>
                    <w:jc w:val="center"/>
                    <w:rPr>
                      <w:color w:val="000000"/>
                      <w:szCs w:val="21"/>
                    </w:rPr>
                  </w:pPr>
                  <w:r>
                    <w:rPr>
                      <w:color w:val="000000"/>
                      <w:szCs w:val="21"/>
                    </w:rPr>
                    <w:t>3.89</w:t>
                  </w:r>
                </w:p>
              </w:tc>
              <w:tc>
                <w:tcPr>
                  <w:tcW w:w="435" w:type="pct"/>
                  <w:tcBorders>
                    <w:tl2br w:val="nil"/>
                    <w:tr2bl w:val="nil"/>
                  </w:tcBorders>
                  <w:vAlign w:val="center"/>
                </w:tcPr>
                <w:p>
                  <w:pPr>
                    <w:jc w:val="center"/>
                    <w:rPr>
                      <w:color w:val="000000"/>
                      <w:szCs w:val="21"/>
                    </w:rPr>
                  </w:pPr>
                  <w:r>
                    <w:rPr>
                      <w:color w:val="000000"/>
                      <w:szCs w:val="21"/>
                    </w:rPr>
                    <w:t>32.97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600" w:type="pct"/>
                  <w:vMerge w:val="continue"/>
                  <w:tcBorders>
                    <w:tl2br w:val="nil"/>
                    <w:tr2bl w:val="nil"/>
                  </w:tcBorders>
                  <w:vAlign w:val="center"/>
                </w:tcPr>
                <w:p>
                  <w:pPr>
                    <w:pStyle w:val="106"/>
                    <w:ind w:firstLine="0" w:firstLineChars="0"/>
                    <w:jc w:val="center"/>
                    <w:rPr>
                      <w:rFonts w:cs="Times New Roman"/>
                      <w:szCs w:val="21"/>
                      <w:lang w:eastAsia="zh-CN"/>
                    </w:rPr>
                  </w:pPr>
                </w:p>
              </w:tc>
              <w:tc>
                <w:tcPr>
                  <w:tcW w:w="756" w:type="pct"/>
                  <w:tcBorders>
                    <w:tl2br w:val="nil"/>
                    <w:tr2bl w:val="nil"/>
                  </w:tcBorders>
                  <w:vAlign w:val="center"/>
                </w:tcPr>
                <w:p>
                  <w:pPr>
                    <w:jc w:val="center"/>
                    <w:rPr>
                      <w:szCs w:val="21"/>
                    </w:rPr>
                  </w:pPr>
                  <w:r>
                    <w:rPr>
                      <w:rFonts w:hint="eastAsia"/>
                      <w:szCs w:val="21"/>
                    </w:rPr>
                    <w:t>排放量（t/a）</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color w:val="000000"/>
                      <w:szCs w:val="21"/>
                    </w:rPr>
                  </w:pPr>
                  <w:r>
                    <w:rPr>
                      <w:color w:val="000000"/>
                      <w:szCs w:val="21"/>
                    </w:rPr>
                    <w:t>0.945</w:t>
                  </w:r>
                </w:p>
              </w:tc>
              <w:tc>
                <w:tcPr>
                  <w:tcW w:w="493" w:type="pct"/>
                  <w:tcBorders>
                    <w:tl2br w:val="nil"/>
                    <w:tr2bl w:val="nil"/>
                  </w:tcBorders>
                  <w:vAlign w:val="center"/>
                </w:tcPr>
                <w:p>
                  <w:pPr>
                    <w:jc w:val="center"/>
                    <w:rPr>
                      <w:color w:val="000000"/>
                      <w:szCs w:val="21"/>
                    </w:rPr>
                  </w:pPr>
                  <w:r>
                    <w:rPr>
                      <w:color w:val="000000"/>
                      <w:szCs w:val="21"/>
                    </w:rPr>
                    <w:t>0.677</w:t>
                  </w:r>
                </w:p>
              </w:tc>
              <w:tc>
                <w:tcPr>
                  <w:tcW w:w="435" w:type="pct"/>
                  <w:tcBorders>
                    <w:tl2br w:val="nil"/>
                    <w:tr2bl w:val="nil"/>
                  </w:tcBorders>
                  <w:vAlign w:val="center"/>
                </w:tcPr>
                <w:p>
                  <w:pPr>
                    <w:jc w:val="center"/>
                    <w:rPr>
                      <w:color w:val="000000"/>
                      <w:szCs w:val="21"/>
                    </w:rPr>
                  </w:pPr>
                  <w:r>
                    <w:rPr>
                      <w:color w:val="000000"/>
                      <w:szCs w:val="21"/>
                    </w:rPr>
                    <w:t>0.447</w:t>
                  </w:r>
                </w:p>
              </w:tc>
              <w:tc>
                <w:tcPr>
                  <w:tcW w:w="435" w:type="pct"/>
                  <w:tcBorders>
                    <w:tl2br w:val="nil"/>
                    <w:tr2bl w:val="nil"/>
                  </w:tcBorders>
                  <w:vAlign w:val="center"/>
                </w:tcPr>
                <w:p>
                  <w:pPr>
                    <w:jc w:val="center"/>
                    <w:rPr>
                      <w:color w:val="000000"/>
                      <w:szCs w:val="21"/>
                    </w:rPr>
                  </w:pPr>
                  <w:r>
                    <w:rPr>
                      <w:color w:val="000000"/>
                      <w:szCs w:val="21"/>
                    </w:rPr>
                    <w:t>0.144</w:t>
                  </w:r>
                </w:p>
              </w:tc>
              <w:tc>
                <w:tcPr>
                  <w:tcW w:w="435" w:type="pct"/>
                  <w:tcBorders>
                    <w:tl2br w:val="nil"/>
                    <w:tr2bl w:val="nil"/>
                  </w:tcBorders>
                  <w:vAlign w:val="center"/>
                </w:tcPr>
                <w:p>
                  <w:pPr>
                    <w:jc w:val="center"/>
                    <w:rPr>
                      <w:color w:val="000000"/>
                      <w:szCs w:val="21"/>
                    </w:rPr>
                  </w:pPr>
                  <w:r>
                    <w:rPr>
                      <w:color w:val="000000"/>
                      <w:szCs w:val="21"/>
                    </w:rPr>
                    <w:t>0.021</w:t>
                  </w:r>
                </w:p>
              </w:tc>
              <w:tc>
                <w:tcPr>
                  <w:tcW w:w="435" w:type="pct"/>
                  <w:tcBorders>
                    <w:tl2br w:val="nil"/>
                    <w:tr2bl w:val="nil"/>
                  </w:tcBorders>
                  <w:vAlign w:val="center"/>
                </w:tcPr>
                <w:p>
                  <w:pPr>
                    <w:jc w:val="center"/>
                    <w:rPr>
                      <w:color w:val="000000"/>
                      <w:szCs w:val="21"/>
                    </w:rPr>
                  </w:pPr>
                  <w:r>
                    <w:rPr>
                      <w:color w:val="000000"/>
                      <w:szCs w:val="21"/>
                    </w:rPr>
                    <w:t>0.176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2" w:type="pct"/>
                  <w:gridSpan w:val="3"/>
                  <w:tcBorders>
                    <w:tl2br w:val="nil"/>
                    <w:tr2bl w:val="nil"/>
                  </w:tcBorders>
                  <w:vAlign w:val="center"/>
                </w:tcPr>
                <w:p>
                  <w:pPr>
                    <w:jc w:val="center"/>
                    <w:rPr>
                      <w:szCs w:val="21"/>
                    </w:rPr>
                  </w:pPr>
                  <w:r>
                    <w:rPr>
                      <w:rFonts w:hint="eastAsia"/>
                      <w:szCs w:val="21"/>
                    </w:rPr>
                    <w:t>衡山高新区综合污水处理厂进水水质要求（mg/L）</w:t>
                  </w:r>
                </w:p>
              </w:tc>
              <w:tc>
                <w:tcPr>
                  <w:tcW w:w="561" w:type="pct"/>
                  <w:tcBorders>
                    <w:tl2br w:val="nil"/>
                    <w:tr2bl w:val="nil"/>
                  </w:tcBorders>
                  <w:vAlign w:val="center"/>
                </w:tcPr>
                <w:p>
                  <w:pPr>
                    <w:jc w:val="center"/>
                    <w:rPr>
                      <w:szCs w:val="21"/>
                    </w:rPr>
                  </w:pPr>
                  <w:r>
                    <w:rPr>
                      <w:rFonts w:hint="eastAsia"/>
                      <w:szCs w:val="21"/>
                    </w:rPr>
                    <w:t>/</w:t>
                  </w:r>
                </w:p>
              </w:tc>
              <w:tc>
                <w:tcPr>
                  <w:tcW w:w="464" w:type="pct"/>
                  <w:tcBorders>
                    <w:tl2br w:val="nil"/>
                    <w:tr2bl w:val="nil"/>
                  </w:tcBorders>
                  <w:vAlign w:val="center"/>
                </w:tcPr>
                <w:p>
                  <w:pPr>
                    <w:jc w:val="center"/>
                    <w:rPr>
                      <w:szCs w:val="21"/>
                    </w:rPr>
                  </w:pPr>
                  <w:r>
                    <w:rPr>
                      <w:rFonts w:hint="eastAsia"/>
                      <w:szCs w:val="21"/>
                    </w:rPr>
                    <w:t>400</w:t>
                  </w:r>
                </w:p>
              </w:tc>
              <w:tc>
                <w:tcPr>
                  <w:tcW w:w="493" w:type="pct"/>
                  <w:tcBorders>
                    <w:tl2br w:val="nil"/>
                    <w:tr2bl w:val="nil"/>
                  </w:tcBorders>
                  <w:vAlign w:val="center"/>
                </w:tcPr>
                <w:p>
                  <w:pPr>
                    <w:jc w:val="center"/>
                    <w:rPr>
                      <w:szCs w:val="21"/>
                    </w:rPr>
                  </w:pPr>
                  <w:r>
                    <w:rPr>
                      <w:rFonts w:hint="eastAsia"/>
                      <w:szCs w:val="21"/>
                    </w:rPr>
                    <w:t>200</w:t>
                  </w:r>
                </w:p>
              </w:tc>
              <w:tc>
                <w:tcPr>
                  <w:tcW w:w="435" w:type="pct"/>
                  <w:tcBorders>
                    <w:tl2br w:val="nil"/>
                    <w:tr2bl w:val="nil"/>
                  </w:tcBorders>
                  <w:vAlign w:val="center"/>
                </w:tcPr>
                <w:p>
                  <w:pPr>
                    <w:jc w:val="center"/>
                    <w:rPr>
                      <w:szCs w:val="21"/>
                    </w:rPr>
                  </w:pPr>
                  <w:r>
                    <w:rPr>
                      <w:rFonts w:hint="eastAsia"/>
                      <w:szCs w:val="21"/>
                    </w:rPr>
                    <w:t>200</w:t>
                  </w:r>
                </w:p>
              </w:tc>
              <w:tc>
                <w:tcPr>
                  <w:tcW w:w="435" w:type="pct"/>
                  <w:tcBorders>
                    <w:tl2br w:val="nil"/>
                    <w:tr2bl w:val="nil"/>
                  </w:tcBorders>
                  <w:vAlign w:val="center"/>
                </w:tcPr>
                <w:p>
                  <w:pPr>
                    <w:jc w:val="center"/>
                    <w:rPr>
                      <w:szCs w:val="21"/>
                    </w:rPr>
                  </w:pPr>
                  <w:r>
                    <w:rPr>
                      <w:rFonts w:hint="eastAsia"/>
                      <w:szCs w:val="21"/>
                    </w:rPr>
                    <w:t>30</w:t>
                  </w:r>
                </w:p>
              </w:tc>
              <w:tc>
                <w:tcPr>
                  <w:tcW w:w="435" w:type="pct"/>
                  <w:tcBorders>
                    <w:tl2br w:val="nil"/>
                    <w:tr2bl w:val="nil"/>
                  </w:tcBorders>
                  <w:vAlign w:val="center"/>
                </w:tcPr>
                <w:p>
                  <w:pPr>
                    <w:jc w:val="center"/>
                    <w:rPr>
                      <w:szCs w:val="21"/>
                    </w:rPr>
                  </w:pPr>
                  <w:r>
                    <w:rPr>
                      <w:rFonts w:hint="eastAsia"/>
                      <w:szCs w:val="21"/>
                    </w:rPr>
                    <w:t>/</w:t>
                  </w:r>
                </w:p>
              </w:tc>
              <w:tc>
                <w:tcPr>
                  <w:tcW w:w="435" w:type="pct"/>
                  <w:tcBorders>
                    <w:tl2br w:val="nil"/>
                    <w:tr2bl w:val="nil"/>
                  </w:tcBorders>
                  <w:vAlign w:val="center"/>
                </w:tcPr>
                <w:p>
                  <w:pPr>
                    <w:jc w:val="center"/>
                    <w:rPr>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gridSpan w:val="2"/>
                  <w:vMerge w:val="restart"/>
                  <w:tcBorders>
                    <w:tl2br w:val="nil"/>
                    <w:tr2bl w:val="nil"/>
                  </w:tcBorders>
                  <w:vAlign w:val="center"/>
                </w:tcPr>
                <w:p>
                  <w:pPr>
                    <w:jc w:val="center"/>
                    <w:rPr>
                      <w:szCs w:val="21"/>
                    </w:rPr>
                  </w:pPr>
                  <w:r>
                    <w:rPr>
                      <w:rFonts w:hint="eastAsia"/>
                      <w:szCs w:val="21"/>
                    </w:rPr>
                    <w:t>近期</w:t>
                  </w:r>
                </w:p>
              </w:tc>
              <w:tc>
                <w:tcPr>
                  <w:tcW w:w="756" w:type="pct"/>
                  <w:tcBorders>
                    <w:tl2br w:val="nil"/>
                    <w:tr2bl w:val="nil"/>
                  </w:tcBorders>
                  <w:vAlign w:val="center"/>
                </w:tcPr>
                <w:p>
                  <w:pPr>
                    <w:jc w:val="center"/>
                    <w:rPr>
                      <w:szCs w:val="21"/>
                    </w:rPr>
                  </w:pPr>
                  <w:r>
                    <w:rPr>
                      <w:rFonts w:hint="eastAsia"/>
                      <w:szCs w:val="21"/>
                    </w:rPr>
                    <w:t>排放浓度（mg/L）</w:t>
                  </w:r>
                </w:p>
              </w:tc>
              <w:tc>
                <w:tcPr>
                  <w:tcW w:w="561" w:type="pct"/>
                  <w:vMerge w:val="restart"/>
                  <w:tcBorders>
                    <w:tl2br w:val="nil"/>
                    <w:tr2bl w:val="nil"/>
                  </w:tcBorders>
                  <w:vAlign w:val="center"/>
                </w:tcPr>
                <w:p>
                  <w:pPr>
                    <w:jc w:val="center"/>
                    <w:rPr>
                      <w:szCs w:val="21"/>
                    </w:rPr>
                  </w:pPr>
                  <w:r>
                    <w:rPr>
                      <w:rFonts w:hint="eastAsia"/>
                      <w:szCs w:val="21"/>
                    </w:rPr>
                    <w:t>5323.37</w:t>
                  </w:r>
                </w:p>
              </w:tc>
              <w:tc>
                <w:tcPr>
                  <w:tcW w:w="464" w:type="pct"/>
                  <w:tcBorders>
                    <w:tl2br w:val="nil"/>
                    <w:tr2bl w:val="nil"/>
                  </w:tcBorders>
                  <w:vAlign w:val="center"/>
                </w:tcPr>
                <w:p>
                  <w:pPr>
                    <w:jc w:val="center"/>
                    <w:rPr>
                      <w:szCs w:val="21"/>
                    </w:rPr>
                  </w:pPr>
                  <w:r>
                    <w:rPr>
                      <w:rFonts w:hint="eastAsia"/>
                      <w:szCs w:val="21"/>
                    </w:rPr>
                    <w:t>40</w:t>
                  </w:r>
                </w:p>
              </w:tc>
              <w:tc>
                <w:tcPr>
                  <w:tcW w:w="493" w:type="pct"/>
                  <w:tcBorders>
                    <w:tl2br w:val="nil"/>
                    <w:tr2bl w:val="nil"/>
                  </w:tcBorders>
                  <w:vAlign w:val="center"/>
                </w:tcPr>
                <w:p>
                  <w:pPr>
                    <w:jc w:val="center"/>
                    <w:rPr>
                      <w:szCs w:val="21"/>
                    </w:rPr>
                  </w:pPr>
                  <w:r>
                    <w:rPr>
                      <w:rFonts w:hint="eastAsia"/>
                      <w:szCs w:val="21"/>
                    </w:rPr>
                    <w:t>10</w:t>
                  </w:r>
                </w:p>
              </w:tc>
              <w:tc>
                <w:tcPr>
                  <w:tcW w:w="435" w:type="pct"/>
                  <w:tcBorders>
                    <w:tl2br w:val="nil"/>
                    <w:tr2bl w:val="nil"/>
                  </w:tcBorders>
                  <w:vAlign w:val="center"/>
                </w:tcPr>
                <w:p>
                  <w:pPr>
                    <w:jc w:val="center"/>
                    <w:rPr>
                      <w:szCs w:val="21"/>
                    </w:rPr>
                  </w:pPr>
                  <w:r>
                    <w:rPr>
                      <w:rFonts w:hint="eastAsia"/>
                      <w:szCs w:val="21"/>
                    </w:rPr>
                    <w:t>10</w:t>
                  </w:r>
                </w:p>
              </w:tc>
              <w:tc>
                <w:tcPr>
                  <w:tcW w:w="435" w:type="pct"/>
                  <w:tcBorders>
                    <w:tl2br w:val="nil"/>
                    <w:tr2bl w:val="nil"/>
                  </w:tcBorders>
                  <w:vAlign w:val="center"/>
                </w:tcPr>
                <w:p>
                  <w:pPr>
                    <w:jc w:val="center"/>
                    <w:rPr>
                      <w:szCs w:val="21"/>
                    </w:rPr>
                  </w:pPr>
                  <w:r>
                    <w:rPr>
                      <w:rFonts w:hint="eastAsia"/>
                      <w:szCs w:val="21"/>
                    </w:rPr>
                    <w:t>3</w:t>
                  </w:r>
                </w:p>
              </w:tc>
              <w:tc>
                <w:tcPr>
                  <w:tcW w:w="435" w:type="pct"/>
                  <w:tcBorders>
                    <w:tl2br w:val="nil"/>
                    <w:tr2bl w:val="nil"/>
                  </w:tcBorders>
                  <w:vAlign w:val="center"/>
                </w:tcPr>
                <w:p>
                  <w:pPr>
                    <w:jc w:val="center"/>
                    <w:rPr>
                      <w:szCs w:val="21"/>
                    </w:rPr>
                  </w:pPr>
                  <w:r>
                    <w:rPr>
                      <w:rFonts w:hint="eastAsia"/>
                      <w:szCs w:val="21"/>
                    </w:rPr>
                    <w:t>1</w:t>
                  </w:r>
                </w:p>
              </w:tc>
              <w:tc>
                <w:tcPr>
                  <w:tcW w:w="435" w:type="pct"/>
                  <w:tcBorders>
                    <w:tl2br w:val="nil"/>
                    <w:tr2bl w:val="nil"/>
                  </w:tcBorders>
                  <w:vAlign w:val="center"/>
                </w:tcPr>
                <w:p>
                  <w:pPr>
                    <w:jc w:val="center"/>
                    <w:rPr>
                      <w:szCs w:val="21"/>
                    </w:rPr>
                  </w:pPr>
                  <w:r>
                    <w:rPr>
                      <w:rFonts w:hint="eastAsia"/>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gridSpan w:val="2"/>
                  <w:vMerge w:val="continue"/>
                  <w:tcBorders>
                    <w:tl2br w:val="nil"/>
                    <w:tr2bl w:val="nil"/>
                  </w:tcBorders>
                  <w:vAlign w:val="center"/>
                </w:tcPr>
                <w:p>
                  <w:pPr>
                    <w:jc w:val="center"/>
                    <w:rPr>
                      <w:szCs w:val="21"/>
                    </w:rPr>
                  </w:pPr>
                </w:p>
              </w:tc>
              <w:tc>
                <w:tcPr>
                  <w:tcW w:w="756" w:type="pct"/>
                  <w:tcBorders>
                    <w:tl2br w:val="nil"/>
                    <w:tr2bl w:val="nil"/>
                  </w:tcBorders>
                  <w:vAlign w:val="center"/>
                </w:tcPr>
                <w:p>
                  <w:pPr>
                    <w:jc w:val="center"/>
                    <w:rPr>
                      <w:szCs w:val="21"/>
                    </w:rPr>
                  </w:pPr>
                  <w:r>
                    <w:rPr>
                      <w:rFonts w:hint="eastAsia"/>
                      <w:szCs w:val="21"/>
                    </w:rPr>
                    <w:t>最终排放量（t/a）</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color w:val="000000"/>
                      <w:szCs w:val="21"/>
                    </w:rPr>
                  </w:pPr>
                  <w:r>
                    <w:rPr>
                      <w:color w:val="000000"/>
                      <w:szCs w:val="21"/>
                    </w:rPr>
                    <w:t>0.213</w:t>
                  </w:r>
                </w:p>
              </w:tc>
              <w:tc>
                <w:tcPr>
                  <w:tcW w:w="493" w:type="pct"/>
                  <w:tcBorders>
                    <w:tl2br w:val="nil"/>
                    <w:tr2bl w:val="nil"/>
                  </w:tcBorders>
                  <w:vAlign w:val="center"/>
                </w:tcPr>
                <w:p>
                  <w:pPr>
                    <w:jc w:val="center"/>
                    <w:rPr>
                      <w:color w:val="000000"/>
                      <w:szCs w:val="21"/>
                    </w:rPr>
                  </w:pPr>
                  <w:r>
                    <w:rPr>
                      <w:color w:val="000000"/>
                      <w:szCs w:val="21"/>
                    </w:rPr>
                    <w:t>0.053</w:t>
                  </w:r>
                </w:p>
              </w:tc>
              <w:tc>
                <w:tcPr>
                  <w:tcW w:w="435" w:type="pct"/>
                  <w:tcBorders>
                    <w:tl2br w:val="nil"/>
                    <w:tr2bl w:val="nil"/>
                  </w:tcBorders>
                  <w:vAlign w:val="center"/>
                </w:tcPr>
                <w:p>
                  <w:pPr>
                    <w:jc w:val="center"/>
                    <w:rPr>
                      <w:color w:val="000000"/>
                      <w:szCs w:val="21"/>
                    </w:rPr>
                  </w:pPr>
                  <w:r>
                    <w:rPr>
                      <w:color w:val="000000"/>
                      <w:szCs w:val="21"/>
                    </w:rPr>
                    <w:t>0.053</w:t>
                  </w:r>
                </w:p>
              </w:tc>
              <w:tc>
                <w:tcPr>
                  <w:tcW w:w="435" w:type="pct"/>
                  <w:tcBorders>
                    <w:tl2br w:val="nil"/>
                    <w:tr2bl w:val="nil"/>
                  </w:tcBorders>
                  <w:vAlign w:val="center"/>
                </w:tcPr>
                <w:p>
                  <w:pPr>
                    <w:jc w:val="center"/>
                    <w:rPr>
                      <w:color w:val="000000"/>
                      <w:szCs w:val="21"/>
                    </w:rPr>
                  </w:pPr>
                  <w:r>
                    <w:rPr>
                      <w:color w:val="000000"/>
                      <w:szCs w:val="21"/>
                    </w:rPr>
                    <w:t>0.016</w:t>
                  </w:r>
                </w:p>
              </w:tc>
              <w:tc>
                <w:tcPr>
                  <w:tcW w:w="435" w:type="pct"/>
                  <w:tcBorders>
                    <w:tl2br w:val="nil"/>
                    <w:tr2bl w:val="nil"/>
                  </w:tcBorders>
                  <w:vAlign w:val="center"/>
                </w:tcPr>
                <w:p>
                  <w:pPr>
                    <w:jc w:val="center"/>
                    <w:rPr>
                      <w:color w:val="000000"/>
                      <w:szCs w:val="21"/>
                    </w:rPr>
                  </w:pPr>
                  <w:r>
                    <w:rPr>
                      <w:color w:val="000000"/>
                      <w:szCs w:val="21"/>
                    </w:rPr>
                    <w:t>0.</w:t>
                  </w:r>
                  <w:r>
                    <w:rPr>
                      <w:rFonts w:hint="eastAsia"/>
                      <w:color w:val="000000"/>
                      <w:szCs w:val="21"/>
                    </w:rPr>
                    <w:t>005</w:t>
                  </w:r>
                </w:p>
              </w:tc>
              <w:tc>
                <w:tcPr>
                  <w:tcW w:w="435" w:type="pct"/>
                  <w:tcBorders>
                    <w:tl2br w:val="nil"/>
                    <w:tr2bl w:val="nil"/>
                  </w:tcBorders>
                  <w:vAlign w:val="center"/>
                </w:tcPr>
                <w:p>
                  <w:pPr>
                    <w:jc w:val="center"/>
                    <w:rPr>
                      <w:szCs w:val="21"/>
                    </w:rPr>
                  </w:pPr>
                  <w:r>
                    <w:rPr>
                      <w:rFonts w:hint="eastAsia"/>
                      <w:szCs w:val="21"/>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gridSpan w:val="2"/>
                  <w:vMerge w:val="restart"/>
                  <w:tcBorders>
                    <w:tl2br w:val="nil"/>
                    <w:tr2bl w:val="nil"/>
                  </w:tcBorders>
                  <w:vAlign w:val="center"/>
                </w:tcPr>
                <w:p>
                  <w:pPr>
                    <w:jc w:val="center"/>
                    <w:rPr>
                      <w:szCs w:val="21"/>
                    </w:rPr>
                  </w:pPr>
                  <w:r>
                    <w:rPr>
                      <w:rFonts w:hint="eastAsia"/>
                      <w:szCs w:val="21"/>
                    </w:rPr>
                    <w:t>远期</w:t>
                  </w:r>
                </w:p>
              </w:tc>
              <w:tc>
                <w:tcPr>
                  <w:tcW w:w="756" w:type="pct"/>
                  <w:tcBorders>
                    <w:tl2br w:val="nil"/>
                    <w:tr2bl w:val="nil"/>
                  </w:tcBorders>
                  <w:vAlign w:val="center"/>
                </w:tcPr>
                <w:p>
                  <w:pPr>
                    <w:jc w:val="center"/>
                    <w:rPr>
                      <w:szCs w:val="21"/>
                    </w:rPr>
                  </w:pPr>
                  <w:r>
                    <w:rPr>
                      <w:rFonts w:hint="eastAsia"/>
                      <w:szCs w:val="21"/>
                    </w:rPr>
                    <w:t>排放浓度（mg/L）</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szCs w:val="21"/>
                    </w:rPr>
                  </w:pPr>
                  <w:r>
                    <w:rPr>
                      <w:rFonts w:hint="eastAsia"/>
                      <w:szCs w:val="21"/>
                    </w:rPr>
                    <w:t>50</w:t>
                  </w:r>
                </w:p>
              </w:tc>
              <w:tc>
                <w:tcPr>
                  <w:tcW w:w="493" w:type="pct"/>
                  <w:tcBorders>
                    <w:tl2br w:val="nil"/>
                    <w:tr2bl w:val="nil"/>
                  </w:tcBorders>
                  <w:vAlign w:val="center"/>
                </w:tcPr>
                <w:p>
                  <w:pPr>
                    <w:jc w:val="center"/>
                    <w:rPr>
                      <w:szCs w:val="21"/>
                    </w:rPr>
                  </w:pPr>
                  <w:r>
                    <w:rPr>
                      <w:rFonts w:hint="eastAsia"/>
                      <w:szCs w:val="21"/>
                    </w:rPr>
                    <w:t>10</w:t>
                  </w:r>
                </w:p>
              </w:tc>
              <w:tc>
                <w:tcPr>
                  <w:tcW w:w="435" w:type="pct"/>
                  <w:tcBorders>
                    <w:tl2br w:val="nil"/>
                    <w:tr2bl w:val="nil"/>
                  </w:tcBorders>
                  <w:vAlign w:val="center"/>
                </w:tcPr>
                <w:p>
                  <w:pPr>
                    <w:jc w:val="center"/>
                    <w:rPr>
                      <w:szCs w:val="21"/>
                    </w:rPr>
                  </w:pPr>
                  <w:r>
                    <w:rPr>
                      <w:rFonts w:hint="eastAsia"/>
                      <w:szCs w:val="21"/>
                    </w:rPr>
                    <w:t>10</w:t>
                  </w:r>
                </w:p>
              </w:tc>
              <w:tc>
                <w:tcPr>
                  <w:tcW w:w="435" w:type="pct"/>
                  <w:tcBorders>
                    <w:tl2br w:val="nil"/>
                    <w:tr2bl w:val="nil"/>
                  </w:tcBorders>
                  <w:vAlign w:val="center"/>
                </w:tcPr>
                <w:p>
                  <w:pPr>
                    <w:jc w:val="center"/>
                    <w:rPr>
                      <w:szCs w:val="21"/>
                    </w:rPr>
                  </w:pPr>
                  <w:r>
                    <w:rPr>
                      <w:rFonts w:hint="eastAsia"/>
                      <w:szCs w:val="21"/>
                    </w:rPr>
                    <w:t>5</w:t>
                  </w:r>
                </w:p>
              </w:tc>
              <w:tc>
                <w:tcPr>
                  <w:tcW w:w="435" w:type="pct"/>
                  <w:tcBorders>
                    <w:tl2br w:val="nil"/>
                    <w:tr2bl w:val="nil"/>
                  </w:tcBorders>
                  <w:vAlign w:val="center"/>
                </w:tcPr>
                <w:p>
                  <w:pPr>
                    <w:jc w:val="center"/>
                    <w:rPr>
                      <w:szCs w:val="21"/>
                    </w:rPr>
                  </w:pPr>
                  <w:r>
                    <w:rPr>
                      <w:rFonts w:hint="eastAsia"/>
                      <w:szCs w:val="21"/>
                    </w:rPr>
                    <w:t>1</w:t>
                  </w:r>
                </w:p>
              </w:tc>
              <w:tc>
                <w:tcPr>
                  <w:tcW w:w="435" w:type="pct"/>
                  <w:tcBorders>
                    <w:tl2br w:val="nil"/>
                    <w:tr2bl w:val="nil"/>
                  </w:tcBorders>
                  <w:vAlign w:val="center"/>
                </w:tcPr>
                <w:p>
                  <w:pPr>
                    <w:jc w:val="center"/>
                    <w:rPr>
                      <w:szCs w:val="21"/>
                    </w:rPr>
                  </w:pPr>
                  <w:r>
                    <w:rPr>
                      <w:rFonts w:hint="eastAsia"/>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6" w:type="pct"/>
                  <w:gridSpan w:val="2"/>
                  <w:vMerge w:val="continue"/>
                  <w:tcBorders>
                    <w:tl2br w:val="nil"/>
                    <w:tr2bl w:val="nil"/>
                  </w:tcBorders>
                  <w:vAlign w:val="center"/>
                </w:tcPr>
                <w:p>
                  <w:pPr>
                    <w:jc w:val="center"/>
                    <w:rPr>
                      <w:szCs w:val="21"/>
                    </w:rPr>
                  </w:pPr>
                </w:p>
              </w:tc>
              <w:tc>
                <w:tcPr>
                  <w:tcW w:w="756" w:type="pct"/>
                  <w:tcBorders>
                    <w:tl2br w:val="nil"/>
                    <w:tr2bl w:val="nil"/>
                  </w:tcBorders>
                  <w:vAlign w:val="center"/>
                </w:tcPr>
                <w:p>
                  <w:pPr>
                    <w:jc w:val="center"/>
                    <w:rPr>
                      <w:szCs w:val="21"/>
                    </w:rPr>
                  </w:pPr>
                  <w:r>
                    <w:rPr>
                      <w:rFonts w:hint="eastAsia"/>
                      <w:szCs w:val="21"/>
                    </w:rPr>
                    <w:t>最终排放量（t/a）</w:t>
                  </w:r>
                </w:p>
              </w:tc>
              <w:tc>
                <w:tcPr>
                  <w:tcW w:w="561" w:type="pct"/>
                  <w:vMerge w:val="continue"/>
                  <w:tcBorders>
                    <w:tl2br w:val="nil"/>
                    <w:tr2bl w:val="nil"/>
                  </w:tcBorders>
                  <w:vAlign w:val="center"/>
                </w:tcPr>
                <w:p>
                  <w:pPr>
                    <w:jc w:val="center"/>
                    <w:rPr>
                      <w:szCs w:val="21"/>
                    </w:rPr>
                  </w:pPr>
                </w:p>
              </w:tc>
              <w:tc>
                <w:tcPr>
                  <w:tcW w:w="464" w:type="pct"/>
                  <w:tcBorders>
                    <w:tl2br w:val="nil"/>
                    <w:tr2bl w:val="nil"/>
                  </w:tcBorders>
                  <w:vAlign w:val="center"/>
                </w:tcPr>
                <w:p>
                  <w:pPr>
                    <w:jc w:val="center"/>
                    <w:rPr>
                      <w:szCs w:val="21"/>
                    </w:rPr>
                  </w:pPr>
                  <w:r>
                    <w:rPr>
                      <w:rFonts w:hint="eastAsia"/>
                      <w:szCs w:val="21"/>
                    </w:rPr>
                    <w:t>0.266</w:t>
                  </w:r>
                </w:p>
              </w:tc>
              <w:tc>
                <w:tcPr>
                  <w:tcW w:w="493" w:type="pct"/>
                  <w:tcBorders>
                    <w:tl2br w:val="nil"/>
                    <w:tr2bl w:val="nil"/>
                  </w:tcBorders>
                  <w:vAlign w:val="center"/>
                </w:tcPr>
                <w:p>
                  <w:pPr>
                    <w:jc w:val="center"/>
                    <w:rPr>
                      <w:color w:val="000000"/>
                      <w:szCs w:val="21"/>
                    </w:rPr>
                  </w:pPr>
                  <w:r>
                    <w:rPr>
                      <w:color w:val="000000"/>
                      <w:szCs w:val="21"/>
                    </w:rPr>
                    <w:t>0.053</w:t>
                  </w:r>
                </w:p>
              </w:tc>
              <w:tc>
                <w:tcPr>
                  <w:tcW w:w="435" w:type="pct"/>
                  <w:tcBorders>
                    <w:tl2br w:val="nil"/>
                    <w:tr2bl w:val="nil"/>
                  </w:tcBorders>
                  <w:vAlign w:val="center"/>
                </w:tcPr>
                <w:p>
                  <w:pPr>
                    <w:jc w:val="center"/>
                    <w:rPr>
                      <w:color w:val="000000"/>
                      <w:szCs w:val="21"/>
                    </w:rPr>
                  </w:pPr>
                  <w:r>
                    <w:rPr>
                      <w:color w:val="000000"/>
                      <w:szCs w:val="21"/>
                    </w:rPr>
                    <w:t>0.053</w:t>
                  </w:r>
                </w:p>
              </w:tc>
              <w:tc>
                <w:tcPr>
                  <w:tcW w:w="435" w:type="pct"/>
                  <w:tcBorders>
                    <w:tl2br w:val="nil"/>
                    <w:tr2bl w:val="nil"/>
                  </w:tcBorders>
                  <w:vAlign w:val="center"/>
                </w:tcPr>
                <w:p>
                  <w:pPr>
                    <w:jc w:val="center"/>
                    <w:rPr>
                      <w:szCs w:val="21"/>
                    </w:rPr>
                  </w:pPr>
                  <w:r>
                    <w:rPr>
                      <w:rFonts w:hint="eastAsia"/>
                      <w:szCs w:val="21"/>
                    </w:rPr>
                    <w:t>0.027</w:t>
                  </w:r>
                </w:p>
              </w:tc>
              <w:tc>
                <w:tcPr>
                  <w:tcW w:w="435" w:type="pct"/>
                  <w:tcBorders>
                    <w:tl2br w:val="nil"/>
                    <w:tr2bl w:val="nil"/>
                  </w:tcBorders>
                  <w:vAlign w:val="center"/>
                </w:tcPr>
                <w:p>
                  <w:pPr>
                    <w:jc w:val="center"/>
                    <w:rPr>
                      <w:color w:val="000000"/>
                      <w:szCs w:val="21"/>
                    </w:rPr>
                  </w:pPr>
                  <w:r>
                    <w:rPr>
                      <w:color w:val="000000"/>
                      <w:szCs w:val="21"/>
                    </w:rPr>
                    <w:t>0.</w:t>
                  </w:r>
                  <w:r>
                    <w:rPr>
                      <w:rFonts w:hint="eastAsia"/>
                      <w:color w:val="000000"/>
                      <w:szCs w:val="21"/>
                    </w:rPr>
                    <w:t>005</w:t>
                  </w:r>
                </w:p>
              </w:tc>
              <w:tc>
                <w:tcPr>
                  <w:tcW w:w="435" w:type="pct"/>
                  <w:tcBorders>
                    <w:tl2br w:val="nil"/>
                    <w:tr2bl w:val="nil"/>
                  </w:tcBorders>
                  <w:vAlign w:val="center"/>
                </w:tcPr>
                <w:p>
                  <w:pPr>
                    <w:jc w:val="center"/>
                    <w:rPr>
                      <w:szCs w:val="21"/>
                    </w:rPr>
                  </w:pPr>
                  <w:r>
                    <w:rPr>
                      <w:rFonts w:hint="eastAsia"/>
                      <w:szCs w:val="21"/>
                    </w:rPr>
                    <w:t>0.005</w:t>
                  </w:r>
                </w:p>
              </w:tc>
            </w:tr>
          </w:tbl>
          <w:p>
            <w:pPr>
              <w:adjustRightInd w:val="0"/>
              <w:snapToGrid w:val="0"/>
              <w:spacing w:line="360" w:lineRule="auto"/>
              <w:ind w:firstLine="480" w:firstLineChars="200"/>
              <w:rPr>
                <w:sz w:val="24"/>
              </w:rPr>
            </w:pPr>
            <w:r>
              <w:rPr>
                <w:rFonts w:hint="eastAsia"/>
                <w:sz w:val="24"/>
              </w:rPr>
              <w:t>③初期雨水</w:t>
            </w:r>
          </w:p>
          <w:p>
            <w:pPr>
              <w:spacing w:line="360" w:lineRule="auto"/>
              <w:ind w:firstLine="480" w:firstLineChars="200"/>
              <w:rPr>
                <w:kern w:val="0"/>
                <w:sz w:val="24"/>
              </w:rPr>
            </w:pPr>
            <w:r>
              <w:rPr>
                <w:kern w:val="0"/>
                <w:sz w:val="24"/>
              </w:rPr>
              <w:t>根据《化工建设项目环境保护设计规范》（GB50483-2009）的要求，化工企业应收集初期雨水（一次降雨过程中的前10~20min降水量）进行收集并处理达标后方可排放。</w:t>
            </w:r>
          </w:p>
          <w:p>
            <w:pPr>
              <w:spacing w:line="360" w:lineRule="auto"/>
              <w:ind w:firstLine="480" w:firstLineChars="200"/>
              <w:rPr>
                <w:kern w:val="0"/>
                <w:sz w:val="24"/>
              </w:rPr>
            </w:pPr>
            <w:r>
              <w:rPr>
                <w:kern w:val="0"/>
                <w:sz w:val="24"/>
              </w:rPr>
              <w:t>项目正常生产期间不可避免会存在化学品运输车辆通行，考虑到物料装卸时可能会发生跑、冒、滴、漏，在下雨时地面残留的污染物会进入雨水，因此拟对项目初期雨水收集后进行处理。</w:t>
            </w:r>
          </w:p>
          <w:p>
            <w:pPr>
              <w:spacing w:line="360" w:lineRule="auto"/>
              <w:ind w:firstLine="480" w:firstLineChars="200"/>
              <w:rPr>
                <w:kern w:val="0"/>
                <w:sz w:val="24"/>
              </w:rPr>
            </w:pPr>
            <w:r>
              <w:rPr>
                <w:kern w:val="0"/>
                <w:sz w:val="24"/>
              </w:rPr>
              <w:t>暴雨天气下的最大初期雨水量按右式计算：Q=Ψ×F×q</w:t>
            </w:r>
          </w:p>
          <w:p>
            <w:pPr>
              <w:spacing w:line="360" w:lineRule="auto"/>
              <w:ind w:firstLine="480" w:firstLineChars="200"/>
              <w:rPr>
                <w:kern w:val="0"/>
                <w:sz w:val="24"/>
              </w:rPr>
            </w:pPr>
            <w:r>
              <w:rPr>
                <w:kern w:val="0"/>
                <w:sz w:val="24"/>
              </w:rPr>
              <w:t>式中：Q—雨水设计流量（L/s）；</w:t>
            </w:r>
          </w:p>
          <w:p>
            <w:pPr>
              <w:spacing w:line="360" w:lineRule="auto"/>
              <w:ind w:firstLine="1200" w:firstLineChars="500"/>
              <w:rPr>
                <w:kern w:val="0"/>
                <w:sz w:val="24"/>
              </w:rPr>
            </w:pPr>
            <w:r>
              <w:rPr>
                <w:kern w:val="0"/>
                <w:sz w:val="24"/>
              </w:rPr>
              <w:t>Ψ—平均径流系数，硬底化地面取0.9；</w:t>
            </w:r>
          </w:p>
          <w:p>
            <w:pPr>
              <w:spacing w:line="360" w:lineRule="auto"/>
              <w:ind w:firstLine="1200" w:firstLineChars="500"/>
              <w:rPr>
                <w:kern w:val="0"/>
                <w:sz w:val="24"/>
              </w:rPr>
            </w:pPr>
            <w:r>
              <w:rPr>
                <w:kern w:val="0"/>
                <w:sz w:val="24"/>
              </w:rPr>
              <w:t>F—汇水面积（ha），</w:t>
            </w:r>
            <w:r>
              <w:rPr>
                <w:rFonts w:hint="eastAsia"/>
                <w:kern w:val="0"/>
                <w:sz w:val="24"/>
              </w:rPr>
              <w:t>（根据本项目实际情况考虑，本项目集水区地表面积主要为厂区内的物料运输路线面积，约2000m</w:t>
            </w:r>
            <w:r>
              <w:rPr>
                <w:rFonts w:hint="eastAsia"/>
                <w:kern w:val="0"/>
                <w:sz w:val="24"/>
                <w:vertAlign w:val="superscript"/>
              </w:rPr>
              <w:t>2</w:t>
            </w:r>
            <w:r>
              <w:rPr>
                <w:rFonts w:hint="eastAsia"/>
                <w:kern w:val="0"/>
                <w:sz w:val="24"/>
              </w:rPr>
              <w:t>）</w:t>
            </w:r>
            <w:r>
              <w:rPr>
                <w:kern w:val="0"/>
                <w:sz w:val="24"/>
              </w:rPr>
              <w:t>；</w:t>
            </w:r>
          </w:p>
          <w:p>
            <w:pPr>
              <w:spacing w:line="360" w:lineRule="auto"/>
              <w:ind w:firstLine="1200" w:firstLineChars="500"/>
              <w:rPr>
                <w:kern w:val="0"/>
                <w:sz w:val="24"/>
              </w:rPr>
            </w:pPr>
            <w:r>
              <w:rPr>
                <w:kern w:val="0"/>
                <w:sz w:val="24"/>
              </w:rPr>
              <w:t>q—雨水暴雨强度（L/s·ha）</w:t>
            </w:r>
          </w:p>
          <w:p>
            <w:pPr>
              <w:spacing w:line="360" w:lineRule="auto"/>
              <w:ind w:firstLine="480" w:firstLineChars="200"/>
              <w:rPr>
                <w:kern w:val="0"/>
                <w:sz w:val="24"/>
              </w:rPr>
            </w:pPr>
            <w:r>
              <w:rPr>
                <w:kern w:val="0"/>
                <w:sz w:val="24"/>
              </w:rPr>
              <w:t>雨水暴雨强度采用</w:t>
            </w:r>
            <w:r>
              <w:rPr>
                <w:rFonts w:hint="eastAsia"/>
                <w:kern w:val="0"/>
                <w:sz w:val="24"/>
              </w:rPr>
              <w:t>衡阳</w:t>
            </w:r>
            <w:r>
              <w:rPr>
                <w:kern w:val="0"/>
                <w:sz w:val="24"/>
              </w:rPr>
              <w:t>市暴雨强度公式：</w:t>
            </w:r>
          </w:p>
          <w:p>
            <w:pPr>
              <w:spacing w:line="360" w:lineRule="auto"/>
              <w:jc w:val="center"/>
              <w:rPr>
                <w:sz w:val="24"/>
                <w:vertAlign w:val="superscript"/>
              </w:rPr>
            </w:pPr>
            <w:r>
              <w:rPr>
                <w:sz w:val="24"/>
              </w:rPr>
              <w:t>q=892（1+0.67lgP）/t</w:t>
            </w:r>
            <w:r>
              <w:rPr>
                <w:sz w:val="24"/>
                <w:vertAlign w:val="superscript"/>
              </w:rPr>
              <w:t>0.57</w:t>
            </w:r>
          </w:p>
          <w:p>
            <w:pPr>
              <w:spacing w:line="360" w:lineRule="auto"/>
              <w:ind w:firstLine="480" w:firstLineChars="200"/>
              <w:rPr>
                <w:kern w:val="0"/>
                <w:sz w:val="24"/>
              </w:rPr>
            </w:pPr>
            <w:r>
              <w:rPr>
                <w:kern w:val="0"/>
                <w:sz w:val="24"/>
              </w:rPr>
              <w:t>式中：P--</w:t>
            </w:r>
            <w:r>
              <w:rPr>
                <w:rFonts w:hint="eastAsia"/>
                <w:kern w:val="0"/>
                <w:sz w:val="24"/>
              </w:rPr>
              <w:t>-</w:t>
            </w:r>
            <w:r>
              <w:rPr>
                <w:kern w:val="0"/>
                <w:sz w:val="24"/>
              </w:rPr>
              <w:t>设计降雨重现期（a），取</w:t>
            </w:r>
            <w:r>
              <w:rPr>
                <w:rFonts w:hint="eastAsia"/>
                <w:kern w:val="0"/>
                <w:sz w:val="24"/>
              </w:rPr>
              <w:t>1a</w:t>
            </w:r>
            <w:r>
              <w:rPr>
                <w:kern w:val="0"/>
                <w:sz w:val="24"/>
              </w:rPr>
              <w:t>；</w:t>
            </w:r>
          </w:p>
          <w:p>
            <w:pPr>
              <w:spacing w:line="360" w:lineRule="auto"/>
              <w:ind w:firstLine="1200" w:firstLineChars="500"/>
              <w:rPr>
                <w:kern w:val="0"/>
                <w:sz w:val="24"/>
              </w:rPr>
            </w:pPr>
            <w:r>
              <w:rPr>
                <w:kern w:val="0"/>
                <w:sz w:val="24"/>
              </w:rPr>
              <w:object>
                <v:shape id="_x0000_i1030" o:spt="75" type="#_x0000_t75" style="height:11.25pt;width:7.5pt;" o:ole="t" filled="f" o:preferrelative="t" stroked="f" coordsize="21600,21600">
                  <v:path/>
                  <v:fill on="f" focussize="0,0"/>
                  <v:stroke on="f" joinstyle="miter"/>
                  <v:imagedata r:id="rId23" o:title=""/>
                  <o:lock v:ext="edit" aspectratio="t"/>
                  <w10:wrap type="none"/>
                  <w10:anchorlock/>
                </v:shape>
                <o:OLEObject Type="Embed" ProgID="Visio.Drawing.11" ShapeID="_x0000_i1030" DrawAspect="Content" ObjectID="_1468075730" r:id="rId22">
                  <o:LockedField>false</o:LockedField>
                </o:OLEObject>
              </w:object>
            </w:r>
            <w:r>
              <w:rPr>
                <w:rFonts w:hint="eastAsia"/>
                <w:kern w:val="0"/>
                <w:sz w:val="24"/>
              </w:rPr>
              <w:t>---</w:t>
            </w:r>
            <w:r>
              <w:rPr>
                <w:kern w:val="0"/>
                <w:sz w:val="24"/>
              </w:rPr>
              <w:t>初期雨水时间，取1</w:t>
            </w:r>
            <w:r>
              <w:rPr>
                <w:rFonts w:hint="eastAsia"/>
                <w:kern w:val="0"/>
                <w:sz w:val="24"/>
              </w:rPr>
              <w:t>5m</w:t>
            </w:r>
            <w:r>
              <w:rPr>
                <w:kern w:val="0"/>
                <w:sz w:val="24"/>
              </w:rPr>
              <w:t>in。</w:t>
            </w:r>
          </w:p>
          <w:p>
            <w:pPr>
              <w:spacing w:line="360" w:lineRule="auto"/>
              <w:ind w:firstLine="480" w:firstLineChars="200"/>
              <w:rPr>
                <w:kern w:val="0"/>
                <w:sz w:val="24"/>
              </w:rPr>
            </w:pPr>
            <w:r>
              <w:rPr>
                <w:kern w:val="0"/>
                <w:sz w:val="24"/>
              </w:rPr>
              <w:t>根据项目的实际情况，计得厂区的单次最大初期雨水量为</w:t>
            </w:r>
            <w:r>
              <w:rPr>
                <w:rFonts w:hint="eastAsia"/>
                <w:kern w:val="0"/>
                <w:sz w:val="24"/>
              </w:rPr>
              <w:t>41.16</w:t>
            </w:r>
            <w:r>
              <w:rPr>
                <w:kern w:val="0"/>
                <w:sz w:val="24"/>
              </w:rPr>
              <w:t>m</w:t>
            </w:r>
            <w:r>
              <w:rPr>
                <w:kern w:val="0"/>
                <w:sz w:val="24"/>
                <w:vertAlign w:val="superscript"/>
              </w:rPr>
              <w:t>3</w:t>
            </w:r>
            <w:r>
              <w:rPr>
                <w:kern w:val="0"/>
                <w:sz w:val="24"/>
              </w:rPr>
              <w:t>/次。</w:t>
            </w:r>
          </w:p>
          <w:p>
            <w:pPr>
              <w:adjustRightInd w:val="0"/>
              <w:snapToGrid w:val="0"/>
              <w:spacing w:line="360" w:lineRule="auto"/>
              <w:ind w:firstLine="480" w:firstLineChars="200"/>
              <w:rPr>
                <w:sz w:val="24"/>
              </w:rPr>
            </w:pPr>
            <w:r>
              <w:rPr>
                <w:rFonts w:hint="eastAsia"/>
                <w:sz w:val="24"/>
              </w:rPr>
              <w:t>本项目在雨水管道末端设置初期雨水池（容积不小于50</w:t>
            </w:r>
            <w:r>
              <w:rPr>
                <w:kern w:val="0"/>
                <w:sz w:val="24"/>
              </w:rPr>
              <w:t>m</w:t>
            </w:r>
            <w:r>
              <w:rPr>
                <w:kern w:val="0"/>
                <w:sz w:val="24"/>
                <w:vertAlign w:val="superscript"/>
              </w:rPr>
              <w:t>3</w:t>
            </w:r>
            <w:r>
              <w:rPr>
                <w:rFonts w:hint="eastAsia"/>
                <w:sz w:val="24"/>
              </w:rPr>
              <w:t>），通过阀门切换，平时进初期雨水池阀门常开，待到初期雨水池要求水位，关闭进初期雨水池阀门，打开进市政雨水管道阀门；进入初期雨水池的初期雨水，经沉淀、过滤等处理后</w:t>
            </w:r>
            <w:r>
              <w:rPr>
                <w:rFonts w:hint="eastAsia"/>
                <w:kern w:val="0"/>
                <w:sz w:val="24"/>
              </w:rPr>
              <w:t>用于厂区绿化或道路降尘，不外排。</w:t>
            </w:r>
          </w:p>
          <w:p>
            <w:pPr>
              <w:adjustRightInd w:val="0"/>
              <w:snapToGrid w:val="0"/>
              <w:spacing w:line="360" w:lineRule="auto"/>
              <w:ind w:firstLine="482" w:firstLineChars="200"/>
              <w:rPr>
                <w:b/>
                <w:sz w:val="24"/>
              </w:rPr>
            </w:pPr>
            <w:r>
              <w:rPr>
                <w:rFonts w:hint="eastAsia"/>
                <w:b/>
                <w:sz w:val="24"/>
              </w:rPr>
              <w:t>2、依托集中污水处理厂可行性分析</w:t>
            </w:r>
          </w:p>
          <w:p>
            <w:pPr>
              <w:spacing w:line="360" w:lineRule="auto"/>
              <w:ind w:firstLine="480" w:firstLineChars="200"/>
              <w:rPr>
                <w:kern w:val="0"/>
                <w:sz w:val="24"/>
              </w:rPr>
            </w:pPr>
            <w:r>
              <w:rPr>
                <w:rFonts w:hint="eastAsia"/>
                <w:kern w:val="0"/>
                <w:sz w:val="24"/>
              </w:rPr>
              <w:t>（1）污水处理厂概况</w:t>
            </w:r>
          </w:p>
          <w:p>
            <w:pPr>
              <w:pStyle w:val="104"/>
              <w:rPr>
                <w:szCs w:val="24"/>
              </w:rPr>
            </w:pPr>
            <w:r>
              <w:rPr>
                <w:rFonts w:hint="eastAsia"/>
                <w:szCs w:val="24"/>
              </w:rPr>
              <w:t>A、衡山高新区综合污水处理厂</w:t>
            </w:r>
          </w:p>
          <w:p>
            <w:pPr>
              <w:spacing w:line="360" w:lineRule="auto"/>
              <w:ind w:firstLine="480" w:firstLineChars="200"/>
              <w:rPr>
                <w:sz w:val="24"/>
              </w:rPr>
            </w:pPr>
            <w:r>
              <w:rPr>
                <w:sz w:val="24"/>
              </w:rPr>
              <w:t>2019年5月22日，原衡山县环境保护局对《园区污水处理厂项目及污水管网建设项目环境影响报告书》进行了批复（山环评[2019]14号），2021年进行了竣工环保验收。已办理排污许可证，编号：11430423785399794W001R。</w:t>
            </w:r>
          </w:p>
          <w:p>
            <w:pPr>
              <w:spacing w:line="360" w:lineRule="auto"/>
              <w:ind w:firstLine="480" w:firstLineChars="200"/>
              <w:rPr>
                <w:sz w:val="24"/>
              </w:rPr>
            </w:pPr>
            <w:r>
              <w:rPr>
                <w:sz w:val="24"/>
              </w:rPr>
              <w:t>衡山高新区综合污水处理厂设计处理能力5000m</w:t>
            </w:r>
            <w:r>
              <w:rPr>
                <w:sz w:val="24"/>
                <w:vertAlign w:val="superscript"/>
              </w:rPr>
              <w:t>3</w:t>
            </w:r>
            <w:r>
              <w:rPr>
                <w:sz w:val="24"/>
              </w:rPr>
              <w:t>/d，2022年平均处理规模约4541m</w:t>
            </w:r>
            <w:r>
              <w:rPr>
                <w:sz w:val="24"/>
                <w:vertAlign w:val="superscript"/>
              </w:rPr>
              <w:t>3</w:t>
            </w:r>
            <w:r>
              <w:rPr>
                <w:sz w:val="24"/>
              </w:rPr>
              <w:t>/d，实际处理量占设计处理规模的90%，已接近满负荷运行。工程采用</w:t>
            </w:r>
            <w:r>
              <w:rPr>
                <w:rFonts w:hint="eastAsia" w:asciiTheme="majorEastAsia" w:hAnsiTheme="majorEastAsia" w:eastAsiaTheme="majorEastAsia" w:cstheme="majorEastAsia"/>
                <w:sz w:val="24"/>
              </w:rPr>
              <w:t>“</w:t>
            </w:r>
            <w:r>
              <w:rPr>
                <w:sz w:val="24"/>
              </w:rPr>
              <w:t>预处理+二级生物处理+沉淀池</w:t>
            </w:r>
            <w:r>
              <w:rPr>
                <w:rFonts w:hint="eastAsia"/>
                <w:sz w:val="24"/>
              </w:rPr>
              <w:t>”</w:t>
            </w:r>
            <w:r>
              <w:rPr>
                <w:sz w:val="24"/>
              </w:rPr>
              <w:t>处理工艺，收集园区的工业废水、生活污水及涉重污水处理厂尾水，处理达到《污水综合排放标准》（GB8978-1996）一级标准后排入衡山县生活污水处理厂处理，最终排入湘江。根据污水处理厂在线监测数据可知，出水能够满足《污水综合排放标准》（GB8978-1996）一级标准。</w:t>
            </w:r>
          </w:p>
          <w:p>
            <w:pPr>
              <w:spacing w:line="360" w:lineRule="auto"/>
              <w:ind w:firstLine="480" w:firstLineChars="200"/>
              <w:rPr>
                <w:kern w:val="0"/>
                <w:sz w:val="24"/>
              </w:rPr>
            </w:pPr>
            <w:r>
              <w:rPr>
                <w:bCs/>
                <w:sz w:val="24"/>
              </w:rPr>
              <w:t>衡山高新区综合污水处理厂正在开展扩容提标工程的相关工作，预计2024年12月投产</w:t>
            </w:r>
            <w:r>
              <w:rPr>
                <w:sz w:val="24"/>
              </w:rPr>
              <w:t>，衡山高新区综合污水处理厂扩容工程1.0万m</w:t>
            </w:r>
            <w:r>
              <w:rPr>
                <w:sz w:val="24"/>
                <w:vertAlign w:val="superscript"/>
              </w:rPr>
              <w:t>3</w:t>
            </w:r>
            <w:r>
              <w:rPr>
                <w:sz w:val="24"/>
              </w:rPr>
              <w:t>/d，扩容工程投产后总处理规模1.5万m</w:t>
            </w:r>
            <w:r>
              <w:rPr>
                <w:sz w:val="24"/>
                <w:vertAlign w:val="superscript"/>
              </w:rPr>
              <w:t>3</w:t>
            </w:r>
            <w:r>
              <w:rPr>
                <w:sz w:val="24"/>
              </w:rPr>
              <w:t>/d，出水标准由</w:t>
            </w:r>
            <w:r>
              <w:rPr>
                <w:bCs/>
                <w:sz w:val="24"/>
              </w:rPr>
              <w:t>《污水综合排放标准》一级标准提升至《城镇污水处理厂污染物排放标准》一级A标准排放至湘江</w:t>
            </w:r>
            <w:r>
              <w:rPr>
                <w:rFonts w:hint="eastAsia"/>
                <w:bCs/>
                <w:sz w:val="24"/>
              </w:rPr>
              <w:t>。</w:t>
            </w:r>
          </w:p>
          <w:p>
            <w:pPr>
              <w:spacing w:line="360" w:lineRule="auto"/>
              <w:ind w:firstLine="480" w:firstLineChars="200"/>
              <w:rPr>
                <w:sz w:val="24"/>
              </w:rPr>
            </w:pPr>
            <w:r>
              <w:rPr>
                <w:rFonts w:hint="eastAsia"/>
                <w:sz w:val="24"/>
              </w:rPr>
              <w:t>B、衡山县污水处理厂</w:t>
            </w:r>
          </w:p>
          <w:p>
            <w:pPr>
              <w:spacing w:line="360" w:lineRule="auto"/>
              <w:ind w:firstLine="480" w:firstLineChars="200"/>
              <w:rPr>
                <w:sz w:val="24"/>
              </w:rPr>
            </w:pPr>
            <w:r>
              <w:rPr>
                <w:sz w:val="24"/>
              </w:rPr>
              <w:t>衡山县污水处理厂设计污水处理总规模为4万m</w:t>
            </w:r>
            <w:r>
              <w:rPr>
                <w:sz w:val="24"/>
                <w:vertAlign w:val="superscript"/>
              </w:rPr>
              <w:t>3</w:t>
            </w:r>
            <w:r>
              <w:rPr>
                <w:sz w:val="24"/>
              </w:rPr>
              <w:t>/d，分两期建设完成，主要接纳衡山县主城区、黄花新区、开云新城以及工业园区的生活污水，服务范围面积20km</w:t>
            </w:r>
            <w:r>
              <w:rPr>
                <w:sz w:val="24"/>
                <w:vertAlign w:val="superscript"/>
              </w:rPr>
              <w:t>2</w:t>
            </w:r>
            <w:r>
              <w:rPr>
                <w:sz w:val="24"/>
              </w:rPr>
              <w:t>，总服务人口为20万人。</w:t>
            </w:r>
          </w:p>
          <w:p>
            <w:pPr>
              <w:autoSpaceDE w:val="0"/>
              <w:autoSpaceDN w:val="0"/>
              <w:adjustRightInd w:val="0"/>
              <w:spacing w:line="360" w:lineRule="auto"/>
              <w:ind w:firstLine="480" w:firstLineChars="200"/>
              <w:rPr>
                <w:sz w:val="24"/>
              </w:rPr>
            </w:pPr>
            <w:r>
              <w:rPr>
                <w:sz w:val="24"/>
              </w:rPr>
              <w:t>一期工程处理建设规模为2万m</w:t>
            </w:r>
            <w:r>
              <w:rPr>
                <w:sz w:val="24"/>
                <w:vertAlign w:val="superscript"/>
              </w:rPr>
              <w:t>3</w:t>
            </w:r>
            <w:r>
              <w:rPr>
                <w:sz w:val="24"/>
              </w:rPr>
              <w:t>/d，2009年12月建成并试运行，采用氧化沟处理工艺，出水执行《城镇污水处理厂污染物排放标准》（GB18918-2002）及修改单一级B标准。2007年12月28日，原湖南省环境保护局下达了同意该项目建设的审批意见（湘环评表[2007]219号）。2009年11月，衡阳市环境监测站对衡山县污水处理厂一期工程进行了现场竣工验收监测，2009年11月28日，原衡阳市环境保护局对衡山县污水处理厂一期工程下达了环境保护竣工验收意见。</w:t>
            </w:r>
          </w:p>
          <w:p>
            <w:pPr>
              <w:spacing w:line="360" w:lineRule="auto"/>
              <w:ind w:firstLine="480" w:firstLineChars="200"/>
              <w:rPr>
                <w:sz w:val="24"/>
              </w:rPr>
            </w:pPr>
            <w:r>
              <w:rPr>
                <w:sz w:val="24"/>
              </w:rPr>
              <w:t>二期工程污水处理规模为2万m</w:t>
            </w:r>
            <w:r>
              <w:rPr>
                <w:sz w:val="24"/>
                <w:vertAlign w:val="superscript"/>
              </w:rPr>
              <w:t>3</w:t>
            </w:r>
            <w:r>
              <w:rPr>
                <w:sz w:val="24"/>
              </w:rPr>
              <w:t>/d，于2015年8月建成并试运行，采用氧化沟处理工艺，出厂水水质达到国家《城镇污水处理厂污染物排放标准》（GB18918-2002）及修改单一级B标准。</w:t>
            </w:r>
          </w:p>
          <w:p>
            <w:pPr>
              <w:spacing w:line="360" w:lineRule="auto"/>
              <w:ind w:firstLine="480" w:firstLineChars="200"/>
              <w:rPr>
                <w:sz w:val="24"/>
              </w:rPr>
            </w:pPr>
            <w:r>
              <w:rPr>
                <w:sz w:val="24"/>
              </w:rPr>
              <w:t>2020年衡山县污水处理厂进行了一二期工程进行了提标改造，出水由《城镇污水处理厂污染物排放标准》（GB18918-2002）一级B标准提标《湖南省城镇污水处理厂主要水污染物排放标准（DB43/T1546-2018）》表1中二级标准（COD、NH</w:t>
            </w:r>
            <w:r>
              <w:rPr>
                <w:sz w:val="24"/>
                <w:vertAlign w:val="subscript"/>
              </w:rPr>
              <w:t>3</w:t>
            </w:r>
            <w:r>
              <w:rPr>
                <w:sz w:val="24"/>
              </w:rPr>
              <w:t>-N、TP、TN），其他因子执行《城镇污水处理厂污染物排放标准》（GB18918-2002）一级A标准。2020年7月，衡阳市生态环境局衡山分局《关于衡山县污水处理厂提标改造工程项目环境影响报告表批复》（山环评[2020]16号），对提标改造工程进行了环评批复，2020年9月16日进行竣工环保验收。</w:t>
            </w:r>
          </w:p>
          <w:p>
            <w:pPr>
              <w:spacing w:line="360" w:lineRule="auto"/>
              <w:ind w:firstLine="480" w:firstLineChars="200"/>
              <w:rPr>
                <w:sz w:val="24"/>
              </w:rPr>
            </w:pPr>
            <w:r>
              <w:rPr>
                <w:sz w:val="24"/>
              </w:rPr>
              <w:t>衡山县城生活污水经厂前段提升泵站进入厂区前端预处理设施，首先进入粗格栅，经提升进入细格栅除渣及沉砂后，对污水进行预处理。经预处理后的污水进入氧化沟处理段，经氧化沟处理后的污水，经二次沉淀池后，提升进入厂区</w:t>
            </w:r>
            <w:r>
              <w:rPr>
                <w:rFonts w:hint="eastAsia"/>
                <w:sz w:val="24"/>
              </w:rPr>
              <w:t>进一步处理</w:t>
            </w:r>
            <w:r>
              <w:rPr>
                <w:sz w:val="24"/>
              </w:rPr>
              <w:t>设施（高效沉淀池+D型滤池），最后尾水经二氧化氯消毒后外排湘江。</w:t>
            </w:r>
          </w:p>
          <w:p>
            <w:pPr>
              <w:spacing w:line="360" w:lineRule="auto"/>
              <w:ind w:firstLine="480" w:firstLineChars="200"/>
              <w:rPr>
                <w:sz w:val="24"/>
              </w:rPr>
            </w:pPr>
            <w:r>
              <w:rPr>
                <w:sz w:val="24"/>
              </w:rPr>
              <w:t>衡山县污水处理厂设计处理规模4万m</w:t>
            </w:r>
            <w:r>
              <w:rPr>
                <w:sz w:val="24"/>
                <w:vertAlign w:val="superscript"/>
              </w:rPr>
              <w:t>3</w:t>
            </w:r>
            <w:r>
              <w:rPr>
                <w:sz w:val="24"/>
              </w:rPr>
              <w:t>/d，目前平均处理规模3万m</w:t>
            </w:r>
            <w:r>
              <w:rPr>
                <w:sz w:val="24"/>
                <w:vertAlign w:val="superscript"/>
              </w:rPr>
              <w:t>3</w:t>
            </w:r>
            <w:r>
              <w:rPr>
                <w:sz w:val="24"/>
              </w:rPr>
              <w:t>/d，根据污水处理厂在线监测数据可知，出水能够满足《湖南省城镇污水处理厂主要水污染物排放标准（DB43/T1546-2018）》表1中二级标准要求。</w:t>
            </w:r>
          </w:p>
          <w:p>
            <w:pPr>
              <w:pStyle w:val="104"/>
              <w:rPr>
                <w:szCs w:val="24"/>
              </w:rPr>
            </w:pPr>
            <w:r>
              <w:rPr>
                <w:rFonts w:hint="eastAsia"/>
                <w:szCs w:val="24"/>
              </w:rPr>
              <w:t>根据</w:t>
            </w:r>
            <w:r>
              <w:rPr>
                <w:szCs w:val="24"/>
              </w:rPr>
              <w:t>衡阳市生态环境局公布的污染源监督性监测数据，衡山县污水处理厂出水能够满足《湖南省城镇污水处理厂主要水污染物排放标准（DB43/T1546-2018）》表1中二级标准和《城镇污水处理厂污染物排放标准》（GB18918-2002）一级A标准</w:t>
            </w:r>
            <w:r>
              <w:rPr>
                <w:rFonts w:hint="eastAsia"/>
                <w:szCs w:val="24"/>
              </w:rPr>
              <w:t>。</w:t>
            </w:r>
          </w:p>
          <w:p>
            <w:pPr>
              <w:spacing w:line="360" w:lineRule="auto"/>
              <w:ind w:firstLine="480" w:firstLineChars="200"/>
              <w:rPr>
                <w:kern w:val="0"/>
                <w:sz w:val="24"/>
              </w:rPr>
            </w:pPr>
            <w:r>
              <w:rPr>
                <w:rFonts w:hint="eastAsia"/>
                <w:sz w:val="24"/>
              </w:rPr>
              <w:t>（2）依托可行性分析</w:t>
            </w:r>
          </w:p>
          <w:p>
            <w:pPr>
              <w:spacing w:line="360" w:lineRule="auto"/>
              <w:ind w:firstLine="480" w:firstLineChars="200"/>
              <w:rPr>
                <w:kern w:val="0"/>
                <w:sz w:val="24"/>
              </w:rPr>
            </w:pPr>
            <w:r>
              <w:rPr>
                <w:rFonts w:hint="eastAsia"/>
                <w:kern w:val="0"/>
                <w:sz w:val="24"/>
              </w:rPr>
              <w:t>A、水质可行性分析</w:t>
            </w:r>
          </w:p>
          <w:p>
            <w:pPr>
              <w:spacing w:line="360" w:lineRule="auto"/>
              <w:ind w:firstLine="480" w:firstLineChars="200"/>
              <w:rPr>
                <w:kern w:val="0"/>
                <w:sz w:val="24"/>
              </w:rPr>
            </w:pPr>
            <w:r>
              <w:rPr>
                <w:rFonts w:hint="eastAsia"/>
                <w:sz w:val="24"/>
              </w:rPr>
              <w:t>本项目排放的废水污染因子主要是COD</w:t>
            </w:r>
            <w:r>
              <w:rPr>
                <w:rFonts w:hint="eastAsia"/>
                <w:sz w:val="24"/>
                <w:vertAlign w:val="subscript"/>
              </w:rPr>
              <w:t>Cr</w:t>
            </w:r>
            <w:r>
              <w:rPr>
                <w:rFonts w:hint="eastAsia"/>
                <w:sz w:val="24"/>
              </w:rPr>
              <w:t>、BOD</w:t>
            </w:r>
            <w:r>
              <w:rPr>
                <w:rFonts w:hint="eastAsia"/>
                <w:sz w:val="24"/>
                <w:vertAlign w:val="subscript"/>
              </w:rPr>
              <w:t>5</w:t>
            </w:r>
            <w:r>
              <w:rPr>
                <w:rFonts w:hint="eastAsia"/>
                <w:sz w:val="24"/>
              </w:rPr>
              <w:t>、NH</w:t>
            </w:r>
            <w:r>
              <w:rPr>
                <w:rFonts w:hint="eastAsia"/>
                <w:sz w:val="24"/>
                <w:vertAlign w:val="subscript"/>
              </w:rPr>
              <w:t>3</w:t>
            </w:r>
            <w:r>
              <w:rPr>
                <w:rFonts w:hint="eastAsia"/>
                <w:sz w:val="24"/>
              </w:rPr>
              <w:t>-N、SS、石油类等。废水中不含有重金属、第一类污染物等有害因子，且根据工程分析可知，</w:t>
            </w:r>
            <w:r>
              <w:rPr>
                <w:rFonts w:hint="eastAsia"/>
                <w:kern w:val="0"/>
                <w:sz w:val="24"/>
              </w:rPr>
              <w:t>车间地面保洁废水、研发中心废水及生活污水经化粪池预处理后，各污染物浓度均满足衡山高新区综合污水处理厂进水水质要求。</w:t>
            </w:r>
          </w:p>
          <w:p>
            <w:pPr>
              <w:spacing w:line="360" w:lineRule="auto"/>
              <w:ind w:firstLine="480" w:firstLineChars="200"/>
              <w:rPr>
                <w:kern w:val="0"/>
                <w:sz w:val="24"/>
              </w:rPr>
            </w:pPr>
            <w:r>
              <w:rPr>
                <w:rFonts w:hint="eastAsia"/>
                <w:kern w:val="0"/>
                <w:sz w:val="24"/>
              </w:rPr>
              <w:t>B、水量可行性分析</w:t>
            </w:r>
          </w:p>
          <w:p>
            <w:pPr>
              <w:spacing w:line="360" w:lineRule="auto"/>
              <w:ind w:firstLine="480" w:firstLineChars="200"/>
              <w:rPr>
                <w:kern w:val="0"/>
                <w:sz w:val="24"/>
              </w:rPr>
            </w:pPr>
            <w:r>
              <w:rPr>
                <w:rFonts w:hint="eastAsia"/>
                <w:kern w:val="0"/>
                <w:sz w:val="24"/>
              </w:rPr>
              <w:t>本项目外排废水总量为5323.37m</w:t>
            </w:r>
            <w:r>
              <w:rPr>
                <w:rFonts w:hint="eastAsia"/>
                <w:kern w:val="0"/>
                <w:sz w:val="24"/>
                <w:vertAlign w:val="superscript"/>
              </w:rPr>
              <w:t>3</w:t>
            </w:r>
            <w:r>
              <w:rPr>
                <w:rFonts w:hint="eastAsia"/>
                <w:kern w:val="0"/>
                <w:sz w:val="24"/>
              </w:rPr>
              <w:t>/a（16.01m</w:t>
            </w:r>
            <w:r>
              <w:rPr>
                <w:rFonts w:hint="eastAsia"/>
                <w:kern w:val="0"/>
                <w:sz w:val="24"/>
                <w:vertAlign w:val="superscript"/>
              </w:rPr>
              <w:t>3</w:t>
            </w:r>
            <w:r>
              <w:rPr>
                <w:rFonts w:hint="eastAsia"/>
                <w:kern w:val="0"/>
                <w:sz w:val="24"/>
              </w:rPr>
              <w:t>/a），衡山高新区综合污水处理厂首期设计处理规模为5000m</w:t>
            </w:r>
            <w:r>
              <w:rPr>
                <w:rFonts w:hint="eastAsia"/>
                <w:kern w:val="0"/>
                <w:sz w:val="24"/>
                <w:vertAlign w:val="superscript"/>
              </w:rPr>
              <w:t>3</w:t>
            </w:r>
            <w:r>
              <w:rPr>
                <w:rFonts w:hint="eastAsia"/>
                <w:kern w:val="0"/>
                <w:sz w:val="24"/>
              </w:rPr>
              <w:t>/d，</w:t>
            </w:r>
            <w:r>
              <w:rPr>
                <w:sz w:val="24"/>
              </w:rPr>
              <w:t>2022年平均处理规模约4541m</w:t>
            </w:r>
            <w:r>
              <w:rPr>
                <w:sz w:val="24"/>
                <w:vertAlign w:val="superscript"/>
              </w:rPr>
              <w:t>3</w:t>
            </w:r>
            <w:r>
              <w:rPr>
                <w:sz w:val="24"/>
              </w:rPr>
              <w:t>/d，</w:t>
            </w:r>
            <w:r>
              <w:rPr>
                <w:rFonts w:hint="eastAsia"/>
                <w:kern w:val="0"/>
                <w:sz w:val="24"/>
              </w:rPr>
              <w:t>尚有余量接纳本项目的废水，项目外排废水仅占污水处理厂日处理量的0.32%，对园区污水处理厂的处理负荷带来的冲击较小。</w:t>
            </w:r>
          </w:p>
          <w:p>
            <w:pPr>
              <w:spacing w:line="360" w:lineRule="auto"/>
              <w:ind w:firstLine="480" w:firstLineChars="200"/>
              <w:rPr>
                <w:kern w:val="0"/>
                <w:sz w:val="24"/>
              </w:rPr>
            </w:pPr>
            <w:r>
              <w:rPr>
                <w:rFonts w:hint="eastAsia"/>
                <w:kern w:val="0"/>
                <w:sz w:val="24"/>
              </w:rPr>
              <w:t>C、接管可行性分析</w:t>
            </w:r>
          </w:p>
          <w:p>
            <w:pPr>
              <w:spacing w:line="360" w:lineRule="auto"/>
              <w:ind w:firstLine="480" w:firstLineChars="200"/>
              <w:rPr>
                <w:rFonts w:eastAsiaTheme="minorEastAsia"/>
                <w:kern w:val="0"/>
                <w:sz w:val="24"/>
              </w:rPr>
            </w:pPr>
            <w:r>
              <w:rPr>
                <w:rFonts w:hint="eastAsia" w:eastAsiaTheme="minorEastAsia"/>
                <w:sz w:val="24"/>
              </w:rPr>
              <w:t>项目所在地属于</w:t>
            </w:r>
            <w:r>
              <w:rPr>
                <w:rFonts w:hint="eastAsia"/>
                <w:kern w:val="0"/>
                <w:sz w:val="24"/>
              </w:rPr>
              <w:t>衡山高新区综合污水处理厂</w:t>
            </w:r>
            <w:r>
              <w:rPr>
                <w:rFonts w:hint="eastAsia" w:eastAsiaTheme="minorEastAsia"/>
                <w:sz w:val="24"/>
              </w:rPr>
              <w:t>的纳污范围，目前项目所在地周边管网已完善，项目污水可进入</w:t>
            </w:r>
            <w:r>
              <w:rPr>
                <w:rFonts w:hint="eastAsia"/>
                <w:kern w:val="0"/>
                <w:sz w:val="24"/>
              </w:rPr>
              <w:t>衡山高新区综合污水处理厂</w:t>
            </w:r>
            <w:r>
              <w:rPr>
                <w:rFonts w:hint="eastAsia" w:eastAsiaTheme="minorEastAsia"/>
                <w:sz w:val="24"/>
              </w:rPr>
              <w:t>处理。</w:t>
            </w:r>
          </w:p>
          <w:p>
            <w:pPr>
              <w:adjustRightInd w:val="0"/>
              <w:snapToGrid w:val="0"/>
              <w:spacing w:line="360" w:lineRule="auto"/>
              <w:ind w:firstLine="480" w:firstLineChars="200"/>
              <w:rPr>
                <w:b/>
                <w:sz w:val="24"/>
              </w:rPr>
            </w:pPr>
            <w:r>
              <w:rPr>
                <w:rFonts w:hint="eastAsia"/>
                <w:kern w:val="0"/>
                <w:sz w:val="24"/>
              </w:rPr>
              <w:t>综上所述，项目外排废水对园区污水处理厂的水质、水量不会造成较大的冲击和影响，本项目排放的废水纳入园区污水处理厂进一步处理是可行的</w:t>
            </w:r>
            <w:r>
              <w:rPr>
                <w:rFonts w:hint="eastAsia" w:ascii="宋体" w:cs="宋体"/>
                <w:kern w:val="0"/>
                <w:sz w:val="24"/>
              </w:rPr>
              <w:t>。</w:t>
            </w:r>
          </w:p>
          <w:p>
            <w:pPr>
              <w:tabs>
                <w:tab w:val="left" w:pos="8580"/>
              </w:tabs>
              <w:adjustRightInd w:val="0"/>
              <w:snapToGrid w:val="0"/>
              <w:spacing w:line="360" w:lineRule="auto"/>
              <w:ind w:firstLine="482" w:firstLineChars="200"/>
              <w:rPr>
                <w:rFonts w:hAnsi="宋体"/>
                <w:b/>
                <w:bCs/>
                <w:kern w:val="0"/>
                <w:sz w:val="24"/>
              </w:rPr>
            </w:pPr>
            <w:r>
              <w:rPr>
                <w:rFonts w:hint="eastAsia" w:hAnsi="宋体"/>
                <w:b/>
                <w:bCs/>
                <w:kern w:val="0"/>
                <w:sz w:val="24"/>
              </w:rPr>
              <w:t>3、排放口情况</w:t>
            </w:r>
          </w:p>
          <w:p>
            <w:pPr>
              <w:adjustRightInd w:val="0"/>
              <w:snapToGrid w:val="0"/>
              <w:spacing w:beforeLines="50"/>
              <w:jc w:val="center"/>
              <w:rPr>
                <w:b/>
                <w:szCs w:val="21"/>
              </w:rPr>
            </w:pPr>
            <w:r>
              <w:rPr>
                <w:rFonts w:hint="eastAsia"/>
                <w:b/>
                <w:szCs w:val="21"/>
              </w:rPr>
              <w:t>表4-11  废水类别、污染物及污染治理设施信息表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0"/>
              <w:gridCol w:w="1279"/>
              <w:gridCol w:w="1926"/>
              <w:gridCol w:w="1346"/>
              <w:gridCol w:w="1346"/>
              <w:gridCol w:w="1346"/>
              <w:gridCol w:w="13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vAlign w:val="center"/>
                </w:tcPr>
                <w:p>
                  <w:pPr>
                    <w:adjustRightInd w:val="0"/>
                    <w:snapToGrid w:val="0"/>
                    <w:jc w:val="center"/>
                    <w:rPr>
                      <w:b/>
                      <w:szCs w:val="21"/>
                    </w:rPr>
                  </w:pPr>
                  <w:r>
                    <w:rPr>
                      <w:rFonts w:hint="eastAsia"/>
                      <w:b/>
                      <w:szCs w:val="21"/>
                    </w:rPr>
                    <w:t>废水</w:t>
                  </w:r>
                  <w:r>
                    <w:rPr>
                      <w:b/>
                      <w:szCs w:val="21"/>
                    </w:rPr>
                    <w:t>类别</w:t>
                  </w:r>
                </w:p>
              </w:tc>
              <w:tc>
                <w:tcPr>
                  <w:tcW w:w="679" w:type="pct"/>
                  <w:shd w:val="clear" w:color="auto" w:fill="auto"/>
                  <w:vAlign w:val="center"/>
                </w:tcPr>
                <w:p>
                  <w:pPr>
                    <w:adjustRightInd w:val="0"/>
                    <w:snapToGrid w:val="0"/>
                    <w:jc w:val="center"/>
                    <w:rPr>
                      <w:b/>
                      <w:szCs w:val="21"/>
                    </w:rPr>
                  </w:pPr>
                  <w:r>
                    <w:rPr>
                      <w:rFonts w:hint="eastAsia"/>
                      <w:b/>
                      <w:szCs w:val="21"/>
                    </w:rPr>
                    <w:t>污染物</w:t>
                  </w:r>
                  <w:r>
                    <w:rPr>
                      <w:b/>
                      <w:szCs w:val="21"/>
                    </w:rPr>
                    <w:t>种类</w:t>
                  </w:r>
                </w:p>
              </w:tc>
              <w:tc>
                <w:tcPr>
                  <w:tcW w:w="1022" w:type="pct"/>
                  <w:shd w:val="clear" w:color="auto" w:fill="auto"/>
                  <w:vAlign w:val="center"/>
                </w:tcPr>
                <w:p>
                  <w:pPr>
                    <w:adjustRightInd w:val="0"/>
                    <w:snapToGrid w:val="0"/>
                    <w:jc w:val="center"/>
                    <w:rPr>
                      <w:b/>
                      <w:szCs w:val="21"/>
                    </w:rPr>
                  </w:pPr>
                  <w:r>
                    <w:rPr>
                      <w:rFonts w:hint="eastAsia"/>
                      <w:b/>
                      <w:szCs w:val="21"/>
                    </w:rPr>
                    <w:t>排放规律</w:t>
                  </w:r>
                </w:p>
              </w:tc>
              <w:tc>
                <w:tcPr>
                  <w:tcW w:w="714" w:type="pct"/>
                  <w:shd w:val="clear" w:color="auto" w:fill="auto"/>
                  <w:vAlign w:val="center"/>
                </w:tcPr>
                <w:p>
                  <w:pPr>
                    <w:adjustRightInd w:val="0"/>
                    <w:snapToGrid w:val="0"/>
                    <w:jc w:val="center"/>
                    <w:rPr>
                      <w:b/>
                      <w:szCs w:val="21"/>
                    </w:rPr>
                  </w:pPr>
                  <w:r>
                    <w:rPr>
                      <w:rFonts w:hint="eastAsia"/>
                      <w:b/>
                      <w:szCs w:val="21"/>
                    </w:rPr>
                    <w:t>污染治理设施</w:t>
                  </w:r>
                </w:p>
              </w:tc>
              <w:tc>
                <w:tcPr>
                  <w:tcW w:w="714" w:type="pct"/>
                  <w:vAlign w:val="center"/>
                </w:tcPr>
                <w:p>
                  <w:pPr>
                    <w:adjustRightInd w:val="0"/>
                    <w:snapToGrid w:val="0"/>
                    <w:jc w:val="center"/>
                    <w:rPr>
                      <w:b/>
                      <w:szCs w:val="21"/>
                    </w:rPr>
                  </w:pPr>
                  <w:r>
                    <w:rPr>
                      <w:rFonts w:hint="eastAsia"/>
                      <w:b/>
                      <w:szCs w:val="21"/>
                    </w:rPr>
                    <w:t>排放口编号</w:t>
                  </w:r>
                </w:p>
              </w:tc>
              <w:tc>
                <w:tcPr>
                  <w:tcW w:w="714" w:type="pct"/>
                  <w:vAlign w:val="center"/>
                </w:tcPr>
                <w:p>
                  <w:pPr>
                    <w:adjustRightInd w:val="0"/>
                    <w:snapToGrid w:val="0"/>
                    <w:jc w:val="center"/>
                    <w:rPr>
                      <w:b/>
                      <w:szCs w:val="21"/>
                    </w:rPr>
                  </w:pPr>
                  <w:r>
                    <w:rPr>
                      <w:rFonts w:hint="eastAsia"/>
                      <w:b/>
                      <w:szCs w:val="21"/>
                    </w:rPr>
                    <w:t>排放口是否符合要求</w:t>
                  </w:r>
                </w:p>
              </w:tc>
              <w:tc>
                <w:tcPr>
                  <w:tcW w:w="710" w:type="pct"/>
                  <w:vAlign w:val="center"/>
                </w:tcPr>
                <w:p>
                  <w:pPr>
                    <w:adjustRightInd w:val="0"/>
                    <w:snapToGrid w:val="0"/>
                    <w:jc w:val="center"/>
                    <w:rPr>
                      <w:b/>
                      <w:szCs w:val="21"/>
                    </w:rPr>
                  </w:pPr>
                  <w:r>
                    <w:rPr>
                      <w:rFonts w:hint="eastAsia"/>
                      <w:b/>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vAlign w:val="center"/>
                </w:tcPr>
                <w:p>
                  <w:pPr>
                    <w:adjustRightInd w:val="0"/>
                    <w:snapToGrid w:val="0"/>
                    <w:jc w:val="center"/>
                    <w:rPr>
                      <w:szCs w:val="21"/>
                    </w:rPr>
                  </w:pPr>
                  <w:r>
                    <w:rPr>
                      <w:szCs w:val="21"/>
                    </w:rPr>
                    <w:t>综合废水</w:t>
                  </w:r>
                </w:p>
              </w:tc>
              <w:tc>
                <w:tcPr>
                  <w:tcW w:w="679" w:type="pct"/>
                  <w:shd w:val="clear" w:color="auto" w:fill="auto"/>
                  <w:vAlign w:val="center"/>
                </w:tcPr>
                <w:p>
                  <w:pPr>
                    <w:adjustRightInd w:val="0"/>
                    <w:snapToGrid w:val="0"/>
                    <w:jc w:val="center"/>
                    <w:rPr>
                      <w:szCs w:val="21"/>
                    </w:rPr>
                  </w:pPr>
                  <w:r>
                    <w:rPr>
                      <w:rFonts w:hint="eastAsia"/>
                      <w:szCs w:val="21"/>
                    </w:rPr>
                    <w:t>COD</w:t>
                  </w:r>
                </w:p>
                <w:p>
                  <w:pPr>
                    <w:adjustRightInd w:val="0"/>
                    <w:snapToGrid w:val="0"/>
                    <w:jc w:val="center"/>
                    <w:rPr>
                      <w:szCs w:val="21"/>
                      <w:vertAlign w:val="subscript"/>
                    </w:rPr>
                  </w:pPr>
                  <w:r>
                    <w:rPr>
                      <w:rFonts w:hint="eastAsia"/>
                      <w:szCs w:val="21"/>
                    </w:rPr>
                    <w:t>BOD</w:t>
                  </w:r>
                  <w:r>
                    <w:rPr>
                      <w:rFonts w:hint="eastAsia"/>
                      <w:szCs w:val="21"/>
                      <w:vertAlign w:val="subscript"/>
                    </w:rPr>
                    <w:t>5</w:t>
                  </w:r>
                </w:p>
                <w:p>
                  <w:pPr>
                    <w:adjustRightInd w:val="0"/>
                    <w:snapToGrid w:val="0"/>
                    <w:jc w:val="center"/>
                    <w:rPr>
                      <w:szCs w:val="21"/>
                    </w:rPr>
                  </w:pPr>
                  <w:r>
                    <w:rPr>
                      <w:rFonts w:hint="eastAsia"/>
                      <w:szCs w:val="21"/>
                    </w:rPr>
                    <w:t>NH</w:t>
                  </w:r>
                  <w:r>
                    <w:rPr>
                      <w:rFonts w:hint="eastAsia"/>
                      <w:szCs w:val="21"/>
                      <w:vertAlign w:val="subscript"/>
                    </w:rPr>
                    <w:t>3</w:t>
                  </w:r>
                  <w:r>
                    <w:rPr>
                      <w:rFonts w:hint="eastAsia"/>
                      <w:szCs w:val="21"/>
                    </w:rPr>
                    <w:t>-N</w:t>
                  </w:r>
                </w:p>
                <w:p>
                  <w:pPr>
                    <w:adjustRightInd w:val="0"/>
                    <w:snapToGrid w:val="0"/>
                    <w:jc w:val="center"/>
                    <w:rPr>
                      <w:szCs w:val="21"/>
                    </w:rPr>
                  </w:pPr>
                  <w:r>
                    <w:rPr>
                      <w:rFonts w:hint="eastAsia"/>
                      <w:szCs w:val="21"/>
                    </w:rPr>
                    <w:t>SS</w:t>
                  </w:r>
                </w:p>
                <w:p>
                  <w:pPr>
                    <w:pStyle w:val="2"/>
                    <w:jc w:val="center"/>
                    <w:rPr>
                      <w:color w:val="auto"/>
                      <w:sz w:val="21"/>
                      <w:szCs w:val="21"/>
                    </w:rPr>
                  </w:pPr>
                  <w:r>
                    <w:rPr>
                      <w:rFonts w:hint="eastAsia"/>
                      <w:color w:val="auto"/>
                      <w:sz w:val="21"/>
                      <w:szCs w:val="21"/>
                    </w:rPr>
                    <w:t>动植物油</w:t>
                  </w:r>
                </w:p>
                <w:p>
                  <w:pPr>
                    <w:pStyle w:val="4"/>
                    <w:spacing w:after="0"/>
                    <w:ind w:left="0" w:leftChars="0" w:firstLine="0" w:firstLineChars="0"/>
                    <w:jc w:val="center"/>
                    <w:rPr>
                      <w:szCs w:val="21"/>
                    </w:rPr>
                  </w:pPr>
                  <w:r>
                    <w:rPr>
                      <w:rFonts w:hint="eastAsia"/>
                      <w:szCs w:val="21"/>
                    </w:rPr>
                    <w:t>石油类</w:t>
                  </w:r>
                </w:p>
              </w:tc>
              <w:tc>
                <w:tcPr>
                  <w:tcW w:w="1022" w:type="pct"/>
                  <w:shd w:val="clear" w:color="auto" w:fill="auto"/>
                  <w:vAlign w:val="center"/>
                </w:tcPr>
                <w:p>
                  <w:pPr>
                    <w:adjustRightInd w:val="0"/>
                    <w:snapToGrid w:val="0"/>
                    <w:jc w:val="center"/>
                    <w:rPr>
                      <w:szCs w:val="21"/>
                    </w:rPr>
                  </w:pPr>
                  <w:r>
                    <w:rPr>
                      <w:rFonts w:hint="eastAsia"/>
                      <w:szCs w:val="21"/>
                    </w:rPr>
                    <w:t>间断排放，排放期间流量不稳定且无规律，但不属于冲击型排放</w:t>
                  </w:r>
                </w:p>
              </w:tc>
              <w:tc>
                <w:tcPr>
                  <w:tcW w:w="714" w:type="pct"/>
                  <w:shd w:val="clear" w:color="auto" w:fill="auto"/>
                  <w:vAlign w:val="center"/>
                </w:tcPr>
                <w:p>
                  <w:pPr>
                    <w:adjustRightInd w:val="0"/>
                    <w:snapToGrid w:val="0"/>
                    <w:jc w:val="center"/>
                    <w:rPr>
                      <w:szCs w:val="21"/>
                    </w:rPr>
                  </w:pPr>
                  <w:r>
                    <w:rPr>
                      <w:rFonts w:hint="eastAsia"/>
                      <w:szCs w:val="21"/>
                    </w:rPr>
                    <w:t>化粪池</w:t>
                  </w:r>
                </w:p>
              </w:tc>
              <w:tc>
                <w:tcPr>
                  <w:tcW w:w="714" w:type="pct"/>
                  <w:vAlign w:val="center"/>
                </w:tcPr>
                <w:p>
                  <w:pPr>
                    <w:adjustRightInd w:val="0"/>
                    <w:snapToGrid w:val="0"/>
                    <w:jc w:val="center"/>
                    <w:rPr>
                      <w:szCs w:val="21"/>
                    </w:rPr>
                  </w:pPr>
                  <w:r>
                    <w:rPr>
                      <w:rFonts w:hint="eastAsia"/>
                      <w:szCs w:val="21"/>
                    </w:rPr>
                    <w:t>DW001</w:t>
                  </w:r>
                </w:p>
              </w:tc>
              <w:tc>
                <w:tcPr>
                  <w:tcW w:w="714" w:type="pct"/>
                  <w:vAlign w:val="center"/>
                </w:tcPr>
                <w:p>
                  <w:pPr>
                    <w:adjustRightInd w:val="0"/>
                    <w:snapToGrid w:val="0"/>
                    <w:jc w:val="center"/>
                    <w:rPr>
                      <w:szCs w:val="21"/>
                    </w:rPr>
                  </w:pPr>
                  <w:r>
                    <w:rPr>
                      <w:rFonts w:hint="eastAsia"/>
                      <w:szCs w:val="21"/>
                    </w:rPr>
                    <w:t>是</w:t>
                  </w:r>
                </w:p>
              </w:tc>
              <w:tc>
                <w:tcPr>
                  <w:tcW w:w="710" w:type="pct"/>
                  <w:vAlign w:val="center"/>
                </w:tcPr>
                <w:p>
                  <w:pPr>
                    <w:adjustRightInd w:val="0"/>
                    <w:snapToGrid w:val="0"/>
                    <w:jc w:val="center"/>
                    <w:rPr>
                      <w:szCs w:val="21"/>
                    </w:rPr>
                  </w:pPr>
                  <w:r>
                    <w:rPr>
                      <w:rFonts w:hint="eastAsia"/>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vAlign w:val="center"/>
                </w:tcPr>
                <w:p>
                  <w:pPr>
                    <w:adjustRightInd w:val="0"/>
                    <w:snapToGrid w:val="0"/>
                    <w:jc w:val="center"/>
                    <w:rPr>
                      <w:szCs w:val="21"/>
                    </w:rPr>
                  </w:pPr>
                  <w:r>
                    <w:rPr>
                      <w:szCs w:val="21"/>
                    </w:rPr>
                    <w:t>初期雨水</w:t>
                  </w:r>
                </w:p>
              </w:tc>
              <w:tc>
                <w:tcPr>
                  <w:tcW w:w="679" w:type="pct"/>
                  <w:shd w:val="clear" w:color="auto" w:fill="auto"/>
                  <w:vAlign w:val="center"/>
                </w:tcPr>
                <w:p>
                  <w:pPr>
                    <w:widowControl/>
                    <w:jc w:val="center"/>
                    <w:rPr>
                      <w:szCs w:val="21"/>
                    </w:rPr>
                  </w:pPr>
                  <w:r>
                    <w:rPr>
                      <w:rFonts w:hint="eastAsia"/>
                      <w:szCs w:val="21"/>
                    </w:rPr>
                    <w:t>COD</w:t>
                  </w:r>
                </w:p>
                <w:p>
                  <w:pPr>
                    <w:adjustRightInd w:val="0"/>
                    <w:snapToGrid w:val="0"/>
                    <w:jc w:val="center"/>
                    <w:rPr>
                      <w:szCs w:val="21"/>
                    </w:rPr>
                  </w:pPr>
                  <w:r>
                    <w:rPr>
                      <w:rFonts w:hint="eastAsia"/>
                      <w:szCs w:val="21"/>
                    </w:rPr>
                    <w:t>SS</w:t>
                  </w:r>
                </w:p>
              </w:tc>
              <w:tc>
                <w:tcPr>
                  <w:tcW w:w="1022" w:type="pct"/>
                  <w:shd w:val="clear" w:color="auto" w:fill="auto"/>
                  <w:vAlign w:val="center"/>
                </w:tcPr>
                <w:p>
                  <w:pPr>
                    <w:adjustRightInd w:val="0"/>
                    <w:snapToGrid w:val="0"/>
                    <w:jc w:val="center"/>
                    <w:rPr>
                      <w:szCs w:val="21"/>
                    </w:rPr>
                  </w:pPr>
                  <w:r>
                    <w:rPr>
                      <w:rFonts w:hint="eastAsia"/>
                      <w:szCs w:val="21"/>
                    </w:rPr>
                    <w:t>间歇排放流量不稳定</w:t>
                  </w:r>
                </w:p>
              </w:tc>
              <w:tc>
                <w:tcPr>
                  <w:tcW w:w="714" w:type="pct"/>
                  <w:shd w:val="clear" w:color="auto" w:fill="auto"/>
                  <w:vAlign w:val="center"/>
                </w:tcPr>
                <w:p>
                  <w:pPr>
                    <w:adjustRightInd w:val="0"/>
                    <w:snapToGrid w:val="0"/>
                    <w:jc w:val="center"/>
                    <w:rPr>
                      <w:szCs w:val="21"/>
                    </w:rPr>
                  </w:pPr>
                  <w:r>
                    <w:rPr>
                      <w:rFonts w:hint="eastAsia"/>
                      <w:szCs w:val="21"/>
                    </w:rPr>
                    <w:t>初期雨水池</w:t>
                  </w:r>
                </w:p>
              </w:tc>
              <w:tc>
                <w:tcPr>
                  <w:tcW w:w="714" w:type="pct"/>
                  <w:vAlign w:val="center"/>
                </w:tcPr>
                <w:p>
                  <w:pPr>
                    <w:adjustRightInd w:val="0"/>
                    <w:snapToGrid w:val="0"/>
                    <w:jc w:val="center"/>
                    <w:rPr>
                      <w:szCs w:val="21"/>
                    </w:rPr>
                  </w:pPr>
                  <w:r>
                    <w:rPr>
                      <w:rFonts w:hint="eastAsia"/>
                      <w:szCs w:val="21"/>
                    </w:rPr>
                    <w:t>YS001</w:t>
                  </w:r>
                </w:p>
              </w:tc>
              <w:tc>
                <w:tcPr>
                  <w:tcW w:w="714" w:type="pct"/>
                  <w:vAlign w:val="center"/>
                </w:tcPr>
                <w:p>
                  <w:pPr>
                    <w:adjustRightInd w:val="0"/>
                    <w:snapToGrid w:val="0"/>
                    <w:jc w:val="center"/>
                    <w:rPr>
                      <w:szCs w:val="21"/>
                    </w:rPr>
                  </w:pPr>
                  <w:r>
                    <w:rPr>
                      <w:rFonts w:hint="eastAsia"/>
                      <w:szCs w:val="21"/>
                    </w:rPr>
                    <w:t>是</w:t>
                  </w:r>
                </w:p>
              </w:tc>
              <w:tc>
                <w:tcPr>
                  <w:tcW w:w="710" w:type="pct"/>
                  <w:vAlign w:val="center"/>
                </w:tcPr>
                <w:p>
                  <w:pPr>
                    <w:adjustRightInd w:val="0"/>
                    <w:snapToGrid w:val="0"/>
                    <w:jc w:val="center"/>
                    <w:rPr>
                      <w:szCs w:val="21"/>
                    </w:rPr>
                  </w:pPr>
                  <w:r>
                    <w:rPr>
                      <w:rFonts w:hint="eastAsia"/>
                      <w:szCs w:val="21"/>
                    </w:rPr>
                    <w:t>/</w:t>
                  </w:r>
                </w:p>
              </w:tc>
            </w:tr>
          </w:tbl>
          <w:p>
            <w:pPr>
              <w:adjustRightInd w:val="0"/>
              <w:snapToGrid w:val="0"/>
              <w:spacing w:beforeLines="50"/>
              <w:jc w:val="center"/>
              <w:rPr>
                <w:b/>
                <w:szCs w:val="21"/>
              </w:rPr>
            </w:pPr>
            <w:r>
              <w:rPr>
                <w:rFonts w:hint="eastAsia"/>
                <w:b/>
                <w:szCs w:val="21"/>
              </w:rPr>
              <w:t>表4-12  废水排放口基本情况表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2"/>
              <w:gridCol w:w="1653"/>
              <w:gridCol w:w="1117"/>
              <w:gridCol w:w="1117"/>
              <w:gridCol w:w="1117"/>
              <w:gridCol w:w="1443"/>
              <w:gridCol w:w="810"/>
              <w:gridCol w:w="12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Align w:val="center"/>
                </w:tcPr>
                <w:p>
                  <w:pPr>
                    <w:adjustRightInd w:val="0"/>
                    <w:snapToGrid w:val="0"/>
                    <w:jc w:val="center"/>
                    <w:rPr>
                      <w:b/>
                      <w:szCs w:val="21"/>
                    </w:rPr>
                  </w:pPr>
                  <w:r>
                    <w:rPr>
                      <w:rFonts w:hint="eastAsia"/>
                      <w:b/>
                      <w:szCs w:val="21"/>
                    </w:rPr>
                    <w:t>排放口编号</w:t>
                  </w:r>
                </w:p>
              </w:tc>
              <w:tc>
                <w:tcPr>
                  <w:tcW w:w="878" w:type="pct"/>
                  <w:vAlign w:val="center"/>
                </w:tcPr>
                <w:p>
                  <w:pPr>
                    <w:adjustRightInd w:val="0"/>
                    <w:snapToGrid w:val="0"/>
                    <w:jc w:val="center"/>
                    <w:rPr>
                      <w:b/>
                      <w:szCs w:val="21"/>
                    </w:rPr>
                  </w:pPr>
                  <w:r>
                    <w:rPr>
                      <w:b/>
                      <w:szCs w:val="21"/>
                    </w:rPr>
                    <w:t>排放口地理坐标</w:t>
                  </w:r>
                </w:p>
              </w:tc>
              <w:tc>
                <w:tcPr>
                  <w:tcW w:w="594" w:type="pct"/>
                  <w:shd w:val="clear" w:color="auto" w:fill="auto"/>
                  <w:vAlign w:val="center"/>
                </w:tcPr>
                <w:p>
                  <w:pPr>
                    <w:adjustRightInd w:val="0"/>
                    <w:snapToGrid w:val="0"/>
                    <w:jc w:val="center"/>
                    <w:rPr>
                      <w:b/>
                      <w:szCs w:val="21"/>
                    </w:rPr>
                  </w:pPr>
                  <w:r>
                    <w:rPr>
                      <w:b/>
                      <w:szCs w:val="21"/>
                    </w:rPr>
                    <w:t>废水排放量（</w:t>
                  </w:r>
                  <w:r>
                    <w:rPr>
                      <w:rFonts w:hint="eastAsia"/>
                      <w:b/>
                      <w:szCs w:val="21"/>
                    </w:rPr>
                    <w:t>t/a</w:t>
                  </w:r>
                  <w:r>
                    <w:rPr>
                      <w:b/>
                      <w:szCs w:val="21"/>
                    </w:rPr>
                    <w:t>）</w:t>
                  </w:r>
                </w:p>
              </w:tc>
              <w:tc>
                <w:tcPr>
                  <w:tcW w:w="594" w:type="pct"/>
                  <w:shd w:val="clear" w:color="auto" w:fill="auto"/>
                  <w:vAlign w:val="center"/>
                </w:tcPr>
                <w:p>
                  <w:pPr>
                    <w:adjustRightInd w:val="0"/>
                    <w:snapToGrid w:val="0"/>
                    <w:jc w:val="center"/>
                    <w:rPr>
                      <w:b/>
                      <w:szCs w:val="21"/>
                    </w:rPr>
                  </w:pPr>
                  <w:r>
                    <w:rPr>
                      <w:b/>
                      <w:szCs w:val="21"/>
                    </w:rPr>
                    <w:t>排放方式</w:t>
                  </w:r>
                </w:p>
              </w:tc>
              <w:tc>
                <w:tcPr>
                  <w:tcW w:w="594" w:type="pct"/>
                  <w:shd w:val="clear" w:color="auto" w:fill="auto"/>
                  <w:vAlign w:val="center"/>
                </w:tcPr>
                <w:p>
                  <w:pPr>
                    <w:adjustRightInd w:val="0"/>
                    <w:snapToGrid w:val="0"/>
                    <w:jc w:val="center"/>
                    <w:rPr>
                      <w:b/>
                      <w:szCs w:val="21"/>
                    </w:rPr>
                  </w:pPr>
                  <w:r>
                    <w:rPr>
                      <w:b/>
                      <w:szCs w:val="21"/>
                    </w:rPr>
                    <w:t>排放去向</w:t>
                  </w:r>
                </w:p>
              </w:tc>
              <w:tc>
                <w:tcPr>
                  <w:tcW w:w="1870" w:type="pct"/>
                  <w:gridSpan w:val="3"/>
                  <w:vAlign w:val="center"/>
                </w:tcPr>
                <w:p>
                  <w:pPr>
                    <w:adjustRightInd w:val="0"/>
                    <w:snapToGrid w:val="0"/>
                    <w:jc w:val="center"/>
                    <w:rPr>
                      <w:b/>
                      <w:szCs w:val="21"/>
                    </w:rPr>
                  </w:pPr>
                  <w:r>
                    <w:rPr>
                      <w:rFonts w:hint="eastAsia"/>
                      <w:b/>
                      <w:szCs w:val="21"/>
                    </w:rPr>
                    <w:t>受纳污水处理厂/水体名称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restart"/>
                  <w:vAlign w:val="center"/>
                </w:tcPr>
                <w:p>
                  <w:pPr>
                    <w:adjustRightInd w:val="0"/>
                    <w:snapToGrid w:val="0"/>
                    <w:jc w:val="center"/>
                    <w:rPr>
                      <w:szCs w:val="21"/>
                    </w:rPr>
                  </w:pPr>
                  <w:r>
                    <w:rPr>
                      <w:rFonts w:hint="eastAsia"/>
                      <w:szCs w:val="21"/>
                    </w:rPr>
                    <w:t>DW001</w:t>
                  </w:r>
                </w:p>
              </w:tc>
              <w:tc>
                <w:tcPr>
                  <w:tcW w:w="878" w:type="pct"/>
                  <w:vMerge w:val="restart"/>
                  <w:vAlign w:val="center"/>
                </w:tcPr>
                <w:p>
                  <w:pPr>
                    <w:adjustRightInd w:val="0"/>
                    <w:snapToGrid w:val="0"/>
                    <w:jc w:val="center"/>
                    <w:rPr>
                      <w:szCs w:val="21"/>
                    </w:rPr>
                  </w:pPr>
                  <w:r>
                    <w:rPr>
                      <w:szCs w:val="21"/>
                    </w:rPr>
                    <w:t xml:space="preserve">E </w:t>
                  </w:r>
                  <w:r>
                    <w:rPr>
                      <w:rFonts w:hint="eastAsia"/>
                      <w:szCs w:val="21"/>
                    </w:rPr>
                    <w:t>112.882053</w:t>
                  </w:r>
                  <w:r>
                    <w:rPr>
                      <w:szCs w:val="21"/>
                    </w:rPr>
                    <w:t>°</w:t>
                  </w:r>
                </w:p>
                <w:p>
                  <w:pPr>
                    <w:adjustRightInd w:val="0"/>
                    <w:snapToGrid w:val="0"/>
                    <w:jc w:val="center"/>
                  </w:pPr>
                  <w:r>
                    <w:rPr>
                      <w:szCs w:val="21"/>
                    </w:rPr>
                    <w:t xml:space="preserve">N </w:t>
                  </w:r>
                  <w:r>
                    <w:rPr>
                      <w:rFonts w:hint="eastAsia"/>
                      <w:szCs w:val="21"/>
                    </w:rPr>
                    <w:t>27.280471</w:t>
                  </w:r>
                  <w:r>
                    <w:rPr>
                      <w:szCs w:val="21"/>
                    </w:rPr>
                    <w:t>°</w:t>
                  </w:r>
                </w:p>
              </w:tc>
              <w:tc>
                <w:tcPr>
                  <w:tcW w:w="594" w:type="pct"/>
                  <w:vMerge w:val="restart"/>
                  <w:shd w:val="clear" w:color="auto" w:fill="auto"/>
                  <w:vAlign w:val="center"/>
                </w:tcPr>
                <w:p>
                  <w:pPr>
                    <w:adjustRightInd w:val="0"/>
                    <w:snapToGrid w:val="0"/>
                    <w:jc w:val="center"/>
                    <w:rPr>
                      <w:szCs w:val="21"/>
                    </w:rPr>
                  </w:pPr>
                  <w:r>
                    <w:rPr>
                      <w:rFonts w:hint="eastAsia"/>
                      <w:szCs w:val="21"/>
                    </w:rPr>
                    <w:t>5323.37</w:t>
                  </w:r>
                </w:p>
              </w:tc>
              <w:tc>
                <w:tcPr>
                  <w:tcW w:w="594" w:type="pct"/>
                  <w:vMerge w:val="restart"/>
                  <w:shd w:val="clear" w:color="auto" w:fill="auto"/>
                  <w:vAlign w:val="center"/>
                </w:tcPr>
                <w:p>
                  <w:pPr>
                    <w:adjustRightInd w:val="0"/>
                    <w:snapToGrid w:val="0"/>
                    <w:jc w:val="center"/>
                    <w:rPr>
                      <w:szCs w:val="21"/>
                    </w:rPr>
                  </w:pPr>
                  <w:r>
                    <w:rPr>
                      <w:szCs w:val="21"/>
                    </w:rPr>
                    <w:t>间接排放</w:t>
                  </w:r>
                </w:p>
              </w:tc>
              <w:tc>
                <w:tcPr>
                  <w:tcW w:w="594" w:type="pct"/>
                  <w:vMerge w:val="restart"/>
                  <w:shd w:val="clear" w:color="auto" w:fill="auto"/>
                  <w:vAlign w:val="center"/>
                </w:tcPr>
                <w:p>
                  <w:pPr>
                    <w:adjustRightInd w:val="0"/>
                    <w:snapToGrid w:val="0"/>
                    <w:jc w:val="center"/>
                    <w:rPr>
                      <w:szCs w:val="21"/>
                    </w:rPr>
                  </w:pPr>
                  <w:r>
                    <w:rPr>
                      <w:szCs w:val="21"/>
                    </w:rPr>
                    <w:t>市政污水管网</w:t>
                  </w:r>
                </w:p>
              </w:tc>
              <w:tc>
                <w:tcPr>
                  <w:tcW w:w="766" w:type="pct"/>
                  <w:vMerge w:val="restart"/>
                  <w:vAlign w:val="center"/>
                </w:tcPr>
                <w:p>
                  <w:pPr>
                    <w:adjustRightInd w:val="0"/>
                    <w:snapToGrid w:val="0"/>
                    <w:jc w:val="center"/>
                    <w:rPr>
                      <w:szCs w:val="21"/>
                    </w:rPr>
                  </w:pPr>
                  <w:r>
                    <w:rPr>
                      <w:rFonts w:hint="eastAsia"/>
                      <w:szCs w:val="21"/>
                    </w:rPr>
                    <w:t>衡山高新区综合污水处理厂（扩容提标前）+衡山县污水处理厂+湘江</w:t>
                  </w:r>
                </w:p>
              </w:tc>
              <w:tc>
                <w:tcPr>
                  <w:tcW w:w="423" w:type="pct"/>
                  <w:vAlign w:val="center"/>
                </w:tcPr>
                <w:p>
                  <w:pPr>
                    <w:adjustRightInd w:val="0"/>
                    <w:snapToGrid w:val="0"/>
                    <w:jc w:val="center"/>
                    <w:rPr>
                      <w:szCs w:val="21"/>
                    </w:rPr>
                  </w:pPr>
                  <w:r>
                    <w:rPr>
                      <w:rFonts w:hint="eastAsia"/>
                      <w:szCs w:val="21"/>
                    </w:rPr>
                    <w:t>COD</w:t>
                  </w:r>
                </w:p>
              </w:tc>
              <w:tc>
                <w:tcPr>
                  <w:tcW w:w="681" w:type="pct"/>
                  <w:vAlign w:val="center"/>
                </w:tcPr>
                <w:p>
                  <w:pPr>
                    <w:adjustRightInd w:val="0"/>
                    <w:snapToGrid w:val="0"/>
                    <w:jc w:val="center"/>
                    <w:rPr>
                      <w:szCs w:val="21"/>
                    </w:rPr>
                  </w:pPr>
                  <w:r>
                    <w:rPr>
                      <w:rFonts w:hint="eastAsia"/>
                      <w:szCs w:val="21"/>
                    </w:rPr>
                    <w:t>40mg/L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pPr>
                    <w:adjustRightInd w:val="0"/>
                    <w:snapToGrid w:val="0"/>
                    <w:jc w:val="center"/>
                    <w:rPr>
                      <w:szCs w:val="21"/>
                    </w:rPr>
                  </w:pPr>
                </w:p>
              </w:tc>
              <w:tc>
                <w:tcPr>
                  <w:tcW w:w="878" w:type="pct"/>
                  <w:vMerge w:val="continue"/>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766" w:type="pct"/>
                  <w:vMerge w:val="continue"/>
                  <w:vAlign w:val="center"/>
                </w:tcPr>
                <w:p>
                  <w:pPr>
                    <w:adjustRightInd w:val="0"/>
                    <w:snapToGrid w:val="0"/>
                    <w:jc w:val="center"/>
                    <w:rPr>
                      <w:szCs w:val="21"/>
                    </w:rPr>
                  </w:pPr>
                </w:p>
              </w:tc>
              <w:tc>
                <w:tcPr>
                  <w:tcW w:w="423" w:type="pct"/>
                  <w:vAlign w:val="center"/>
                </w:tcPr>
                <w:p>
                  <w:pPr>
                    <w:adjustRightInd w:val="0"/>
                    <w:snapToGrid w:val="0"/>
                    <w:jc w:val="center"/>
                    <w:rPr>
                      <w:szCs w:val="21"/>
                    </w:rPr>
                  </w:pPr>
                  <w:r>
                    <w:rPr>
                      <w:rFonts w:hint="eastAsia"/>
                      <w:szCs w:val="21"/>
                    </w:rPr>
                    <w:t>BOD</w:t>
                  </w:r>
                  <w:r>
                    <w:rPr>
                      <w:rFonts w:hint="eastAsia"/>
                      <w:szCs w:val="21"/>
                      <w:vertAlign w:val="subscript"/>
                    </w:rPr>
                    <w:t>5</w:t>
                  </w:r>
                </w:p>
              </w:tc>
              <w:tc>
                <w:tcPr>
                  <w:tcW w:w="681" w:type="pct"/>
                  <w:vAlign w:val="center"/>
                </w:tcPr>
                <w:p>
                  <w:pPr>
                    <w:adjustRightInd w:val="0"/>
                    <w:snapToGrid w:val="0"/>
                    <w:jc w:val="center"/>
                    <w:rPr>
                      <w:szCs w:val="21"/>
                    </w:rPr>
                  </w:pPr>
                  <w:r>
                    <w:rPr>
                      <w:rFonts w:hint="eastAsia"/>
                      <w:szCs w:val="21"/>
                    </w:rPr>
                    <w:t>10mg/L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pPr>
                    <w:adjustRightInd w:val="0"/>
                    <w:snapToGrid w:val="0"/>
                    <w:jc w:val="center"/>
                    <w:rPr>
                      <w:szCs w:val="21"/>
                    </w:rPr>
                  </w:pPr>
                </w:p>
              </w:tc>
              <w:tc>
                <w:tcPr>
                  <w:tcW w:w="878" w:type="pct"/>
                  <w:vMerge w:val="continue"/>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766" w:type="pct"/>
                  <w:vMerge w:val="continue"/>
                  <w:vAlign w:val="center"/>
                </w:tcPr>
                <w:p>
                  <w:pPr>
                    <w:adjustRightInd w:val="0"/>
                    <w:snapToGrid w:val="0"/>
                    <w:jc w:val="center"/>
                    <w:rPr>
                      <w:szCs w:val="21"/>
                    </w:rPr>
                  </w:pPr>
                </w:p>
              </w:tc>
              <w:tc>
                <w:tcPr>
                  <w:tcW w:w="423" w:type="pct"/>
                  <w:vAlign w:val="center"/>
                </w:tcPr>
                <w:p>
                  <w:pPr>
                    <w:adjustRightInd w:val="0"/>
                    <w:snapToGrid w:val="0"/>
                    <w:jc w:val="center"/>
                    <w:rPr>
                      <w:szCs w:val="21"/>
                    </w:rPr>
                  </w:pPr>
                  <w:r>
                    <w:rPr>
                      <w:rFonts w:hint="eastAsia"/>
                      <w:szCs w:val="21"/>
                    </w:rPr>
                    <w:t>SS</w:t>
                  </w:r>
                </w:p>
              </w:tc>
              <w:tc>
                <w:tcPr>
                  <w:tcW w:w="681" w:type="pct"/>
                  <w:vAlign w:val="center"/>
                </w:tcPr>
                <w:p>
                  <w:pPr>
                    <w:adjustRightInd w:val="0"/>
                    <w:snapToGrid w:val="0"/>
                    <w:jc w:val="center"/>
                    <w:rPr>
                      <w:szCs w:val="21"/>
                    </w:rPr>
                  </w:pPr>
                  <w:r>
                    <w:rPr>
                      <w:rFonts w:hint="eastAsia"/>
                      <w:szCs w:val="21"/>
                    </w:rPr>
                    <w:t>10mg/L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pPr>
                    <w:adjustRightInd w:val="0"/>
                    <w:snapToGrid w:val="0"/>
                    <w:jc w:val="center"/>
                    <w:rPr>
                      <w:szCs w:val="21"/>
                    </w:rPr>
                  </w:pPr>
                </w:p>
              </w:tc>
              <w:tc>
                <w:tcPr>
                  <w:tcW w:w="878" w:type="pct"/>
                  <w:vMerge w:val="continue"/>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766" w:type="pct"/>
                  <w:vMerge w:val="continue"/>
                  <w:vAlign w:val="center"/>
                </w:tcPr>
                <w:p>
                  <w:pPr>
                    <w:adjustRightInd w:val="0"/>
                    <w:snapToGrid w:val="0"/>
                    <w:jc w:val="center"/>
                    <w:rPr>
                      <w:szCs w:val="21"/>
                    </w:rPr>
                  </w:pPr>
                </w:p>
              </w:tc>
              <w:tc>
                <w:tcPr>
                  <w:tcW w:w="423" w:type="pct"/>
                  <w:vAlign w:val="center"/>
                </w:tcPr>
                <w:p>
                  <w:pPr>
                    <w:adjustRightInd w:val="0"/>
                    <w:snapToGrid w:val="0"/>
                    <w:jc w:val="center"/>
                    <w:rPr>
                      <w:szCs w:val="21"/>
                    </w:rPr>
                  </w:pPr>
                  <w:r>
                    <w:rPr>
                      <w:rFonts w:hint="eastAsia"/>
                      <w:szCs w:val="21"/>
                    </w:rPr>
                    <w:t>NH</w:t>
                  </w:r>
                  <w:r>
                    <w:rPr>
                      <w:rFonts w:hint="eastAsia"/>
                      <w:szCs w:val="21"/>
                      <w:vertAlign w:val="subscript"/>
                    </w:rPr>
                    <w:t>3</w:t>
                  </w:r>
                  <w:r>
                    <w:rPr>
                      <w:rFonts w:hint="eastAsia"/>
                      <w:szCs w:val="21"/>
                    </w:rPr>
                    <w:t>-N</w:t>
                  </w:r>
                </w:p>
              </w:tc>
              <w:tc>
                <w:tcPr>
                  <w:tcW w:w="681" w:type="pct"/>
                  <w:vAlign w:val="center"/>
                </w:tcPr>
                <w:p>
                  <w:pPr>
                    <w:adjustRightInd w:val="0"/>
                    <w:snapToGrid w:val="0"/>
                    <w:jc w:val="center"/>
                    <w:rPr>
                      <w:szCs w:val="21"/>
                    </w:rPr>
                  </w:pPr>
                  <w:r>
                    <w:rPr>
                      <w:rFonts w:hint="eastAsia"/>
                      <w:szCs w:val="21"/>
                    </w:rPr>
                    <w:t>3mg/L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pPr>
                    <w:adjustRightInd w:val="0"/>
                    <w:snapToGrid w:val="0"/>
                    <w:jc w:val="center"/>
                    <w:rPr>
                      <w:szCs w:val="21"/>
                    </w:rPr>
                  </w:pPr>
                </w:p>
              </w:tc>
              <w:tc>
                <w:tcPr>
                  <w:tcW w:w="878" w:type="pct"/>
                  <w:vMerge w:val="continue"/>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766" w:type="pct"/>
                  <w:vMerge w:val="restart"/>
                  <w:vAlign w:val="center"/>
                </w:tcPr>
                <w:p>
                  <w:pPr>
                    <w:adjustRightInd w:val="0"/>
                    <w:snapToGrid w:val="0"/>
                    <w:jc w:val="center"/>
                    <w:rPr>
                      <w:szCs w:val="21"/>
                    </w:rPr>
                  </w:pPr>
                  <w:r>
                    <w:rPr>
                      <w:rFonts w:hint="eastAsia"/>
                      <w:szCs w:val="21"/>
                    </w:rPr>
                    <w:t>衡山高新区综合污水处理厂（扩容提标后）+湘江</w:t>
                  </w:r>
                </w:p>
              </w:tc>
              <w:tc>
                <w:tcPr>
                  <w:tcW w:w="423" w:type="pct"/>
                  <w:vAlign w:val="center"/>
                </w:tcPr>
                <w:p>
                  <w:pPr>
                    <w:adjustRightInd w:val="0"/>
                    <w:snapToGrid w:val="0"/>
                    <w:jc w:val="center"/>
                    <w:rPr>
                      <w:szCs w:val="21"/>
                    </w:rPr>
                  </w:pPr>
                  <w:r>
                    <w:rPr>
                      <w:rFonts w:hint="eastAsia"/>
                      <w:szCs w:val="21"/>
                    </w:rPr>
                    <w:t>COD</w:t>
                  </w:r>
                </w:p>
              </w:tc>
              <w:tc>
                <w:tcPr>
                  <w:tcW w:w="681" w:type="pct"/>
                  <w:vAlign w:val="center"/>
                </w:tcPr>
                <w:p>
                  <w:pPr>
                    <w:adjustRightInd w:val="0"/>
                    <w:snapToGrid w:val="0"/>
                    <w:jc w:val="center"/>
                    <w:rPr>
                      <w:szCs w:val="21"/>
                    </w:rPr>
                  </w:pPr>
                  <w:r>
                    <w:rPr>
                      <w:rFonts w:hint="eastAsia"/>
                      <w:szCs w:val="21"/>
                    </w:rPr>
                    <w:t>50mg/L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pPr>
                    <w:adjustRightInd w:val="0"/>
                    <w:snapToGrid w:val="0"/>
                    <w:jc w:val="center"/>
                    <w:rPr>
                      <w:szCs w:val="21"/>
                    </w:rPr>
                  </w:pPr>
                </w:p>
              </w:tc>
              <w:tc>
                <w:tcPr>
                  <w:tcW w:w="878" w:type="pct"/>
                  <w:vMerge w:val="continue"/>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766" w:type="pct"/>
                  <w:vMerge w:val="continue"/>
                  <w:vAlign w:val="center"/>
                </w:tcPr>
                <w:p>
                  <w:pPr>
                    <w:adjustRightInd w:val="0"/>
                    <w:snapToGrid w:val="0"/>
                    <w:jc w:val="center"/>
                    <w:rPr>
                      <w:szCs w:val="21"/>
                    </w:rPr>
                  </w:pPr>
                </w:p>
              </w:tc>
              <w:tc>
                <w:tcPr>
                  <w:tcW w:w="423" w:type="pct"/>
                  <w:vAlign w:val="center"/>
                </w:tcPr>
                <w:p>
                  <w:pPr>
                    <w:adjustRightInd w:val="0"/>
                    <w:snapToGrid w:val="0"/>
                    <w:jc w:val="center"/>
                    <w:rPr>
                      <w:szCs w:val="21"/>
                    </w:rPr>
                  </w:pPr>
                  <w:r>
                    <w:rPr>
                      <w:rFonts w:hint="eastAsia"/>
                      <w:szCs w:val="21"/>
                    </w:rPr>
                    <w:t>BOD</w:t>
                  </w:r>
                  <w:r>
                    <w:rPr>
                      <w:rFonts w:hint="eastAsia"/>
                      <w:szCs w:val="21"/>
                      <w:vertAlign w:val="subscript"/>
                    </w:rPr>
                    <w:t>5</w:t>
                  </w:r>
                </w:p>
              </w:tc>
              <w:tc>
                <w:tcPr>
                  <w:tcW w:w="681" w:type="pct"/>
                  <w:vAlign w:val="center"/>
                </w:tcPr>
                <w:p>
                  <w:pPr>
                    <w:adjustRightInd w:val="0"/>
                    <w:snapToGrid w:val="0"/>
                    <w:jc w:val="center"/>
                    <w:rPr>
                      <w:szCs w:val="21"/>
                    </w:rPr>
                  </w:pPr>
                  <w:r>
                    <w:rPr>
                      <w:rFonts w:hint="eastAsia"/>
                      <w:szCs w:val="21"/>
                    </w:rPr>
                    <w:t>10mg/L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pPr>
                    <w:adjustRightInd w:val="0"/>
                    <w:snapToGrid w:val="0"/>
                    <w:jc w:val="center"/>
                    <w:rPr>
                      <w:szCs w:val="21"/>
                    </w:rPr>
                  </w:pPr>
                </w:p>
              </w:tc>
              <w:tc>
                <w:tcPr>
                  <w:tcW w:w="878" w:type="pct"/>
                  <w:vMerge w:val="continue"/>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766" w:type="pct"/>
                  <w:vMerge w:val="continue"/>
                  <w:vAlign w:val="center"/>
                </w:tcPr>
                <w:p>
                  <w:pPr>
                    <w:adjustRightInd w:val="0"/>
                    <w:snapToGrid w:val="0"/>
                    <w:jc w:val="center"/>
                    <w:rPr>
                      <w:szCs w:val="21"/>
                    </w:rPr>
                  </w:pPr>
                </w:p>
              </w:tc>
              <w:tc>
                <w:tcPr>
                  <w:tcW w:w="423" w:type="pct"/>
                  <w:vAlign w:val="center"/>
                </w:tcPr>
                <w:p>
                  <w:pPr>
                    <w:adjustRightInd w:val="0"/>
                    <w:snapToGrid w:val="0"/>
                    <w:jc w:val="center"/>
                    <w:rPr>
                      <w:szCs w:val="21"/>
                    </w:rPr>
                  </w:pPr>
                  <w:r>
                    <w:rPr>
                      <w:rFonts w:hint="eastAsia"/>
                      <w:szCs w:val="21"/>
                    </w:rPr>
                    <w:t>SS</w:t>
                  </w:r>
                </w:p>
              </w:tc>
              <w:tc>
                <w:tcPr>
                  <w:tcW w:w="681" w:type="pct"/>
                  <w:vAlign w:val="center"/>
                </w:tcPr>
                <w:p>
                  <w:pPr>
                    <w:adjustRightInd w:val="0"/>
                    <w:snapToGrid w:val="0"/>
                    <w:jc w:val="center"/>
                    <w:rPr>
                      <w:szCs w:val="21"/>
                    </w:rPr>
                  </w:pPr>
                  <w:r>
                    <w:rPr>
                      <w:rFonts w:hint="eastAsia"/>
                      <w:szCs w:val="21"/>
                    </w:rPr>
                    <w:t>10mg/L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69" w:type="pct"/>
                  <w:vMerge w:val="continue"/>
                  <w:vAlign w:val="center"/>
                </w:tcPr>
                <w:p>
                  <w:pPr>
                    <w:adjustRightInd w:val="0"/>
                    <w:snapToGrid w:val="0"/>
                    <w:jc w:val="center"/>
                    <w:rPr>
                      <w:szCs w:val="21"/>
                    </w:rPr>
                  </w:pPr>
                </w:p>
              </w:tc>
              <w:tc>
                <w:tcPr>
                  <w:tcW w:w="878" w:type="pct"/>
                  <w:vMerge w:val="continue"/>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594" w:type="pct"/>
                  <w:vMerge w:val="continue"/>
                  <w:shd w:val="clear" w:color="auto" w:fill="auto"/>
                  <w:vAlign w:val="center"/>
                </w:tcPr>
                <w:p>
                  <w:pPr>
                    <w:adjustRightInd w:val="0"/>
                    <w:snapToGrid w:val="0"/>
                    <w:jc w:val="center"/>
                    <w:rPr>
                      <w:szCs w:val="21"/>
                    </w:rPr>
                  </w:pPr>
                </w:p>
              </w:tc>
              <w:tc>
                <w:tcPr>
                  <w:tcW w:w="766" w:type="pct"/>
                  <w:vMerge w:val="continue"/>
                  <w:vAlign w:val="center"/>
                </w:tcPr>
                <w:p>
                  <w:pPr>
                    <w:adjustRightInd w:val="0"/>
                    <w:snapToGrid w:val="0"/>
                    <w:jc w:val="center"/>
                    <w:rPr>
                      <w:szCs w:val="21"/>
                    </w:rPr>
                  </w:pPr>
                </w:p>
              </w:tc>
              <w:tc>
                <w:tcPr>
                  <w:tcW w:w="423" w:type="pct"/>
                  <w:vAlign w:val="center"/>
                </w:tcPr>
                <w:p>
                  <w:pPr>
                    <w:adjustRightInd w:val="0"/>
                    <w:snapToGrid w:val="0"/>
                    <w:jc w:val="center"/>
                    <w:rPr>
                      <w:szCs w:val="21"/>
                    </w:rPr>
                  </w:pPr>
                  <w:r>
                    <w:rPr>
                      <w:rFonts w:hint="eastAsia"/>
                      <w:szCs w:val="21"/>
                    </w:rPr>
                    <w:t>NH</w:t>
                  </w:r>
                  <w:r>
                    <w:rPr>
                      <w:rFonts w:hint="eastAsia"/>
                      <w:szCs w:val="21"/>
                      <w:vertAlign w:val="subscript"/>
                    </w:rPr>
                    <w:t>3</w:t>
                  </w:r>
                  <w:r>
                    <w:rPr>
                      <w:rFonts w:hint="eastAsia"/>
                      <w:szCs w:val="21"/>
                    </w:rPr>
                    <w:t>-N</w:t>
                  </w:r>
                </w:p>
              </w:tc>
              <w:tc>
                <w:tcPr>
                  <w:tcW w:w="681" w:type="pct"/>
                  <w:vAlign w:val="center"/>
                </w:tcPr>
                <w:p>
                  <w:pPr>
                    <w:adjustRightInd w:val="0"/>
                    <w:snapToGrid w:val="0"/>
                    <w:jc w:val="center"/>
                    <w:rPr>
                      <w:szCs w:val="21"/>
                    </w:rPr>
                  </w:pPr>
                  <w:r>
                    <w:rPr>
                      <w:rFonts w:hint="eastAsia"/>
                      <w:szCs w:val="21"/>
                    </w:rPr>
                    <w:t>8mg/L</w:t>
                  </w:r>
                </w:p>
              </w:tc>
            </w:tr>
          </w:tbl>
          <w:p>
            <w:pPr>
              <w:tabs>
                <w:tab w:val="left" w:pos="8580"/>
              </w:tabs>
              <w:adjustRightInd w:val="0"/>
              <w:snapToGrid w:val="0"/>
              <w:spacing w:line="360" w:lineRule="auto"/>
              <w:ind w:firstLine="482" w:firstLineChars="200"/>
              <w:rPr>
                <w:rFonts w:hAnsi="宋体"/>
                <w:b/>
                <w:bCs/>
                <w:kern w:val="0"/>
                <w:sz w:val="24"/>
              </w:rPr>
            </w:pPr>
            <w:r>
              <w:rPr>
                <w:rFonts w:hint="eastAsia"/>
                <w:b/>
                <w:sz w:val="24"/>
              </w:rPr>
              <w:t>4、</w:t>
            </w:r>
            <w:r>
              <w:rPr>
                <w:rFonts w:hint="eastAsia" w:hAnsi="宋体"/>
                <w:b/>
                <w:bCs/>
                <w:kern w:val="0"/>
                <w:sz w:val="24"/>
              </w:rPr>
              <w:t>污染物排放量核算</w:t>
            </w:r>
          </w:p>
          <w:p>
            <w:pPr>
              <w:tabs>
                <w:tab w:val="left" w:pos="8580"/>
              </w:tabs>
              <w:adjustRightInd w:val="0"/>
              <w:snapToGrid w:val="0"/>
              <w:spacing w:line="360" w:lineRule="auto"/>
              <w:ind w:firstLine="480" w:firstLineChars="200"/>
              <w:rPr>
                <w:rFonts w:hAnsi="宋体"/>
                <w:bCs/>
                <w:kern w:val="0"/>
                <w:sz w:val="24"/>
              </w:rPr>
            </w:pPr>
            <w:r>
              <w:rPr>
                <w:rFonts w:hint="eastAsia" w:hAnsi="宋体"/>
                <w:bCs/>
                <w:kern w:val="0"/>
                <w:sz w:val="24"/>
              </w:rPr>
              <w:t>根据《环境影响评价技术导则  地表水环境》（HJ 2.3-2018）：间接排放建设项目污染源排放量核算根据依托污水处理设施的控制要求核算确定。项目废水</w:t>
            </w:r>
            <w:r>
              <w:rPr>
                <w:rFonts w:hint="eastAsia"/>
                <w:kern w:val="0"/>
                <w:sz w:val="24"/>
              </w:rPr>
              <w:t>排入市政污水管网，</w:t>
            </w:r>
            <w:r>
              <w:rPr>
                <w:rFonts w:hint="eastAsia" w:hAnsi="宋体"/>
                <w:bCs/>
                <w:kern w:val="0"/>
                <w:sz w:val="24"/>
              </w:rPr>
              <w:t>近期（衡山高新区综合污水处理厂扩容提标工程投产前），</w:t>
            </w:r>
            <w:r>
              <w:rPr>
                <w:rFonts w:hint="eastAsia"/>
                <w:kern w:val="0"/>
                <w:sz w:val="24"/>
              </w:rPr>
              <w:t>经衡山高新区综合</w:t>
            </w:r>
            <w:r>
              <w:rPr>
                <w:kern w:val="0"/>
                <w:sz w:val="24"/>
              </w:rPr>
              <w:t>污水处理厂</w:t>
            </w:r>
            <w:r>
              <w:rPr>
                <w:rFonts w:hint="eastAsia"/>
                <w:kern w:val="0"/>
                <w:sz w:val="24"/>
              </w:rPr>
              <w:t>处理达到</w:t>
            </w:r>
            <w:r>
              <w:rPr>
                <w:rFonts w:hint="eastAsia"/>
                <w:sz w:val="24"/>
              </w:rPr>
              <w:t>《污水综合排放标准》（GB8978-1996）一级标准后排入衡山县城污水处理厂处理，最终排入湘江；远期（衡山高新区综合污水处理厂扩容提标工程投产后），</w:t>
            </w:r>
            <w:r>
              <w:rPr>
                <w:rFonts w:hint="eastAsia"/>
                <w:kern w:val="0"/>
                <w:sz w:val="24"/>
              </w:rPr>
              <w:t>经衡山高新区综合</w:t>
            </w:r>
            <w:r>
              <w:rPr>
                <w:kern w:val="0"/>
                <w:sz w:val="24"/>
              </w:rPr>
              <w:t>污水处理厂</w:t>
            </w:r>
            <w:r>
              <w:rPr>
                <w:rFonts w:hint="eastAsia"/>
                <w:kern w:val="0"/>
                <w:sz w:val="24"/>
              </w:rPr>
              <w:t>处理达到</w:t>
            </w:r>
            <w:r>
              <w:rPr>
                <w:rFonts w:hint="eastAsia"/>
                <w:sz w:val="24"/>
              </w:rPr>
              <w:t>《城镇污水处理厂污染物排放标准》（GB18918-2002）一级A标准排放至湘江</w:t>
            </w:r>
            <w:r>
              <w:rPr>
                <w:rFonts w:hint="eastAsia" w:hAnsi="宋体"/>
                <w:bCs/>
                <w:kern w:val="0"/>
                <w:sz w:val="24"/>
              </w:rPr>
              <w:t>。</w:t>
            </w:r>
          </w:p>
          <w:p>
            <w:pPr>
              <w:adjustRightInd w:val="0"/>
              <w:snapToGrid w:val="0"/>
              <w:spacing w:beforeLines="50"/>
              <w:jc w:val="center"/>
              <w:rPr>
                <w:b/>
                <w:szCs w:val="21"/>
              </w:rPr>
            </w:pPr>
            <w:r>
              <w:rPr>
                <w:rFonts w:hint="eastAsia"/>
                <w:b/>
                <w:szCs w:val="21"/>
              </w:rPr>
              <w:t>表4-13  废水污染物排放信息表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33"/>
              <w:gridCol w:w="1778"/>
              <w:gridCol w:w="2358"/>
              <w:gridCol w:w="23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Align w:val="center"/>
                </w:tcPr>
                <w:p>
                  <w:pPr>
                    <w:adjustRightInd w:val="0"/>
                    <w:snapToGrid w:val="0"/>
                    <w:jc w:val="center"/>
                    <w:rPr>
                      <w:szCs w:val="21"/>
                    </w:rPr>
                  </w:pPr>
                  <w:r>
                    <w:rPr>
                      <w:b/>
                      <w:szCs w:val="21"/>
                    </w:rPr>
                    <w:t>编号</w:t>
                  </w:r>
                </w:p>
              </w:tc>
              <w:tc>
                <w:tcPr>
                  <w:tcW w:w="943" w:type="pct"/>
                  <w:shd w:val="clear" w:color="auto" w:fill="auto"/>
                  <w:vAlign w:val="center"/>
                </w:tcPr>
                <w:p>
                  <w:pPr>
                    <w:adjustRightInd w:val="0"/>
                    <w:snapToGrid w:val="0"/>
                    <w:jc w:val="center"/>
                    <w:rPr>
                      <w:szCs w:val="21"/>
                    </w:rPr>
                  </w:pPr>
                  <w:r>
                    <w:rPr>
                      <w:rFonts w:hint="eastAsia"/>
                      <w:b/>
                      <w:szCs w:val="21"/>
                    </w:rPr>
                    <w:t>污染物种类</w:t>
                  </w:r>
                </w:p>
              </w:tc>
              <w:tc>
                <w:tcPr>
                  <w:tcW w:w="1251" w:type="pct"/>
                  <w:vAlign w:val="center"/>
                </w:tcPr>
                <w:p>
                  <w:pPr>
                    <w:adjustRightInd w:val="0"/>
                    <w:snapToGrid w:val="0"/>
                    <w:jc w:val="center"/>
                    <w:rPr>
                      <w:b/>
                      <w:szCs w:val="21"/>
                    </w:rPr>
                  </w:pPr>
                  <w:r>
                    <w:rPr>
                      <w:rFonts w:hint="eastAsia"/>
                      <w:b/>
                      <w:szCs w:val="21"/>
                    </w:rPr>
                    <w:t>排放浓度mg/L</w:t>
                  </w:r>
                </w:p>
              </w:tc>
              <w:tc>
                <w:tcPr>
                  <w:tcW w:w="1248" w:type="pct"/>
                  <w:vAlign w:val="center"/>
                </w:tcPr>
                <w:p>
                  <w:pPr>
                    <w:adjustRightInd w:val="0"/>
                    <w:snapToGrid w:val="0"/>
                    <w:jc w:val="center"/>
                    <w:rPr>
                      <w:b/>
                      <w:szCs w:val="21"/>
                    </w:rPr>
                  </w:pPr>
                  <w:r>
                    <w:rPr>
                      <w:rFonts w:hint="eastAsia"/>
                      <w:b/>
                      <w:szCs w:val="21"/>
                    </w:rPr>
                    <w:t>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Merge w:val="restart"/>
                  <w:vAlign w:val="center"/>
                </w:tcPr>
                <w:p>
                  <w:pPr>
                    <w:adjustRightInd w:val="0"/>
                    <w:snapToGrid w:val="0"/>
                    <w:jc w:val="center"/>
                    <w:rPr>
                      <w:szCs w:val="21"/>
                    </w:rPr>
                  </w:pPr>
                  <w:r>
                    <w:rPr>
                      <w:rFonts w:hint="eastAsia"/>
                      <w:szCs w:val="21"/>
                    </w:rPr>
                    <w:t>DW001（5323.37</w:t>
                  </w:r>
                  <w:r>
                    <w:rPr>
                      <w:bCs/>
                      <w:szCs w:val="21"/>
                    </w:rPr>
                    <w:t>m</w:t>
                  </w:r>
                  <w:r>
                    <w:rPr>
                      <w:bCs/>
                      <w:szCs w:val="21"/>
                      <w:vertAlign w:val="superscript"/>
                    </w:rPr>
                    <w:t>3</w:t>
                  </w:r>
                  <w:r>
                    <w:rPr>
                      <w:bCs/>
                      <w:szCs w:val="21"/>
                    </w:rPr>
                    <w:t>/a</w:t>
                  </w:r>
                  <w:r>
                    <w:rPr>
                      <w:rFonts w:hint="eastAsia"/>
                      <w:szCs w:val="21"/>
                    </w:rPr>
                    <w:t>），衡山高新区综合污水处理厂扩容提标工程投产前</w:t>
                  </w:r>
                </w:p>
              </w:tc>
              <w:tc>
                <w:tcPr>
                  <w:tcW w:w="943" w:type="pct"/>
                  <w:shd w:val="clear" w:color="auto" w:fill="auto"/>
                  <w:vAlign w:val="center"/>
                </w:tcPr>
                <w:p>
                  <w:pPr>
                    <w:adjustRightInd w:val="0"/>
                    <w:snapToGrid w:val="0"/>
                    <w:jc w:val="center"/>
                    <w:rPr>
                      <w:szCs w:val="21"/>
                    </w:rPr>
                  </w:pPr>
                  <w:r>
                    <w:rPr>
                      <w:rFonts w:hint="eastAsia"/>
                      <w:szCs w:val="21"/>
                    </w:rPr>
                    <w:t>COD</w:t>
                  </w:r>
                </w:p>
              </w:tc>
              <w:tc>
                <w:tcPr>
                  <w:tcW w:w="1251" w:type="pct"/>
                  <w:vAlign w:val="center"/>
                </w:tcPr>
                <w:p>
                  <w:pPr>
                    <w:adjustRightInd w:val="0"/>
                    <w:snapToGrid w:val="0"/>
                    <w:jc w:val="center"/>
                    <w:rPr>
                      <w:szCs w:val="21"/>
                    </w:rPr>
                  </w:pPr>
                  <w:r>
                    <w:rPr>
                      <w:rFonts w:hint="eastAsia"/>
                      <w:szCs w:val="21"/>
                    </w:rPr>
                    <w:t>40</w:t>
                  </w:r>
                </w:p>
              </w:tc>
              <w:tc>
                <w:tcPr>
                  <w:tcW w:w="1248" w:type="pct"/>
                  <w:vAlign w:val="center"/>
                </w:tcPr>
                <w:p>
                  <w:pPr>
                    <w:adjustRightInd w:val="0"/>
                    <w:snapToGrid w:val="0"/>
                    <w:jc w:val="center"/>
                    <w:rPr>
                      <w:szCs w:val="21"/>
                    </w:rPr>
                  </w:pPr>
                  <w:r>
                    <w:rPr>
                      <w:rFonts w:hint="eastAsia"/>
                      <w:szCs w:val="21"/>
                    </w:rPr>
                    <w:t>213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Merge w:val="continue"/>
                  <w:vAlign w:val="center"/>
                </w:tcPr>
                <w:p>
                  <w:pPr>
                    <w:adjustRightInd w:val="0"/>
                    <w:snapToGrid w:val="0"/>
                    <w:jc w:val="center"/>
                    <w:rPr>
                      <w:szCs w:val="21"/>
                    </w:rPr>
                  </w:pPr>
                </w:p>
              </w:tc>
              <w:tc>
                <w:tcPr>
                  <w:tcW w:w="943" w:type="pct"/>
                  <w:shd w:val="clear" w:color="auto" w:fill="auto"/>
                  <w:vAlign w:val="center"/>
                </w:tcPr>
                <w:p>
                  <w:pPr>
                    <w:adjustRightInd w:val="0"/>
                    <w:snapToGrid w:val="0"/>
                    <w:jc w:val="center"/>
                    <w:rPr>
                      <w:szCs w:val="21"/>
                    </w:rPr>
                  </w:pPr>
                  <w:r>
                    <w:rPr>
                      <w:rFonts w:hint="eastAsia"/>
                      <w:szCs w:val="21"/>
                    </w:rPr>
                    <w:t>BOD</w:t>
                  </w:r>
                  <w:r>
                    <w:rPr>
                      <w:rFonts w:hint="eastAsia"/>
                      <w:szCs w:val="21"/>
                      <w:vertAlign w:val="subscript"/>
                    </w:rPr>
                    <w:t>5</w:t>
                  </w:r>
                </w:p>
              </w:tc>
              <w:tc>
                <w:tcPr>
                  <w:tcW w:w="1251" w:type="pct"/>
                  <w:vAlign w:val="center"/>
                </w:tcPr>
                <w:p>
                  <w:pPr>
                    <w:adjustRightInd w:val="0"/>
                    <w:snapToGrid w:val="0"/>
                    <w:jc w:val="center"/>
                    <w:rPr>
                      <w:szCs w:val="21"/>
                    </w:rPr>
                  </w:pPr>
                  <w:r>
                    <w:rPr>
                      <w:rFonts w:hint="eastAsia"/>
                      <w:szCs w:val="21"/>
                    </w:rPr>
                    <w:t>10</w:t>
                  </w:r>
                </w:p>
              </w:tc>
              <w:tc>
                <w:tcPr>
                  <w:tcW w:w="1248" w:type="pct"/>
                  <w:vAlign w:val="center"/>
                </w:tcPr>
                <w:p>
                  <w:pPr>
                    <w:adjustRightInd w:val="0"/>
                    <w:snapToGrid w:val="0"/>
                    <w:jc w:val="center"/>
                    <w:rPr>
                      <w:szCs w:val="21"/>
                    </w:rPr>
                  </w:pPr>
                  <w:r>
                    <w:rPr>
                      <w:rFonts w:hint="eastAsia"/>
                      <w:szCs w:val="21"/>
                    </w:rPr>
                    <w:t>0.053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Merge w:val="continue"/>
                  <w:vAlign w:val="center"/>
                </w:tcPr>
                <w:p>
                  <w:pPr>
                    <w:adjustRightInd w:val="0"/>
                    <w:snapToGrid w:val="0"/>
                    <w:jc w:val="center"/>
                    <w:rPr>
                      <w:szCs w:val="21"/>
                    </w:rPr>
                  </w:pPr>
                </w:p>
              </w:tc>
              <w:tc>
                <w:tcPr>
                  <w:tcW w:w="943" w:type="pct"/>
                  <w:shd w:val="clear" w:color="auto" w:fill="auto"/>
                  <w:vAlign w:val="center"/>
                </w:tcPr>
                <w:p>
                  <w:pPr>
                    <w:adjustRightInd w:val="0"/>
                    <w:snapToGrid w:val="0"/>
                    <w:jc w:val="center"/>
                    <w:rPr>
                      <w:szCs w:val="21"/>
                    </w:rPr>
                  </w:pPr>
                  <w:r>
                    <w:rPr>
                      <w:rFonts w:hint="eastAsia"/>
                      <w:szCs w:val="21"/>
                    </w:rPr>
                    <w:t>SS</w:t>
                  </w:r>
                </w:p>
              </w:tc>
              <w:tc>
                <w:tcPr>
                  <w:tcW w:w="1251" w:type="pct"/>
                  <w:vAlign w:val="center"/>
                </w:tcPr>
                <w:p>
                  <w:pPr>
                    <w:adjustRightInd w:val="0"/>
                    <w:snapToGrid w:val="0"/>
                    <w:jc w:val="center"/>
                    <w:rPr>
                      <w:szCs w:val="21"/>
                    </w:rPr>
                  </w:pPr>
                  <w:r>
                    <w:rPr>
                      <w:rFonts w:hint="eastAsia"/>
                      <w:szCs w:val="21"/>
                    </w:rPr>
                    <w:t>10</w:t>
                  </w:r>
                </w:p>
              </w:tc>
              <w:tc>
                <w:tcPr>
                  <w:tcW w:w="1248" w:type="pct"/>
                  <w:vAlign w:val="center"/>
                </w:tcPr>
                <w:p>
                  <w:pPr>
                    <w:adjustRightInd w:val="0"/>
                    <w:snapToGrid w:val="0"/>
                    <w:jc w:val="center"/>
                    <w:rPr>
                      <w:szCs w:val="21"/>
                    </w:rPr>
                  </w:pPr>
                  <w:r>
                    <w:rPr>
                      <w:rFonts w:hint="eastAsia"/>
                      <w:szCs w:val="21"/>
                    </w:rPr>
                    <w:t>0.053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Merge w:val="continue"/>
                  <w:vAlign w:val="center"/>
                </w:tcPr>
                <w:p>
                  <w:pPr>
                    <w:adjustRightInd w:val="0"/>
                    <w:snapToGrid w:val="0"/>
                    <w:jc w:val="center"/>
                    <w:rPr>
                      <w:szCs w:val="21"/>
                    </w:rPr>
                  </w:pPr>
                </w:p>
              </w:tc>
              <w:tc>
                <w:tcPr>
                  <w:tcW w:w="943" w:type="pct"/>
                  <w:shd w:val="clear" w:color="auto" w:fill="auto"/>
                  <w:vAlign w:val="center"/>
                </w:tcPr>
                <w:p>
                  <w:pPr>
                    <w:adjustRightInd w:val="0"/>
                    <w:snapToGrid w:val="0"/>
                    <w:jc w:val="center"/>
                    <w:rPr>
                      <w:szCs w:val="21"/>
                    </w:rPr>
                  </w:pPr>
                  <w:r>
                    <w:rPr>
                      <w:rFonts w:hint="eastAsia"/>
                      <w:szCs w:val="21"/>
                    </w:rPr>
                    <w:t>NH</w:t>
                  </w:r>
                  <w:r>
                    <w:rPr>
                      <w:rFonts w:hint="eastAsia"/>
                      <w:szCs w:val="21"/>
                      <w:vertAlign w:val="subscript"/>
                    </w:rPr>
                    <w:t>3</w:t>
                  </w:r>
                  <w:r>
                    <w:rPr>
                      <w:rFonts w:hint="eastAsia"/>
                      <w:szCs w:val="21"/>
                    </w:rPr>
                    <w:t>-N</w:t>
                  </w:r>
                </w:p>
              </w:tc>
              <w:tc>
                <w:tcPr>
                  <w:tcW w:w="1251" w:type="pct"/>
                  <w:vAlign w:val="center"/>
                </w:tcPr>
                <w:p>
                  <w:pPr>
                    <w:adjustRightInd w:val="0"/>
                    <w:snapToGrid w:val="0"/>
                    <w:jc w:val="center"/>
                    <w:rPr>
                      <w:szCs w:val="21"/>
                    </w:rPr>
                  </w:pPr>
                  <w:r>
                    <w:rPr>
                      <w:rFonts w:hint="eastAsia"/>
                      <w:szCs w:val="21"/>
                    </w:rPr>
                    <w:t>3</w:t>
                  </w:r>
                </w:p>
              </w:tc>
              <w:tc>
                <w:tcPr>
                  <w:tcW w:w="1248" w:type="pct"/>
                  <w:vAlign w:val="center"/>
                </w:tcPr>
                <w:p>
                  <w:pPr>
                    <w:adjustRightInd w:val="0"/>
                    <w:snapToGrid w:val="0"/>
                    <w:jc w:val="center"/>
                    <w:rPr>
                      <w:szCs w:val="21"/>
                    </w:rPr>
                  </w:pPr>
                  <w:r>
                    <w:rPr>
                      <w:rFonts w:hint="eastAsia"/>
                      <w:szCs w:val="21"/>
                    </w:rPr>
                    <w:t>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Merge w:val="restart"/>
                  <w:vAlign w:val="center"/>
                </w:tcPr>
                <w:p>
                  <w:pPr>
                    <w:adjustRightInd w:val="0"/>
                    <w:snapToGrid w:val="0"/>
                    <w:jc w:val="center"/>
                    <w:rPr>
                      <w:szCs w:val="21"/>
                    </w:rPr>
                  </w:pPr>
                  <w:r>
                    <w:rPr>
                      <w:rFonts w:hint="eastAsia"/>
                      <w:szCs w:val="21"/>
                    </w:rPr>
                    <w:t>DW001（5323.37</w:t>
                  </w:r>
                  <w:r>
                    <w:rPr>
                      <w:bCs/>
                      <w:szCs w:val="21"/>
                    </w:rPr>
                    <w:t>m</w:t>
                  </w:r>
                  <w:r>
                    <w:rPr>
                      <w:bCs/>
                      <w:szCs w:val="21"/>
                      <w:vertAlign w:val="superscript"/>
                    </w:rPr>
                    <w:t>3</w:t>
                  </w:r>
                  <w:r>
                    <w:rPr>
                      <w:bCs/>
                      <w:szCs w:val="21"/>
                    </w:rPr>
                    <w:t>/a</w:t>
                  </w:r>
                  <w:r>
                    <w:rPr>
                      <w:rFonts w:hint="eastAsia"/>
                      <w:szCs w:val="21"/>
                    </w:rPr>
                    <w:t>）衡山高新区综合污水处理厂扩容提标工程投产后</w:t>
                  </w:r>
                </w:p>
              </w:tc>
              <w:tc>
                <w:tcPr>
                  <w:tcW w:w="943" w:type="pct"/>
                  <w:shd w:val="clear" w:color="auto" w:fill="auto"/>
                  <w:vAlign w:val="center"/>
                </w:tcPr>
                <w:p>
                  <w:pPr>
                    <w:adjustRightInd w:val="0"/>
                    <w:snapToGrid w:val="0"/>
                    <w:jc w:val="center"/>
                    <w:rPr>
                      <w:szCs w:val="21"/>
                    </w:rPr>
                  </w:pPr>
                  <w:r>
                    <w:rPr>
                      <w:rFonts w:hint="eastAsia"/>
                      <w:szCs w:val="21"/>
                    </w:rPr>
                    <w:t>COD</w:t>
                  </w:r>
                </w:p>
              </w:tc>
              <w:tc>
                <w:tcPr>
                  <w:tcW w:w="1251" w:type="pct"/>
                  <w:vAlign w:val="center"/>
                </w:tcPr>
                <w:p>
                  <w:pPr>
                    <w:adjustRightInd w:val="0"/>
                    <w:snapToGrid w:val="0"/>
                    <w:jc w:val="center"/>
                    <w:rPr>
                      <w:szCs w:val="21"/>
                    </w:rPr>
                  </w:pPr>
                  <w:r>
                    <w:rPr>
                      <w:rFonts w:hint="eastAsia"/>
                      <w:szCs w:val="21"/>
                    </w:rPr>
                    <w:t>50</w:t>
                  </w:r>
                </w:p>
              </w:tc>
              <w:tc>
                <w:tcPr>
                  <w:tcW w:w="1248" w:type="pct"/>
                  <w:vAlign w:val="center"/>
                </w:tcPr>
                <w:p>
                  <w:pPr>
                    <w:adjustRightInd w:val="0"/>
                    <w:snapToGrid w:val="0"/>
                    <w:jc w:val="center"/>
                    <w:rPr>
                      <w:szCs w:val="21"/>
                    </w:rPr>
                  </w:pPr>
                  <w:r>
                    <w:rPr>
                      <w:rFonts w:hint="eastAsia"/>
                      <w:szCs w:val="21"/>
                    </w:rPr>
                    <w:t>0.266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Merge w:val="continue"/>
                  <w:vAlign w:val="center"/>
                </w:tcPr>
                <w:p>
                  <w:pPr>
                    <w:adjustRightInd w:val="0"/>
                    <w:snapToGrid w:val="0"/>
                    <w:jc w:val="center"/>
                    <w:rPr>
                      <w:szCs w:val="21"/>
                    </w:rPr>
                  </w:pPr>
                </w:p>
              </w:tc>
              <w:tc>
                <w:tcPr>
                  <w:tcW w:w="943" w:type="pct"/>
                  <w:shd w:val="clear" w:color="auto" w:fill="auto"/>
                  <w:vAlign w:val="center"/>
                </w:tcPr>
                <w:p>
                  <w:pPr>
                    <w:adjustRightInd w:val="0"/>
                    <w:snapToGrid w:val="0"/>
                    <w:jc w:val="center"/>
                    <w:rPr>
                      <w:szCs w:val="21"/>
                    </w:rPr>
                  </w:pPr>
                  <w:r>
                    <w:rPr>
                      <w:rFonts w:hint="eastAsia"/>
                      <w:szCs w:val="21"/>
                    </w:rPr>
                    <w:t>BOD</w:t>
                  </w:r>
                  <w:r>
                    <w:rPr>
                      <w:rFonts w:hint="eastAsia"/>
                      <w:szCs w:val="21"/>
                      <w:vertAlign w:val="subscript"/>
                    </w:rPr>
                    <w:t>5</w:t>
                  </w:r>
                </w:p>
              </w:tc>
              <w:tc>
                <w:tcPr>
                  <w:tcW w:w="1251" w:type="pct"/>
                  <w:vAlign w:val="center"/>
                </w:tcPr>
                <w:p>
                  <w:pPr>
                    <w:adjustRightInd w:val="0"/>
                    <w:snapToGrid w:val="0"/>
                    <w:jc w:val="center"/>
                    <w:rPr>
                      <w:szCs w:val="21"/>
                    </w:rPr>
                  </w:pPr>
                  <w:r>
                    <w:rPr>
                      <w:rFonts w:hint="eastAsia"/>
                      <w:szCs w:val="21"/>
                    </w:rPr>
                    <w:t>10</w:t>
                  </w:r>
                </w:p>
              </w:tc>
              <w:tc>
                <w:tcPr>
                  <w:tcW w:w="1248" w:type="pct"/>
                  <w:vAlign w:val="center"/>
                </w:tcPr>
                <w:p>
                  <w:pPr>
                    <w:adjustRightInd w:val="0"/>
                    <w:snapToGrid w:val="0"/>
                    <w:jc w:val="center"/>
                    <w:rPr>
                      <w:szCs w:val="21"/>
                    </w:rPr>
                  </w:pPr>
                  <w:r>
                    <w:rPr>
                      <w:rFonts w:hint="eastAsia"/>
                      <w:szCs w:val="21"/>
                    </w:rPr>
                    <w:t>0.053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Merge w:val="continue"/>
                  <w:vAlign w:val="center"/>
                </w:tcPr>
                <w:p>
                  <w:pPr>
                    <w:adjustRightInd w:val="0"/>
                    <w:snapToGrid w:val="0"/>
                    <w:jc w:val="center"/>
                    <w:rPr>
                      <w:szCs w:val="21"/>
                    </w:rPr>
                  </w:pPr>
                </w:p>
              </w:tc>
              <w:tc>
                <w:tcPr>
                  <w:tcW w:w="943" w:type="pct"/>
                  <w:shd w:val="clear" w:color="auto" w:fill="auto"/>
                  <w:vAlign w:val="center"/>
                </w:tcPr>
                <w:p>
                  <w:pPr>
                    <w:adjustRightInd w:val="0"/>
                    <w:snapToGrid w:val="0"/>
                    <w:jc w:val="center"/>
                    <w:rPr>
                      <w:szCs w:val="21"/>
                    </w:rPr>
                  </w:pPr>
                  <w:r>
                    <w:rPr>
                      <w:rFonts w:hint="eastAsia"/>
                      <w:szCs w:val="21"/>
                    </w:rPr>
                    <w:t>SS</w:t>
                  </w:r>
                </w:p>
              </w:tc>
              <w:tc>
                <w:tcPr>
                  <w:tcW w:w="1251" w:type="pct"/>
                  <w:vAlign w:val="center"/>
                </w:tcPr>
                <w:p>
                  <w:pPr>
                    <w:adjustRightInd w:val="0"/>
                    <w:snapToGrid w:val="0"/>
                    <w:jc w:val="center"/>
                    <w:rPr>
                      <w:szCs w:val="21"/>
                    </w:rPr>
                  </w:pPr>
                  <w:r>
                    <w:rPr>
                      <w:rFonts w:hint="eastAsia"/>
                      <w:szCs w:val="21"/>
                    </w:rPr>
                    <w:t>10</w:t>
                  </w:r>
                </w:p>
              </w:tc>
              <w:tc>
                <w:tcPr>
                  <w:tcW w:w="1248" w:type="pct"/>
                  <w:vAlign w:val="center"/>
                </w:tcPr>
                <w:p>
                  <w:pPr>
                    <w:adjustRightInd w:val="0"/>
                    <w:snapToGrid w:val="0"/>
                    <w:jc w:val="center"/>
                    <w:rPr>
                      <w:szCs w:val="21"/>
                    </w:rPr>
                  </w:pPr>
                  <w:r>
                    <w:rPr>
                      <w:rFonts w:hint="eastAsia"/>
                      <w:szCs w:val="21"/>
                    </w:rPr>
                    <w:t>0.053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56" w:type="pct"/>
                  <w:vMerge w:val="continue"/>
                  <w:vAlign w:val="center"/>
                </w:tcPr>
                <w:p>
                  <w:pPr>
                    <w:adjustRightInd w:val="0"/>
                    <w:snapToGrid w:val="0"/>
                    <w:jc w:val="center"/>
                    <w:rPr>
                      <w:szCs w:val="21"/>
                    </w:rPr>
                  </w:pPr>
                </w:p>
              </w:tc>
              <w:tc>
                <w:tcPr>
                  <w:tcW w:w="943" w:type="pct"/>
                  <w:shd w:val="clear" w:color="auto" w:fill="auto"/>
                  <w:vAlign w:val="center"/>
                </w:tcPr>
                <w:p>
                  <w:pPr>
                    <w:adjustRightInd w:val="0"/>
                    <w:snapToGrid w:val="0"/>
                    <w:jc w:val="center"/>
                    <w:rPr>
                      <w:szCs w:val="21"/>
                    </w:rPr>
                  </w:pPr>
                  <w:r>
                    <w:rPr>
                      <w:rFonts w:hint="eastAsia"/>
                      <w:szCs w:val="21"/>
                    </w:rPr>
                    <w:t>NH</w:t>
                  </w:r>
                  <w:r>
                    <w:rPr>
                      <w:rFonts w:hint="eastAsia"/>
                      <w:szCs w:val="21"/>
                      <w:vertAlign w:val="subscript"/>
                    </w:rPr>
                    <w:t>3</w:t>
                  </w:r>
                  <w:r>
                    <w:rPr>
                      <w:rFonts w:hint="eastAsia"/>
                      <w:szCs w:val="21"/>
                    </w:rPr>
                    <w:t>-N</w:t>
                  </w:r>
                </w:p>
              </w:tc>
              <w:tc>
                <w:tcPr>
                  <w:tcW w:w="1251" w:type="pct"/>
                  <w:vAlign w:val="center"/>
                </w:tcPr>
                <w:p>
                  <w:pPr>
                    <w:adjustRightInd w:val="0"/>
                    <w:snapToGrid w:val="0"/>
                    <w:jc w:val="center"/>
                    <w:rPr>
                      <w:szCs w:val="21"/>
                    </w:rPr>
                  </w:pPr>
                  <w:r>
                    <w:rPr>
                      <w:rFonts w:hint="eastAsia"/>
                      <w:szCs w:val="21"/>
                    </w:rPr>
                    <w:t>5</w:t>
                  </w:r>
                </w:p>
              </w:tc>
              <w:tc>
                <w:tcPr>
                  <w:tcW w:w="1248" w:type="pct"/>
                  <w:vAlign w:val="center"/>
                </w:tcPr>
                <w:p>
                  <w:pPr>
                    <w:adjustRightInd w:val="0"/>
                    <w:snapToGrid w:val="0"/>
                    <w:jc w:val="center"/>
                    <w:rPr>
                      <w:szCs w:val="21"/>
                    </w:rPr>
                  </w:pPr>
                  <w:r>
                    <w:rPr>
                      <w:rFonts w:hint="eastAsia"/>
                      <w:szCs w:val="21"/>
                    </w:rPr>
                    <w:t>0.027</w:t>
                  </w:r>
                </w:p>
              </w:tc>
            </w:tr>
          </w:tbl>
          <w:p>
            <w:pPr>
              <w:adjustRightInd w:val="0"/>
              <w:snapToGrid w:val="0"/>
              <w:spacing w:line="360" w:lineRule="auto"/>
              <w:ind w:firstLine="482" w:firstLineChars="200"/>
              <w:rPr>
                <w:b/>
                <w:sz w:val="24"/>
              </w:rPr>
            </w:pPr>
            <w:r>
              <w:rPr>
                <w:rFonts w:hint="eastAsia"/>
                <w:b/>
                <w:sz w:val="24"/>
              </w:rPr>
              <w:t>5、监测要求</w:t>
            </w:r>
          </w:p>
          <w:p>
            <w:pPr>
              <w:adjustRightInd w:val="0"/>
              <w:snapToGrid w:val="0"/>
              <w:spacing w:line="360" w:lineRule="auto"/>
              <w:ind w:firstLine="480" w:firstLineChars="200"/>
              <w:rPr>
                <w:sz w:val="24"/>
              </w:rPr>
            </w:pPr>
            <w:r>
              <w:rPr>
                <w:rFonts w:hint="eastAsia"/>
                <w:sz w:val="24"/>
              </w:rPr>
              <w:t>本项目实施后生产运行阶段的水污染源监测计划如下表</w:t>
            </w:r>
            <w:r>
              <w:rPr>
                <w:sz w:val="24"/>
              </w:rPr>
              <w:t>。</w:t>
            </w:r>
          </w:p>
          <w:p>
            <w:pPr>
              <w:adjustRightInd w:val="0"/>
              <w:snapToGrid w:val="0"/>
              <w:spacing w:beforeLines="50"/>
              <w:jc w:val="center"/>
              <w:rPr>
                <w:b/>
                <w:szCs w:val="21"/>
              </w:rPr>
            </w:pPr>
            <w:r>
              <w:rPr>
                <w:rFonts w:hint="eastAsia"/>
                <w:b/>
                <w:szCs w:val="21"/>
              </w:rPr>
              <w:t>表4-14  本项目大气污染物监测计划</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93"/>
              <w:gridCol w:w="4087"/>
              <w:gridCol w:w="20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48" w:type="pct"/>
                  <w:shd w:val="clear" w:color="auto" w:fill="auto"/>
                  <w:vAlign w:val="center"/>
                </w:tcPr>
                <w:p>
                  <w:pPr>
                    <w:adjustRightInd w:val="0"/>
                    <w:snapToGrid w:val="0"/>
                    <w:jc w:val="center"/>
                    <w:rPr>
                      <w:b/>
                      <w:szCs w:val="21"/>
                    </w:rPr>
                  </w:pPr>
                  <w:r>
                    <w:rPr>
                      <w:rFonts w:hint="eastAsia"/>
                      <w:b/>
                      <w:szCs w:val="21"/>
                    </w:rPr>
                    <w:t>监测点位</w:t>
                  </w:r>
                </w:p>
              </w:tc>
              <w:tc>
                <w:tcPr>
                  <w:tcW w:w="2169" w:type="pct"/>
                  <w:vAlign w:val="center"/>
                </w:tcPr>
                <w:p>
                  <w:pPr>
                    <w:adjustRightInd w:val="0"/>
                    <w:snapToGrid w:val="0"/>
                    <w:jc w:val="center"/>
                    <w:rPr>
                      <w:b/>
                      <w:szCs w:val="21"/>
                    </w:rPr>
                  </w:pPr>
                  <w:r>
                    <w:rPr>
                      <w:rFonts w:hint="eastAsia"/>
                      <w:b/>
                      <w:szCs w:val="21"/>
                    </w:rPr>
                    <w:t>监测因子</w:t>
                  </w:r>
                </w:p>
              </w:tc>
              <w:tc>
                <w:tcPr>
                  <w:tcW w:w="1083" w:type="pct"/>
                  <w:vAlign w:val="center"/>
                </w:tcPr>
                <w:p>
                  <w:pPr>
                    <w:adjustRightInd w:val="0"/>
                    <w:snapToGrid w:val="0"/>
                    <w:jc w:val="center"/>
                    <w:rPr>
                      <w:b/>
                      <w:szCs w:val="21"/>
                    </w:rPr>
                  </w:pPr>
                  <w:r>
                    <w:rPr>
                      <w:rFonts w:hint="eastAsia"/>
                      <w:b/>
                      <w:szCs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748" w:type="pct"/>
                  <w:shd w:val="clear" w:color="auto" w:fill="auto"/>
                  <w:vAlign w:val="center"/>
                </w:tcPr>
                <w:p>
                  <w:pPr>
                    <w:adjustRightInd w:val="0"/>
                    <w:snapToGrid w:val="0"/>
                    <w:jc w:val="center"/>
                    <w:rPr>
                      <w:szCs w:val="21"/>
                    </w:rPr>
                  </w:pPr>
                  <w:r>
                    <w:rPr>
                      <w:rFonts w:hint="eastAsia"/>
                      <w:szCs w:val="21"/>
                    </w:rPr>
                    <w:t>DW001（厂区污水排放总口）</w:t>
                  </w:r>
                </w:p>
              </w:tc>
              <w:tc>
                <w:tcPr>
                  <w:tcW w:w="2169" w:type="pct"/>
                  <w:vAlign w:val="center"/>
                </w:tcPr>
                <w:p>
                  <w:pPr>
                    <w:adjustRightInd w:val="0"/>
                    <w:snapToGrid w:val="0"/>
                    <w:jc w:val="center"/>
                    <w:rPr>
                      <w:bCs/>
                      <w:spacing w:val="-10"/>
                      <w:szCs w:val="21"/>
                    </w:rPr>
                  </w:pPr>
                  <w:r>
                    <w:rPr>
                      <w:rFonts w:hint="eastAsia"/>
                      <w:szCs w:val="21"/>
                    </w:rPr>
                    <w:t>水量、pH、化学需氧量、氨氮</w:t>
                  </w:r>
                </w:p>
              </w:tc>
              <w:tc>
                <w:tcPr>
                  <w:tcW w:w="1083" w:type="pct"/>
                  <w:vAlign w:val="center"/>
                </w:tcPr>
                <w:p>
                  <w:pPr>
                    <w:adjustRightInd w:val="0"/>
                    <w:snapToGrid w:val="0"/>
                    <w:jc w:val="center"/>
                    <w:rPr>
                      <w:szCs w:val="21"/>
                    </w:rPr>
                  </w:pPr>
                  <w:r>
                    <w:rPr>
                      <w:rFonts w:hint="eastAsia"/>
                      <w:szCs w:val="21"/>
                    </w:rPr>
                    <w:t>1次/半年</w:t>
                  </w:r>
                </w:p>
              </w:tc>
            </w:tr>
          </w:tbl>
          <w:p>
            <w:pPr>
              <w:adjustRightInd w:val="0"/>
              <w:snapToGrid w:val="0"/>
              <w:spacing w:line="360" w:lineRule="auto"/>
              <w:ind w:firstLine="482" w:firstLineChars="200"/>
              <w:rPr>
                <w:b/>
                <w:sz w:val="24"/>
              </w:rPr>
            </w:pPr>
            <w:r>
              <w:rPr>
                <w:rFonts w:hint="eastAsia"/>
                <w:b/>
                <w:sz w:val="24"/>
              </w:rPr>
              <w:t>三、噪声</w:t>
            </w:r>
          </w:p>
          <w:p>
            <w:pPr>
              <w:spacing w:line="360" w:lineRule="auto"/>
              <w:ind w:firstLine="482" w:firstLineChars="200"/>
              <w:rPr>
                <w:rFonts w:hAnsi="宋体"/>
                <w:b/>
                <w:kern w:val="0"/>
                <w:sz w:val="24"/>
              </w:rPr>
            </w:pPr>
            <w:r>
              <w:rPr>
                <w:rFonts w:hint="eastAsia" w:hAnsi="宋体"/>
                <w:b/>
                <w:kern w:val="0"/>
                <w:sz w:val="24"/>
              </w:rPr>
              <w:t>1、预测模型</w:t>
            </w:r>
          </w:p>
          <w:p>
            <w:pPr>
              <w:spacing w:line="360" w:lineRule="auto"/>
              <w:ind w:firstLine="480" w:firstLineChars="200"/>
              <w:rPr>
                <w:rFonts w:hAnsi="宋体"/>
                <w:kern w:val="0"/>
                <w:sz w:val="24"/>
              </w:rPr>
            </w:pPr>
            <w:r>
              <w:rPr>
                <w:rFonts w:hint="eastAsia" w:hAnsi="宋体"/>
                <w:kern w:val="0"/>
                <w:sz w:val="24"/>
              </w:rPr>
              <w:t>根据项目建设内容及《环境影响评价技术导则  声环境》（HJ2.4-2021）的要求，项目环评采用的模型为《环境影响评价技术导则声环境》（HJ2.4-2021）附录A（规范性附录）户外声传播的衰减和附录B（规范性附录）中“B.1工业噪声预测计算模型”。</w:t>
            </w:r>
          </w:p>
          <w:p>
            <w:pPr>
              <w:spacing w:line="360" w:lineRule="auto"/>
              <w:ind w:firstLine="482" w:firstLineChars="200"/>
              <w:rPr>
                <w:rFonts w:hAnsi="宋体"/>
                <w:b/>
                <w:kern w:val="0"/>
                <w:sz w:val="24"/>
              </w:rPr>
            </w:pPr>
            <w:r>
              <w:rPr>
                <w:rFonts w:hint="eastAsia" w:hAnsi="宋体"/>
                <w:b/>
                <w:kern w:val="0"/>
                <w:sz w:val="24"/>
              </w:rPr>
              <w:t>2、预测参数</w:t>
            </w:r>
          </w:p>
          <w:p>
            <w:pPr>
              <w:spacing w:line="360" w:lineRule="auto"/>
              <w:ind w:firstLine="482" w:firstLineChars="200"/>
              <w:rPr>
                <w:rFonts w:hAnsi="宋体"/>
                <w:b/>
                <w:kern w:val="0"/>
                <w:sz w:val="24"/>
              </w:rPr>
            </w:pPr>
            <w:r>
              <w:rPr>
                <w:rFonts w:hint="eastAsia" w:hAnsi="宋体"/>
                <w:b/>
                <w:kern w:val="0"/>
                <w:sz w:val="24"/>
              </w:rPr>
              <w:t>（1）源强</w:t>
            </w:r>
          </w:p>
          <w:p>
            <w:pPr>
              <w:adjustRightInd w:val="0"/>
              <w:snapToGrid w:val="0"/>
              <w:spacing w:line="360" w:lineRule="auto"/>
              <w:ind w:firstLine="480" w:firstLineChars="200"/>
              <w:rPr>
                <w:rFonts w:hAnsi="宋体"/>
                <w:kern w:val="0"/>
                <w:sz w:val="24"/>
              </w:rPr>
            </w:pPr>
            <w:r>
              <w:rPr>
                <w:rFonts w:hint="eastAsia" w:hAnsi="宋体"/>
                <w:kern w:val="0"/>
                <w:sz w:val="24"/>
              </w:rPr>
              <w:t>项目在生产过程中产生的噪声主要源自</w:t>
            </w:r>
            <w:r>
              <w:rPr>
                <w:rFonts w:hint="eastAsia" w:hAnsiTheme="minorEastAsia" w:eastAsiaTheme="minorEastAsia"/>
                <w:kern w:val="0"/>
                <w:sz w:val="24"/>
              </w:rPr>
              <w:t>高速搅拌机、调和罐自动一体机等，其噪声声级介于65~70dB（A）</w:t>
            </w:r>
            <w:r>
              <w:rPr>
                <w:rFonts w:hint="eastAsia" w:hAnsi="宋体"/>
                <w:kern w:val="0"/>
                <w:sz w:val="24"/>
              </w:rPr>
              <w:t>。主要噪声源排放情况见下表4-15。</w:t>
            </w:r>
          </w:p>
          <w:p>
            <w:pPr>
              <w:spacing w:beforeLines="50"/>
              <w:jc w:val="center"/>
              <w:rPr>
                <w:b/>
              </w:rPr>
            </w:pPr>
            <w:r>
              <w:rPr>
                <w:rFonts w:hint="eastAsia"/>
                <w:b/>
              </w:rPr>
              <w:t xml:space="preserve">表4-15  工业企业噪声源强调查清单 </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2"/>
              <w:gridCol w:w="806"/>
              <w:gridCol w:w="731"/>
              <w:gridCol w:w="731"/>
              <w:gridCol w:w="731"/>
              <w:gridCol w:w="731"/>
              <w:gridCol w:w="731"/>
              <w:gridCol w:w="835"/>
              <w:gridCol w:w="869"/>
              <w:gridCol w:w="475"/>
              <w:gridCol w:w="748"/>
              <w:gridCol w:w="825"/>
              <w:gridCol w:w="6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9" w:type="pct"/>
                  <w:vMerge w:val="restart"/>
                  <w:vAlign w:val="center"/>
                </w:tcPr>
                <w:p>
                  <w:pPr>
                    <w:jc w:val="center"/>
                    <w:rPr>
                      <w:rFonts w:eastAsiaTheme="minorEastAsia"/>
                      <w:b/>
                      <w:sz w:val="18"/>
                      <w:szCs w:val="18"/>
                    </w:rPr>
                  </w:pPr>
                  <w:r>
                    <w:rPr>
                      <w:rFonts w:eastAsiaTheme="minorEastAsia"/>
                      <w:b/>
                      <w:sz w:val="18"/>
                      <w:szCs w:val="18"/>
                    </w:rPr>
                    <w:t>建筑物名称</w:t>
                  </w:r>
                </w:p>
              </w:tc>
              <w:tc>
                <w:tcPr>
                  <w:tcW w:w="428" w:type="pct"/>
                  <w:vMerge w:val="restart"/>
                  <w:vAlign w:val="center"/>
                </w:tcPr>
                <w:p>
                  <w:pPr>
                    <w:jc w:val="center"/>
                    <w:rPr>
                      <w:rFonts w:eastAsiaTheme="minorEastAsia"/>
                      <w:b/>
                      <w:sz w:val="18"/>
                      <w:szCs w:val="18"/>
                    </w:rPr>
                  </w:pPr>
                  <w:r>
                    <w:rPr>
                      <w:rFonts w:eastAsiaTheme="minorEastAsia"/>
                      <w:b/>
                      <w:sz w:val="18"/>
                      <w:szCs w:val="18"/>
                    </w:rPr>
                    <w:t>声源名称</w:t>
                  </w:r>
                </w:p>
              </w:tc>
              <w:tc>
                <w:tcPr>
                  <w:tcW w:w="388" w:type="pct"/>
                  <w:vAlign w:val="center"/>
                </w:tcPr>
                <w:p>
                  <w:pPr>
                    <w:jc w:val="center"/>
                    <w:rPr>
                      <w:rFonts w:eastAsiaTheme="minorEastAsia"/>
                      <w:b/>
                      <w:sz w:val="18"/>
                      <w:szCs w:val="18"/>
                    </w:rPr>
                  </w:pPr>
                  <w:r>
                    <w:rPr>
                      <w:rFonts w:eastAsiaTheme="minorEastAsia"/>
                      <w:b/>
                      <w:sz w:val="18"/>
                      <w:szCs w:val="18"/>
                    </w:rPr>
                    <w:t>声源源强</w:t>
                  </w:r>
                </w:p>
              </w:tc>
              <w:tc>
                <w:tcPr>
                  <w:tcW w:w="388" w:type="pct"/>
                  <w:vMerge w:val="restart"/>
                  <w:vAlign w:val="center"/>
                </w:tcPr>
                <w:p>
                  <w:pPr>
                    <w:jc w:val="center"/>
                    <w:rPr>
                      <w:rFonts w:eastAsiaTheme="minorEastAsia"/>
                      <w:b/>
                      <w:sz w:val="18"/>
                      <w:szCs w:val="18"/>
                    </w:rPr>
                  </w:pPr>
                  <w:r>
                    <w:rPr>
                      <w:rFonts w:eastAsiaTheme="minorEastAsia"/>
                      <w:b/>
                      <w:sz w:val="18"/>
                      <w:szCs w:val="18"/>
                    </w:rPr>
                    <w:t>声源控制措施</w:t>
                  </w:r>
                </w:p>
              </w:tc>
              <w:tc>
                <w:tcPr>
                  <w:tcW w:w="1163" w:type="pct"/>
                  <w:gridSpan w:val="3"/>
                  <w:vAlign w:val="center"/>
                </w:tcPr>
                <w:p>
                  <w:pPr>
                    <w:jc w:val="center"/>
                    <w:rPr>
                      <w:rFonts w:eastAsiaTheme="minorEastAsia"/>
                      <w:b/>
                      <w:sz w:val="18"/>
                      <w:szCs w:val="18"/>
                    </w:rPr>
                  </w:pPr>
                  <w:r>
                    <w:rPr>
                      <w:rFonts w:eastAsiaTheme="minorEastAsia"/>
                      <w:b/>
                      <w:sz w:val="18"/>
                      <w:szCs w:val="18"/>
                    </w:rPr>
                    <w:t>空间相对位置/m</w:t>
                  </w:r>
                </w:p>
              </w:tc>
              <w:tc>
                <w:tcPr>
                  <w:tcW w:w="443" w:type="pct"/>
                  <w:vMerge w:val="restart"/>
                  <w:vAlign w:val="center"/>
                </w:tcPr>
                <w:p>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距室内边界距离/m</w:t>
                  </w:r>
                </w:p>
              </w:tc>
              <w:tc>
                <w:tcPr>
                  <w:tcW w:w="461" w:type="pct"/>
                  <w:vMerge w:val="restart"/>
                  <w:vAlign w:val="center"/>
                </w:tcPr>
                <w:p>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室内边界声级/dB（A）</w:t>
                  </w:r>
                </w:p>
              </w:tc>
              <w:tc>
                <w:tcPr>
                  <w:tcW w:w="252" w:type="pct"/>
                  <w:vMerge w:val="restart"/>
                  <w:vAlign w:val="center"/>
                </w:tcPr>
                <w:p>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运行时段</w:t>
                  </w:r>
                </w:p>
              </w:tc>
              <w:tc>
                <w:tcPr>
                  <w:tcW w:w="397" w:type="pct"/>
                  <w:vMerge w:val="restart"/>
                  <w:vAlign w:val="center"/>
                </w:tcPr>
                <w:p>
                  <w:pPr>
                    <w:jc w:val="center"/>
                    <w:rPr>
                      <w:rFonts w:eastAsiaTheme="minorEastAsia"/>
                      <w:b/>
                      <w:sz w:val="18"/>
                      <w:szCs w:val="18"/>
                    </w:rPr>
                  </w:pPr>
                  <w:r>
                    <w:rPr>
                      <w:rFonts w:eastAsiaTheme="minorEastAsia"/>
                      <w:b/>
                      <w:sz w:val="18"/>
                      <w:szCs w:val="18"/>
                    </w:rPr>
                    <w:t>建筑物插入损失/dB（A）</w:t>
                  </w:r>
                </w:p>
              </w:tc>
              <w:tc>
                <w:tcPr>
                  <w:tcW w:w="770" w:type="pct"/>
                  <w:gridSpan w:val="2"/>
                  <w:vAlign w:val="center"/>
                </w:tcPr>
                <w:p>
                  <w:pPr>
                    <w:jc w:val="center"/>
                    <w:rPr>
                      <w:rFonts w:eastAsiaTheme="minorEastAsia"/>
                      <w:b/>
                      <w:sz w:val="18"/>
                      <w:szCs w:val="18"/>
                    </w:rPr>
                  </w:pPr>
                  <w:r>
                    <w:rPr>
                      <w:rFonts w:eastAsiaTheme="minorEastAsia"/>
                      <w:b/>
                      <w:sz w:val="18"/>
                      <w:szCs w:val="18"/>
                    </w:rPr>
                    <w:t>建筑外噪声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9" w:type="pct"/>
                  <w:vMerge w:val="continue"/>
                  <w:vAlign w:val="center"/>
                </w:tcPr>
                <w:p>
                  <w:pPr>
                    <w:jc w:val="center"/>
                    <w:rPr>
                      <w:rFonts w:eastAsiaTheme="minorEastAsia"/>
                      <w:b/>
                      <w:sz w:val="18"/>
                      <w:szCs w:val="18"/>
                    </w:rPr>
                  </w:pPr>
                </w:p>
              </w:tc>
              <w:tc>
                <w:tcPr>
                  <w:tcW w:w="428" w:type="pct"/>
                  <w:vMerge w:val="continue"/>
                  <w:vAlign w:val="center"/>
                </w:tcPr>
                <w:p>
                  <w:pPr>
                    <w:jc w:val="center"/>
                    <w:rPr>
                      <w:rFonts w:eastAsiaTheme="minorEastAsia"/>
                      <w:b/>
                      <w:sz w:val="18"/>
                      <w:szCs w:val="18"/>
                    </w:rPr>
                  </w:pPr>
                </w:p>
              </w:tc>
              <w:tc>
                <w:tcPr>
                  <w:tcW w:w="388" w:type="pct"/>
                  <w:vAlign w:val="center"/>
                </w:tcPr>
                <w:p>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声功率级/dB（A）</w:t>
                  </w:r>
                </w:p>
              </w:tc>
              <w:tc>
                <w:tcPr>
                  <w:tcW w:w="388" w:type="pct"/>
                  <w:vMerge w:val="continue"/>
                  <w:vAlign w:val="center"/>
                </w:tcPr>
                <w:p>
                  <w:pPr>
                    <w:jc w:val="center"/>
                    <w:rPr>
                      <w:rFonts w:eastAsiaTheme="minorEastAsia"/>
                      <w:b/>
                      <w:sz w:val="18"/>
                      <w:szCs w:val="18"/>
                    </w:rPr>
                  </w:pPr>
                </w:p>
              </w:tc>
              <w:tc>
                <w:tcPr>
                  <w:tcW w:w="388" w:type="pct"/>
                  <w:vAlign w:val="center"/>
                </w:tcPr>
                <w:p>
                  <w:pPr>
                    <w:jc w:val="center"/>
                    <w:rPr>
                      <w:rFonts w:eastAsiaTheme="minorEastAsia"/>
                      <w:b/>
                      <w:sz w:val="18"/>
                      <w:szCs w:val="18"/>
                    </w:rPr>
                  </w:pPr>
                  <w:r>
                    <w:rPr>
                      <w:rFonts w:eastAsiaTheme="minorEastAsia"/>
                      <w:b/>
                      <w:sz w:val="18"/>
                      <w:szCs w:val="18"/>
                    </w:rPr>
                    <w:t>X</w:t>
                  </w:r>
                </w:p>
              </w:tc>
              <w:tc>
                <w:tcPr>
                  <w:tcW w:w="388" w:type="pct"/>
                  <w:vAlign w:val="center"/>
                </w:tcPr>
                <w:p>
                  <w:pPr>
                    <w:jc w:val="center"/>
                    <w:rPr>
                      <w:rFonts w:eastAsiaTheme="minorEastAsia"/>
                      <w:b/>
                      <w:sz w:val="18"/>
                      <w:szCs w:val="18"/>
                    </w:rPr>
                  </w:pPr>
                  <w:r>
                    <w:rPr>
                      <w:rFonts w:eastAsiaTheme="minorEastAsia"/>
                      <w:b/>
                      <w:sz w:val="18"/>
                      <w:szCs w:val="18"/>
                    </w:rPr>
                    <w:t>Y</w:t>
                  </w:r>
                </w:p>
              </w:tc>
              <w:tc>
                <w:tcPr>
                  <w:tcW w:w="388" w:type="pct"/>
                  <w:vAlign w:val="center"/>
                </w:tcPr>
                <w:p>
                  <w:pPr>
                    <w:jc w:val="center"/>
                    <w:rPr>
                      <w:rFonts w:eastAsiaTheme="minorEastAsia"/>
                      <w:b/>
                      <w:sz w:val="18"/>
                      <w:szCs w:val="18"/>
                    </w:rPr>
                  </w:pPr>
                  <w:r>
                    <w:rPr>
                      <w:rFonts w:eastAsiaTheme="minorEastAsia"/>
                      <w:b/>
                      <w:sz w:val="18"/>
                      <w:szCs w:val="18"/>
                    </w:rPr>
                    <w:t>Z</w:t>
                  </w:r>
                </w:p>
              </w:tc>
              <w:tc>
                <w:tcPr>
                  <w:tcW w:w="443" w:type="pct"/>
                  <w:vMerge w:val="continue"/>
                  <w:vAlign w:val="center"/>
                </w:tcPr>
                <w:p>
                  <w:pPr>
                    <w:pStyle w:val="2"/>
                    <w:jc w:val="center"/>
                    <w:rPr>
                      <w:rFonts w:ascii="Times New Roman" w:cs="Times New Roman" w:eastAsiaTheme="minorEastAsia"/>
                      <w:b/>
                      <w:color w:val="auto"/>
                      <w:sz w:val="18"/>
                      <w:szCs w:val="18"/>
                    </w:rPr>
                  </w:pPr>
                </w:p>
              </w:tc>
              <w:tc>
                <w:tcPr>
                  <w:tcW w:w="461" w:type="pct"/>
                  <w:vMerge w:val="continue"/>
                  <w:vAlign w:val="center"/>
                </w:tcPr>
                <w:p>
                  <w:pPr>
                    <w:pStyle w:val="2"/>
                    <w:jc w:val="center"/>
                    <w:rPr>
                      <w:rFonts w:ascii="Times New Roman" w:cs="Times New Roman" w:eastAsiaTheme="minorEastAsia"/>
                      <w:b/>
                      <w:color w:val="auto"/>
                      <w:sz w:val="18"/>
                      <w:szCs w:val="18"/>
                    </w:rPr>
                  </w:pPr>
                </w:p>
              </w:tc>
              <w:tc>
                <w:tcPr>
                  <w:tcW w:w="252" w:type="pct"/>
                  <w:vMerge w:val="continue"/>
                  <w:vAlign w:val="center"/>
                </w:tcPr>
                <w:p>
                  <w:pPr>
                    <w:jc w:val="center"/>
                    <w:rPr>
                      <w:rFonts w:eastAsiaTheme="minorEastAsia"/>
                      <w:b/>
                      <w:sz w:val="18"/>
                      <w:szCs w:val="18"/>
                    </w:rPr>
                  </w:pPr>
                </w:p>
              </w:tc>
              <w:tc>
                <w:tcPr>
                  <w:tcW w:w="397" w:type="pct"/>
                  <w:vMerge w:val="continue"/>
                  <w:vAlign w:val="center"/>
                </w:tcPr>
                <w:p>
                  <w:pPr>
                    <w:jc w:val="center"/>
                    <w:rPr>
                      <w:rFonts w:eastAsiaTheme="minorEastAsia"/>
                      <w:b/>
                      <w:sz w:val="18"/>
                      <w:szCs w:val="18"/>
                    </w:rPr>
                  </w:pPr>
                </w:p>
              </w:tc>
              <w:tc>
                <w:tcPr>
                  <w:tcW w:w="438" w:type="pct"/>
                  <w:vAlign w:val="center"/>
                </w:tcPr>
                <w:p>
                  <w:pPr>
                    <w:jc w:val="center"/>
                    <w:rPr>
                      <w:rFonts w:eastAsiaTheme="minorEastAsia"/>
                      <w:b/>
                      <w:sz w:val="18"/>
                      <w:szCs w:val="18"/>
                    </w:rPr>
                  </w:pPr>
                  <w:r>
                    <w:rPr>
                      <w:rFonts w:eastAsiaTheme="minorEastAsia"/>
                      <w:b/>
                      <w:sz w:val="18"/>
                      <w:szCs w:val="18"/>
                    </w:rPr>
                    <w:t>声压级/dB（A）</w:t>
                  </w:r>
                </w:p>
              </w:tc>
              <w:tc>
                <w:tcPr>
                  <w:tcW w:w="332" w:type="pct"/>
                  <w:vAlign w:val="center"/>
                </w:tcPr>
                <w:p>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建筑物外距离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9" w:type="pct"/>
                  <w:vMerge w:val="restart"/>
                  <w:vAlign w:val="center"/>
                </w:tcPr>
                <w:p>
                  <w:pPr>
                    <w:jc w:val="center"/>
                    <w:rPr>
                      <w:rFonts w:eastAsiaTheme="minorEastAsia"/>
                      <w:sz w:val="18"/>
                      <w:szCs w:val="18"/>
                    </w:rPr>
                  </w:pPr>
                  <w:r>
                    <w:rPr>
                      <w:rFonts w:eastAsiaTheme="minorEastAsia"/>
                      <w:sz w:val="18"/>
                      <w:szCs w:val="18"/>
                    </w:rPr>
                    <w:t>1#厂房</w:t>
                  </w:r>
                </w:p>
              </w:tc>
              <w:tc>
                <w:tcPr>
                  <w:tcW w:w="428" w:type="pct"/>
                  <w:vAlign w:val="center"/>
                </w:tcPr>
                <w:p>
                  <w:pPr>
                    <w:widowControl/>
                    <w:jc w:val="center"/>
                    <w:textAlignment w:val="bottom"/>
                    <w:rPr>
                      <w:sz w:val="18"/>
                      <w:szCs w:val="18"/>
                    </w:rPr>
                  </w:pPr>
                  <w:r>
                    <w:rPr>
                      <w:sz w:val="18"/>
                      <w:szCs w:val="18"/>
                    </w:rPr>
                    <w:t>高速搅拌机（</w:t>
                  </w:r>
                  <w:r>
                    <w:rPr>
                      <w:rFonts w:hint="eastAsia"/>
                      <w:sz w:val="18"/>
                      <w:szCs w:val="18"/>
                    </w:rPr>
                    <w:t>9座</w:t>
                  </w:r>
                  <w:r>
                    <w:rPr>
                      <w:sz w:val="18"/>
                      <w:szCs w:val="18"/>
                    </w:rPr>
                    <w:t>）</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70（等效79.5）</w:t>
                  </w:r>
                </w:p>
              </w:tc>
              <w:tc>
                <w:tcPr>
                  <w:tcW w:w="388" w:type="pct"/>
                  <w:vAlign w:val="center"/>
                </w:tcPr>
                <w:p>
                  <w:pPr>
                    <w:jc w:val="center"/>
                    <w:rPr>
                      <w:rFonts w:eastAsiaTheme="minorEastAsia"/>
                      <w:sz w:val="18"/>
                      <w:szCs w:val="18"/>
                    </w:rPr>
                  </w:pPr>
                  <w:r>
                    <w:rPr>
                      <w:rFonts w:eastAsiaTheme="minorEastAsia"/>
                      <w:sz w:val="18"/>
                      <w:szCs w:val="18"/>
                    </w:rPr>
                    <w:t>减振隔声</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263</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121</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69.1</w:t>
                  </w:r>
                </w:p>
              </w:tc>
              <w:tc>
                <w:tcPr>
                  <w:tcW w:w="443" w:type="pct"/>
                  <w:vAlign w:val="center"/>
                </w:tcPr>
                <w:p>
                  <w:pPr>
                    <w:widowControl/>
                    <w:jc w:val="center"/>
                    <w:textAlignment w:val="center"/>
                    <w:rPr>
                      <w:sz w:val="18"/>
                      <w:szCs w:val="18"/>
                    </w:rPr>
                  </w:pPr>
                  <w:r>
                    <w:rPr>
                      <w:sz w:val="18"/>
                      <w:szCs w:val="18"/>
                    </w:rPr>
                    <w:t>东</w:t>
                  </w:r>
                  <w:r>
                    <w:rPr>
                      <w:rFonts w:hint="eastAsia"/>
                      <w:sz w:val="18"/>
                      <w:szCs w:val="18"/>
                    </w:rPr>
                    <w:t>24</w:t>
                  </w:r>
                </w:p>
                <w:p>
                  <w:pPr>
                    <w:widowControl/>
                    <w:jc w:val="center"/>
                    <w:textAlignment w:val="center"/>
                    <w:rPr>
                      <w:sz w:val="18"/>
                      <w:szCs w:val="18"/>
                    </w:rPr>
                  </w:pPr>
                  <w:r>
                    <w:rPr>
                      <w:sz w:val="18"/>
                      <w:szCs w:val="18"/>
                    </w:rPr>
                    <w:t>南</w:t>
                  </w:r>
                  <w:r>
                    <w:rPr>
                      <w:rFonts w:hint="eastAsia"/>
                      <w:sz w:val="18"/>
                      <w:szCs w:val="18"/>
                    </w:rPr>
                    <w:t>60</w:t>
                  </w:r>
                </w:p>
                <w:p>
                  <w:pPr>
                    <w:widowControl/>
                    <w:jc w:val="center"/>
                    <w:textAlignment w:val="center"/>
                    <w:rPr>
                      <w:sz w:val="18"/>
                      <w:szCs w:val="18"/>
                    </w:rPr>
                  </w:pPr>
                  <w:r>
                    <w:rPr>
                      <w:sz w:val="18"/>
                      <w:szCs w:val="18"/>
                    </w:rPr>
                    <w:t>西</w:t>
                  </w:r>
                  <w:r>
                    <w:rPr>
                      <w:rFonts w:hint="eastAsia"/>
                      <w:sz w:val="18"/>
                      <w:szCs w:val="18"/>
                    </w:rPr>
                    <w:t>24</w:t>
                  </w:r>
                </w:p>
                <w:p>
                  <w:pPr>
                    <w:widowControl/>
                    <w:jc w:val="center"/>
                    <w:textAlignment w:val="center"/>
                    <w:rPr>
                      <w:sz w:val="18"/>
                      <w:szCs w:val="18"/>
                    </w:rPr>
                  </w:pPr>
                  <w:r>
                    <w:rPr>
                      <w:sz w:val="18"/>
                      <w:szCs w:val="18"/>
                    </w:rPr>
                    <w:t>北</w:t>
                  </w:r>
                  <w:r>
                    <w:rPr>
                      <w:rFonts w:hint="eastAsia"/>
                      <w:sz w:val="18"/>
                      <w:szCs w:val="18"/>
                    </w:rPr>
                    <w:t>30</w:t>
                  </w:r>
                </w:p>
              </w:tc>
              <w:tc>
                <w:tcPr>
                  <w:tcW w:w="461" w:type="pct"/>
                  <w:vAlign w:val="center"/>
                </w:tcPr>
                <w:p>
                  <w:pPr>
                    <w:widowControl/>
                    <w:jc w:val="center"/>
                    <w:textAlignment w:val="center"/>
                    <w:rPr>
                      <w:sz w:val="18"/>
                      <w:szCs w:val="18"/>
                    </w:rPr>
                  </w:pPr>
                  <w:r>
                    <w:rPr>
                      <w:sz w:val="18"/>
                      <w:szCs w:val="18"/>
                    </w:rPr>
                    <w:t>东</w:t>
                  </w:r>
                  <w:r>
                    <w:rPr>
                      <w:rFonts w:hint="eastAsia"/>
                      <w:sz w:val="18"/>
                      <w:szCs w:val="18"/>
                    </w:rPr>
                    <w:t>51.9</w:t>
                  </w:r>
                </w:p>
                <w:p>
                  <w:pPr>
                    <w:widowControl/>
                    <w:jc w:val="center"/>
                    <w:textAlignment w:val="center"/>
                    <w:rPr>
                      <w:sz w:val="18"/>
                      <w:szCs w:val="18"/>
                    </w:rPr>
                  </w:pPr>
                  <w:r>
                    <w:rPr>
                      <w:sz w:val="18"/>
                      <w:szCs w:val="18"/>
                    </w:rPr>
                    <w:t>南</w:t>
                  </w:r>
                  <w:r>
                    <w:rPr>
                      <w:rFonts w:hint="eastAsia"/>
                      <w:sz w:val="18"/>
                      <w:szCs w:val="18"/>
                    </w:rPr>
                    <w:t>44.0</w:t>
                  </w:r>
                </w:p>
                <w:p>
                  <w:pPr>
                    <w:widowControl/>
                    <w:jc w:val="center"/>
                    <w:textAlignment w:val="center"/>
                    <w:rPr>
                      <w:sz w:val="18"/>
                      <w:szCs w:val="18"/>
                    </w:rPr>
                  </w:pPr>
                  <w:r>
                    <w:rPr>
                      <w:sz w:val="18"/>
                      <w:szCs w:val="18"/>
                    </w:rPr>
                    <w:t>西</w:t>
                  </w:r>
                  <w:r>
                    <w:rPr>
                      <w:rFonts w:hint="eastAsia"/>
                      <w:sz w:val="18"/>
                      <w:szCs w:val="18"/>
                    </w:rPr>
                    <w:t>51.9</w:t>
                  </w:r>
                </w:p>
                <w:p>
                  <w:pPr>
                    <w:widowControl/>
                    <w:jc w:val="center"/>
                    <w:textAlignment w:val="center"/>
                    <w:rPr>
                      <w:sz w:val="18"/>
                      <w:szCs w:val="18"/>
                    </w:rPr>
                  </w:pPr>
                  <w:r>
                    <w:rPr>
                      <w:sz w:val="18"/>
                      <w:szCs w:val="18"/>
                    </w:rPr>
                    <w:t>北</w:t>
                  </w:r>
                  <w:r>
                    <w:rPr>
                      <w:rFonts w:hint="eastAsia"/>
                      <w:sz w:val="18"/>
                      <w:szCs w:val="18"/>
                    </w:rPr>
                    <w:t>50.0</w:t>
                  </w:r>
                </w:p>
              </w:tc>
              <w:tc>
                <w:tcPr>
                  <w:tcW w:w="252" w:type="pct"/>
                  <w:vMerge w:val="restart"/>
                  <w:vAlign w:val="center"/>
                </w:tcPr>
                <w:p>
                  <w:pPr>
                    <w:jc w:val="center"/>
                    <w:rPr>
                      <w:rFonts w:eastAsiaTheme="minorEastAsia"/>
                      <w:sz w:val="18"/>
                      <w:szCs w:val="18"/>
                    </w:rPr>
                  </w:pPr>
                  <w:r>
                    <w:rPr>
                      <w:rFonts w:eastAsiaTheme="minorEastAsia"/>
                      <w:sz w:val="18"/>
                      <w:szCs w:val="18"/>
                    </w:rPr>
                    <w:t>昼间</w:t>
                  </w:r>
                </w:p>
              </w:tc>
              <w:tc>
                <w:tcPr>
                  <w:tcW w:w="397" w:type="pct"/>
                  <w:vAlign w:val="center"/>
                </w:tcPr>
                <w:p>
                  <w:pPr>
                    <w:jc w:val="center"/>
                    <w:rPr>
                      <w:rFonts w:eastAsiaTheme="minorEastAsia"/>
                      <w:sz w:val="18"/>
                      <w:szCs w:val="18"/>
                    </w:rPr>
                  </w:pPr>
                  <w:r>
                    <w:rPr>
                      <w:rFonts w:eastAsiaTheme="minorEastAsia"/>
                      <w:sz w:val="18"/>
                      <w:szCs w:val="18"/>
                    </w:rPr>
                    <w:t>20</w:t>
                  </w:r>
                </w:p>
              </w:tc>
              <w:tc>
                <w:tcPr>
                  <w:tcW w:w="438" w:type="pct"/>
                  <w:vAlign w:val="center"/>
                </w:tcPr>
                <w:p>
                  <w:pPr>
                    <w:widowControl/>
                    <w:jc w:val="center"/>
                    <w:textAlignment w:val="center"/>
                    <w:rPr>
                      <w:sz w:val="18"/>
                      <w:szCs w:val="18"/>
                    </w:rPr>
                  </w:pPr>
                  <w:r>
                    <w:rPr>
                      <w:sz w:val="18"/>
                      <w:szCs w:val="18"/>
                    </w:rPr>
                    <w:t>东</w:t>
                  </w:r>
                  <w:r>
                    <w:rPr>
                      <w:rFonts w:hint="eastAsia"/>
                      <w:sz w:val="18"/>
                      <w:szCs w:val="18"/>
                    </w:rPr>
                    <w:t>31.9</w:t>
                  </w:r>
                </w:p>
                <w:p>
                  <w:pPr>
                    <w:widowControl/>
                    <w:jc w:val="center"/>
                    <w:textAlignment w:val="center"/>
                    <w:rPr>
                      <w:sz w:val="18"/>
                      <w:szCs w:val="18"/>
                    </w:rPr>
                  </w:pPr>
                  <w:r>
                    <w:rPr>
                      <w:sz w:val="18"/>
                      <w:szCs w:val="18"/>
                    </w:rPr>
                    <w:t>南</w:t>
                  </w:r>
                  <w:r>
                    <w:rPr>
                      <w:rFonts w:hint="eastAsia"/>
                      <w:sz w:val="18"/>
                      <w:szCs w:val="18"/>
                    </w:rPr>
                    <w:t>24.0</w:t>
                  </w:r>
                </w:p>
                <w:p>
                  <w:pPr>
                    <w:widowControl/>
                    <w:jc w:val="center"/>
                    <w:textAlignment w:val="center"/>
                    <w:rPr>
                      <w:sz w:val="18"/>
                      <w:szCs w:val="18"/>
                    </w:rPr>
                  </w:pPr>
                  <w:r>
                    <w:rPr>
                      <w:sz w:val="18"/>
                      <w:szCs w:val="18"/>
                    </w:rPr>
                    <w:t>西</w:t>
                  </w:r>
                  <w:r>
                    <w:rPr>
                      <w:rFonts w:hint="eastAsia"/>
                      <w:sz w:val="18"/>
                      <w:szCs w:val="18"/>
                    </w:rPr>
                    <w:t>31.9</w:t>
                  </w:r>
                </w:p>
                <w:p>
                  <w:pPr>
                    <w:widowControl/>
                    <w:jc w:val="center"/>
                    <w:textAlignment w:val="center"/>
                    <w:rPr>
                      <w:sz w:val="18"/>
                      <w:szCs w:val="18"/>
                    </w:rPr>
                  </w:pPr>
                  <w:r>
                    <w:rPr>
                      <w:sz w:val="18"/>
                      <w:szCs w:val="18"/>
                    </w:rPr>
                    <w:t>北</w:t>
                  </w:r>
                  <w:r>
                    <w:rPr>
                      <w:rFonts w:hint="eastAsia"/>
                      <w:sz w:val="18"/>
                      <w:szCs w:val="18"/>
                    </w:rPr>
                    <w:t>30.0</w:t>
                  </w:r>
                </w:p>
              </w:tc>
              <w:tc>
                <w:tcPr>
                  <w:tcW w:w="332" w:type="pct"/>
                  <w:vAlign w:val="center"/>
                </w:tcPr>
                <w:p>
                  <w:pPr>
                    <w:jc w:val="center"/>
                    <w:rPr>
                      <w:rFonts w:eastAsiaTheme="minorEastAsia"/>
                      <w:sz w:val="18"/>
                      <w:szCs w:val="18"/>
                    </w:rPr>
                  </w:pPr>
                  <w:r>
                    <w:rPr>
                      <w:rFonts w:eastAsiaTheme="minor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9" w:type="pct"/>
                  <w:vMerge w:val="continue"/>
                  <w:vAlign w:val="center"/>
                </w:tcPr>
                <w:p>
                  <w:pPr>
                    <w:jc w:val="center"/>
                    <w:rPr>
                      <w:rFonts w:eastAsiaTheme="minorEastAsia"/>
                      <w:sz w:val="18"/>
                      <w:szCs w:val="18"/>
                    </w:rPr>
                  </w:pPr>
                </w:p>
              </w:tc>
              <w:tc>
                <w:tcPr>
                  <w:tcW w:w="428" w:type="pct"/>
                  <w:vAlign w:val="center"/>
                </w:tcPr>
                <w:p>
                  <w:pPr>
                    <w:widowControl/>
                    <w:jc w:val="center"/>
                    <w:textAlignment w:val="bottom"/>
                    <w:rPr>
                      <w:sz w:val="18"/>
                      <w:szCs w:val="18"/>
                    </w:rPr>
                  </w:pPr>
                  <w:r>
                    <w:rPr>
                      <w:sz w:val="18"/>
                      <w:szCs w:val="18"/>
                    </w:rPr>
                    <w:t>调和罐（</w:t>
                  </w:r>
                  <w:r>
                    <w:rPr>
                      <w:rFonts w:hint="eastAsia"/>
                      <w:sz w:val="18"/>
                      <w:szCs w:val="18"/>
                    </w:rPr>
                    <w:t>4座</w:t>
                  </w:r>
                  <w:r>
                    <w:rPr>
                      <w:sz w:val="18"/>
                      <w:szCs w:val="18"/>
                    </w:rPr>
                    <w:t>）</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65（等效71）</w:t>
                  </w:r>
                </w:p>
              </w:tc>
              <w:tc>
                <w:tcPr>
                  <w:tcW w:w="388" w:type="pct"/>
                  <w:vAlign w:val="center"/>
                </w:tcPr>
                <w:p>
                  <w:pPr>
                    <w:jc w:val="center"/>
                    <w:rPr>
                      <w:sz w:val="18"/>
                      <w:szCs w:val="18"/>
                    </w:rPr>
                  </w:pPr>
                  <w:r>
                    <w:rPr>
                      <w:rFonts w:eastAsiaTheme="minorEastAsia"/>
                      <w:sz w:val="18"/>
                      <w:szCs w:val="18"/>
                    </w:rPr>
                    <w:t>减振隔声</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264</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83</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69.97</w:t>
                  </w:r>
                </w:p>
              </w:tc>
              <w:tc>
                <w:tcPr>
                  <w:tcW w:w="443" w:type="pct"/>
                  <w:vAlign w:val="center"/>
                </w:tcPr>
                <w:p>
                  <w:pPr>
                    <w:widowControl/>
                    <w:jc w:val="center"/>
                    <w:textAlignment w:val="center"/>
                    <w:rPr>
                      <w:sz w:val="18"/>
                      <w:szCs w:val="18"/>
                    </w:rPr>
                  </w:pPr>
                  <w:r>
                    <w:rPr>
                      <w:sz w:val="18"/>
                      <w:szCs w:val="18"/>
                    </w:rPr>
                    <w:t>东</w:t>
                  </w:r>
                  <w:r>
                    <w:rPr>
                      <w:rFonts w:hint="eastAsia"/>
                      <w:sz w:val="18"/>
                      <w:szCs w:val="18"/>
                    </w:rPr>
                    <w:t>24</w:t>
                  </w:r>
                </w:p>
                <w:p>
                  <w:pPr>
                    <w:widowControl/>
                    <w:jc w:val="center"/>
                    <w:textAlignment w:val="center"/>
                    <w:rPr>
                      <w:sz w:val="18"/>
                      <w:szCs w:val="18"/>
                    </w:rPr>
                  </w:pPr>
                  <w:r>
                    <w:rPr>
                      <w:sz w:val="18"/>
                      <w:szCs w:val="18"/>
                    </w:rPr>
                    <w:t>南</w:t>
                  </w:r>
                  <w:r>
                    <w:rPr>
                      <w:rFonts w:hint="eastAsia"/>
                      <w:sz w:val="18"/>
                      <w:szCs w:val="18"/>
                    </w:rPr>
                    <w:t>15</w:t>
                  </w:r>
                </w:p>
                <w:p>
                  <w:pPr>
                    <w:widowControl/>
                    <w:jc w:val="center"/>
                    <w:textAlignment w:val="center"/>
                    <w:rPr>
                      <w:sz w:val="18"/>
                      <w:szCs w:val="18"/>
                    </w:rPr>
                  </w:pPr>
                  <w:r>
                    <w:rPr>
                      <w:sz w:val="18"/>
                      <w:szCs w:val="18"/>
                    </w:rPr>
                    <w:t>西</w:t>
                  </w:r>
                  <w:r>
                    <w:rPr>
                      <w:rFonts w:hint="eastAsia"/>
                      <w:sz w:val="18"/>
                      <w:szCs w:val="18"/>
                    </w:rPr>
                    <w:t>24</w:t>
                  </w:r>
                </w:p>
                <w:p>
                  <w:pPr>
                    <w:widowControl/>
                    <w:jc w:val="center"/>
                    <w:textAlignment w:val="center"/>
                    <w:rPr>
                      <w:sz w:val="18"/>
                      <w:szCs w:val="18"/>
                    </w:rPr>
                  </w:pPr>
                  <w:r>
                    <w:rPr>
                      <w:sz w:val="18"/>
                      <w:szCs w:val="18"/>
                    </w:rPr>
                    <w:t>北</w:t>
                  </w:r>
                  <w:r>
                    <w:rPr>
                      <w:rFonts w:hint="eastAsia"/>
                      <w:sz w:val="18"/>
                      <w:szCs w:val="18"/>
                    </w:rPr>
                    <w:t>75</w:t>
                  </w:r>
                </w:p>
              </w:tc>
              <w:tc>
                <w:tcPr>
                  <w:tcW w:w="461" w:type="pct"/>
                  <w:vAlign w:val="center"/>
                </w:tcPr>
                <w:p>
                  <w:pPr>
                    <w:widowControl/>
                    <w:jc w:val="center"/>
                    <w:textAlignment w:val="center"/>
                    <w:rPr>
                      <w:sz w:val="18"/>
                      <w:szCs w:val="18"/>
                    </w:rPr>
                  </w:pPr>
                  <w:r>
                    <w:rPr>
                      <w:sz w:val="18"/>
                      <w:szCs w:val="18"/>
                    </w:rPr>
                    <w:t>东</w:t>
                  </w:r>
                  <w:r>
                    <w:rPr>
                      <w:rFonts w:hint="eastAsia"/>
                      <w:sz w:val="18"/>
                      <w:szCs w:val="18"/>
                    </w:rPr>
                    <w:t>43.4</w:t>
                  </w:r>
                </w:p>
                <w:p>
                  <w:pPr>
                    <w:widowControl/>
                    <w:jc w:val="center"/>
                    <w:textAlignment w:val="center"/>
                    <w:rPr>
                      <w:sz w:val="18"/>
                      <w:szCs w:val="18"/>
                    </w:rPr>
                  </w:pPr>
                  <w:r>
                    <w:rPr>
                      <w:sz w:val="18"/>
                      <w:szCs w:val="18"/>
                    </w:rPr>
                    <w:t>南</w:t>
                  </w:r>
                  <w:r>
                    <w:rPr>
                      <w:rFonts w:hint="eastAsia"/>
                      <w:sz w:val="18"/>
                      <w:szCs w:val="18"/>
                    </w:rPr>
                    <w:t>47.5</w:t>
                  </w:r>
                </w:p>
                <w:p>
                  <w:pPr>
                    <w:widowControl/>
                    <w:jc w:val="center"/>
                    <w:textAlignment w:val="center"/>
                    <w:rPr>
                      <w:sz w:val="18"/>
                      <w:szCs w:val="18"/>
                    </w:rPr>
                  </w:pPr>
                  <w:r>
                    <w:rPr>
                      <w:sz w:val="18"/>
                      <w:szCs w:val="18"/>
                    </w:rPr>
                    <w:t>西</w:t>
                  </w:r>
                  <w:r>
                    <w:rPr>
                      <w:rFonts w:hint="eastAsia"/>
                      <w:sz w:val="18"/>
                      <w:szCs w:val="18"/>
                    </w:rPr>
                    <w:t>43.4</w:t>
                  </w:r>
                </w:p>
                <w:p>
                  <w:pPr>
                    <w:widowControl/>
                    <w:jc w:val="center"/>
                    <w:textAlignment w:val="center"/>
                    <w:rPr>
                      <w:sz w:val="18"/>
                      <w:szCs w:val="18"/>
                    </w:rPr>
                  </w:pPr>
                  <w:r>
                    <w:rPr>
                      <w:sz w:val="18"/>
                      <w:szCs w:val="18"/>
                    </w:rPr>
                    <w:t>北</w:t>
                  </w:r>
                  <w:r>
                    <w:rPr>
                      <w:rFonts w:hint="eastAsia"/>
                      <w:sz w:val="18"/>
                      <w:szCs w:val="18"/>
                    </w:rPr>
                    <w:t>33.5</w:t>
                  </w:r>
                </w:p>
              </w:tc>
              <w:tc>
                <w:tcPr>
                  <w:tcW w:w="252" w:type="pct"/>
                  <w:vMerge w:val="continue"/>
                  <w:vAlign w:val="center"/>
                </w:tcPr>
                <w:p>
                  <w:pPr>
                    <w:jc w:val="center"/>
                    <w:rPr>
                      <w:rFonts w:eastAsiaTheme="minorEastAsia"/>
                      <w:sz w:val="18"/>
                      <w:szCs w:val="18"/>
                    </w:rPr>
                  </w:pPr>
                </w:p>
              </w:tc>
              <w:tc>
                <w:tcPr>
                  <w:tcW w:w="397" w:type="pct"/>
                  <w:vAlign w:val="center"/>
                </w:tcPr>
                <w:p>
                  <w:pPr>
                    <w:jc w:val="center"/>
                    <w:rPr>
                      <w:sz w:val="18"/>
                      <w:szCs w:val="18"/>
                    </w:rPr>
                  </w:pPr>
                  <w:r>
                    <w:rPr>
                      <w:rFonts w:eastAsiaTheme="minorEastAsia"/>
                      <w:sz w:val="18"/>
                      <w:szCs w:val="18"/>
                    </w:rPr>
                    <w:t>20</w:t>
                  </w:r>
                </w:p>
              </w:tc>
              <w:tc>
                <w:tcPr>
                  <w:tcW w:w="438" w:type="pct"/>
                  <w:vAlign w:val="center"/>
                </w:tcPr>
                <w:p>
                  <w:pPr>
                    <w:widowControl/>
                    <w:jc w:val="center"/>
                    <w:textAlignment w:val="center"/>
                    <w:rPr>
                      <w:sz w:val="18"/>
                      <w:szCs w:val="18"/>
                    </w:rPr>
                  </w:pPr>
                  <w:r>
                    <w:rPr>
                      <w:sz w:val="18"/>
                      <w:szCs w:val="18"/>
                    </w:rPr>
                    <w:t>东</w:t>
                  </w:r>
                  <w:r>
                    <w:rPr>
                      <w:rFonts w:hint="eastAsia"/>
                      <w:sz w:val="18"/>
                      <w:szCs w:val="18"/>
                    </w:rPr>
                    <w:t>23.4</w:t>
                  </w:r>
                </w:p>
                <w:p>
                  <w:pPr>
                    <w:widowControl/>
                    <w:jc w:val="center"/>
                    <w:textAlignment w:val="center"/>
                    <w:rPr>
                      <w:sz w:val="18"/>
                      <w:szCs w:val="18"/>
                    </w:rPr>
                  </w:pPr>
                  <w:r>
                    <w:rPr>
                      <w:sz w:val="18"/>
                      <w:szCs w:val="18"/>
                    </w:rPr>
                    <w:t>南</w:t>
                  </w:r>
                  <w:r>
                    <w:rPr>
                      <w:rFonts w:hint="eastAsia"/>
                      <w:sz w:val="18"/>
                      <w:szCs w:val="18"/>
                    </w:rPr>
                    <w:t>27.5</w:t>
                  </w:r>
                </w:p>
                <w:p>
                  <w:pPr>
                    <w:widowControl/>
                    <w:jc w:val="center"/>
                    <w:textAlignment w:val="center"/>
                    <w:rPr>
                      <w:sz w:val="18"/>
                      <w:szCs w:val="18"/>
                    </w:rPr>
                  </w:pPr>
                  <w:r>
                    <w:rPr>
                      <w:sz w:val="18"/>
                      <w:szCs w:val="18"/>
                    </w:rPr>
                    <w:t>西</w:t>
                  </w:r>
                  <w:r>
                    <w:rPr>
                      <w:rFonts w:hint="eastAsia"/>
                      <w:sz w:val="18"/>
                      <w:szCs w:val="18"/>
                    </w:rPr>
                    <w:t>23.4</w:t>
                  </w:r>
                </w:p>
                <w:p>
                  <w:pPr>
                    <w:widowControl/>
                    <w:jc w:val="center"/>
                    <w:textAlignment w:val="center"/>
                    <w:rPr>
                      <w:sz w:val="18"/>
                      <w:szCs w:val="18"/>
                    </w:rPr>
                  </w:pPr>
                  <w:r>
                    <w:rPr>
                      <w:sz w:val="18"/>
                      <w:szCs w:val="18"/>
                    </w:rPr>
                    <w:t>北</w:t>
                  </w:r>
                  <w:r>
                    <w:rPr>
                      <w:rFonts w:hint="eastAsia"/>
                      <w:sz w:val="18"/>
                      <w:szCs w:val="18"/>
                    </w:rPr>
                    <w:t>13.5</w:t>
                  </w:r>
                </w:p>
              </w:tc>
              <w:tc>
                <w:tcPr>
                  <w:tcW w:w="332" w:type="pct"/>
                  <w:vAlign w:val="center"/>
                </w:tcPr>
                <w:p>
                  <w:pPr>
                    <w:jc w:val="center"/>
                    <w:rPr>
                      <w:rFonts w:eastAsiaTheme="minorEastAsia"/>
                      <w:sz w:val="18"/>
                      <w:szCs w:val="18"/>
                    </w:rPr>
                  </w:pPr>
                  <w:r>
                    <w:rPr>
                      <w:rFonts w:eastAsiaTheme="minor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9" w:type="pct"/>
                  <w:vAlign w:val="center"/>
                </w:tcPr>
                <w:p>
                  <w:pPr>
                    <w:jc w:val="center"/>
                    <w:rPr>
                      <w:rFonts w:eastAsiaTheme="minorEastAsia"/>
                      <w:sz w:val="18"/>
                      <w:szCs w:val="18"/>
                    </w:rPr>
                  </w:pPr>
                  <w:r>
                    <w:rPr>
                      <w:rFonts w:hint="eastAsia" w:eastAsiaTheme="minorEastAsia"/>
                      <w:sz w:val="18"/>
                      <w:szCs w:val="18"/>
                    </w:rPr>
                    <w:t>2</w:t>
                  </w:r>
                  <w:r>
                    <w:rPr>
                      <w:rFonts w:eastAsiaTheme="minorEastAsia"/>
                      <w:sz w:val="18"/>
                      <w:szCs w:val="18"/>
                    </w:rPr>
                    <w:t>#厂房</w:t>
                  </w:r>
                </w:p>
              </w:tc>
              <w:tc>
                <w:tcPr>
                  <w:tcW w:w="428" w:type="pct"/>
                  <w:vAlign w:val="center"/>
                </w:tcPr>
                <w:p>
                  <w:pPr>
                    <w:widowControl/>
                    <w:jc w:val="center"/>
                    <w:textAlignment w:val="bottom"/>
                    <w:rPr>
                      <w:sz w:val="18"/>
                      <w:szCs w:val="18"/>
                    </w:rPr>
                  </w:pPr>
                  <w:r>
                    <w:rPr>
                      <w:sz w:val="18"/>
                      <w:szCs w:val="18"/>
                    </w:rPr>
                    <w:t>调和罐（</w:t>
                  </w:r>
                  <w:r>
                    <w:rPr>
                      <w:rFonts w:hint="eastAsia"/>
                      <w:sz w:val="18"/>
                      <w:szCs w:val="18"/>
                    </w:rPr>
                    <w:t>8座</w:t>
                  </w:r>
                  <w:r>
                    <w:rPr>
                      <w:sz w:val="18"/>
                      <w:szCs w:val="18"/>
                    </w:rPr>
                    <w:t>）</w:t>
                  </w:r>
                </w:p>
              </w:tc>
              <w:tc>
                <w:tcPr>
                  <w:tcW w:w="388" w:type="pct"/>
                  <w:vAlign w:val="center"/>
                </w:tcPr>
                <w:p>
                  <w:pPr>
                    <w:widowControl/>
                    <w:jc w:val="center"/>
                    <w:textAlignment w:val="bottom"/>
                    <w:rPr>
                      <w:sz w:val="18"/>
                      <w:szCs w:val="18"/>
                    </w:rPr>
                  </w:pPr>
                  <w:r>
                    <w:rPr>
                      <w:rFonts w:hint="eastAsia" w:eastAsiaTheme="minorEastAsia"/>
                      <w:sz w:val="18"/>
                      <w:szCs w:val="18"/>
                    </w:rPr>
                    <w:t>65（等效74）</w:t>
                  </w:r>
                </w:p>
              </w:tc>
              <w:tc>
                <w:tcPr>
                  <w:tcW w:w="388" w:type="pct"/>
                  <w:vAlign w:val="center"/>
                </w:tcPr>
                <w:p>
                  <w:pPr>
                    <w:jc w:val="center"/>
                    <w:rPr>
                      <w:sz w:val="18"/>
                      <w:szCs w:val="18"/>
                    </w:rPr>
                  </w:pPr>
                  <w:r>
                    <w:rPr>
                      <w:rFonts w:eastAsiaTheme="minorEastAsia"/>
                      <w:sz w:val="18"/>
                      <w:szCs w:val="18"/>
                    </w:rPr>
                    <w:t>减振隔声</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203</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110</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71.35</w:t>
                  </w:r>
                </w:p>
              </w:tc>
              <w:tc>
                <w:tcPr>
                  <w:tcW w:w="443" w:type="pct"/>
                  <w:vAlign w:val="center"/>
                </w:tcPr>
                <w:p>
                  <w:pPr>
                    <w:widowControl/>
                    <w:jc w:val="center"/>
                    <w:textAlignment w:val="center"/>
                    <w:rPr>
                      <w:sz w:val="18"/>
                      <w:szCs w:val="18"/>
                    </w:rPr>
                  </w:pPr>
                  <w:r>
                    <w:rPr>
                      <w:sz w:val="18"/>
                      <w:szCs w:val="18"/>
                    </w:rPr>
                    <w:t>东</w:t>
                  </w:r>
                  <w:r>
                    <w:rPr>
                      <w:rFonts w:hint="eastAsia"/>
                      <w:sz w:val="18"/>
                      <w:szCs w:val="18"/>
                    </w:rPr>
                    <w:t>24</w:t>
                  </w:r>
                </w:p>
                <w:p>
                  <w:pPr>
                    <w:widowControl/>
                    <w:jc w:val="center"/>
                    <w:textAlignment w:val="center"/>
                    <w:rPr>
                      <w:sz w:val="18"/>
                      <w:szCs w:val="18"/>
                    </w:rPr>
                  </w:pPr>
                  <w:r>
                    <w:rPr>
                      <w:sz w:val="18"/>
                      <w:szCs w:val="18"/>
                    </w:rPr>
                    <w:t>南</w:t>
                  </w:r>
                  <w:r>
                    <w:rPr>
                      <w:rFonts w:hint="eastAsia"/>
                      <w:sz w:val="18"/>
                      <w:szCs w:val="18"/>
                    </w:rPr>
                    <w:t>45</w:t>
                  </w:r>
                </w:p>
                <w:p>
                  <w:pPr>
                    <w:widowControl/>
                    <w:jc w:val="center"/>
                    <w:textAlignment w:val="center"/>
                    <w:rPr>
                      <w:sz w:val="18"/>
                      <w:szCs w:val="18"/>
                    </w:rPr>
                  </w:pPr>
                  <w:r>
                    <w:rPr>
                      <w:sz w:val="18"/>
                      <w:szCs w:val="18"/>
                    </w:rPr>
                    <w:t>西</w:t>
                  </w:r>
                  <w:r>
                    <w:rPr>
                      <w:rFonts w:hint="eastAsia"/>
                      <w:sz w:val="18"/>
                      <w:szCs w:val="18"/>
                    </w:rPr>
                    <w:t>24</w:t>
                  </w:r>
                </w:p>
                <w:p>
                  <w:pPr>
                    <w:widowControl/>
                    <w:jc w:val="center"/>
                    <w:textAlignment w:val="center"/>
                    <w:rPr>
                      <w:sz w:val="18"/>
                      <w:szCs w:val="18"/>
                    </w:rPr>
                  </w:pPr>
                  <w:r>
                    <w:rPr>
                      <w:sz w:val="18"/>
                      <w:szCs w:val="18"/>
                    </w:rPr>
                    <w:t>北</w:t>
                  </w:r>
                  <w:r>
                    <w:rPr>
                      <w:rFonts w:hint="eastAsia"/>
                      <w:sz w:val="18"/>
                      <w:szCs w:val="18"/>
                    </w:rPr>
                    <w:t>45</w:t>
                  </w:r>
                </w:p>
              </w:tc>
              <w:tc>
                <w:tcPr>
                  <w:tcW w:w="461" w:type="pct"/>
                  <w:vAlign w:val="center"/>
                </w:tcPr>
                <w:p>
                  <w:pPr>
                    <w:widowControl/>
                    <w:jc w:val="center"/>
                    <w:textAlignment w:val="center"/>
                    <w:rPr>
                      <w:sz w:val="18"/>
                      <w:szCs w:val="18"/>
                    </w:rPr>
                  </w:pPr>
                  <w:r>
                    <w:rPr>
                      <w:sz w:val="18"/>
                      <w:szCs w:val="18"/>
                    </w:rPr>
                    <w:t>东</w:t>
                  </w:r>
                  <w:r>
                    <w:rPr>
                      <w:rFonts w:hint="eastAsia"/>
                      <w:sz w:val="18"/>
                      <w:szCs w:val="18"/>
                    </w:rPr>
                    <w:t>46.4</w:t>
                  </w:r>
                </w:p>
                <w:p>
                  <w:pPr>
                    <w:widowControl/>
                    <w:jc w:val="center"/>
                    <w:textAlignment w:val="center"/>
                    <w:rPr>
                      <w:sz w:val="18"/>
                      <w:szCs w:val="18"/>
                    </w:rPr>
                  </w:pPr>
                  <w:r>
                    <w:rPr>
                      <w:sz w:val="18"/>
                      <w:szCs w:val="18"/>
                    </w:rPr>
                    <w:t>南</w:t>
                  </w:r>
                  <w:r>
                    <w:rPr>
                      <w:rFonts w:hint="eastAsia"/>
                      <w:sz w:val="18"/>
                      <w:szCs w:val="18"/>
                    </w:rPr>
                    <w:t>41.0</w:t>
                  </w:r>
                </w:p>
                <w:p>
                  <w:pPr>
                    <w:widowControl/>
                    <w:jc w:val="center"/>
                    <w:textAlignment w:val="center"/>
                    <w:rPr>
                      <w:sz w:val="18"/>
                      <w:szCs w:val="18"/>
                    </w:rPr>
                  </w:pPr>
                  <w:r>
                    <w:rPr>
                      <w:sz w:val="18"/>
                      <w:szCs w:val="18"/>
                    </w:rPr>
                    <w:t>西</w:t>
                  </w:r>
                  <w:r>
                    <w:rPr>
                      <w:rFonts w:hint="eastAsia"/>
                      <w:sz w:val="18"/>
                      <w:szCs w:val="18"/>
                    </w:rPr>
                    <w:t>46.4</w:t>
                  </w:r>
                </w:p>
                <w:p>
                  <w:pPr>
                    <w:widowControl/>
                    <w:jc w:val="center"/>
                    <w:textAlignment w:val="center"/>
                    <w:rPr>
                      <w:sz w:val="18"/>
                      <w:szCs w:val="18"/>
                    </w:rPr>
                  </w:pPr>
                  <w:r>
                    <w:rPr>
                      <w:sz w:val="18"/>
                      <w:szCs w:val="18"/>
                    </w:rPr>
                    <w:t>北</w:t>
                  </w:r>
                  <w:r>
                    <w:rPr>
                      <w:rFonts w:hint="eastAsia"/>
                      <w:sz w:val="18"/>
                      <w:szCs w:val="18"/>
                    </w:rPr>
                    <w:t>41.0</w:t>
                  </w:r>
                </w:p>
              </w:tc>
              <w:tc>
                <w:tcPr>
                  <w:tcW w:w="252" w:type="pct"/>
                  <w:vMerge w:val="continue"/>
                  <w:vAlign w:val="center"/>
                </w:tcPr>
                <w:p>
                  <w:pPr>
                    <w:jc w:val="center"/>
                    <w:rPr>
                      <w:rFonts w:eastAsiaTheme="minorEastAsia"/>
                      <w:sz w:val="18"/>
                      <w:szCs w:val="18"/>
                    </w:rPr>
                  </w:pPr>
                </w:p>
              </w:tc>
              <w:tc>
                <w:tcPr>
                  <w:tcW w:w="397" w:type="pct"/>
                  <w:vAlign w:val="center"/>
                </w:tcPr>
                <w:p>
                  <w:pPr>
                    <w:jc w:val="center"/>
                    <w:rPr>
                      <w:sz w:val="18"/>
                      <w:szCs w:val="18"/>
                    </w:rPr>
                  </w:pPr>
                  <w:r>
                    <w:rPr>
                      <w:rFonts w:eastAsiaTheme="minorEastAsia"/>
                      <w:sz w:val="18"/>
                      <w:szCs w:val="18"/>
                    </w:rPr>
                    <w:t>20</w:t>
                  </w:r>
                </w:p>
              </w:tc>
              <w:tc>
                <w:tcPr>
                  <w:tcW w:w="438" w:type="pct"/>
                  <w:vAlign w:val="center"/>
                </w:tcPr>
                <w:p>
                  <w:pPr>
                    <w:widowControl/>
                    <w:jc w:val="center"/>
                    <w:textAlignment w:val="center"/>
                    <w:rPr>
                      <w:sz w:val="18"/>
                      <w:szCs w:val="18"/>
                    </w:rPr>
                  </w:pPr>
                  <w:r>
                    <w:rPr>
                      <w:sz w:val="18"/>
                      <w:szCs w:val="18"/>
                    </w:rPr>
                    <w:t>东</w:t>
                  </w:r>
                  <w:r>
                    <w:rPr>
                      <w:rFonts w:hint="eastAsia"/>
                      <w:sz w:val="18"/>
                      <w:szCs w:val="18"/>
                    </w:rPr>
                    <w:t>26.4</w:t>
                  </w:r>
                </w:p>
                <w:p>
                  <w:pPr>
                    <w:widowControl/>
                    <w:jc w:val="center"/>
                    <w:textAlignment w:val="center"/>
                    <w:rPr>
                      <w:sz w:val="18"/>
                      <w:szCs w:val="18"/>
                    </w:rPr>
                  </w:pPr>
                  <w:r>
                    <w:rPr>
                      <w:sz w:val="18"/>
                      <w:szCs w:val="18"/>
                    </w:rPr>
                    <w:t>南</w:t>
                  </w:r>
                  <w:r>
                    <w:rPr>
                      <w:rFonts w:hint="eastAsia"/>
                      <w:sz w:val="18"/>
                      <w:szCs w:val="18"/>
                    </w:rPr>
                    <w:t>21.0</w:t>
                  </w:r>
                </w:p>
                <w:p>
                  <w:pPr>
                    <w:widowControl/>
                    <w:jc w:val="center"/>
                    <w:textAlignment w:val="center"/>
                    <w:rPr>
                      <w:sz w:val="18"/>
                      <w:szCs w:val="18"/>
                    </w:rPr>
                  </w:pPr>
                  <w:r>
                    <w:rPr>
                      <w:sz w:val="18"/>
                      <w:szCs w:val="18"/>
                    </w:rPr>
                    <w:t>西</w:t>
                  </w:r>
                  <w:r>
                    <w:rPr>
                      <w:rFonts w:hint="eastAsia"/>
                      <w:sz w:val="18"/>
                      <w:szCs w:val="18"/>
                    </w:rPr>
                    <w:t>26.4</w:t>
                  </w:r>
                </w:p>
                <w:p>
                  <w:pPr>
                    <w:widowControl/>
                    <w:jc w:val="center"/>
                    <w:textAlignment w:val="center"/>
                    <w:rPr>
                      <w:sz w:val="18"/>
                      <w:szCs w:val="18"/>
                    </w:rPr>
                  </w:pPr>
                  <w:r>
                    <w:rPr>
                      <w:sz w:val="18"/>
                      <w:szCs w:val="18"/>
                    </w:rPr>
                    <w:t>北</w:t>
                  </w:r>
                  <w:r>
                    <w:rPr>
                      <w:rFonts w:hint="eastAsia"/>
                      <w:sz w:val="18"/>
                      <w:szCs w:val="18"/>
                    </w:rPr>
                    <w:t>21.0</w:t>
                  </w:r>
                </w:p>
              </w:tc>
              <w:tc>
                <w:tcPr>
                  <w:tcW w:w="332" w:type="pct"/>
                  <w:vAlign w:val="center"/>
                </w:tcPr>
                <w:p>
                  <w:pPr>
                    <w:jc w:val="center"/>
                    <w:rPr>
                      <w:rFonts w:eastAsiaTheme="minorEastAsia"/>
                      <w:sz w:val="18"/>
                      <w:szCs w:val="18"/>
                    </w:rPr>
                  </w:pPr>
                  <w:r>
                    <w:rPr>
                      <w:rFonts w:eastAsiaTheme="minor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9" w:type="pct"/>
                  <w:vAlign w:val="center"/>
                </w:tcPr>
                <w:p>
                  <w:pPr>
                    <w:jc w:val="center"/>
                    <w:rPr>
                      <w:rFonts w:eastAsiaTheme="minorEastAsia"/>
                      <w:sz w:val="18"/>
                      <w:szCs w:val="18"/>
                    </w:rPr>
                  </w:pPr>
                  <w:r>
                    <w:rPr>
                      <w:rFonts w:hint="eastAsia" w:eastAsiaTheme="minorEastAsia"/>
                      <w:sz w:val="18"/>
                      <w:szCs w:val="18"/>
                    </w:rPr>
                    <w:t>3</w:t>
                  </w:r>
                  <w:r>
                    <w:rPr>
                      <w:rFonts w:eastAsiaTheme="minorEastAsia"/>
                      <w:sz w:val="18"/>
                      <w:szCs w:val="18"/>
                    </w:rPr>
                    <w:t>#厂房</w:t>
                  </w:r>
                </w:p>
              </w:tc>
              <w:tc>
                <w:tcPr>
                  <w:tcW w:w="428" w:type="pct"/>
                  <w:vAlign w:val="center"/>
                </w:tcPr>
                <w:p>
                  <w:pPr>
                    <w:widowControl/>
                    <w:jc w:val="center"/>
                    <w:textAlignment w:val="bottom"/>
                    <w:rPr>
                      <w:sz w:val="18"/>
                      <w:szCs w:val="18"/>
                    </w:rPr>
                  </w:pPr>
                  <w:r>
                    <w:rPr>
                      <w:sz w:val="18"/>
                      <w:szCs w:val="18"/>
                    </w:rPr>
                    <w:t>高速搅拌机（</w:t>
                  </w:r>
                  <w:r>
                    <w:rPr>
                      <w:rFonts w:hint="eastAsia"/>
                      <w:sz w:val="18"/>
                      <w:szCs w:val="18"/>
                    </w:rPr>
                    <w:t>11座</w:t>
                  </w:r>
                  <w:r>
                    <w:rPr>
                      <w:sz w:val="18"/>
                      <w:szCs w:val="18"/>
                    </w:rPr>
                    <w:t>）</w:t>
                  </w:r>
                </w:p>
              </w:tc>
              <w:tc>
                <w:tcPr>
                  <w:tcW w:w="388" w:type="pct"/>
                  <w:vAlign w:val="center"/>
                </w:tcPr>
                <w:p>
                  <w:pPr>
                    <w:widowControl/>
                    <w:jc w:val="center"/>
                    <w:textAlignment w:val="bottom"/>
                    <w:rPr>
                      <w:sz w:val="18"/>
                      <w:szCs w:val="18"/>
                    </w:rPr>
                  </w:pPr>
                  <w:r>
                    <w:rPr>
                      <w:rFonts w:hint="eastAsia" w:eastAsiaTheme="minorEastAsia"/>
                      <w:sz w:val="18"/>
                      <w:szCs w:val="18"/>
                    </w:rPr>
                    <w:t>70（等效80.4）</w:t>
                  </w:r>
                </w:p>
              </w:tc>
              <w:tc>
                <w:tcPr>
                  <w:tcW w:w="388" w:type="pct"/>
                  <w:vAlign w:val="center"/>
                </w:tcPr>
                <w:p>
                  <w:pPr>
                    <w:jc w:val="center"/>
                    <w:rPr>
                      <w:sz w:val="18"/>
                      <w:szCs w:val="18"/>
                    </w:rPr>
                  </w:pPr>
                  <w:r>
                    <w:rPr>
                      <w:rFonts w:eastAsiaTheme="minorEastAsia"/>
                      <w:sz w:val="18"/>
                      <w:szCs w:val="18"/>
                    </w:rPr>
                    <w:t>减振隔声</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142</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109</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73.38</w:t>
                  </w:r>
                </w:p>
              </w:tc>
              <w:tc>
                <w:tcPr>
                  <w:tcW w:w="443" w:type="pct"/>
                  <w:vAlign w:val="center"/>
                </w:tcPr>
                <w:p>
                  <w:pPr>
                    <w:widowControl/>
                    <w:jc w:val="center"/>
                    <w:textAlignment w:val="center"/>
                    <w:rPr>
                      <w:sz w:val="18"/>
                      <w:szCs w:val="18"/>
                    </w:rPr>
                  </w:pPr>
                  <w:r>
                    <w:rPr>
                      <w:sz w:val="18"/>
                      <w:szCs w:val="18"/>
                    </w:rPr>
                    <w:t>东</w:t>
                  </w:r>
                  <w:r>
                    <w:rPr>
                      <w:rFonts w:hint="eastAsia"/>
                      <w:sz w:val="18"/>
                      <w:szCs w:val="18"/>
                    </w:rPr>
                    <w:t>24</w:t>
                  </w:r>
                </w:p>
                <w:p>
                  <w:pPr>
                    <w:widowControl/>
                    <w:jc w:val="center"/>
                    <w:textAlignment w:val="center"/>
                    <w:rPr>
                      <w:sz w:val="18"/>
                      <w:szCs w:val="18"/>
                    </w:rPr>
                  </w:pPr>
                  <w:r>
                    <w:rPr>
                      <w:sz w:val="18"/>
                      <w:szCs w:val="18"/>
                    </w:rPr>
                    <w:t>南</w:t>
                  </w:r>
                  <w:r>
                    <w:rPr>
                      <w:rFonts w:hint="eastAsia"/>
                      <w:sz w:val="18"/>
                      <w:szCs w:val="18"/>
                    </w:rPr>
                    <w:t>44</w:t>
                  </w:r>
                </w:p>
                <w:p>
                  <w:pPr>
                    <w:widowControl/>
                    <w:jc w:val="center"/>
                    <w:textAlignment w:val="center"/>
                    <w:rPr>
                      <w:sz w:val="18"/>
                      <w:szCs w:val="18"/>
                    </w:rPr>
                  </w:pPr>
                  <w:r>
                    <w:rPr>
                      <w:sz w:val="18"/>
                      <w:szCs w:val="18"/>
                    </w:rPr>
                    <w:t>西</w:t>
                  </w:r>
                  <w:r>
                    <w:rPr>
                      <w:rFonts w:hint="eastAsia"/>
                      <w:sz w:val="18"/>
                      <w:szCs w:val="18"/>
                    </w:rPr>
                    <w:t>24</w:t>
                  </w:r>
                </w:p>
                <w:p>
                  <w:pPr>
                    <w:widowControl/>
                    <w:jc w:val="center"/>
                    <w:textAlignment w:val="center"/>
                    <w:rPr>
                      <w:sz w:val="18"/>
                      <w:szCs w:val="18"/>
                    </w:rPr>
                  </w:pPr>
                  <w:r>
                    <w:rPr>
                      <w:sz w:val="18"/>
                      <w:szCs w:val="18"/>
                    </w:rPr>
                    <w:t>北</w:t>
                  </w:r>
                  <w:r>
                    <w:rPr>
                      <w:rFonts w:hint="eastAsia"/>
                      <w:sz w:val="18"/>
                      <w:szCs w:val="18"/>
                    </w:rPr>
                    <w:t>44</w:t>
                  </w:r>
                </w:p>
              </w:tc>
              <w:tc>
                <w:tcPr>
                  <w:tcW w:w="461" w:type="pct"/>
                  <w:vAlign w:val="center"/>
                </w:tcPr>
                <w:p>
                  <w:pPr>
                    <w:widowControl/>
                    <w:jc w:val="center"/>
                    <w:textAlignment w:val="center"/>
                    <w:rPr>
                      <w:sz w:val="18"/>
                      <w:szCs w:val="18"/>
                    </w:rPr>
                  </w:pPr>
                  <w:r>
                    <w:rPr>
                      <w:sz w:val="18"/>
                      <w:szCs w:val="18"/>
                    </w:rPr>
                    <w:t>东</w:t>
                  </w:r>
                  <w:r>
                    <w:rPr>
                      <w:rFonts w:hint="eastAsia"/>
                      <w:sz w:val="18"/>
                      <w:szCs w:val="18"/>
                    </w:rPr>
                    <w:t>52.8</w:t>
                  </w:r>
                </w:p>
                <w:p>
                  <w:pPr>
                    <w:widowControl/>
                    <w:jc w:val="center"/>
                    <w:textAlignment w:val="center"/>
                    <w:rPr>
                      <w:sz w:val="18"/>
                      <w:szCs w:val="18"/>
                    </w:rPr>
                  </w:pPr>
                  <w:r>
                    <w:rPr>
                      <w:sz w:val="18"/>
                      <w:szCs w:val="18"/>
                    </w:rPr>
                    <w:t>南</w:t>
                  </w:r>
                  <w:r>
                    <w:rPr>
                      <w:rFonts w:hint="eastAsia"/>
                      <w:sz w:val="18"/>
                      <w:szCs w:val="18"/>
                    </w:rPr>
                    <w:t>47.5</w:t>
                  </w:r>
                </w:p>
                <w:p>
                  <w:pPr>
                    <w:widowControl/>
                    <w:jc w:val="center"/>
                    <w:textAlignment w:val="center"/>
                    <w:rPr>
                      <w:sz w:val="18"/>
                      <w:szCs w:val="18"/>
                    </w:rPr>
                  </w:pPr>
                  <w:r>
                    <w:rPr>
                      <w:sz w:val="18"/>
                      <w:szCs w:val="18"/>
                    </w:rPr>
                    <w:t>西</w:t>
                  </w:r>
                  <w:r>
                    <w:rPr>
                      <w:rFonts w:hint="eastAsia"/>
                      <w:sz w:val="18"/>
                      <w:szCs w:val="18"/>
                    </w:rPr>
                    <w:t>52.8</w:t>
                  </w:r>
                </w:p>
                <w:p>
                  <w:pPr>
                    <w:widowControl/>
                    <w:jc w:val="center"/>
                    <w:textAlignment w:val="center"/>
                    <w:rPr>
                      <w:sz w:val="18"/>
                      <w:szCs w:val="18"/>
                    </w:rPr>
                  </w:pPr>
                  <w:r>
                    <w:rPr>
                      <w:sz w:val="18"/>
                      <w:szCs w:val="18"/>
                    </w:rPr>
                    <w:t>北</w:t>
                  </w:r>
                  <w:r>
                    <w:rPr>
                      <w:rFonts w:hint="eastAsia"/>
                      <w:sz w:val="18"/>
                      <w:szCs w:val="18"/>
                    </w:rPr>
                    <w:t>47.5</w:t>
                  </w:r>
                </w:p>
              </w:tc>
              <w:tc>
                <w:tcPr>
                  <w:tcW w:w="252" w:type="pct"/>
                  <w:vMerge w:val="continue"/>
                  <w:vAlign w:val="center"/>
                </w:tcPr>
                <w:p>
                  <w:pPr>
                    <w:jc w:val="center"/>
                    <w:rPr>
                      <w:rFonts w:eastAsiaTheme="minorEastAsia"/>
                      <w:sz w:val="18"/>
                      <w:szCs w:val="18"/>
                    </w:rPr>
                  </w:pPr>
                </w:p>
              </w:tc>
              <w:tc>
                <w:tcPr>
                  <w:tcW w:w="397" w:type="pct"/>
                  <w:vAlign w:val="center"/>
                </w:tcPr>
                <w:p>
                  <w:pPr>
                    <w:jc w:val="center"/>
                    <w:rPr>
                      <w:sz w:val="18"/>
                      <w:szCs w:val="18"/>
                    </w:rPr>
                  </w:pPr>
                  <w:r>
                    <w:rPr>
                      <w:rFonts w:eastAsiaTheme="minorEastAsia"/>
                      <w:sz w:val="18"/>
                      <w:szCs w:val="18"/>
                    </w:rPr>
                    <w:t>20</w:t>
                  </w:r>
                </w:p>
              </w:tc>
              <w:tc>
                <w:tcPr>
                  <w:tcW w:w="438" w:type="pct"/>
                  <w:vAlign w:val="center"/>
                </w:tcPr>
                <w:p>
                  <w:pPr>
                    <w:widowControl/>
                    <w:jc w:val="center"/>
                    <w:textAlignment w:val="center"/>
                    <w:rPr>
                      <w:sz w:val="18"/>
                      <w:szCs w:val="18"/>
                    </w:rPr>
                  </w:pPr>
                  <w:r>
                    <w:rPr>
                      <w:sz w:val="18"/>
                      <w:szCs w:val="18"/>
                    </w:rPr>
                    <w:t>东</w:t>
                  </w:r>
                  <w:r>
                    <w:rPr>
                      <w:rFonts w:hint="eastAsia"/>
                      <w:sz w:val="18"/>
                      <w:szCs w:val="18"/>
                    </w:rPr>
                    <w:t>32.8</w:t>
                  </w:r>
                </w:p>
                <w:p>
                  <w:pPr>
                    <w:widowControl/>
                    <w:jc w:val="center"/>
                    <w:textAlignment w:val="center"/>
                    <w:rPr>
                      <w:sz w:val="18"/>
                      <w:szCs w:val="18"/>
                    </w:rPr>
                  </w:pPr>
                  <w:r>
                    <w:rPr>
                      <w:sz w:val="18"/>
                      <w:szCs w:val="18"/>
                    </w:rPr>
                    <w:t>南</w:t>
                  </w:r>
                  <w:r>
                    <w:rPr>
                      <w:rFonts w:hint="eastAsia"/>
                      <w:sz w:val="18"/>
                      <w:szCs w:val="18"/>
                    </w:rPr>
                    <w:t>27.5</w:t>
                  </w:r>
                </w:p>
                <w:p>
                  <w:pPr>
                    <w:widowControl/>
                    <w:jc w:val="center"/>
                    <w:textAlignment w:val="center"/>
                    <w:rPr>
                      <w:sz w:val="18"/>
                      <w:szCs w:val="18"/>
                    </w:rPr>
                  </w:pPr>
                  <w:r>
                    <w:rPr>
                      <w:sz w:val="18"/>
                      <w:szCs w:val="18"/>
                    </w:rPr>
                    <w:t>西</w:t>
                  </w:r>
                  <w:r>
                    <w:rPr>
                      <w:rFonts w:hint="eastAsia"/>
                      <w:sz w:val="18"/>
                      <w:szCs w:val="18"/>
                    </w:rPr>
                    <w:t>32.8</w:t>
                  </w:r>
                </w:p>
                <w:p>
                  <w:pPr>
                    <w:widowControl/>
                    <w:jc w:val="center"/>
                    <w:textAlignment w:val="center"/>
                    <w:rPr>
                      <w:sz w:val="18"/>
                      <w:szCs w:val="18"/>
                    </w:rPr>
                  </w:pPr>
                  <w:r>
                    <w:rPr>
                      <w:sz w:val="18"/>
                      <w:szCs w:val="18"/>
                    </w:rPr>
                    <w:t>北</w:t>
                  </w:r>
                  <w:r>
                    <w:rPr>
                      <w:rFonts w:hint="eastAsia"/>
                      <w:sz w:val="18"/>
                      <w:szCs w:val="18"/>
                    </w:rPr>
                    <w:t>27.5</w:t>
                  </w:r>
                </w:p>
              </w:tc>
              <w:tc>
                <w:tcPr>
                  <w:tcW w:w="332" w:type="pct"/>
                  <w:vAlign w:val="center"/>
                </w:tcPr>
                <w:p>
                  <w:pPr>
                    <w:jc w:val="center"/>
                    <w:rPr>
                      <w:rFonts w:eastAsiaTheme="minorEastAsia"/>
                      <w:sz w:val="18"/>
                      <w:szCs w:val="18"/>
                    </w:rPr>
                  </w:pPr>
                  <w:r>
                    <w:rPr>
                      <w:rFonts w:eastAsiaTheme="minor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9" w:type="pct"/>
                  <w:vAlign w:val="center"/>
                </w:tcPr>
                <w:p>
                  <w:pPr>
                    <w:jc w:val="center"/>
                    <w:rPr>
                      <w:rFonts w:eastAsiaTheme="minorEastAsia"/>
                      <w:sz w:val="18"/>
                      <w:szCs w:val="18"/>
                    </w:rPr>
                  </w:pPr>
                  <w:r>
                    <w:rPr>
                      <w:rFonts w:hint="eastAsia" w:eastAsiaTheme="minorEastAsia"/>
                      <w:sz w:val="18"/>
                      <w:szCs w:val="18"/>
                    </w:rPr>
                    <w:t>4</w:t>
                  </w:r>
                  <w:r>
                    <w:rPr>
                      <w:rFonts w:eastAsiaTheme="minorEastAsia"/>
                      <w:sz w:val="18"/>
                      <w:szCs w:val="18"/>
                    </w:rPr>
                    <w:t>#厂房</w:t>
                  </w:r>
                </w:p>
              </w:tc>
              <w:tc>
                <w:tcPr>
                  <w:tcW w:w="428" w:type="pct"/>
                  <w:vAlign w:val="center"/>
                </w:tcPr>
                <w:p>
                  <w:pPr>
                    <w:widowControl/>
                    <w:jc w:val="center"/>
                    <w:textAlignment w:val="bottom"/>
                    <w:rPr>
                      <w:sz w:val="18"/>
                      <w:szCs w:val="18"/>
                    </w:rPr>
                  </w:pPr>
                  <w:r>
                    <w:rPr>
                      <w:sz w:val="18"/>
                      <w:szCs w:val="18"/>
                    </w:rPr>
                    <w:t>调和罐（</w:t>
                  </w:r>
                  <w:r>
                    <w:rPr>
                      <w:rFonts w:hint="eastAsia"/>
                      <w:sz w:val="18"/>
                      <w:szCs w:val="18"/>
                    </w:rPr>
                    <w:t>7座</w:t>
                  </w:r>
                  <w:r>
                    <w:rPr>
                      <w:sz w:val="18"/>
                      <w:szCs w:val="18"/>
                    </w:rPr>
                    <w:t>）</w:t>
                  </w:r>
                </w:p>
              </w:tc>
              <w:tc>
                <w:tcPr>
                  <w:tcW w:w="388" w:type="pct"/>
                  <w:vAlign w:val="center"/>
                </w:tcPr>
                <w:p>
                  <w:pPr>
                    <w:widowControl/>
                    <w:jc w:val="center"/>
                    <w:textAlignment w:val="bottom"/>
                    <w:rPr>
                      <w:sz w:val="18"/>
                      <w:szCs w:val="18"/>
                    </w:rPr>
                  </w:pPr>
                  <w:r>
                    <w:rPr>
                      <w:rFonts w:hint="eastAsia" w:eastAsiaTheme="minorEastAsia"/>
                      <w:sz w:val="18"/>
                      <w:szCs w:val="18"/>
                    </w:rPr>
                    <w:t>65（等效73.5）</w:t>
                  </w:r>
                </w:p>
              </w:tc>
              <w:tc>
                <w:tcPr>
                  <w:tcW w:w="388" w:type="pct"/>
                  <w:vAlign w:val="center"/>
                </w:tcPr>
                <w:p>
                  <w:pPr>
                    <w:jc w:val="center"/>
                    <w:rPr>
                      <w:rFonts w:eastAsiaTheme="minorEastAsia"/>
                      <w:sz w:val="18"/>
                      <w:szCs w:val="18"/>
                    </w:rPr>
                  </w:pPr>
                  <w:r>
                    <w:rPr>
                      <w:rFonts w:eastAsiaTheme="minorEastAsia"/>
                      <w:sz w:val="18"/>
                      <w:szCs w:val="18"/>
                    </w:rPr>
                    <w:t>减振隔声</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87</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117</w:t>
                  </w:r>
                </w:p>
              </w:tc>
              <w:tc>
                <w:tcPr>
                  <w:tcW w:w="388" w:type="pct"/>
                  <w:vAlign w:val="center"/>
                </w:tcPr>
                <w:p>
                  <w:pPr>
                    <w:widowControl/>
                    <w:jc w:val="center"/>
                    <w:textAlignment w:val="bottom"/>
                    <w:rPr>
                      <w:rFonts w:eastAsiaTheme="minorEastAsia"/>
                      <w:sz w:val="18"/>
                      <w:szCs w:val="18"/>
                    </w:rPr>
                  </w:pPr>
                  <w:r>
                    <w:rPr>
                      <w:rFonts w:hint="eastAsia" w:eastAsiaTheme="minorEastAsia"/>
                      <w:sz w:val="18"/>
                      <w:szCs w:val="18"/>
                    </w:rPr>
                    <w:t>76.34</w:t>
                  </w:r>
                </w:p>
              </w:tc>
              <w:tc>
                <w:tcPr>
                  <w:tcW w:w="443" w:type="pct"/>
                  <w:vAlign w:val="center"/>
                </w:tcPr>
                <w:p>
                  <w:pPr>
                    <w:widowControl/>
                    <w:jc w:val="center"/>
                    <w:textAlignment w:val="center"/>
                    <w:rPr>
                      <w:sz w:val="18"/>
                      <w:szCs w:val="18"/>
                    </w:rPr>
                  </w:pPr>
                  <w:r>
                    <w:rPr>
                      <w:sz w:val="18"/>
                      <w:szCs w:val="18"/>
                    </w:rPr>
                    <w:t>东</w:t>
                  </w:r>
                  <w:r>
                    <w:rPr>
                      <w:rFonts w:hint="eastAsia"/>
                      <w:sz w:val="18"/>
                      <w:szCs w:val="18"/>
                    </w:rPr>
                    <w:t>20</w:t>
                  </w:r>
                </w:p>
                <w:p>
                  <w:pPr>
                    <w:widowControl/>
                    <w:jc w:val="center"/>
                    <w:textAlignment w:val="center"/>
                    <w:rPr>
                      <w:sz w:val="18"/>
                      <w:szCs w:val="18"/>
                    </w:rPr>
                  </w:pPr>
                  <w:r>
                    <w:rPr>
                      <w:sz w:val="18"/>
                      <w:szCs w:val="18"/>
                    </w:rPr>
                    <w:t>南</w:t>
                  </w:r>
                  <w:r>
                    <w:rPr>
                      <w:rFonts w:hint="eastAsia"/>
                      <w:sz w:val="18"/>
                      <w:szCs w:val="18"/>
                    </w:rPr>
                    <w:t>34</w:t>
                  </w:r>
                </w:p>
                <w:p>
                  <w:pPr>
                    <w:widowControl/>
                    <w:jc w:val="center"/>
                    <w:textAlignment w:val="center"/>
                    <w:rPr>
                      <w:sz w:val="18"/>
                      <w:szCs w:val="18"/>
                    </w:rPr>
                  </w:pPr>
                  <w:r>
                    <w:rPr>
                      <w:sz w:val="18"/>
                      <w:szCs w:val="18"/>
                    </w:rPr>
                    <w:t>西</w:t>
                  </w:r>
                  <w:r>
                    <w:rPr>
                      <w:rFonts w:hint="eastAsia"/>
                      <w:sz w:val="18"/>
                      <w:szCs w:val="18"/>
                    </w:rPr>
                    <w:t>20</w:t>
                  </w:r>
                </w:p>
                <w:p>
                  <w:pPr>
                    <w:widowControl/>
                    <w:jc w:val="center"/>
                    <w:textAlignment w:val="center"/>
                    <w:rPr>
                      <w:sz w:val="18"/>
                      <w:szCs w:val="18"/>
                    </w:rPr>
                  </w:pPr>
                  <w:r>
                    <w:rPr>
                      <w:sz w:val="18"/>
                      <w:szCs w:val="18"/>
                    </w:rPr>
                    <w:t>北</w:t>
                  </w:r>
                  <w:r>
                    <w:rPr>
                      <w:rFonts w:hint="eastAsia"/>
                      <w:sz w:val="18"/>
                      <w:szCs w:val="18"/>
                    </w:rPr>
                    <w:t>34</w:t>
                  </w:r>
                </w:p>
              </w:tc>
              <w:tc>
                <w:tcPr>
                  <w:tcW w:w="461" w:type="pct"/>
                  <w:vAlign w:val="center"/>
                </w:tcPr>
                <w:p>
                  <w:pPr>
                    <w:widowControl/>
                    <w:jc w:val="center"/>
                    <w:textAlignment w:val="center"/>
                    <w:rPr>
                      <w:sz w:val="18"/>
                      <w:szCs w:val="18"/>
                    </w:rPr>
                  </w:pPr>
                  <w:r>
                    <w:rPr>
                      <w:sz w:val="18"/>
                      <w:szCs w:val="18"/>
                    </w:rPr>
                    <w:t>东</w:t>
                  </w:r>
                  <w:r>
                    <w:rPr>
                      <w:rFonts w:hint="eastAsia"/>
                      <w:sz w:val="18"/>
                      <w:szCs w:val="18"/>
                    </w:rPr>
                    <w:t>47.4</w:t>
                  </w:r>
                </w:p>
                <w:p>
                  <w:pPr>
                    <w:widowControl/>
                    <w:jc w:val="center"/>
                    <w:textAlignment w:val="center"/>
                    <w:rPr>
                      <w:sz w:val="18"/>
                      <w:szCs w:val="18"/>
                    </w:rPr>
                  </w:pPr>
                  <w:r>
                    <w:rPr>
                      <w:sz w:val="18"/>
                      <w:szCs w:val="18"/>
                    </w:rPr>
                    <w:t>南</w:t>
                  </w:r>
                  <w:r>
                    <w:rPr>
                      <w:rFonts w:hint="eastAsia"/>
                      <w:sz w:val="18"/>
                      <w:szCs w:val="18"/>
                    </w:rPr>
                    <w:t>42.8</w:t>
                  </w:r>
                </w:p>
                <w:p>
                  <w:pPr>
                    <w:widowControl/>
                    <w:jc w:val="center"/>
                    <w:textAlignment w:val="center"/>
                    <w:rPr>
                      <w:sz w:val="18"/>
                      <w:szCs w:val="18"/>
                    </w:rPr>
                  </w:pPr>
                  <w:r>
                    <w:rPr>
                      <w:sz w:val="18"/>
                      <w:szCs w:val="18"/>
                    </w:rPr>
                    <w:t>西</w:t>
                  </w:r>
                  <w:r>
                    <w:rPr>
                      <w:rFonts w:hint="eastAsia"/>
                      <w:sz w:val="18"/>
                      <w:szCs w:val="18"/>
                    </w:rPr>
                    <w:t>47.4</w:t>
                  </w:r>
                </w:p>
                <w:p>
                  <w:pPr>
                    <w:widowControl/>
                    <w:jc w:val="center"/>
                    <w:textAlignment w:val="center"/>
                    <w:rPr>
                      <w:sz w:val="18"/>
                      <w:szCs w:val="18"/>
                    </w:rPr>
                  </w:pPr>
                  <w:r>
                    <w:rPr>
                      <w:sz w:val="18"/>
                      <w:szCs w:val="18"/>
                    </w:rPr>
                    <w:t>北</w:t>
                  </w:r>
                  <w:r>
                    <w:rPr>
                      <w:rFonts w:hint="eastAsia"/>
                      <w:sz w:val="18"/>
                      <w:szCs w:val="18"/>
                    </w:rPr>
                    <w:t>42.8</w:t>
                  </w:r>
                </w:p>
              </w:tc>
              <w:tc>
                <w:tcPr>
                  <w:tcW w:w="252" w:type="pct"/>
                  <w:vMerge w:val="continue"/>
                  <w:vAlign w:val="center"/>
                </w:tcPr>
                <w:p>
                  <w:pPr>
                    <w:jc w:val="center"/>
                    <w:rPr>
                      <w:rFonts w:eastAsiaTheme="minorEastAsia"/>
                      <w:sz w:val="18"/>
                      <w:szCs w:val="18"/>
                    </w:rPr>
                  </w:pPr>
                </w:p>
              </w:tc>
              <w:tc>
                <w:tcPr>
                  <w:tcW w:w="397" w:type="pct"/>
                  <w:vAlign w:val="center"/>
                </w:tcPr>
                <w:p>
                  <w:pPr>
                    <w:jc w:val="center"/>
                    <w:rPr>
                      <w:sz w:val="18"/>
                      <w:szCs w:val="18"/>
                    </w:rPr>
                  </w:pPr>
                  <w:r>
                    <w:rPr>
                      <w:rFonts w:eastAsiaTheme="minorEastAsia"/>
                      <w:sz w:val="18"/>
                      <w:szCs w:val="18"/>
                    </w:rPr>
                    <w:t>20</w:t>
                  </w:r>
                </w:p>
              </w:tc>
              <w:tc>
                <w:tcPr>
                  <w:tcW w:w="438" w:type="pct"/>
                  <w:vAlign w:val="center"/>
                </w:tcPr>
                <w:p>
                  <w:pPr>
                    <w:widowControl/>
                    <w:jc w:val="center"/>
                    <w:textAlignment w:val="center"/>
                    <w:rPr>
                      <w:sz w:val="18"/>
                      <w:szCs w:val="18"/>
                    </w:rPr>
                  </w:pPr>
                  <w:r>
                    <w:rPr>
                      <w:sz w:val="18"/>
                      <w:szCs w:val="18"/>
                    </w:rPr>
                    <w:t>东</w:t>
                  </w:r>
                  <w:r>
                    <w:rPr>
                      <w:rFonts w:hint="eastAsia"/>
                      <w:sz w:val="18"/>
                      <w:szCs w:val="18"/>
                    </w:rPr>
                    <w:t>27.4</w:t>
                  </w:r>
                </w:p>
                <w:p>
                  <w:pPr>
                    <w:widowControl/>
                    <w:jc w:val="center"/>
                    <w:textAlignment w:val="center"/>
                    <w:rPr>
                      <w:sz w:val="18"/>
                      <w:szCs w:val="18"/>
                    </w:rPr>
                  </w:pPr>
                  <w:r>
                    <w:rPr>
                      <w:sz w:val="18"/>
                      <w:szCs w:val="18"/>
                    </w:rPr>
                    <w:t>南</w:t>
                  </w:r>
                  <w:r>
                    <w:rPr>
                      <w:rFonts w:hint="eastAsia"/>
                      <w:sz w:val="18"/>
                      <w:szCs w:val="18"/>
                    </w:rPr>
                    <w:t>22.8</w:t>
                  </w:r>
                </w:p>
                <w:p>
                  <w:pPr>
                    <w:widowControl/>
                    <w:jc w:val="center"/>
                    <w:textAlignment w:val="center"/>
                    <w:rPr>
                      <w:sz w:val="18"/>
                      <w:szCs w:val="18"/>
                    </w:rPr>
                  </w:pPr>
                  <w:r>
                    <w:rPr>
                      <w:sz w:val="18"/>
                      <w:szCs w:val="18"/>
                    </w:rPr>
                    <w:t>西</w:t>
                  </w:r>
                  <w:r>
                    <w:rPr>
                      <w:rFonts w:hint="eastAsia"/>
                      <w:sz w:val="18"/>
                      <w:szCs w:val="18"/>
                    </w:rPr>
                    <w:t>27.4</w:t>
                  </w:r>
                </w:p>
                <w:p>
                  <w:pPr>
                    <w:widowControl/>
                    <w:jc w:val="center"/>
                    <w:textAlignment w:val="center"/>
                    <w:rPr>
                      <w:sz w:val="18"/>
                      <w:szCs w:val="18"/>
                    </w:rPr>
                  </w:pPr>
                  <w:r>
                    <w:rPr>
                      <w:sz w:val="18"/>
                      <w:szCs w:val="18"/>
                    </w:rPr>
                    <w:t>北</w:t>
                  </w:r>
                  <w:r>
                    <w:rPr>
                      <w:rFonts w:hint="eastAsia"/>
                      <w:sz w:val="18"/>
                      <w:szCs w:val="18"/>
                    </w:rPr>
                    <w:t>22.8</w:t>
                  </w:r>
                </w:p>
              </w:tc>
              <w:tc>
                <w:tcPr>
                  <w:tcW w:w="332" w:type="pct"/>
                  <w:vAlign w:val="center"/>
                </w:tcPr>
                <w:p>
                  <w:pPr>
                    <w:jc w:val="center"/>
                    <w:rPr>
                      <w:rFonts w:eastAsiaTheme="minorEastAsia"/>
                      <w:sz w:val="18"/>
                      <w:szCs w:val="18"/>
                    </w:rPr>
                  </w:pPr>
                  <w:r>
                    <w:rPr>
                      <w:rFonts w:eastAsiaTheme="minorEastAsia"/>
                      <w:sz w:val="18"/>
                      <w:szCs w:val="18"/>
                    </w:rPr>
                    <w:t>1</w:t>
                  </w:r>
                </w:p>
              </w:tc>
            </w:tr>
          </w:tbl>
          <w:p>
            <w:pPr>
              <w:spacing w:line="360" w:lineRule="auto"/>
              <w:ind w:firstLine="420" w:firstLineChars="200"/>
              <w:rPr>
                <w:rFonts w:hAnsi="宋体"/>
                <w:kern w:val="0"/>
                <w:szCs w:val="21"/>
              </w:rPr>
            </w:pPr>
            <w:r>
              <w:rPr>
                <w:rFonts w:hint="eastAsia" w:hAnsi="宋体"/>
                <w:kern w:val="0"/>
                <w:szCs w:val="21"/>
              </w:rPr>
              <w:t xml:space="preserve">注：1、坐标原点为：E </w:t>
            </w:r>
            <w:r>
              <w:rPr>
                <w:rFonts w:hAnsi="宋体"/>
                <w:kern w:val="0"/>
                <w:szCs w:val="21"/>
              </w:rPr>
              <w:t>112.878911°，</w:t>
            </w:r>
            <w:r>
              <w:rPr>
                <w:rFonts w:hint="eastAsia" w:hAnsi="宋体"/>
                <w:kern w:val="0"/>
                <w:szCs w:val="21"/>
              </w:rPr>
              <w:t xml:space="preserve">N </w:t>
            </w:r>
            <w:r>
              <w:rPr>
                <w:rFonts w:hAnsi="宋体"/>
                <w:kern w:val="0"/>
                <w:szCs w:val="21"/>
              </w:rPr>
              <w:t>27.279986°</w:t>
            </w:r>
            <w:r>
              <w:rPr>
                <w:rFonts w:hint="eastAsia" w:hAnsi="宋体"/>
                <w:kern w:val="0"/>
                <w:szCs w:val="21"/>
              </w:rPr>
              <w:t>，东向为X轴正方向，北向为Y轴正方向；2、同一区域多台同类型设备的，等效为一个点源，源强取同类设施等效源强；3、厂房为混凝土+玻璃窗结构，隔声量取20dB（A）。</w:t>
            </w:r>
          </w:p>
          <w:p>
            <w:pPr>
              <w:spacing w:line="360" w:lineRule="auto"/>
              <w:ind w:firstLine="482" w:firstLineChars="200"/>
              <w:rPr>
                <w:rFonts w:hAnsi="宋体"/>
                <w:b/>
                <w:kern w:val="0"/>
                <w:sz w:val="24"/>
              </w:rPr>
            </w:pPr>
            <w:r>
              <w:rPr>
                <w:rFonts w:hint="eastAsia" w:hAnsi="宋体"/>
                <w:b/>
                <w:kern w:val="0"/>
                <w:sz w:val="24"/>
              </w:rPr>
              <w:t>（2）基础数据</w:t>
            </w:r>
          </w:p>
          <w:p>
            <w:pPr>
              <w:spacing w:line="360" w:lineRule="auto"/>
              <w:ind w:firstLine="480" w:firstLineChars="200"/>
              <w:rPr>
                <w:rFonts w:hAnsi="宋体"/>
                <w:kern w:val="0"/>
                <w:sz w:val="24"/>
              </w:rPr>
            </w:pPr>
            <w:r>
              <w:rPr>
                <w:rFonts w:hint="eastAsia" w:hAnsi="宋体"/>
                <w:kern w:val="0"/>
                <w:sz w:val="24"/>
              </w:rPr>
              <w:t>项目噪声环境影响预测基础数据见表4-16。</w:t>
            </w:r>
          </w:p>
          <w:p>
            <w:pPr>
              <w:pStyle w:val="14"/>
              <w:spacing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4-16</w:t>
            </w:r>
            <w:r>
              <w:rPr>
                <w:rFonts w:ascii="Times New Roman" w:hAnsi="Times New Roman"/>
                <w:color w:val="auto"/>
                <w:sz w:val="21"/>
              </w:rPr>
              <w:t xml:space="preserve"> </w:t>
            </w:r>
            <w:r>
              <w:rPr>
                <w:rFonts w:hint="eastAsia" w:ascii="Times New Roman" w:hAnsi="Times New Roman"/>
                <w:color w:val="auto"/>
                <w:sz w:val="21"/>
              </w:rPr>
              <w:t xml:space="preserve"> 项目噪声环境影响预测基础数据表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55"/>
              <w:gridCol w:w="2361"/>
              <w:gridCol w:w="2353"/>
              <w:gridCol w:w="23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250" w:type="pct"/>
                  <w:vAlign w:val="center"/>
                </w:tcPr>
                <w:p>
                  <w:pPr>
                    <w:overflowPunct w:val="0"/>
                    <w:snapToGrid w:val="0"/>
                    <w:jc w:val="center"/>
                    <w:rPr>
                      <w:rFonts w:eastAsiaTheme="minorEastAsia"/>
                      <w:b/>
                      <w:szCs w:val="21"/>
                    </w:rPr>
                  </w:pPr>
                  <w:r>
                    <w:rPr>
                      <w:rFonts w:eastAsiaTheme="minorEastAsia"/>
                      <w:b/>
                      <w:szCs w:val="21"/>
                    </w:rPr>
                    <w:t>序号</w:t>
                  </w:r>
                </w:p>
              </w:tc>
              <w:tc>
                <w:tcPr>
                  <w:tcW w:w="1253" w:type="pct"/>
                  <w:vAlign w:val="center"/>
                </w:tcPr>
                <w:p>
                  <w:pPr>
                    <w:overflowPunct w:val="0"/>
                    <w:snapToGrid w:val="0"/>
                    <w:jc w:val="center"/>
                    <w:rPr>
                      <w:rFonts w:eastAsiaTheme="minorEastAsia"/>
                      <w:b/>
                      <w:szCs w:val="21"/>
                    </w:rPr>
                  </w:pPr>
                  <w:r>
                    <w:rPr>
                      <w:rFonts w:eastAsiaTheme="minorEastAsia"/>
                      <w:b/>
                      <w:szCs w:val="21"/>
                    </w:rPr>
                    <w:t>名称</w:t>
                  </w:r>
                </w:p>
              </w:tc>
              <w:tc>
                <w:tcPr>
                  <w:tcW w:w="1249" w:type="pct"/>
                  <w:vAlign w:val="center"/>
                </w:tcPr>
                <w:p>
                  <w:pPr>
                    <w:overflowPunct w:val="0"/>
                    <w:snapToGrid w:val="0"/>
                    <w:jc w:val="center"/>
                    <w:rPr>
                      <w:rFonts w:eastAsiaTheme="minorEastAsia"/>
                      <w:b/>
                      <w:szCs w:val="21"/>
                    </w:rPr>
                  </w:pPr>
                  <w:r>
                    <w:rPr>
                      <w:rFonts w:eastAsiaTheme="minorEastAsia"/>
                      <w:b/>
                      <w:szCs w:val="21"/>
                    </w:rPr>
                    <w:t>单位</w:t>
                  </w:r>
                </w:p>
              </w:tc>
              <w:tc>
                <w:tcPr>
                  <w:tcW w:w="1248" w:type="pct"/>
                  <w:vAlign w:val="center"/>
                </w:tcPr>
                <w:p>
                  <w:pPr>
                    <w:overflowPunct w:val="0"/>
                    <w:snapToGrid w:val="0"/>
                    <w:jc w:val="center"/>
                    <w:rPr>
                      <w:rFonts w:eastAsiaTheme="minorEastAsia"/>
                      <w:b/>
                      <w:szCs w:val="21"/>
                    </w:rPr>
                  </w:pPr>
                  <w:r>
                    <w:rPr>
                      <w:rFonts w:eastAsiaTheme="minorEastAsia"/>
                      <w:b/>
                      <w:szCs w:val="21"/>
                    </w:rPr>
                    <w:t>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overflowPunct w:val="0"/>
                    <w:snapToGrid w:val="0"/>
                    <w:jc w:val="center"/>
                    <w:rPr>
                      <w:rFonts w:eastAsiaTheme="minorEastAsia"/>
                      <w:szCs w:val="21"/>
                    </w:rPr>
                  </w:pPr>
                  <w:r>
                    <w:rPr>
                      <w:rFonts w:hint="eastAsia" w:eastAsiaTheme="minorEastAsia"/>
                      <w:szCs w:val="21"/>
                    </w:rPr>
                    <w:t>1</w:t>
                  </w:r>
                </w:p>
              </w:tc>
              <w:tc>
                <w:tcPr>
                  <w:tcW w:w="1253" w:type="pct"/>
                  <w:vAlign w:val="center"/>
                </w:tcPr>
                <w:p>
                  <w:pPr>
                    <w:pStyle w:val="2"/>
                    <w:ind w:firstLine="210"/>
                    <w:jc w:val="center"/>
                    <w:rPr>
                      <w:rFonts w:eastAsiaTheme="minorEastAsia"/>
                      <w:color w:val="auto"/>
                      <w:szCs w:val="21"/>
                    </w:rPr>
                  </w:pPr>
                  <w:r>
                    <w:rPr>
                      <w:rFonts w:hint="eastAsia"/>
                      <w:color w:val="auto"/>
                      <w:sz w:val="21"/>
                      <w:szCs w:val="21"/>
                    </w:rPr>
                    <w:t>年平均风速</w:t>
                  </w:r>
                </w:p>
              </w:tc>
              <w:tc>
                <w:tcPr>
                  <w:tcW w:w="1249" w:type="pct"/>
                  <w:vAlign w:val="center"/>
                </w:tcPr>
                <w:p>
                  <w:pPr>
                    <w:overflowPunct w:val="0"/>
                    <w:snapToGrid w:val="0"/>
                    <w:jc w:val="center"/>
                    <w:rPr>
                      <w:rFonts w:eastAsiaTheme="minorEastAsia"/>
                      <w:szCs w:val="21"/>
                    </w:rPr>
                  </w:pPr>
                  <w:r>
                    <w:rPr>
                      <w:rFonts w:hint="eastAsia" w:eastAsiaTheme="minorEastAsia"/>
                      <w:szCs w:val="21"/>
                    </w:rPr>
                    <w:t>m/s</w:t>
                  </w:r>
                </w:p>
              </w:tc>
              <w:tc>
                <w:tcPr>
                  <w:tcW w:w="1248" w:type="pct"/>
                  <w:vAlign w:val="center"/>
                </w:tcPr>
                <w:p>
                  <w:pPr>
                    <w:overflowPunct w:val="0"/>
                    <w:snapToGrid w:val="0"/>
                    <w:jc w:val="center"/>
                    <w:rPr>
                      <w:rFonts w:eastAsiaTheme="minorEastAsia"/>
                      <w:szCs w:val="21"/>
                    </w:rPr>
                  </w:pPr>
                  <w:r>
                    <w:rPr>
                      <w:rFonts w:hint="eastAsia" w:eastAsiaTheme="minorEastAsia"/>
                      <w:szCs w:val="21"/>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jc w:val="center"/>
                    <w:rPr>
                      <w:rFonts w:eastAsiaTheme="minorEastAsia"/>
                      <w:szCs w:val="21"/>
                    </w:rPr>
                  </w:pPr>
                  <w:r>
                    <w:rPr>
                      <w:rFonts w:hint="eastAsia" w:eastAsiaTheme="minorEastAsia"/>
                      <w:szCs w:val="21"/>
                    </w:rPr>
                    <w:t>2</w:t>
                  </w:r>
                </w:p>
              </w:tc>
              <w:tc>
                <w:tcPr>
                  <w:tcW w:w="1253" w:type="pct"/>
                  <w:vAlign w:val="center"/>
                </w:tcPr>
                <w:p>
                  <w:pPr>
                    <w:jc w:val="center"/>
                    <w:rPr>
                      <w:rFonts w:eastAsiaTheme="minorEastAsia"/>
                      <w:szCs w:val="21"/>
                    </w:rPr>
                  </w:pPr>
                  <w:r>
                    <w:rPr>
                      <w:rFonts w:eastAsiaTheme="minorEastAsia"/>
                      <w:szCs w:val="21"/>
                    </w:rPr>
                    <w:t>主导风向</w:t>
                  </w:r>
                </w:p>
              </w:tc>
              <w:tc>
                <w:tcPr>
                  <w:tcW w:w="1249" w:type="pct"/>
                  <w:vAlign w:val="center"/>
                </w:tcPr>
                <w:p>
                  <w:pPr>
                    <w:jc w:val="center"/>
                    <w:rPr>
                      <w:rFonts w:eastAsiaTheme="minorEastAsia"/>
                      <w:szCs w:val="21"/>
                    </w:rPr>
                  </w:pPr>
                  <w:r>
                    <w:rPr>
                      <w:rFonts w:hint="eastAsia" w:eastAsiaTheme="minorEastAsia"/>
                      <w:szCs w:val="21"/>
                    </w:rPr>
                    <w:t>/</w:t>
                  </w:r>
                </w:p>
              </w:tc>
              <w:tc>
                <w:tcPr>
                  <w:tcW w:w="1248" w:type="pct"/>
                  <w:vAlign w:val="center"/>
                </w:tcPr>
                <w:p>
                  <w:pPr>
                    <w:overflowPunct w:val="0"/>
                    <w:snapToGrid w:val="0"/>
                    <w:jc w:val="center"/>
                    <w:rPr>
                      <w:rFonts w:eastAsiaTheme="minorEastAsia"/>
                      <w:szCs w:val="21"/>
                    </w:rPr>
                  </w:pPr>
                  <w:r>
                    <w:rPr>
                      <w:rFonts w:hint="eastAsia" w:eastAsiaTheme="minorEastAsia"/>
                      <w:szCs w:val="21"/>
                    </w:rPr>
                    <w:t>北北西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jc w:val="center"/>
                    <w:rPr>
                      <w:rFonts w:eastAsiaTheme="minorEastAsia"/>
                      <w:szCs w:val="21"/>
                    </w:rPr>
                  </w:pPr>
                  <w:r>
                    <w:rPr>
                      <w:rFonts w:hint="eastAsia" w:eastAsiaTheme="minorEastAsia"/>
                      <w:szCs w:val="21"/>
                    </w:rPr>
                    <w:t>3</w:t>
                  </w:r>
                </w:p>
              </w:tc>
              <w:tc>
                <w:tcPr>
                  <w:tcW w:w="1253" w:type="pct"/>
                  <w:vAlign w:val="center"/>
                </w:tcPr>
                <w:p>
                  <w:pPr>
                    <w:jc w:val="center"/>
                    <w:rPr>
                      <w:rFonts w:eastAsiaTheme="minorEastAsia"/>
                      <w:szCs w:val="21"/>
                    </w:rPr>
                  </w:pPr>
                  <w:r>
                    <w:rPr>
                      <w:rFonts w:eastAsiaTheme="minorEastAsia"/>
                      <w:szCs w:val="21"/>
                    </w:rPr>
                    <w:t>年平均气温</w:t>
                  </w:r>
                </w:p>
              </w:tc>
              <w:tc>
                <w:tcPr>
                  <w:tcW w:w="1249" w:type="pct"/>
                  <w:vAlign w:val="center"/>
                </w:tcPr>
                <w:p>
                  <w:pPr>
                    <w:jc w:val="center"/>
                    <w:rPr>
                      <w:rFonts w:eastAsiaTheme="minorEastAsia"/>
                      <w:szCs w:val="21"/>
                    </w:rPr>
                  </w:pPr>
                  <w:r>
                    <w:rPr>
                      <w:rFonts w:eastAsiaTheme="minorEastAsia"/>
                      <w:szCs w:val="21"/>
                    </w:rPr>
                    <w:t>℃</w:t>
                  </w:r>
                </w:p>
              </w:tc>
              <w:tc>
                <w:tcPr>
                  <w:tcW w:w="1248" w:type="pct"/>
                  <w:vAlign w:val="center"/>
                </w:tcPr>
                <w:p>
                  <w:pPr>
                    <w:overflowPunct w:val="0"/>
                    <w:snapToGrid w:val="0"/>
                    <w:jc w:val="center"/>
                    <w:rPr>
                      <w:rFonts w:eastAsiaTheme="minorEastAsia"/>
                      <w:szCs w:val="21"/>
                    </w:rPr>
                  </w:pPr>
                  <w:r>
                    <w:rPr>
                      <w:rFonts w:hint="eastAsia" w:eastAsiaTheme="minorEastAsia"/>
                      <w:szCs w:val="21"/>
                    </w:rPr>
                    <w:t>17.5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jc w:val="center"/>
                    <w:rPr>
                      <w:rFonts w:eastAsiaTheme="minorEastAsia"/>
                      <w:szCs w:val="21"/>
                    </w:rPr>
                  </w:pPr>
                  <w:r>
                    <w:rPr>
                      <w:rFonts w:hint="eastAsia" w:eastAsiaTheme="minorEastAsia"/>
                      <w:szCs w:val="21"/>
                    </w:rPr>
                    <w:t>4</w:t>
                  </w:r>
                </w:p>
              </w:tc>
              <w:tc>
                <w:tcPr>
                  <w:tcW w:w="1253" w:type="pct"/>
                  <w:vAlign w:val="center"/>
                </w:tcPr>
                <w:p>
                  <w:pPr>
                    <w:jc w:val="center"/>
                    <w:rPr>
                      <w:rFonts w:eastAsiaTheme="minorEastAsia"/>
                      <w:szCs w:val="21"/>
                    </w:rPr>
                  </w:pPr>
                  <w:r>
                    <w:rPr>
                      <w:rFonts w:eastAsiaTheme="minorEastAsia"/>
                      <w:szCs w:val="21"/>
                    </w:rPr>
                    <w:t>年平均相对湿度</w:t>
                  </w:r>
                </w:p>
              </w:tc>
              <w:tc>
                <w:tcPr>
                  <w:tcW w:w="1249" w:type="pct"/>
                  <w:vAlign w:val="center"/>
                </w:tcPr>
                <w:p>
                  <w:pPr>
                    <w:jc w:val="center"/>
                    <w:rPr>
                      <w:rFonts w:eastAsiaTheme="minorEastAsia"/>
                      <w:szCs w:val="21"/>
                    </w:rPr>
                  </w:pPr>
                  <w:r>
                    <w:rPr>
                      <w:rFonts w:eastAsiaTheme="minorEastAsia"/>
                      <w:szCs w:val="21"/>
                    </w:rPr>
                    <w:t>%</w:t>
                  </w:r>
                </w:p>
              </w:tc>
              <w:tc>
                <w:tcPr>
                  <w:tcW w:w="1248" w:type="pct"/>
                  <w:vAlign w:val="center"/>
                </w:tcPr>
                <w:p>
                  <w:pPr>
                    <w:overflowPunct w:val="0"/>
                    <w:snapToGrid w:val="0"/>
                    <w:jc w:val="center"/>
                    <w:rPr>
                      <w:rFonts w:eastAsiaTheme="minorEastAsia"/>
                      <w:szCs w:val="21"/>
                    </w:rPr>
                  </w:pPr>
                  <w:r>
                    <w:rPr>
                      <w:rFonts w:hint="eastAsia" w:eastAsiaTheme="minorEastAsia"/>
                      <w:szCs w:val="21"/>
                    </w:rPr>
                    <w:t>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jc w:val="center"/>
                    <w:rPr>
                      <w:rFonts w:eastAsiaTheme="minorEastAsia"/>
                      <w:szCs w:val="21"/>
                    </w:rPr>
                  </w:pPr>
                  <w:r>
                    <w:rPr>
                      <w:rFonts w:hint="eastAsia" w:eastAsiaTheme="minorEastAsia"/>
                      <w:szCs w:val="21"/>
                    </w:rPr>
                    <w:t>5</w:t>
                  </w:r>
                </w:p>
              </w:tc>
              <w:tc>
                <w:tcPr>
                  <w:tcW w:w="1253" w:type="pct"/>
                  <w:vAlign w:val="center"/>
                </w:tcPr>
                <w:p>
                  <w:pPr>
                    <w:jc w:val="center"/>
                    <w:rPr>
                      <w:rFonts w:eastAsiaTheme="minorEastAsia"/>
                      <w:szCs w:val="21"/>
                    </w:rPr>
                  </w:pPr>
                  <w:r>
                    <w:rPr>
                      <w:rFonts w:eastAsiaTheme="minorEastAsia"/>
                      <w:szCs w:val="21"/>
                    </w:rPr>
                    <w:t>大气压强</w:t>
                  </w:r>
                </w:p>
              </w:tc>
              <w:tc>
                <w:tcPr>
                  <w:tcW w:w="1249" w:type="pct"/>
                  <w:vAlign w:val="center"/>
                </w:tcPr>
                <w:p>
                  <w:pPr>
                    <w:jc w:val="center"/>
                    <w:rPr>
                      <w:rFonts w:eastAsiaTheme="minorEastAsia"/>
                      <w:szCs w:val="21"/>
                    </w:rPr>
                  </w:pPr>
                  <w:r>
                    <w:rPr>
                      <w:rFonts w:hint="eastAsia" w:eastAsiaTheme="minorEastAsia"/>
                      <w:szCs w:val="21"/>
                    </w:rPr>
                    <w:t>atm</w:t>
                  </w:r>
                </w:p>
              </w:tc>
              <w:tc>
                <w:tcPr>
                  <w:tcW w:w="1248" w:type="pct"/>
                  <w:vAlign w:val="center"/>
                </w:tcPr>
                <w:p>
                  <w:pPr>
                    <w:overflowPunct w:val="0"/>
                    <w:snapToGrid w:val="0"/>
                    <w:jc w:val="center"/>
                    <w:rPr>
                      <w:rFonts w:eastAsiaTheme="minorEastAsia"/>
                      <w:szCs w:val="21"/>
                    </w:rPr>
                  </w:pPr>
                  <w:r>
                    <w:rPr>
                      <w:rFonts w:hint="eastAsia" w:eastAsiaTheme="minorEastAsia"/>
                      <w:szCs w:val="21"/>
                    </w:rPr>
                    <w:t>1</w:t>
                  </w:r>
                </w:p>
              </w:tc>
            </w:tr>
          </w:tbl>
          <w:p>
            <w:pPr>
              <w:spacing w:line="360" w:lineRule="auto"/>
              <w:ind w:firstLine="480" w:firstLineChars="200"/>
              <w:rPr>
                <w:rFonts w:hAnsi="宋体"/>
                <w:kern w:val="0"/>
                <w:sz w:val="24"/>
              </w:rPr>
            </w:pPr>
            <w:r>
              <w:rPr>
                <w:rFonts w:hint="eastAsia" w:hAnsi="宋体"/>
                <w:kern w:val="0"/>
                <w:sz w:val="24"/>
              </w:rPr>
              <w:t>声源和预测点间的地形、高差、障碍物、树林、灌木等的分布情况以及地面覆盖情况（如草地、水面、水泥地面、土质地面等）根据现场踏勘、项目总平图等，并结合卫星图片地理信息数据确定，数据精度为</w:t>
            </w:r>
            <w:r>
              <w:rPr>
                <w:rFonts w:hAnsi="宋体"/>
                <w:kern w:val="0"/>
                <w:sz w:val="24"/>
              </w:rPr>
              <w:t>10m</w:t>
            </w:r>
            <w:r>
              <w:rPr>
                <w:rFonts w:hint="eastAsia" w:hAnsi="宋体"/>
                <w:kern w:val="0"/>
                <w:sz w:val="24"/>
              </w:rPr>
              <w:t>。</w:t>
            </w:r>
          </w:p>
          <w:p>
            <w:pPr>
              <w:spacing w:line="360" w:lineRule="auto"/>
              <w:ind w:firstLine="482" w:firstLineChars="200"/>
              <w:rPr>
                <w:rFonts w:hAnsi="宋体"/>
                <w:b/>
                <w:kern w:val="0"/>
                <w:sz w:val="24"/>
              </w:rPr>
            </w:pPr>
            <w:r>
              <w:rPr>
                <w:rFonts w:hint="eastAsia" w:hAnsi="宋体"/>
                <w:b/>
                <w:kern w:val="0"/>
                <w:sz w:val="24"/>
              </w:rPr>
              <w:t>3、预测结果</w:t>
            </w:r>
          </w:p>
          <w:p>
            <w:pPr>
              <w:spacing w:line="360" w:lineRule="auto"/>
              <w:ind w:firstLine="480" w:firstLineChars="200"/>
              <w:rPr>
                <w:rFonts w:hAnsi="宋体"/>
                <w:kern w:val="0"/>
                <w:sz w:val="24"/>
              </w:rPr>
            </w:pPr>
            <w:r>
              <w:rPr>
                <w:rFonts w:hint="eastAsia" w:hAnsi="宋体"/>
                <w:kern w:val="0"/>
                <w:sz w:val="24"/>
              </w:rPr>
              <w:t>根据噪声预测公式，预测点的昼间、夜间噪声的预测结果见表4-17。</w:t>
            </w:r>
          </w:p>
          <w:p>
            <w:pPr>
              <w:pStyle w:val="14"/>
              <w:spacing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4-17</w:t>
            </w:r>
            <w:r>
              <w:rPr>
                <w:rFonts w:ascii="Times New Roman" w:hAnsi="Times New Roman"/>
                <w:color w:val="auto"/>
                <w:sz w:val="21"/>
              </w:rPr>
              <w:t xml:space="preserve"> </w:t>
            </w:r>
            <w:r>
              <w:rPr>
                <w:rFonts w:hint="eastAsia" w:ascii="Times New Roman" w:hAnsi="Times New Roman"/>
                <w:color w:val="auto"/>
                <w:sz w:val="21"/>
              </w:rPr>
              <w:t xml:space="preserve"> </w:t>
            </w:r>
            <w:r>
              <w:rPr>
                <w:rFonts w:ascii="Times New Roman" w:hAnsi="Times New Roman"/>
                <w:color w:val="auto"/>
                <w:sz w:val="21"/>
              </w:rPr>
              <w:t>项目厂界噪声预测结果  单位：dB（</w:t>
            </w:r>
            <w:r>
              <w:rPr>
                <w:rFonts w:hint="eastAsia" w:ascii="Times New Roman" w:hAnsi="Times New Roman"/>
                <w:color w:val="auto"/>
                <w:sz w:val="21"/>
              </w:rPr>
              <w:t>A</w:t>
            </w:r>
            <w:r>
              <w:rPr>
                <w:rFonts w:ascii="Times New Roman" w:hAnsi="Times New Roman"/>
                <w:color w:val="auto"/>
                <w:sz w:val="21"/>
              </w:rPr>
              <w:t>）</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942"/>
              <w:gridCol w:w="942"/>
              <w:gridCol w:w="945"/>
              <w:gridCol w:w="943"/>
              <w:gridCol w:w="943"/>
              <w:gridCol w:w="943"/>
              <w:gridCol w:w="943"/>
              <w:gridCol w:w="943"/>
              <w:gridCol w:w="9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500" w:type="pct"/>
                  <w:vMerge w:val="restart"/>
                  <w:vAlign w:val="center"/>
                </w:tcPr>
                <w:p>
                  <w:pPr>
                    <w:overflowPunct w:val="0"/>
                    <w:snapToGrid w:val="0"/>
                    <w:jc w:val="center"/>
                    <w:rPr>
                      <w:rFonts w:eastAsiaTheme="minorEastAsia"/>
                      <w:b/>
                      <w:szCs w:val="21"/>
                    </w:rPr>
                  </w:pPr>
                  <w:r>
                    <w:rPr>
                      <w:rFonts w:eastAsiaTheme="minorEastAsia"/>
                      <w:b/>
                      <w:szCs w:val="21"/>
                    </w:rPr>
                    <w:t>预测方位</w:t>
                  </w:r>
                </w:p>
              </w:tc>
              <w:tc>
                <w:tcPr>
                  <w:tcW w:w="1502" w:type="pct"/>
                  <w:gridSpan w:val="3"/>
                  <w:vAlign w:val="center"/>
                </w:tcPr>
                <w:p>
                  <w:pPr>
                    <w:overflowPunct w:val="0"/>
                    <w:snapToGrid w:val="0"/>
                    <w:jc w:val="center"/>
                    <w:rPr>
                      <w:rFonts w:eastAsiaTheme="minorEastAsia"/>
                      <w:b/>
                      <w:szCs w:val="21"/>
                    </w:rPr>
                  </w:pPr>
                  <w:r>
                    <w:rPr>
                      <w:rFonts w:hAnsiTheme="minorEastAsia" w:eastAsiaTheme="minorEastAsia"/>
                      <w:b/>
                      <w:szCs w:val="21"/>
                    </w:rPr>
                    <w:t>空间相对位置</w:t>
                  </w:r>
                  <w:r>
                    <w:rPr>
                      <w:rFonts w:eastAsiaTheme="minorEastAsia"/>
                      <w:b/>
                      <w:szCs w:val="21"/>
                    </w:rPr>
                    <w:t>/m</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时段</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贡献值</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背景值</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预测值</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标准值</w:t>
                  </w:r>
                </w:p>
              </w:tc>
              <w:tc>
                <w:tcPr>
                  <w:tcW w:w="496" w:type="pct"/>
                  <w:vMerge w:val="restart"/>
                  <w:vAlign w:val="center"/>
                </w:tcPr>
                <w:p>
                  <w:pPr>
                    <w:overflowPunct w:val="0"/>
                    <w:snapToGrid w:val="0"/>
                    <w:jc w:val="center"/>
                    <w:rPr>
                      <w:rFonts w:eastAsiaTheme="minorEastAsia"/>
                      <w:b/>
                      <w:szCs w:val="21"/>
                    </w:rPr>
                  </w:pPr>
                  <w:r>
                    <w:rPr>
                      <w:rFonts w:eastAsiaTheme="minorEastAsia"/>
                      <w:b/>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 w:type="pct"/>
                  <w:vMerge w:val="continue"/>
                  <w:vAlign w:val="center"/>
                </w:tcPr>
                <w:p>
                  <w:pPr>
                    <w:overflowPunct w:val="0"/>
                    <w:snapToGrid w:val="0"/>
                    <w:jc w:val="center"/>
                    <w:rPr>
                      <w:rFonts w:eastAsiaTheme="minorEastAsia"/>
                      <w:szCs w:val="21"/>
                    </w:rPr>
                  </w:pPr>
                </w:p>
              </w:tc>
              <w:tc>
                <w:tcPr>
                  <w:tcW w:w="500" w:type="pct"/>
                  <w:vAlign w:val="center"/>
                </w:tcPr>
                <w:p>
                  <w:pPr>
                    <w:jc w:val="center"/>
                    <w:rPr>
                      <w:rFonts w:eastAsiaTheme="minorEastAsia"/>
                      <w:b/>
                      <w:szCs w:val="21"/>
                    </w:rPr>
                  </w:pPr>
                  <w:r>
                    <w:rPr>
                      <w:rFonts w:eastAsiaTheme="minorEastAsia"/>
                      <w:b/>
                      <w:szCs w:val="21"/>
                    </w:rPr>
                    <w:t>X</w:t>
                  </w:r>
                </w:p>
              </w:tc>
              <w:tc>
                <w:tcPr>
                  <w:tcW w:w="500" w:type="pct"/>
                  <w:vAlign w:val="center"/>
                </w:tcPr>
                <w:p>
                  <w:pPr>
                    <w:jc w:val="center"/>
                    <w:rPr>
                      <w:rFonts w:eastAsiaTheme="minorEastAsia"/>
                      <w:b/>
                      <w:szCs w:val="21"/>
                    </w:rPr>
                  </w:pPr>
                  <w:r>
                    <w:rPr>
                      <w:rFonts w:eastAsiaTheme="minorEastAsia"/>
                      <w:b/>
                      <w:szCs w:val="21"/>
                    </w:rPr>
                    <w:t>Y</w:t>
                  </w:r>
                </w:p>
              </w:tc>
              <w:tc>
                <w:tcPr>
                  <w:tcW w:w="502" w:type="pct"/>
                  <w:vAlign w:val="center"/>
                </w:tcPr>
                <w:p>
                  <w:pPr>
                    <w:jc w:val="center"/>
                    <w:rPr>
                      <w:rFonts w:eastAsiaTheme="minorEastAsia"/>
                      <w:b/>
                      <w:szCs w:val="21"/>
                    </w:rPr>
                  </w:pPr>
                  <w:r>
                    <w:rPr>
                      <w:rFonts w:eastAsiaTheme="minorEastAsia"/>
                      <w:b/>
                      <w:szCs w:val="21"/>
                    </w:rPr>
                    <w:t>Z</w:t>
                  </w:r>
                </w:p>
              </w:tc>
              <w:tc>
                <w:tcPr>
                  <w:tcW w:w="500"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496" w:type="pct"/>
                  <w:vMerge w:val="continue"/>
                  <w:vAlign w:val="center"/>
                </w:tcPr>
                <w:p>
                  <w:pPr>
                    <w:overflowPunct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 w:type="pct"/>
                  <w:vAlign w:val="center"/>
                </w:tcPr>
                <w:p>
                  <w:pPr>
                    <w:overflowPunct w:val="0"/>
                    <w:snapToGrid w:val="0"/>
                    <w:jc w:val="center"/>
                    <w:rPr>
                      <w:rFonts w:eastAsiaTheme="minorEastAsia"/>
                      <w:szCs w:val="21"/>
                    </w:rPr>
                  </w:pPr>
                  <w:r>
                    <w:rPr>
                      <w:rFonts w:eastAsiaTheme="minorEastAsia"/>
                      <w:szCs w:val="21"/>
                    </w:rPr>
                    <w:t>东厂界</w:t>
                  </w:r>
                </w:p>
              </w:tc>
              <w:tc>
                <w:tcPr>
                  <w:tcW w:w="500" w:type="pct"/>
                  <w:vAlign w:val="center"/>
                </w:tcPr>
                <w:p>
                  <w:pPr>
                    <w:jc w:val="center"/>
                    <w:rPr>
                      <w:rFonts w:eastAsiaTheme="minorEastAsia"/>
                      <w:szCs w:val="21"/>
                    </w:rPr>
                  </w:pPr>
                  <w:r>
                    <w:rPr>
                      <w:rFonts w:hint="eastAsia" w:eastAsiaTheme="minorEastAsia"/>
                      <w:szCs w:val="21"/>
                    </w:rPr>
                    <w:t>313</w:t>
                  </w:r>
                </w:p>
              </w:tc>
              <w:tc>
                <w:tcPr>
                  <w:tcW w:w="500" w:type="pct"/>
                  <w:vAlign w:val="center"/>
                </w:tcPr>
                <w:p>
                  <w:pPr>
                    <w:jc w:val="center"/>
                    <w:rPr>
                      <w:rFonts w:eastAsiaTheme="minorEastAsia"/>
                      <w:szCs w:val="21"/>
                    </w:rPr>
                  </w:pPr>
                  <w:r>
                    <w:rPr>
                      <w:rFonts w:hint="eastAsia" w:eastAsiaTheme="minorEastAsia"/>
                      <w:szCs w:val="21"/>
                    </w:rPr>
                    <w:t>89</w:t>
                  </w:r>
                </w:p>
              </w:tc>
              <w:tc>
                <w:tcPr>
                  <w:tcW w:w="502" w:type="pct"/>
                  <w:vAlign w:val="center"/>
                </w:tcPr>
                <w:p>
                  <w:pPr>
                    <w:jc w:val="center"/>
                    <w:rPr>
                      <w:rFonts w:eastAsiaTheme="minorEastAsia"/>
                      <w:szCs w:val="21"/>
                    </w:rPr>
                  </w:pPr>
                  <w:r>
                    <w:rPr>
                      <w:rFonts w:hint="eastAsia" w:eastAsiaTheme="minorEastAsia"/>
                      <w:szCs w:val="21"/>
                    </w:rPr>
                    <w:t>70.12</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jc w:val="center"/>
                    <w:rPr>
                      <w:rFonts w:eastAsiaTheme="minorEastAsia"/>
                      <w:szCs w:val="21"/>
                    </w:rPr>
                  </w:pPr>
                  <w:r>
                    <w:rPr>
                      <w:rFonts w:hint="eastAsia" w:eastAsiaTheme="minorEastAsia"/>
                      <w:szCs w:val="21"/>
                    </w:rPr>
                    <w:t>45.36</w:t>
                  </w:r>
                </w:p>
              </w:tc>
              <w:tc>
                <w:tcPr>
                  <w:tcW w:w="500" w:type="pct"/>
                  <w:vAlign w:val="center"/>
                </w:tcPr>
                <w:p>
                  <w:pPr>
                    <w:jc w:val="center"/>
                    <w:rPr>
                      <w:rFonts w:eastAsiaTheme="minorEastAsia"/>
                      <w:szCs w:val="21"/>
                    </w:rPr>
                  </w:pPr>
                  <w:r>
                    <w:rPr>
                      <w:rFonts w:hint="eastAsia" w:eastAsiaTheme="minorEastAsia"/>
                      <w:szCs w:val="21"/>
                    </w:rPr>
                    <w:t>/</w:t>
                  </w:r>
                </w:p>
              </w:tc>
              <w:tc>
                <w:tcPr>
                  <w:tcW w:w="500" w:type="pct"/>
                  <w:vAlign w:val="center"/>
                </w:tcPr>
                <w:p>
                  <w:pPr>
                    <w:jc w:val="center"/>
                    <w:rPr>
                      <w:rFonts w:eastAsiaTheme="minorEastAsia"/>
                      <w:szCs w:val="21"/>
                    </w:rPr>
                  </w:pPr>
                  <w:r>
                    <w:rPr>
                      <w:rFonts w:hint="eastAsia" w:eastAsiaTheme="minorEastAsia"/>
                      <w:szCs w:val="21"/>
                    </w:rPr>
                    <w:t>/</w:t>
                  </w:r>
                </w:p>
              </w:tc>
              <w:tc>
                <w:tcPr>
                  <w:tcW w:w="500" w:type="pct"/>
                  <w:vAlign w:val="center"/>
                </w:tcPr>
                <w:p>
                  <w:pPr>
                    <w:jc w:val="center"/>
                    <w:rPr>
                      <w:rFonts w:eastAsiaTheme="minorEastAsia"/>
                      <w:szCs w:val="21"/>
                    </w:rPr>
                  </w:pPr>
                  <w:r>
                    <w:rPr>
                      <w:rFonts w:hint="eastAsia" w:eastAsiaTheme="minorEastAsia"/>
                      <w:szCs w:val="21"/>
                    </w:rPr>
                    <w:t>70</w:t>
                  </w:r>
                </w:p>
              </w:tc>
              <w:tc>
                <w:tcPr>
                  <w:tcW w:w="496" w:type="pct"/>
                  <w:vAlign w:val="center"/>
                </w:tcPr>
                <w:p>
                  <w:pPr>
                    <w:jc w:val="center"/>
                    <w:rPr>
                      <w:rFonts w:eastAsiaTheme="minorEastAsia"/>
                      <w:szCs w:val="21"/>
                    </w:rPr>
                  </w:pPr>
                  <w:r>
                    <w:rPr>
                      <w:rFonts w:eastAsiaTheme="minor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 w:type="pct"/>
                  <w:vAlign w:val="center"/>
                </w:tcPr>
                <w:p>
                  <w:pPr>
                    <w:jc w:val="center"/>
                    <w:rPr>
                      <w:rFonts w:eastAsiaTheme="minorEastAsia"/>
                      <w:szCs w:val="21"/>
                    </w:rPr>
                  </w:pPr>
                  <w:r>
                    <w:rPr>
                      <w:rFonts w:eastAsiaTheme="minorEastAsia"/>
                      <w:szCs w:val="21"/>
                    </w:rPr>
                    <w:t>南厂界</w:t>
                  </w:r>
                </w:p>
              </w:tc>
              <w:tc>
                <w:tcPr>
                  <w:tcW w:w="500" w:type="pct"/>
                  <w:vAlign w:val="center"/>
                </w:tcPr>
                <w:p>
                  <w:pPr>
                    <w:jc w:val="center"/>
                    <w:rPr>
                      <w:rFonts w:eastAsiaTheme="minorEastAsia"/>
                      <w:szCs w:val="21"/>
                    </w:rPr>
                  </w:pPr>
                  <w:r>
                    <w:rPr>
                      <w:rFonts w:hint="eastAsia" w:eastAsiaTheme="minorEastAsia"/>
                      <w:szCs w:val="21"/>
                    </w:rPr>
                    <w:t>167</w:t>
                  </w:r>
                </w:p>
              </w:tc>
              <w:tc>
                <w:tcPr>
                  <w:tcW w:w="500" w:type="pct"/>
                  <w:vAlign w:val="center"/>
                </w:tcPr>
                <w:p>
                  <w:pPr>
                    <w:jc w:val="center"/>
                    <w:rPr>
                      <w:rFonts w:eastAsiaTheme="minorEastAsia"/>
                      <w:szCs w:val="21"/>
                    </w:rPr>
                  </w:pPr>
                  <w:r>
                    <w:rPr>
                      <w:rFonts w:hint="eastAsia" w:eastAsiaTheme="minorEastAsia"/>
                      <w:szCs w:val="21"/>
                    </w:rPr>
                    <w:t>32</w:t>
                  </w:r>
                </w:p>
              </w:tc>
              <w:tc>
                <w:tcPr>
                  <w:tcW w:w="502" w:type="pct"/>
                  <w:vAlign w:val="center"/>
                </w:tcPr>
                <w:p>
                  <w:pPr>
                    <w:jc w:val="center"/>
                    <w:rPr>
                      <w:rFonts w:eastAsiaTheme="minorEastAsia"/>
                      <w:szCs w:val="21"/>
                    </w:rPr>
                  </w:pPr>
                  <w:r>
                    <w:rPr>
                      <w:rFonts w:hint="eastAsia" w:eastAsiaTheme="minorEastAsia"/>
                      <w:szCs w:val="21"/>
                    </w:rPr>
                    <w:t>73.39</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jc w:val="center"/>
                    <w:rPr>
                      <w:rFonts w:eastAsiaTheme="minorEastAsia"/>
                      <w:szCs w:val="21"/>
                    </w:rPr>
                  </w:pPr>
                  <w:r>
                    <w:rPr>
                      <w:rFonts w:hint="eastAsia" w:eastAsiaTheme="minorEastAsia"/>
                      <w:szCs w:val="21"/>
                    </w:rPr>
                    <w:t>43.83</w:t>
                  </w:r>
                </w:p>
              </w:tc>
              <w:tc>
                <w:tcPr>
                  <w:tcW w:w="500" w:type="pct"/>
                  <w:vAlign w:val="center"/>
                </w:tcPr>
                <w:p>
                  <w:pPr>
                    <w:jc w:val="center"/>
                    <w:rPr>
                      <w:rFonts w:eastAsiaTheme="minorEastAsia"/>
                      <w:szCs w:val="21"/>
                    </w:rPr>
                  </w:pPr>
                  <w:r>
                    <w:rPr>
                      <w:rFonts w:hint="eastAsia" w:eastAsiaTheme="minorEastAsia"/>
                      <w:szCs w:val="21"/>
                    </w:rPr>
                    <w:t>/</w:t>
                  </w:r>
                </w:p>
              </w:tc>
              <w:tc>
                <w:tcPr>
                  <w:tcW w:w="500" w:type="pct"/>
                  <w:vAlign w:val="center"/>
                </w:tcPr>
                <w:p>
                  <w:pPr>
                    <w:jc w:val="center"/>
                    <w:rPr>
                      <w:rFonts w:eastAsiaTheme="minorEastAsia"/>
                      <w:szCs w:val="21"/>
                    </w:rPr>
                  </w:pPr>
                  <w:r>
                    <w:rPr>
                      <w:rFonts w:hint="eastAsia" w:eastAsiaTheme="minorEastAsia"/>
                      <w:szCs w:val="21"/>
                    </w:rPr>
                    <w:t>/</w:t>
                  </w:r>
                </w:p>
              </w:tc>
              <w:tc>
                <w:tcPr>
                  <w:tcW w:w="500" w:type="pct"/>
                  <w:vAlign w:val="center"/>
                </w:tcPr>
                <w:p>
                  <w:pPr>
                    <w:jc w:val="center"/>
                    <w:rPr>
                      <w:rFonts w:eastAsiaTheme="minorEastAsia"/>
                      <w:szCs w:val="21"/>
                    </w:rPr>
                  </w:pPr>
                  <w:r>
                    <w:rPr>
                      <w:rFonts w:hint="eastAsia" w:eastAsiaTheme="minorEastAsia"/>
                      <w:szCs w:val="21"/>
                    </w:rPr>
                    <w:t>65</w:t>
                  </w:r>
                </w:p>
              </w:tc>
              <w:tc>
                <w:tcPr>
                  <w:tcW w:w="496" w:type="pct"/>
                  <w:vAlign w:val="center"/>
                </w:tcPr>
                <w:p>
                  <w:pPr>
                    <w:jc w:val="center"/>
                    <w:rPr>
                      <w:rFonts w:eastAsiaTheme="minorEastAsia"/>
                      <w:szCs w:val="21"/>
                    </w:rPr>
                  </w:pPr>
                  <w:r>
                    <w:rPr>
                      <w:rFonts w:eastAsiaTheme="minor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 w:type="pct"/>
                  <w:vAlign w:val="center"/>
                </w:tcPr>
                <w:p>
                  <w:pPr>
                    <w:jc w:val="center"/>
                    <w:rPr>
                      <w:rFonts w:eastAsiaTheme="minorEastAsia"/>
                      <w:szCs w:val="21"/>
                    </w:rPr>
                  </w:pPr>
                  <w:r>
                    <w:rPr>
                      <w:rFonts w:eastAsiaTheme="minorEastAsia"/>
                      <w:szCs w:val="21"/>
                    </w:rPr>
                    <w:t>西厂界</w:t>
                  </w:r>
                </w:p>
              </w:tc>
              <w:tc>
                <w:tcPr>
                  <w:tcW w:w="500" w:type="pct"/>
                  <w:vAlign w:val="center"/>
                </w:tcPr>
                <w:p>
                  <w:pPr>
                    <w:jc w:val="center"/>
                    <w:rPr>
                      <w:rFonts w:eastAsiaTheme="minorEastAsia"/>
                      <w:szCs w:val="21"/>
                    </w:rPr>
                  </w:pPr>
                  <w:r>
                    <w:rPr>
                      <w:rFonts w:hint="eastAsia" w:eastAsiaTheme="minorEastAsia"/>
                      <w:szCs w:val="21"/>
                    </w:rPr>
                    <w:t>7</w:t>
                  </w:r>
                </w:p>
              </w:tc>
              <w:tc>
                <w:tcPr>
                  <w:tcW w:w="500" w:type="pct"/>
                  <w:vAlign w:val="center"/>
                </w:tcPr>
                <w:p>
                  <w:pPr>
                    <w:jc w:val="center"/>
                    <w:rPr>
                      <w:rFonts w:eastAsiaTheme="minorEastAsia"/>
                      <w:szCs w:val="21"/>
                    </w:rPr>
                  </w:pPr>
                  <w:r>
                    <w:rPr>
                      <w:rFonts w:hint="eastAsia" w:eastAsiaTheme="minorEastAsia"/>
                      <w:szCs w:val="21"/>
                    </w:rPr>
                    <w:t>83</w:t>
                  </w:r>
                </w:p>
              </w:tc>
              <w:tc>
                <w:tcPr>
                  <w:tcW w:w="502" w:type="pct"/>
                  <w:vAlign w:val="center"/>
                </w:tcPr>
                <w:p>
                  <w:pPr>
                    <w:jc w:val="center"/>
                    <w:rPr>
                      <w:rFonts w:eastAsiaTheme="minorEastAsia"/>
                      <w:szCs w:val="21"/>
                    </w:rPr>
                  </w:pPr>
                  <w:r>
                    <w:rPr>
                      <w:rFonts w:hint="eastAsia" w:eastAsiaTheme="minorEastAsia"/>
                      <w:szCs w:val="21"/>
                    </w:rPr>
                    <w:t>76.83</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jc w:val="center"/>
                    <w:rPr>
                      <w:rFonts w:eastAsiaTheme="minorEastAsia"/>
                      <w:szCs w:val="21"/>
                    </w:rPr>
                  </w:pPr>
                  <w:r>
                    <w:rPr>
                      <w:rFonts w:hint="eastAsia" w:eastAsiaTheme="minorEastAsia"/>
                      <w:szCs w:val="21"/>
                    </w:rPr>
                    <w:t>34.14</w:t>
                  </w:r>
                </w:p>
              </w:tc>
              <w:tc>
                <w:tcPr>
                  <w:tcW w:w="500" w:type="pct"/>
                  <w:vAlign w:val="center"/>
                </w:tcPr>
                <w:p>
                  <w:pPr>
                    <w:jc w:val="center"/>
                    <w:rPr>
                      <w:rFonts w:eastAsiaTheme="minorEastAsia"/>
                      <w:szCs w:val="21"/>
                    </w:rPr>
                  </w:pPr>
                  <w:r>
                    <w:rPr>
                      <w:rFonts w:hint="eastAsia" w:eastAsiaTheme="minorEastAsia"/>
                      <w:szCs w:val="21"/>
                    </w:rPr>
                    <w:t>/</w:t>
                  </w:r>
                </w:p>
              </w:tc>
              <w:tc>
                <w:tcPr>
                  <w:tcW w:w="500" w:type="pct"/>
                  <w:vAlign w:val="center"/>
                </w:tcPr>
                <w:p>
                  <w:pPr>
                    <w:jc w:val="center"/>
                    <w:rPr>
                      <w:rFonts w:eastAsiaTheme="minorEastAsia"/>
                      <w:szCs w:val="21"/>
                    </w:rPr>
                  </w:pPr>
                  <w:r>
                    <w:rPr>
                      <w:rFonts w:hint="eastAsia" w:eastAsiaTheme="minorEastAsia"/>
                      <w:szCs w:val="21"/>
                    </w:rPr>
                    <w:t>/</w:t>
                  </w:r>
                </w:p>
              </w:tc>
              <w:tc>
                <w:tcPr>
                  <w:tcW w:w="500" w:type="pct"/>
                  <w:vAlign w:val="center"/>
                </w:tcPr>
                <w:p>
                  <w:pPr>
                    <w:jc w:val="center"/>
                    <w:rPr>
                      <w:rFonts w:eastAsiaTheme="minorEastAsia"/>
                      <w:szCs w:val="21"/>
                    </w:rPr>
                  </w:pPr>
                  <w:r>
                    <w:rPr>
                      <w:rFonts w:hint="eastAsia" w:eastAsiaTheme="minorEastAsia"/>
                      <w:szCs w:val="21"/>
                    </w:rPr>
                    <w:t>65</w:t>
                  </w:r>
                </w:p>
              </w:tc>
              <w:tc>
                <w:tcPr>
                  <w:tcW w:w="496" w:type="pct"/>
                  <w:vAlign w:val="center"/>
                </w:tcPr>
                <w:p>
                  <w:pPr>
                    <w:jc w:val="center"/>
                    <w:rPr>
                      <w:rFonts w:eastAsiaTheme="minorEastAsia"/>
                      <w:szCs w:val="21"/>
                    </w:rPr>
                  </w:pPr>
                  <w:r>
                    <w:rPr>
                      <w:rFonts w:eastAsiaTheme="minor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 w:type="pct"/>
                  <w:vAlign w:val="center"/>
                </w:tcPr>
                <w:p>
                  <w:pPr>
                    <w:overflowPunct w:val="0"/>
                    <w:snapToGrid w:val="0"/>
                    <w:jc w:val="center"/>
                    <w:rPr>
                      <w:rFonts w:eastAsiaTheme="minorEastAsia"/>
                      <w:szCs w:val="21"/>
                    </w:rPr>
                  </w:pPr>
                  <w:r>
                    <w:rPr>
                      <w:rFonts w:eastAsiaTheme="minorEastAsia"/>
                      <w:szCs w:val="21"/>
                    </w:rPr>
                    <w:t>北厂界</w:t>
                  </w:r>
                </w:p>
              </w:tc>
              <w:tc>
                <w:tcPr>
                  <w:tcW w:w="500" w:type="pct"/>
                  <w:vAlign w:val="center"/>
                </w:tcPr>
                <w:p>
                  <w:pPr>
                    <w:overflowPunct w:val="0"/>
                    <w:snapToGrid w:val="0"/>
                    <w:jc w:val="center"/>
                    <w:rPr>
                      <w:rFonts w:eastAsiaTheme="minorEastAsia"/>
                      <w:szCs w:val="21"/>
                    </w:rPr>
                  </w:pPr>
                  <w:r>
                    <w:rPr>
                      <w:rFonts w:hint="eastAsia" w:eastAsiaTheme="minorEastAsia"/>
                      <w:szCs w:val="21"/>
                    </w:rPr>
                    <w:t>189</w:t>
                  </w:r>
                </w:p>
              </w:tc>
              <w:tc>
                <w:tcPr>
                  <w:tcW w:w="500" w:type="pct"/>
                  <w:vAlign w:val="center"/>
                </w:tcPr>
                <w:p>
                  <w:pPr>
                    <w:overflowPunct w:val="0"/>
                    <w:snapToGrid w:val="0"/>
                    <w:jc w:val="center"/>
                    <w:rPr>
                      <w:rFonts w:eastAsiaTheme="minorEastAsia"/>
                      <w:szCs w:val="21"/>
                    </w:rPr>
                  </w:pPr>
                  <w:r>
                    <w:rPr>
                      <w:rFonts w:hint="eastAsia" w:eastAsiaTheme="minorEastAsia"/>
                      <w:szCs w:val="21"/>
                    </w:rPr>
                    <w:t>177</w:t>
                  </w:r>
                </w:p>
              </w:tc>
              <w:tc>
                <w:tcPr>
                  <w:tcW w:w="502" w:type="pct"/>
                  <w:vAlign w:val="center"/>
                </w:tcPr>
                <w:p>
                  <w:pPr>
                    <w:overflowPunct w:val="0"/>
                    <w:snapToGrid w:val="0"/>
                    <w:jc w:val="center"/>
                    <w:rPr>
                      <w:rFonts w:eastAsiaTheme="minorEastAsia"/>
                      <w:szCs w:val="21"/>
                    </w:rPr>
                  </w:pPr>
                  <w:r>
                    <w:rPr>
                      <w:rFonts w:hint="eastAsia" w:eastAsiaTheme="minorEastAsia"/>
                      <w:szCs w:val="21"/>
                    </w:rPr>
                    <w:t>75.83</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overflowPunct w:val="0"/>
                    <w:snapToGrid w:val="0"/>
                    <w:jc w:val="center"/>
                    <w:rPr>
                      <w:rFonts w:eastAsiaTheme="minorEastAsia"/>
                      <w:szCs w:val="21"/>
                    </w:rPr>
                  </w:pPr>
                  <w:r>
                    <w:rPr>
                      <w:rFonts w:hint="eastAsia" w:eastAsiaTheme="minorEastAsia"/>
                      <w:szCs w:val="21"/>
                    </w:rPr>
                    <w:t>41.25</w:t>
                  </w:r>
                </w:p>
              </w:tc>
              <w:tc>
                <w:tcPr>
                  <w:tcW w:w="500" w:type="pct"/>
                  <w:vAlign w:val="center"/>
                </w:tcPr>
                <w:p>
                  <w:pPr>
                    <w:jc w:val="center"/>
                    <w:rPr>
                      <w:rFonts w:eastAsiaTheme="minorEastAsia"/>
                      <w:szCs w:val="21"/>
                    </w:rPr>
                  </w:pPr>
                  <w:r>
                    <w:rPr>
                      <w:rFonts w:hint="eastAsia" w:eastAsiaTheme="minorEastAsia"/>
                      <w:szCs w:val="21"/>
                    </w:rPr>
                    <w:t>/</w:t>
                  </w:r>
                </w:p>
              </w:tc>
              <w:tc>
                <w:tcPr>
                  <w:tcW w:w="500" w:type="pct"/>
                  <w:vAlign w:val="center"/>
                </w:tcPr>
                <w:p>
                  <w:pPr>
                    <w:jc w:val="center"/>
                    <w:rPr>
                      <w:rFonts w:eastAsiaTheme="minorEastAsia"/>
                      <w:szCs w:val="21"/>
                    </w:rPr>
                  </w:pPr>
                  <w:r>
                    <w:rPr>
                      <w:rFonts w:hint="eastAsia" w:eastAsiaTheme="minorEastAsia"/>
                      <w:szCs w:val="21"/>
                    </w:rPr>
                    <w:t>/</w:t>
                  </w:r>
                </w:p>
              </w:tc>
              <w:tc>
                <w:tcPr>
                  <w:tcW w:w="500" w:type="pct"/>
                  <w:vAlign w:val="center"/>
                </w:tcPr>
                <w:p>
                  <w:pPr>
                    <w:jc w:val="center"/>
                    <w:rPr>
                      <w:rFonts w:eastAsiaTheme="minorEastAsia"/>
                      <w:szCs w:val="21"/>
                    </w:rPr>
                  </w:pPr>
                  <w:r>
                    <w:rPr>
                      <w:rFonts w:hint="eastAsia" w:eastAsiaTheme="minorEastAsia"/>
                      <w:szCs w:val="21"/>
                    </w:rPr>
                    <w:t>70</w:t>
                  </w:r>
                </w:p>
              </w:tc>
              <w:tc>
                <w:tcPr>
                  <w:tcW w:w="496" w:type="pct"/>
                  <w:vAlign w:val="center"/>
                </w:tcPr>
                <w:p>
                  <w:pPr>
                    <w:jc w:val="center"/>
                    <w:rPr>
                      <w:rFonts w:eastAsiaTheme="minorEastAsia"/>
                      <w:szCs w:val="21"/>
                    </w:rPr>
                  </w:pPr>
                  <w:r>
                    <w:rPr>
                      <w:rFonts w:eastAsiaTheme="minorEastAsia"/>
                      <w:szCs w:val="21"/>
                    </w:rPr>
                    <w:t>达标</w:t>
                  </w:r>
                </w:p>
              </w:tc>
            </w:tr>
          </w:tbl>
          <w:p/>
          <w:p>
            <w:pPr>
              <w:pStyle w:val="2"/>
            </w:pPr>
          </w:p>
          <w:p>
            <w:pPr>
              <w:pStyle w:val="4"/>
            </w:pPr>
          </w:p>
          <w:p/>
          <w:p>
            <w:pPr>
              <w:pStyle w:val="2"/>
            </w:pPr>
          </w:p>
          <w:p>
            <w:pPr>
              <w:pStyle w:val="4"/>
            </w:pPr>
          </w:p>
          <w:p/>
          <w:p>
            <w:pPr>
              <w:pStyle w:val="2"/>
            </w:pPr>
          </w:p>
          <w:p>
            <w:pPr>
              <w:pStyle w:val="4"/>
            </w:pPr>
          </w:p>
          <w:p>
            <w:pPr>
              <w:pStyle w:val="2"/>
            </w:pPr>
          </w:p>
          <w:p>
            <w:pPr>
              <w:adjustRightInd w:val="0"/>
              <w:snapToGrid w:val="0"/>
              <w:spacing w:line="360" w:lineRule="auto"/>
              <w:jc w:val="center"/>
              <w:rPr>
                <w:rFonts w:ascii="宋体" w:cs="宋体"/>
                <w:b/>
                <w:kern w:val="0"/>
                <w:sz w:val="28"/>
                <w:szCs w:val="28"/>
              </w:rPr>
            </w:pPr>
            <w:r>
              <w:rPr>
                <w:rFonts w:ascii="宋体" w:cs="宋体"/>
                <w:b/>
                <w:kern w:val="0"/>
                <w:sz w:val="28"/>
                <w:szCs w:val="28"/>
              </w:rPr>
              <w:drawing>
                <wp:inline distT="0" distB="0" distL="0" distR="0">
                  <wp:extent cx="5619750" cy="24384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srcRect/>
                          <a:stretch>
                            <a:fillRect/>
                          </a:stretch>
                        </pic:blipFill>
                        <pic:spPr>
                          <a:xfrm>
                            <a:off x="0" y="0"/>
                            <a:ext cx="5619750" cy="2438400"/>
                          </a:xfrm>
                          <a:prstGeom prst="rect">
                            <a:avLst/>
                          </a:prstGeom>
                          <a:noFill/>
                          <a:ln w="9525">
                            <a:noFill/>
                            <a:miter lim="800000"/>
                            <a:headEnd/>
                            <a:tailEnd/>
                          </a:ln>
                        </pic:spPr>
                      </pic:pic>
                    </a:graphicData>
                  </a:graphic>
                </wp:inline>
              </w:drawing>
            </w:r>
          </w:p>
          <w:p>
            <w:pPr>
              <w:spacing w:afterLines="50"/>
              <w:jc w:val="center"/>
              <w:rPr>
                <w:rFonts w:hAnsiTheme="majorEastAsia" w:eastAsiaTheme="majorEastAsia"/>
                <w:b/>
                <w:kern w:val="0"/>
                <w:szCs w:val="21"/>
              </w:rPr>
            </w:pPr>
            <w:r>
              <w:rPr>
                <w:rFonts w:hAnsiTheme="majorEastAsia" w:eastAsiaTheme="majorEastAsia"/>
                <w:b/>
                <w:kern w:val="0"/>
                <w:szCs w:val="21"/>
              </w:rPr>
              <w:t>图</w:t>
            </w:r>
            <w:r>
              <w:rPr>
                <w:rFonts w:hint="eastAsia" w:eastAsiaTheme="majorEastAsia"/>
                <w:b/>
                <w:bCs/>
                <w:kern w:val="0"/>
                <w:szCs w:val="21"/>
              </w:rPr>
              <w:t>4-2</w:t>
            </w:r>
            <w:r>
              <w:rPr>
                <w:rFonts w:eastAsiaTheme="majorEastAsia"/>
                <w:b/>
                <w:bCs/>
                <w:kern w:val="0"/>
                <w:szCs w:val="21"/>
              </w:rPr>
              <w:t xml:space="preserve"> </w:t>
            </w:r>
            <w:r>
              <w:rPr>
                <w:rFonts w:hint="eastAsia" w:eastAsiaTheme="majorEastAsia"/>
                <w:b/>
                <w:bCs/>
                <w:kern w:val="0"/>
                <w:szCs w:val="21"/>
              </w:rPr>
              <w:t xml:space="preserve"> </w:t>
            </w:r>
            <w:r>
              <w:rPr>
                <w:rFonts w:hAnsiTheme="majorEastAsia" w:eastAsiaTheme="majorEastAsia"/>
                <w:b/>
                <w:kern w:val="0"/>
                <w:szCs w:val="21"/>
              </w:rPr>
              <w:t>厂界噪声预测等值线图</w:t>
            </w:r>
          </w:p>
          <w:p>
            <w:pPr>
              <w:spacing w:line="360" w:lineRule="auto"/>
              <w:ind w:firstLine="482" w:firstLineChars="200"/>
              <w:rPr>
                <w:rFonts w:hAnsi="宋体"/>
                <w:b/>
                <w:kern w:val="0"/>
                <w:sz w:val="24"/>
              </w:rPr>
            </w:pPr>
            <w:r>
              <w:rPr>
                <w:rFonts w:hint="eastAsia" w:hAnsi="宋体"/>
                <w:b/>
                <w:kern w:val="0"/>
                <w:sz w:val="24"/>
              </w:rPr>
              <w:t>4、噪声环境影响预测评价</w:t>
            </w:r>
          </w:p>
          <w:p>
            <w:pPr>
              <w:spacing w:line="360" w:lineRule="auto"/>
              <w:ind w:firstLine="480" w:firstLineChars="200"/>
              <w:rPr>
                <w:sz w:val="24"/>
              </w:rPr>
            </w:pPr>
            <w:r>
              <w:rPr>
                <w:rFonts w:hint="eastAsia" w:hAnsi="宋体"/>
                <w:kern w:val="0"/>
                <w:sz w:val="24"/>
              </w:rPr>
              <w:t>由上分析可知，</w:t>
            </w:r>
            <w:r>
              <w:rPr>
                <w:rFonts w:hint="eastAsia"/>
                <w:sz w:val="24"/>
              </w:rPr>
              <w:t>本项目昼间对厂界噪声的影响贡献值在34.14~45.36dB（A）之间。从表5.4-4来看，项目南、西、北厂界昼间均符合《工业企业厂界环境噪声排放标准》（GB12348-2008）中3类标准要求，东厂界昼间符合《工业企业厂界环境噪声排放标准》（GB12348-2008）中4类标准要求。</w:t>
            </w:r>
          </w:p>
          <w:p>
            <w:pPr>
              <w:spacing w:line="360" w:lineRule="auto"/>
              <w:ind w:firstLine="480" w:firstLineChars="200"/>
              <w:rPr>
                <w:rFonts w:hAnsi="宋体"/>
                <w:kern w:val="0"/>
                <w:sz w:val="24"/>
              </w:rPr>
            </w:pPr>
            <w:r>
              <w:rPr>
                <w:rFonts w:hint="eastAsia"/>
                <w:sz w:val="24"/>
              </w:rPr>
              <w:t>本项目原料进厂，产品出厂均采用汽车运输的方式，汽车进出厂区及运输过程会产生交通噪声。本项目位于工业园区，周边居民点少且较远，项目原料、产品运输道路为园区工业道路及区域省道、县道，运输路线路况较好，两侧绿化较好，本项目增加的交通量较运输道路现有交通量占比小，对周边声环境影响不大</w:t>
            </w:r>
            <w:r>
              <w:rPr>
                <w:rFonts w:hint="eastAsia" w:hAnsi="宋体"/>
                <w:kern w:val="0"/>
                <w:sz w:val="24"/>
              </w:rPr>
              <w:t>。</w:t>
            </w:r>
          </w:p>
          <w:p>
            <w:pPr>
              <w:spacing w:line="360" w:lineRule="auto"/>
              <w:ind w:firstLine="482" w:firstLineChars="200"/>
              <w:rPr>
                <w:rFonts w:hAnsi="宋体"/>
                <w:b/>
                <w:kern w:val="0"/>
                <w:sz w:val="24"/>
              </w:rPr>
            </w:pPr>
            <w:r>
              <w:rPr>
                <w:rFonts w:hint="eastAsia" w:hAnsi="宋体"/>
                <w:b/>
                <w:kern w:val="0"/>
                <w:sz w:val="24"/>
              </w:rPr>
              <w:t>5、噪声防治措施</w:t>
            </w:r>
          </w:p>
          <w:p>
            <w:pPr>
              <w:spacing w:line="360" w:lineRule="auto"/>
              <w:ind w:firstLine="480" w:firstLineChars="200"/>
              <w:rPr>
                <w:sz w:val="24"/>
              </w:rPr>
            </w:pPr>
            <w:r>
              <w:rPr>
                <w:rFonts w:hint="eastAsia"/>
                <w:sz w:val="24"/>
              </w:rPr>
              <w:t>为减小设备噪声及其他设备噪声对周边环境的影响，建设单位应采取以下治理措施：</w:t>
            </w:r>
          </w:p>
          <w:p>
            <w:pPr>
              <w:spacing w:line="360" w:lineRule="auto"/>
              <w:ind w:firstLine="480" w:firstLineChars="200"/>
              <w:rPr>
                <w:sz w:val="24"/>
              </w:rPr>
            </w:pPr>
            <w:r>
              <w:rPr>
                <w:rFonts w:hint="eastAsia"/>
                <w:sz w:val="24"/>
              </w:rPr>
              <w:t>（1）从源头上减小噪声的影响：对产生噪声影响的设备进行定期维护与管理，科学合理地安排设备的工作方式；对于高噪音设备，合理错开生产时间；合理安排生产计划，严格控制生产时间，禁止在夜间生产；</w:t>
            </w:r>
          </w:p>
          <w:p>
            <w:pPr>
              <w:spacing w:line="360" w:lineRule="auto"/>
              <w:ind w:firstLine="480" w:firstLineChars="200"/>
              <w:rPr>
                <w:rFonts w:hAnsi="宋体"/>
                <w:kern w:val="0"/>
                <w:sz w:val="24"/>
              </w:rPr>
            </w:pPr>
            <w:r>
              <w:rPr>
                <w:rFonts w:hint="eastAsia" w:hAnsi="宋体"/>
                <w:kern w:val="0"/>
                <w:sz w:val="24"/>
              </w:rPr>
              <w:t>（2）从传播途径上减少噪声的影响：通过合理布局噪声源，将噪声较大的设备集中在车间中部，靠近厂房墙体一侧建议设置为产品或原材料暂存区；车间生产过程中，建议做好隔声措施使噪声能得到较大的衰减，车间的门窗要选用隔声性能良好的铝合金或双层门窗并安装隔音玻璃；噪声设备均位于车间内，厂房为钢混结构，厂房墙体可削弱噪声源强，达到隔声的效果。</w:t>
            </w:r>
          </w:p>
          <w:p>
            <w:pPr>
              <w:spacing w:line="360" w:lineRule="auto"/>
              <w:ind w:firstLine="480" w:firstLineChars="200"/>
              <w:rPr>
                <w:rFonts w:hAnsi="宋体"/>
                <w:kern w:val="0"/>
                <w:sz w:val="24"/>
              </w:rPr>
            </w:pPr>
            <w:r>
              <w:rPr>
                <w:rFonts w:hint="eastAsia" w:hAnsi="宋体"/>
                <w:kern w:val="0"/>
                <w:sz w:val="24"/>
              </w:rPr>
              <w:t>（3）对于车辆出入、原材料和成品搬运过程产生的噪声，也应该采取科学的管理。车辆出入厂区的时候，禁止鸣笛，且减速行驶；且车辆应进行定期的维护检查；原材料和成品搬运过程中，车辆最好处于熄火状态，原材料和产品搬运过程尽量做到轻拿轻放。</w:t>
            </w:r>
          </w:p>
          <w:p>
            <w:pPr>
              <w:spacing w:line="360" w:lineRule="auto"/>
              <w:ind w:firstLine="480" w:firstLineChars="200"/>
              <w:rPr>
                <w:rFonts w:hAnsi="宋体"/>
                <w:kern w:val="0"/>
                <w:sz w:val="24"/>
              </w:rPr>
            </w:pPr>
            <w:r>
              <w:rPr>
                <w:rFonts w:hint="eastAsia" w:hAnsi="宋体"/>
                <w:kern w:val="0"/>
                <w:sz w:val="24"/>
              </w:rPr>
              <w:t>（4）采用“闹静分开”和“合理布局”的设计原则，在布局的时候应将噪声声级较高的声源设置在墙较厚的厂房内，把车间的噪声影响限制在厂区范围内，对空压机等高噪声设备设在专用设备房内等措施，利用厂房和厂区内建筑物的阻隔作用及声波本身的衰减来减少对周围环境的影响。</w:t>
            </w:r>
          </w:p>
          <w:p>
            <w:pPr>
              <w:spacing w:line="360" w:lineRule="auto"/>
              <w:ind w:firstLine="482" w:firstLineChars="200"/>
              <w:rPr>
                <w:rFonts w:hAnsi="宋体"/>
                <w:b/>
                <w:kern w:val="0"/>
                <w:sz w:val="24"/>
              </w:rPr>
            </w:pPr>
            <w:r>
              <w:rPr>
                <w:rFonts w:hint="eastAsia" w:hAnsi="宋体"/>
                <w:b/>
                <w:kern w:val="0"/>
                <w:sz w:val="24"/>
              </w:rPr>
              <w:t>6、噪声监测计划</w:t>
            </w:r>
          </w:p>
          <w:p>
            <w:pPr>
              <w:spacing w:line="360" w:lineRule="auto"/>
              <w:ind w:firstLine="480" w:firstLineChars="200"/>
              <w:rPr>
                <w:rFonts w:hAnsi="宋体"/>
                <w:kern w:val="0"/>
                <w:sz w:val="24"/>
              </w:rPr>
            </w:pPr>
            <w:r>
              <w:rPr>
                <w:rFonts w:hAnsi="宋体"/>
                <w:kern w:val="0"/>
                <w:sz w:val="24"/>
              </w:rPr>
              <w:t>根据</w:t>
            </w:r>
            <w:r>
              <w:rPr>
                <w:rFonts w:hint="eastAsia"/>
                <w:sz w:val="24"/>
              </w:rPr>
              <w:t>《排污单位自行监测技术指南 总则》（HJ819-2017）、</w:t>
            </w:r>
            <w:r>
              <w:rPr>
                <w:kern w:val="18"/>
                <w:sz w:val="24"/>
                <w:szCs w:val="20"/>
              </w:rPr>
              <w:t>《排污许可证申请与核发技术规范</w:t>
            </w:r>
            <w:r>
              <w:rPr>
                <w:rFonts w:hint="eastAsia"/>
                <w:kern w:val="18"/>
                <w:sz w:val="24"/>
                <w:szCs w:val="20"/>
              </w:rPr>
              <w:t xml:space="preserve"> 专用化学产品制造工业</w:t>
            </w:r>
            <w:r>
              <w:rPr>
                <w:kern w:val="18"/>
                <w:sz w:val="24"/>
                <w:szCs w:val="20"/>
              </w:rPr>
              <w:t>》（HJ1103-2020）</w:t>
            </w:r>
            <w:r>
              <w:rPr>
                <w:rFonts w:hAnsi="宋体"/>
                <w:kern w:val="0"/>
                <w:sz w:val="24"/>
              </w:rPr>
              <w:t>，厂界环境噪声每季度至少开展一次监测，本项目运营期噪声环境监测计划如下表所示：</w:t>
            </w:r>
          </w:p>
          <w:p>
            <w:pPr>
              <w:spacing w:beforeLines="50"/>
              <w:jc w:val="center"/>
              <w:rPr>
                <w:b/>
                <w:szCs w:val="21"/>
              </w:rPr>
            </w:pPr>
            <w:r>
              <w:rPr>
                <w:b/>
                <w:szCs w:val="21"/>
              </w:rPr>
              <w:t>表</w:t>
            </w:r>
            <w:r>
              <w:rPr>
                <w:rFonts w:hint="eastAsia"/>
                <w:b/>
                <w:szCs w:val="21"/>
              </w:rPr>
              <w:t>4-18  运营期噪声监测计划表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4"/>
              <w:gridCol w:w="1995"/>
              <w:gridCol w:w="1496"/>
              <w:gridCol w:w="1330"/>
              <w:gridCol w:w="37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3" w:type="pct"/>
                  <w:shd w:val="clear" w:color="auto" w:fill="auto"/>
                  <w:vAlign w:val="center"/>
                </w:tcPr>
                <w:p>
                  <w:pPr>
                    <w:jc w:val="center"/>
                    <w:rPr>
                      <w:b/>
                      <w:szCs w:val="21"/>
                    </w:rPr>
                  </w:pPr>
                  <w:r>
                    <w:rPr>
                      <w:rFonts w:hint="eastAsia"/>
                      <w:b/>
                      <w:szCs w:val="21"/>
                    </w:rPr>
                    <w:t>编号</w:t>
                  </w:r>
                </w:p>
              </w:tc>
              <w:tc>
                <w:tcPr>
                  <w:tcW w:w="1059" w:type="pct"/>
                  <w:shd w:val="clear" w:color="auto" w:fill="auto"/>
                  <w:vAlign w:val="center"/>
                </w:tcPr>
                <w:p>
                  <w:pPr>
                    <w:jc w:val="center"/>
                    <w:rPr>
                      <w:b/>
                      <w:szCs w:val="21"/>
                    </w:rPr>
                  </w:pPr>
                  <w:r>
                    <w:rPr>
                      <w:rFonts w:hint="eastAsia"/>
                      <w:b/>
                      <w:szCs w:val="21"/>
                    </w:rPr>
                    <w:t>监测点位</w:t>
                  </w:r>
                </w:p>
              </w:tc>
              <w:tc>
                <w:tcPr>
                  <w:tcW w:w="794" w:type="pct"/>
                  <w:shd w:val="clear" w:color="auto" w:fill="auto"/>
                  <w:vAlign w:val="center"/>
                </w:tcPr>
                <w:p>
                  <w:pPr>
                    <w:jc w:val="center"/>
                    <w:rPr>
                      <w:b/>
                      <w:szCs w:val="21"/>
                    </w:rPr>
                  </w:pPr>
                  <w:r>
                    <w:rPr>
                      <w:rFonts w:hint="eastAsia"/>
                      <w:b/>
                      <w:szCs w:val="21"/>
                    </w:rPr>
                    <w:t>监测指标</w:t>
                  </w:r>
                </w:p>
              </w:tc>
              <w:tc>
                <w:tcPr>
                  <w:tcW w:w="706" w:type="pct"/>
                  <w:shd w:val="clear" w:color="auto" w:fill="auto"/>
                  <w:vAlign w:val="center"/>
                </w:tcPr>
                <w:p>
                  <w:pPr>
                    <w:jc w:val="center"/>
                    <w:rPr>
                      <w:b/>
                      <w:szCs w:val="21"/>
                    </w:rPr>
                  </w:pPr>
                  <w:r>
                    <w:rPr>
                      <w:rFonts w:hint="eastAsia"/>
                      <w:b/>
                      <w:szCs w:val="21"/>
                    </w:rPr>
                    <w:t>监测频次</w:t>
                  </w:r>
                </w:p>
              </w:tc>
              <w:tc>
                <w:tcPr>
                  <w:tcW w:w="1988" w:type="pct"/>
                  <w:shd w:val="clear" w:color="auto" w:fill="auto"/>
                  <w:vAlign w:val="center"/>
                </w:tcPr>
                <w:p>
                  <w:pPr>
                    <w:pStyle w:val="4"/>
                    <w:spacing w:after="0"/>
                    <w:ind w:left="0" w:leftChars="0" w:firstLine="422"/>
                    <w:jc w:val="center"/>
                  </w:pPr>
                  <w:r>
                    <w:rPr>
                      <w:rFonts w:hint="eastAsia"/>
                      <w:b/>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3" w:type="pct"/>
                  <w:shd w:val="clear" w:color="auto" w:fill="auto"/>
                  <w:vAlign w:val="center"/>
                </w:tcPr>
                <w:p>
                  <w:pPr>
                    <w:jc w:val="center"/>
                    <w:rPr>
                      <w:bCs/>
                      <w:szCs w:val="21"/>
                    </w:rPr>
                  </w:pPr>
                  <w:r>
                    <w:rPr>
                      <w:rFonts w:hint="eastAsia"/>
                      <w:bCs/>
                      <w:szCs w:val="21"/>
                    </w:rPr>
                    <w:t>1</w:t>
                  </w:r>
                </w:p>
              </w:tc>
              <w:tc>
                <w:tcPr>
                  <w:tcW w:w="1059" w:type="pct"/>
                  <w:shd w:val="clear" w:color="auto" w:fill="auto"/>
                  <w:vAlign w:val="center"/>
                </w:tcPr>
                <w:p>
                  <w:pPr>
                    <w:jc w:val="center"/>
                    <w:rPr>
                      <w:bCs/>
                      <w:szCs w:val="21"/>
                    </w:rPr>
                  </w:pPr>
                  <w:r>
                    <w:rPr>
                      <w:rFonts w:hint="eastAsia"/>
                      <w:bCs/>
                      <w:szCs w:val="21"/>
                    </w:rPr>
                    <w:t>东、南、西北厂界外1m</w:t>
                  </w:r>
                </w:p>
              </w:tc>
              <w:tc>
                <w:tcPr>
                  <w:tcW w:w="794" w:type="pct"/>
                  <w:shd w:val="clear" w:color="auto" w:fill="auto"/>
                  <w:vAlign w:val="center"/>
                </w:tcPr>
                <w:p>
                  <w:pPr>
                    <w:jc w:val="center"/>
                    <w:rPr>
                      <w:bCs/>
                      <w:szCs w:val="21"/>
                    </w:rPr>
                  </w:pPr>
                  <w:r>
                    <w:rPr>
                      <w:bCs/>
                      <w:szCs w:val="21"/>
                    </w:rPr>
                    <w:t>连续等效A声级</w:t>
                  </w:r>
                </w:p>
              </w:tc>
              <w:tc>
                <w:tcPr>
                  <w:tcW w:w="706" w:type="pct"/>
                  <w:shd w:val="clear" w:color="auto" w:fill="auto"/>
                  <w:vAlign w:val="center"/>
                </w:tcPr>
                <w:p>
                  <w:pPr>
                    <w:jc w:val="center"/>
                    <w:rPr>
                      <w:bCs/>
                      <w:szCs w:val="21"/>
                    </w:rPr>
                  </w:pPr>
                  <w:r>
                    <w:rPr>
                      <w:rFonts w:hint="eastAsia"/>
                      <w:bCs/>
                      <w:szCs w:val="21"/>
                    </w:rPr>
                    <w:t>1次/季度</w:t>
                  </w:r>
                </w:p>
              </w:tc>
              <w:tc>
                <w:tcPr>
                  <w:tcW w:w="1988" w:type="pct"/>
                  <w:shd w:val="clear" w:color="auto" w:fill="auto"/>
                  <w:vAlign w:val="center"/>
                </w:tcPr>
                <w:p>
                  <w:pPr>
                    <w:pStyle w:val="4"/>
                    <w:spacing w:after="0"/>
                    <w:ind w:left="0" w:leftChars="0"/>
                    <w:jc w:val="center"/>
                  </w:pPr>
                  <w:r>
                    <w:rPr>
                      <w:bCs/>
                      <w:szCs w:val="21"/>
                    </w:rPr>
                    <w:t>《工业企业厂界环境噪声排放标准》（GB3096-2008）</w:t>
                  </w:r>
                  <w:r>
                    <w:rPr>
                      <w:rFonts w:hint="eastAsia"/>
                      <w:bCs/>
                      <w:szCs w:val="21"/>
                    </w:rPr>
                    <w:t>3、4</w:t>
                  </w:r>
                  <w:r>
                    <w:rPr>
                      <w:bCs/>
                      <w:szCs w:val="21"/>
                    </w:rPr>
                    <w:t>类标准</w:t>
                  </w:r>
                </w:p>
              </w:tc>
            </w:tr>
          </w:tbl>
          <w:p>
            <w:pPr>
              <w:spacing w:line="360" w:lineRule="auto"/>
              <w:ind w:firstLine="482" w:firstLineChars="200"/>
              <w:rPr>
                <w:rFonts w:hAnsi="宋体"/>
                <w:b/>
                <w:kern w:val="0"/>
                <w:sz w:val="24"/>
              </w:rPr>
            </w:pPr>
            <w:r>
              <w:rPr>
                <w:rFonts w:hint="eastAsia" w:hAnsi="宋体"/>
                <w:b/>
                <w:kern w:val="0"/>
                <w:sz w:val="24"/>
              </w:rPr>
              <w:t>四、固体废物</w:t>
            </w:r>
          </w:p>
          <w:p>
            <w:pPr>
              <w:spacing w:line="360" w:lineRule="auto"/>
              <w:ind w:firstLine="480" w:firstLineChars="200"/>
              <w:rPr>
                <w:rFonts w:hAnsi="宋体"/>
                <w:kern w:val="0"/>
                <w:sz w:val="24"/>
              </w:rPr>
            </w:pPr>
            <w:r>
              <w:rPr>
                <w:rFonts w:hint="eastAsia"/>
                <w:sz w:val="24"/>
              </w:rPr>
              <w:t>项目固体废物主要包括废弃包装袋、空中转桶、回收粉尘、纯水过滤材料、废活性炭、废棉纱及废手套、废机油、废含油手套和员工办公生活垃圾等</w:t>
            </w:r>
            <w:r>
              <w:rPr>
                <w:rFonts w:hAnsi="宋体"/>
                <w:kern w:val="0"/>
                <w:sz w:val="24"/>
              </w:rPr>
              <w:t>。</w:t>
            </w:r>
          </w:p>
          <w:p>
            <w:pPr>
              <w:autoSpaceDE w:val="0"/>
              <w:autoSpaceDN w:val="0"/>
              <w:adjustRightInd w:val="0"/>
              <w:spacing w:line="360" w:lineRule="auto"/>
              <w:ind w:firstLine="482" w:firstLineChars="200"/>
              <w:rPr>
                <w:b/>
                <w:sz w:val="24"/>
              </w:rPr>
            </w:pPr>
            <w:r>
              <w:rPr>
                <w:rFonts w:hint="eastAsia"/>
                <w:b/>
                <w:sz w:val="24"/>
              </w:rPr>
              <w:t>（1）废弃包装袋</w:t>
            </w:r>
          </w:p>
          <w:p>
            <w:pPr>
              <w:autoSpaceDE w:val="0"/>
              <w:autoSpaceDN w:val="0"/>
              <w:adjustRightInd w:val="0"/>
              <w:spacing w:line="360" w:lineRule="auto"/>
              <w:ind w:firstLine="480" w:firstLineChars="200"/>
              <w:rPr>
                <w:sz w:val="24"/>
              </w:rPr>
            </w:pPr>
            <w:r>
              <w:rPr>
                <w:rFonts w:hint="eastAsia"/>
                <w:sz w:val="24"/>
              </w:rPr>
              <w:t>企业各类粉状原料共1676.4t/a，包装规格均为25kg/袋，空袋净重约0.1kg，废包装袋年产生量约6.7t/a，由原料生产商回收利用。</w:t>
            </w:r>
          </w:p>
          <w:p>
            <w:pPr>
              <w:autoSpaceDE w:val="0"/>
              <w:autoSpaceDN w:val="0"/>
              <w:adjustRightInd w:val="0"/>
              <w:spacing w:line="360" w:lineRule="auto"/>
              <w:ind w:firstLine="482" w:firstLineChars="200"/>
              <w:rPr>
                <w:b/>
                <w:sz w:val="24"/>
              </w:rPr>
            </w:pPr>
            <w:r>
              <w:rPr>
                <w:rFonts w:hint="eastAsia"/>
                <w:b/>
                <w:sz w:val="24"/>
              </w:rPr>
              <w:t>（2）空中转桶</w:t>
            </w:r>
          </w:p>
          <w:p>
            <w:pPr>
              <w:autoSpaceDE w:val="0"/>
              <w:autoSpaceDN w:val="0"/>
              <w:adjustRightInd w:val="0"/>
              <w:spacing w:line="360" w:lineRule="auto"/>
              <w:ind w:firstLine="480" w:firstLineChars="200"/>
              <w:rPr>
                <w:sz w:val="24"/>
              </w:rPr>
            </w:pPr>
            <w:r>
              <w:rPr>
                <w:rFonts w:hint="eastAsia"/>
                <w:sz w:val="24"/>
              </w:rPr>
              <w:t>本项目液态原料采用大型空桶包装，使用完后可由供应商回收再利用。根据原料用量及包装规格，空中转桶产生量估算如下：</w:t>
            </w:r>
          </w:p>
          <w:p>
            <w:pPr>
              <w:spacing w:beforeLines="50"/>
              <w:jc w:val="center"/>
              <w:rPr>
                <w:b/>
                <w:szCs w:val="21"/>
              </w:rPr>
            </w:pPr>
            <w:r>
              <w:rPr>
                <w:b/>
                <w:szCs w:val="21"/>
              </w:rPr>
              <w:t>表</w:t>
            </w:r>
            <w:r>
              <w:rPr>
                <w:rFonts w:hint="eastAsia"/>
                <w:b/>
                <w:szCs w:val="21"/>
              </w:rPr>
              <w:t>4-19  空中转桶产生量估算表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76"/>
              <w:gridCol w:w="1556"/>
              <w:gridCol w:w="1843"/>
              <w:gridCol w:w="1843"/>
              <w:gridCol w:w="16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jc w:val="center"/>
                    <w:rPr>
                      <w:b/>
                      <w:szCs w:val="21"/>
                    </w:rPr>
                  </w:pPr>
                  <w:r>
                    <w:rPr>
                      <w:b/>
                      <w:szCs w:val="21"/>
                    </w:rPr>
                    <w:t>原料使用种类</w:t>
                  </w:r>
                </w:p>
              </w:tc>
              <w:tc>
                <w:tcPr>
                  <w:tcW w:w="826" w:type="pct"/>
                  <w:shd w:val="clear" w:color="auto" w:fill="auto"/>
                  <w:vAlign w:val="center"/>
                </w:tcPr>
                <w:p>
                  <w:pPr>
                    <w:jc w:val="center"/>
                    <w:rPr>
                      <w:b/>
                      <w:szCs w:val="21"/>
                    </w:rPr>
                  </w:pPr>
                  <w:r>
                    <w:rPr>
                      <w:b/>
                      <w:szCs w:val="21"/>
                    </w:rPr>
                    <w:t>年用量t/a</w:t>
                  </w:r>
                </w:p>
              </w:tc>
              <w:tc>
                <w:tcPr>
                  <w:tcW w:w="978" w:type="pct"/>
                  <w:shd w:val="clear" w:color="auto" w:fill="auto"/>
                  <w:vAlign w:val="center"/>
                </w:tcPr>
                <w:p>
                  <w:pPr>
                    <w:jc w:val="center"/>
                    <w:rPr>
                      <w:b/>
                      <w:szCs w:val="21"/>
                    </w:rPr>
                  </w:pPr>
                  <w:r>
                    <w:rPr>
                      <w:b/>
                      <w:szCs w:val="21"/>
                    </w:rPr>
                    <w:t>包装规格</w:t>
                  </w:r>
                </w:p>
              </w:tc>
              <w:tc>
                <w:tcPr>
                  <w:tcW w:w="978" w:type="pct"/>
                  <w:shd w:val="clear" w:color="auto" w:fill="auto"/>
                  <w:vAlign w:val="center"/>
                </w:tcPr>
                <w:p>
                  <w:pPr>
                    <w:jc w:val="center"/>
                    <w:rPr>
                      <w:b/>
                      <w:szCs w:val="21"/>
                    </w:rPr>
                  </w:pPr>
                  <w:r>
                    <w:rPr>
                      <w:b/>
                      <w:szCs w:val="21"/>
                    </w:rPr>
                    <w:t>空桶重量kg</w:t>
                  </w:r>
                </w:p>
              </w:tc>
              <w:tc>
                <w:tcPr>
                  <w:tcW w:w="851" w:type="pct"/>
                  <w:shd w:val="clear" w:color="auto" w:fill="auto"/>
                  <w:vAlign w:val="center"/>
                </w:tcPr>
                <w:p>
                  <w:pPr>
                    <w:pStyle w:val="4"/>
                    <w:spacing w:after="0"/>
                    <w:ind w:left="0" w:leftChars="0" w:firstLine="0" w:firstLineChars="0"/>
                    <w:jc w:val="center"/>
                    <w:rPr>
                      <w:b/>
                      <w:szCs w:val="21"/>
                    </w:rPr>
                  </w:pPr>
                  <w:r>
                    <w:rPr>
                      <w:b/>
                      <w:szCs w:val="21"/>
                    </w:rPr>
                    <w:t>产生量t/a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异构醇聚氧乙烯醚</w:t>
                  </w:r>
                  <w:r>
                    <w:rPr>
                      <w:color w:val="000000"/>
                      <w:kern w:val="0"/>
                      <w:szCs w:val="21"/>
                    </w:rPr>
                    <w:t>1309</w:t>
                  </w:r>
                </w:p>
              </w:tc>
              <w:tc>
                <w:tcPr>
                  <w:tcW w:w="826" w:type="pct"/>
                  <w:shd w:val="clear" w:color="auto" w:fill="auto"/>
                  <w:vAlign w:val="center"/>
                </w:tcPr>
                <w:p>
                  <w:pPr>
                    <w:jc w:val="center"/>
                    <w:rPr>
                      <w:bCs/>
                      <w:szCs w:val="21"/>
                    </w:rPr>
                  </w:pPr>
                  <w:r>
                    <w:rPr>
                      <w:rFonts w:hint="eastAsia"/>
                      <w:bCs/>
                      <w:szCs w:val="21"/>
                    </w:rPr>
                    <w:t>550.8</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8.262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椰子油酸二乙醇酰胺</w:t>
                  </w:r>
                </w:p>
              </w:tc>
              <w:tc>
                <w:tcPr>
                  <w:tcW w:w="826" w:type="pct"/>
                  <w:shd w:val="clear" w:color="auto" w:fill="auto"/>
                  <w:vAlign w:val="center"/>
                </w:tcPr>
                <w:p>
                  <w:pPr>
                    <w:jc w:val="center"/>
                    <w:rPr>
                      <w:bCs/>
                      <w:szCs w:val="21"/>
                    </w:rPr>
                  </w:pPr>
                  <w:r>
                    <w:rPr>
                      <w:rFonts w:hint="eastAsia"/>
                      <w:bCs/>
                      <w:szCs w:val="21"/>
                    </w:rPr>
                    <w:t>6</w:t>
                  </w:r>
                </w:p>
              </w:tc>
              <w:tc>
                <w:tcPr>
                  <w:tcW w:w="978" w:type="pct"/>
                  <w:shd w:val="clear" w:color="auto" w:fill="auto"/>
                  <w:vAlign w:val="center"/>
                </w:tcPr>
                <w:p>
                  <w:pPr>
                    <w:jc w:val="center"/>
                    <w:rPr>
                      <w:bCs/>
                      <w:szCs w:val="21"/>
                    </w:rPr>
                  </w:pPr>
                  <w:r>
                    <w:rPr>
                      <w:rFonts w:hint="eastAsia"/>
                      <w:bCs/>
                      <w:szCs w:val="21"/>
                    </w:rPr>
                    <w:t>200kg/桶</w:t>
                  </w:r>
                </w:p>
              </w:tc>
              <w:tc>
                <w:tcPr>
                  <w:tcW w:w="978" w:type="pct"/>
                  <w:shd w:val="clear" w:color="auto" w:fill="auto"/>
                  <w:vAlign w:val="center"/>
                </w:tcPr>
                <w:p>
                  <w:pPr>
                    <w:jc w:val="center"/>
                    <w:rPr>
                      <w:bCs/>
                      <w:szCs w:val="21"/>
                    </w:rPr>
                  </w:pPr>
                  <w:r>
                    <w:rPr>
                      <w:rFonts w:hint="eastAsia"/>
                      <w:bCs/>
                      <w:szCs w:val="21"/>
                    </w:rPr>
                    <w:t>10</w:t>
                  </w:r>
                </w:p>
              </w:tc>
              <w:tc>
                <w:tcPr>
                  <w:tcW w:w="851" w:type="pct"/>
                  <w:shd w:val="clear" w:color="auto" w:fill="auto"/>
                  <w:vAlign w:val="center"/>
                </w:tcPr>
                <w:p>
                  <w:pPr>
                    <w:jc w:val="center"/>
                    <w:rPr>
                      <w:color w:val="000000"/>
                      <w:szCs w:val="21"/>
                    </w:rPr>
                  </w:pPr>
                  <w:r>
                    <w:rPr>
                      <w:color w:val="000000"/>
                      <w:szCs w:val="21"/>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烷基糖苷</w:t>
                  </w:r>
                  <w:r>
                    <w:rPr>
                      <w:color w:val="000000"/>
                      <w:kern w:val="0"/>
                      <w:szCs w:val="21"/>
                    </w:rPr>
                    <w:t>APG</w:t>
                  </w:r>
                </w:p>
              </w:tc>
              <w:tc>
                <w:tcPr>
                  <w:tcW w:w="826" w:type="pct"/>
                  <w:shd w:val="clear" w:color="auto" w:fill="auto"/>
                  <w:vAlign w:val="center"/>
                </w:tcPr>
                <w:p>
                  <w:pPr>
                    <w:jc w:val="center"/>
                    <w:rPr>
                      <w:bCs/>
                      <w:szCs w:val="21"/>
                    </w:rPr>
                  </w:pPr>
                  <w:r>
                    <w:rPr>
                      <w:rFonts w:hint="eastAsia"/>
                      <w:bCs/>
                      <w:szCs w:val="21"/>
                    </w:rPr>
                    <w:t>7.2</w:t>
                  </w:r>
                </w:p>
              </w:tc>
              <w:tc>
                <w:tcPr>
                  <w:tcW w:w="978" w:type="pct"/>
                  <w:shd w:val="clear" w:color="auto" w:fill="auto"/>
                  <w:vAlign w:val="center"/>
                </w:tcPr>
                <w:p>
                  <w:pPr>
                    <w:jc w:val="center"/>
                    <w:rPr>
                      <w:bCs/>
                      <w:szCs w:val="21"/>
                    </w:rPr>
                  </w:pPr>
                  <w:r>
                    <w:rPr>
                      <w:rFonts w:hint="eastAsia"/>
                      <w:bCs/>
                      <w:szCs w:val="21"/>
                    </w:rPr>
                    <w:t>200kg/桶</w:t>
                  </w:r>
                </w:p>
              </w:tc>
              <w:tc>
                <w:tcPr>
                  <w:tcW w:w="978" w:type="pct"/>
                  <w:shd w:val="clear" w:color="auto" w:fill="auto"/>
                  <w:vAlign w:val="center"/>
                </w:tcPr>
                <w:p>
                  <w:pPr>
                    <w:jc w:val="center"/>
                    <w:rPr>
                      <w:bCs/>
                      <w:szCs w:val="21"/>
                    </w:rPr>
                  </w:pPr>
                  <w:r>
                    <w:rPr>
                      <w:rFonts w:hint="eastAsia"/>
                      <w:bCs/>
                      <w:szCs w:val="21"/>
                    </w:rPr>
                    <w:t>10</w:t>
                  </w:r>
                </w:p>
              </w:tc>
              <w:tc>
                <w:tcPr>
                  <w:tcW w:w="851" w:type="pct"/>
                  <w:shd w:val="clear" w:color="auto" w:fill="auto"/>
                  <w:vAlign w:val="center"/>
                </w:tcPr>
                <w:p>
                  <w:pPr>
                    <w:jc w:val="center"/>
                    <w:rPr>
                      <w:color w:val="000000"/>
                      <w:szCs w:val="21"/>
                    </w:rPr>
                  </w:pPr>
                  <w:r>
                    <w:rPr>
                      <w:color w:val="000000"/>
                      <w:szCs w:val="21"/>
                    </w:rPr>
                    <w:t>0.36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异构醇油酸皂</w:t>
                  </w:r>
                  <w:r>
                    <w:rPr>
                      <w:color w:val="000000"/>
                      <w:kern w:val="0"/>
                      <w:szCs w:val="21"/>
                    </w:rPr>
                    <w:t>DF-20</w:t>
                  </w:r>
                </w:p>
              </w:tc>
              <w:tc>
                <w:tcPr>
                  <w:tcW w:w="826" w:type="pct"/>
                  <w:shd w:val="clear" w:color="auto" w:fill="auto"/>
                  <w:vAlign w:val="center"/>
                </w:tcPr>
                <w:p>
                  <w:pPr>
                    <w:jc w:val="center"/>
                    <w:rPr>
                      <w:bCs/>
                      <w:szCs w:val="21"/>
                    </w:rPr>
                  </w:pPr>
                  <w:r>
                    <w:rPr>
                      <w:rFonts w:hint="eastAsia"/>
                      <w:bCs/>
                      <w:szCs w:val="21"/>
                    </w:rPr>
                    <w:t>72</w:t>
                  </w:r>
                </w:p>
              </w:tc>
              <w:tc>
                <w:tcPr>
                  <w:tcW w:w="978" w:type="pct"/>
                  <w:shd w:val="clear" w:color="auto" w:fill="auto"/>
                  <w:vAlign w:val="center"/>
                </w:tcPr>
                <w:p>
                  <w:pPr>
                    <w:jc w:val="center"/>
                    <w:rPr>
                      <w:bCs/>
                      <w:szCs w:val="21"/>
                    </w:rPr>
                  </w:pPr>
                  <w:r>
                    <w:rPr>
                      <w:rFonts w:hint="eastAsia"/>
                      <w:bCs/>
                      <w:szCs w:val="21"/>
                    </w:rPr>
                    <w:t>200kg/桶</w:t>
                  </w:r>
                </w:p>
              </w:tc>
              <w:tc>
                <w:tcPr>
                  <w:tcW w:w="978" w:type="pct"/>
                  <w:shd w:val="clear" w:color="auto" w:fill="auto"/>
                  <w:vAlign w:val="center"/>
                </w:tcPr>
                <w:p>
                  <w:pPr>
                    <w:jc w:val="center"/>
                    <w:rPr>
                      <w:bCs/>
                      <w:szCs w:val="21"/>
                    </w:rPr>
                  </w:pPr>
                  <w:r>
                    <w:rPr>
                      <w:rFonts w:hint="eastAsia"/>
                      <w:bCs/>
                      <w:szCs w:val="21"/>
                    </w:rPr>
                    <w:t>10</w:t>
                  </w:r>
                </w:p>
              </w:tc>
              <w:tc>
                <w:tcPr>
                  <w:tcW w:w="851" w:type="pct"/>
                  <w:shd w:val="clear" w:color="auto" w:fill="auto"/>
                  <w:vAlign w:val="center"/>
                </w:tcPr>
                <w:p>
                  <w:pPr>
                    <w:jc w:val="center"/>
                    <w:rPr>
                      <w:color w:val="000000"/>
                      <w:szCs w:val="21"/>
                    </w:rPr>
                  </w:pPr>
                  <w:r>
                    <w:rPr>
                      <w:color w:val="000000"/>
                      <w:szCs w:val="21"/>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聚醚</w:t>
                  </w:r>
                  <w:r>
                    <w:rPr>
                      <w:color w:val="000000"/>
                      <w:kern w:val="0"/>
                      <w:szCs w:val="21"/>
                    </w:rPr>
                    <w:t>1740</w:t>
                  </w:r>
                </w:p>
              </w:tc>
              <w:tc>
                <w:tcPr>
                  <w:tcW w:w="826" w:type="pct"/>
                  <w:shd w:val="clear" w:color="auto" w:fill="auto"/>
                  <w:vAlign w:val="center"/>
                </w:tcPr>
                <w:p>
                  <w:pPr>
                    <w:jc w:val="center"/>
                    <w:rPr>
                      <w:bCs/>
                      <w:szCs w:val="21"/>
                    </w:rPr>
                  </w:pPr>
                  <w:r>
                    <w:rPr>
                      <w:rFonts w:hint="eastAsia"/>
                      <w:bCs/>
                      <w:szCs w:val="21"/>
                    </w:rPr>
                    <w:t>90</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三乙醇胺</w:t>
                  </w:r>
                </w:p>
              </w:tc>
              <w:tc>
                <w:tcPr>
                  <w:tcW w:w="826" w:type="pct"/>
                  <w:shd w:val="clear" w:color="auto" w:fill="auto"/>
                  <w:vAlign w:val="center"/>
                </w:tcPr>
                <w:p>
                  <w:pPr>
                    <w:jc w:val="center"/>
                    <w:rPr>
                      <w:bCs/>
                      <w:szCs w:val="21"/>
                    </w:rPr>
                  </w:pPr>
                  <w:r>
                    <w:rPr>
                      <w:rFonts w:hint="eastAsia"/>
                      <w:bCs/>
                      <w:szCs w:val="21"/>
                    </w:rPr>
                    <w:t>1104</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16.56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一乙醇胺</w:t>
                  </w:r>
                </w:p>
              </w:tc>
              <w:tc>
                <w:tcPr>
                  <w:tcW w:w="826" w:type="pct"/>
                  <w:shd w:val="clear" w:color="auto" w:fill="auto"/>
                  <w:vAlign w:val="center"/>
                </w:tcPr>
                <w:p>
                  <w:pPr>
                    <w:jc w:val="center"/>
                    <w:rPr>
                      <w:bCs/>
                      <w:szCs w:val="21"/>
                    </w:rPr>
                  </w:pPr>
                  <w:r>
                    <w:rPr>
                      <w:rFonts w:hint="eastAsia"/>
                      <w:bCs/>
                      <w:szCs w:val="21"/>
                    </w:rPr>
                    <w:t>30</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环烷油</w:t>
                  </w:r>
                  <w:r>
                    <w:rPr>
                      <w:color w:val="000000"/>
                      <w:kern w:val="0"/>
                      <w:szCs w:val="21"/>
                    </w:rPr>
                    <w:t>K30</w:t>
                  </w:r>
                </w:p>
              </w:tc>
              <w:tc>
                <w:tcPr>
                  <w:tcW w:w="826" w:type="pct"/>
                  <w:shd w:val="clear" w:color="auto" w:fill="auto"/>
                  <w:vAlign w:val="center"/>
                </w:tcPr>
                <w:p>
                  <w:pPr>
                    <w:jc w:val="center"/>
                    <w:rPr>
                      <w:bCs/>
                      <w:szCs w:val="21"/>
                    </w:rPr>
                  </w:pPr>
                  <w:r>
                    <w:rPr>
                      <w:rFonts w:hint="eastAsia"/>
                      <w:bCs/>
                      <w:szCs w:val="21"/>
                    </w:rPr>
                    <w:t>201.6</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3.024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妥尔油</w:t>
                  </w:r>
                </w:p>
              </w:tc>
              <w:tc>
                <w:tcPr>
                  <w:tcW w:w="826" w:type="pct"/>
                  <w:shd w:val="clear" w:color="auto" w:fill="auto"/>
                  <w:vAlign w:val="center"/>
                </w:tcPr>
                <w:p>
                  <w:pPr>
                    <w:jc w:val="center"/>
                    <w:rPr>
                      <w:bCs/>
                      <w:szCs w:val="21"/>
                    </w:rPr>
                  </w:pPr>
                  <w:r>
                    <w:rPr>
                      <w:rFonts w:hint="eastAsia"/>
                      <w:bCs/>
                      <w:szCs w:val="21"/>
                    </w:rPr>
                    <w:t>28.8</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0.432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司盘</w:t>
                  </w:r>
                  <w:r>
                    <w:rPr>
                      <w:color w:val="000000"/>
                      <w:kern w:val="0"/>
                      <w:szCs w:val="21"/>
                    </w:rPr>
                    <w:t>80</w:t>
                  </w:r>
                </w:p>
              </w:tc>
              <w:tc>
                <w:tcPr>
                  <w:tcW w:w="826" w:type="pct"/>
                  <w:shd w:val="clear" w:color="auto" w:fill="auto"/>
                  <w:vAlign w:val="center"/>
                </w:tcPr>
                <w:p>
                  <w:pPr>
                    <w:jc w:val="center"/>
                    <w:rPr>
                      <w:bCs/>
                      <w:szCs w:val="21"/>
                    </w:rPr>
                  </w:pPr>
                  <w:r>
                    <w:rPr>
                      <w:rFonts w:hint="eastAsia"/>
                      <w:bCs/>
                      <w:szCs w:val="21"/>
                    </w:rPr>
                    <w:t>14.4</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0.216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三乙醇胺硼酸酯</w:t>
                  </w:r>
                </w:p>
              </w:tc>
              <w:tc>
                <w:tcPr>
                  <w:tcW w:w="826" w:type="pct"/>
                  <w:shd w:val="clear" w:color="auto" w:fill="auto"/>
                  <w:vAlign w:val="center"/>
                </w:tcPr>
                <w:p>
                  <w:pPr>
                    <w:jc w:val="center"/>
                    <w:rPr>
                      <w:bCs/>
                      <w:szCs w:val="21"/>
                    </w:rPr>
                  </w:pPr>
                  <w:r>
                    <w:rPr>
                      <w:rFonts w:hint="eastAsia"/>
                      <w:bCs/>
                      <w:szCs w:val="21"/>
                    </w:rPr>
                    <w:t>18</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石油磺酸钠</w:t>
                  </w:r>
                  <w:r>
                    <w:rPr>
                      <w:color w:val="000000"/>
                      <w:kern w:val="0"/>
                      <w:szCs w:val="21"/>
                    </w:rPr>
                    <w:t>T702</w:t>
                  </w:r>
                </w:p>
              </w:tc>
              <w:tc>
                <w:tcPr>
                  <w:tcW w:w="826" w:type="pct"/>
                  <w:shd w:val="clear" w:color="auto" w:fill="auto"/>
                  <w:vAlign w:val="center"/>
                </w:tcPr>
                <w:p>
                  <w:pPr>
                    <w:jc w:val="center"/>
                    <w:rPr>
                      <w:bCs/>
                      <w:szCs w:val="21"/>
                    </w:rPr>
                  </w:pPr>
                  <w:r>
                    <w:rPr>
                      <w:rFonts w:hint="eastAsia"/>
                      <w:bCs/>
                      <w:szCs w:val="21"/>
                    </w:rPr>
                    <w:t>57.6</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0.864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菜籽油</w:t>
                  </w:r>
                </w:p>
              </w:tc>
              <w:tc>
                <w:tcPr>
                  <w:tcW w:w="826" w:type="pct"/>
                  <w:shd w:val="clear" w:color="auto" w:fill="auto"/>
                  <w:vAlign w:val="center"/>
                </w:tcPr>
                <w:p>
                  <w:pPr>
                    <w:jc w:val="center"/>
                    <w:rPr>
                      <w:bCs/>
                      <w:szCs w:val="21"/>
                    </w:rPr>
                  </w:pPr>
                  <w:r>
                    <w:rPr>
                      <w:rFonts w:hint="eastAsia"/>
                      <w:bCs/>
                      <w:szCs w:val="21"/>
                    </w:rPr>
                    <w:t>78</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1.17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三羟甲基丙烷油酸脂</w:t>
                  </w:r>
                </w:p>
              </w:tc>
              <w:tc>
                <w:tcPr>
                  <w:tcW w:w="826" w:type="pct"/>
                  <w:shd w:val="clear" w:color="auto" w:fill="auto"/>
                  <w:vAlign w:val="center"/>
                </w:tcPr>
                <w:p>
                  <w:pPr>
                    <w:jc w:val="center"/>
                    <w:rPr>
                      <w:bCs/>
                      <w:szCs w:val="21"/>
                    </w:rPr>
                  </w:pPr>
                  <w:r>
                    <w:rPr>
                      <w:rFonts w:hint="eastAsia"/>
                      <w:bCs/>
                      <w:szCs w:val="21"/>
                    </w:rPr>
                    <w:t>96</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1.44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轻质白油</w:t>
                  </w:r>
                  <w:r>
                    <w:rPr>
                      <w:color w:val="000000"/>
                      <w:kern w:val="0"/>
                      <w:szCs w:val="21"/>
                    </w:rPr>
                    <w:t>D100</w:t>
                  </w:r>
                </w:p>
              </w:tc>
              <w:tc>
                <w:tcPr>
                  <w:tcW w:w="826" w:type="pct"/>
                  <w:shd w:val="clear" w:color="auto" w:fill="auto"/>
                  <w:vAlign w:val="center"/>
                </w:tcPr>
                <w:p>
                  <w:pPr>
                    <w:jc w:val="center"/>
                    <w:rPr>
                      <w:bCs/>
                      <w:szCs w:val="21"/>
                    </w:rPr>
                  </w:pPr>
                  <w:r>
                    <w:rPr>
                      <w:rFonts w:hint="eastAsia"/>
                      <w:bCs/>
                      <w:szCs w:val="21"/>
                    </w:rPr>
                    <w:t>374.4</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5.616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color w:val="000000"/>
                      <w:kern w:val="0"/>
                      <w:szCs w:val="21"/>
                    </w:rPr>
                    <w:t>10#</w:t>
                  </w:r>
                  <w:r>
                    <w:rPr>
                      <w:rFonts w:hAnsi="宋体"/>
                      <w:color w:val="000000"/>
                      <w:kern w:val="0"/>
                      <w:szCs w:val="21"/>
                    </w:rPr>
                    <w:t>基础白油</w:t>
                  </w:r>
                </w:p>
              </w:tc>
              <w:tc>
                <w:tcPr>
                  <w:tcW w:w="826" w:type="pct"/>
                  <w:shd w:val="clear" w:color="auto" w:fill="auto"/>
                  <w:vAlign w:val="center"/>
                </w:tcPr>
                <w:p>
                  <w:pPr>
                    <w:jc w:val="center"/>
                    <w:rPr>
                      <w:bCs/>
                      <w:szCs w:val="21"/>
                    </w:rPr>
                  </w:pPr>
                  <w:r>
                    <w:rPr>
                      <w:rFonts w:hint="eastAsia"/>
                      <w:bCs/>
                      <w:szCs w:val="21"/>
                    </w:rPr>
                    <w:t>72</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color w:val="000000"/>
                      <w:kern w:val="0"/>
                      <w:szCs w:val="21"/>
                    </w:rPr>
                    <w:t>150BS</w:t>
                  </w:r>
                  <w:r>
                    <w:rPr>
                      <w:rFonts w:hAnsi="宋体"/>
                      <w:color w:val="000000"/>
                      <w:kern w:val="0"/>
                      <w:szCs w:val="21"/>
                    </w:rPr>
                    <w:t>基础白油</w:t>
                  </w:r>
                </w:p>
              </w:tc>
              <w:tc>
                <w:tcPr>
                  <w:tcW w:w="826" w:type="pct"/>
                  <w:shd w:val="clear" w:color="auto" w:fill="auto"/>
                  <w:vAlign w:val="center"/>
                </w:tcPr>
                <w:p>
                  <w:pPr>
                    <w:jc w:val="center"/>
                    <w:rPr>
                      <w:bCs/>
                      <w:szCs w:val="21"/>
                    </w:rPr>
                  </w:pPr>
                  <w:r>
                    <w:rPr>
                      <w:rFonts w:hint="eastAsia"/>
                      <w:bCs/>
                      <w:szCs w:val="21"/>
                    </w:rPr>
                    <w:t>90</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szCs w:val="21"/>
                    </w:rPr>
                  </w:pPr>
                  <w:r>
                    <w:rPr>
                      <w:rFonts w:hAnsi="宋体"/>
                      <w:color w:val="000000"/>
                      <w:kern w:val="0"/>
                      <w:szCs w:val="21"/>
                    </w:rPr>
                    <w:t>聚异丁烯</w:t>
                  </w:r>
                  <w:r>
                    <w:rPr>
                      <w:color w:val="000000"/>
                      <w:kern w:val="0"/>
                      <w:szCs w:val="21"/>
                    </w:rPr>
                    <w:t>1300</w:t>
                  </w:r>
                </w:p>
              </w:tc>
              <w:tc>
                <w:tcPr>
                  <w:tcW w:w="826" w:type="pct"/>
                  <w:shd w:val="clear" w:color="auto" w:fill="auto"/>
                  <w:vAlign w:val="center"/>
                </w:tcPr>
                <w:p>
                  <w:pPr>
                    <w:jc w:val="center"/>
                    <w:rPr>
                      <w:bCs/>
                      <w:szCs w:val="21"/>
                    </w:rPr>
                  </w:pPr>
                  <w:r>
                    <w:rPr>
                      <w:rFonts w:hint="eastAsia"/>
                      <w:bCs/>
                      <w:szCs w:val="21"/>
                    </w:rPr>
                    <w:t>66</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0.99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color w:val="000000"/>
                      <w:kern w:val="0"/>
                      <w:szCs w:val="21"/>
                    </w:rPr>
                  </w:pPr>
                  <w:r>
                    <w:rPr>
                      <w:rFonts w:hAnsi="宋体"/>
                      <w:color w:val="000000"/>
                      <w:kern w:val="0"/>
                      <w:szCs w:val="21"/>
                    </w:rPr>
                    <w:t>二丙二醇二甲醚</w:t>
                  </w:r>
                </w:p>
              </w:tc>
              <w:tc>
                <w:tcPr>
                  <w:tcW w:w="826" w:type="pct"/>
                  <w:shd w:val="clear" w:color="auto" w:fill="auto"/>
                  <w:vAlign w:val="center"/>
                </w:tcPr>
                <w:p>
                  <w:pPr>
                    <w:jc w:val="center"/>
                    <w:rPr>
                      <w:bCs/>
                      <w:szCs w:val="21"/>
                    </w:rPr>
                  </w:pPr>
                  <w:r>
                    <w:rPr>
                      <w:rFonts w:hint="eastAsia"/>
                      <w:bCs/>
                      <w:szCs w:val="21"/>
                    </w:rPr>
                    <w:t>756</w:t>
                  </w:r>
                </w:p>
              </w:tc>
              <w:tc>
                <w:tcPr>
                  <w:tcW w:w="978" w:type="pct"/>
                  <w:shd w:val="clear" w:color="auto" w:fill="auto"/>
                  <w:vAlign w:val="center"/>
                </w:tcPr>
                <w:p>
                  <w:pPr>
                    <w:jc w:val="center"/>
                    <w:rPr>
                      <w:bCs/>
                      <w:szCs w:val="21"/>
                    </w:rPr>
                  </w:pPr>
                  <w:r>
                    <w:rPr>
                      <w:rFonts w:hint="eastAsia"/>
                      <w:bCs/>
                      <w:szCs w:val="21"/>
                    </w:rPr>
                    <w:t>吨桶</w:t>
                  </w:r>
                </w:p>
              </w:tc>
              <w:tc>
                <w:tcPr>
                  <w:tcW w:w="978" w:type="pct"/>
                  <w:shd w:val="clear" w:color="auto" w:fill="auto"/>
                  <w:vAlign w:val="center"/>
                </w:tcPr>
                <w:p>
                  <w:pPr>
                    <w:jc w:val="center"/>
                    <w:rPr>
                      <w:bCs/>
                      <w:szCs w:val="21"/>
                    </w:rPr>
                  </w:pPr>
                  <w:r>
                    <w:rPr>
                      <w:rFonts w:hint="eastAsia"/>
                      <w:bCs/>
                      <w:szCs w:val="21"/>
                    </w:rPr>
                    <w:t>15</w:t>
                  </w:r>
                </w:p>
              </w:tc>
              <w:tc>
                <w:tcPr>
                  <w:tcW w:w="851" w:type="pct"/>
                  <w:shd w:val="clear" w:color="auto" w:fill="auto"/>
                  <w:vAlign w:val="center"/>
                </w:tcPr>
                <w:p>
                  <w:pPr>
                    <w:jc w:val="center"/>
                    <w:rPr>
                      <w:color w:val="000000"/>
                      <w:szCs w:val="21"/>
                    </w:rPr>
                  </w:pPr>
                  <w:r>
                    <w:rPr>
                      <w:color w:val="000000"/>
                      <w:szCs w:val="21"/>
                    </w:rPr>
                    <w:t>11.34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67" w:type="pct"/>
                  <w:shd w:val="clear" w:color="auto" w:fill="auto"/>
                  <w:vAlign w:val="center"/>
                </w:tcPr>
                <w:p>
                  <w:pPr>
                    <w:widowControl/>
                    <w:jc w:val="center"/>
                    <w:textAlignment w:val="center"/>
                    <w:rPr>
                      <w:rFonts w:hAnsi="宋体"/>
                      <w:color w:val="000000"/>
                      <w:kern w:val="0"/>
                      <w:szCs w:val="21"/>
                    </w:rPr>
                  </w:pPr>
                  <w:r>
                    <w:rPr>
                      <w:rFonts w:hAnsi="宋体"/>
                      <w:color w:val="000000"/>
                      <w:kern w:val="0"/>
                      <w:szCs w:val="21"/>
                    </w:rPr>
                    <w:t>合计</w:t>
                  </w:r>
                </w:p>
              </w:tc>
              <w:tc>
                <w:tcPr>
                  <w:tcW w:w="826" w:type="pct"/>
                  <w:shd w:val="clear" w:color="auto" w:fill="auto"/>
                  <w:vAlign w:val="center"/>
                </w:tcPr>
                <w:p>
                  <w:pPr>
                    <w:jc w:val="center"/>
                    <w:rPr>
                      <w:bCs/>
                      <w:szCs w:val="21"/>
                    </w:rPr>
                  </w:pPr>
                  <w:r>
                    <w:rPr>
                      <w:rFonts w:hint="eastAsia"/>
                      <w:bCs/>
                      <w:szCs w:val="21"/>
                    </w:rPr>
                    <w:t>3712.8</w:t>
                  </w:r>
                </w:p>
              </w:tc>
              <w:tc>
                <w:tcPr>
                  <w:tcW w:w="978" w:type="pct"/>
                  <w:shd w:val="clear" w:color="auto" w:fill="auto"/>
                  <w:vAlign w:val="center"/>
                </w:tcPr>
                <w:p>
                  <w:pPr>
                    <w:jc w:val="center"/>
                    <w:rPr>
                      <w:bCs/>
                      <w:szCs w:val="21"/>
                    </w:rPr>
                  </w:pPr>
                  <w:r>
                    <w:rPr>
                      <w:rFonts w:hint="eastAsia"/>
                      <w:bCs/>
                      <w:szCs w:val="21"/>
                    </w:rPr>
                    <w:t>/</w:t>
                  </w:r>
                </w:p>
              </w:tc>
              <w:tc>
                <w:tcPr>
                  <w:tcW w:w="978" w:type="pct"/>
                  <w:shd w:val="clear" w:color="auto" w:fill="auto"/>
                  <w:vAlign w:val="center"/>
                </w:tcPr>
                <w:p>
                  <w:pPr>
                    <w:jc w:val="center"/>
                    <w:rPr>
                      <w:bCs/>
                      <w:szCs w:val="21"/>
                    </w:rPr>
                  </w:pPr>
                </w:p>
              </w:tc>
              <w:tc>
                <w:tcPr>
                  <w:tcW w:w="851" w:type="pct"/>
                  <w:shd w:val="clear" w:color="auto" w:fill="auto"/>
                  <w:vAlign w:val="center"/>
                </w:tcPr>
                <w:p>
                  <w:pPr>
                    <w:pStyle w:val="4"/>
                    <w:spacing w:after="0"/>
                    <w:ind w:left="0" w:leftChars="0" w:firstLine="0" w:firstLineChars="0"/>
                    <w:jc w:val="center"/>
                    <w:rPr>
                      <w:szCs w:val="21"/>
                    </w:rPr>
                  </w:pPr>
                  <w:r>
                    <w:rPr>
                      <w:rFonts w:hint="eastAsia"/>
                      <w:szCs w:val="21"/>
                    </w:rPr>
                    <w:t>58.674</w:t>
                  </w:r>
                </w:p>
              </w:tc>
            </w:tr>
          </w:tbl>
          <w:p>
            <w:pPr>
              <w:autoSpaceDE w:val="0"/>
              <w:autoSpaceDN w:val="0"/>
              <w:adjustRightInd w:val="0"/>
              <w:spacing w:line="360" w:lineRule="auto"/>
              <w:ind w:firstLine="480" w:firstLineChars="200"/>
              <w:rPr>
                <w:bCs/>
                <w:sz w:val="24"/>
              </w:rPr>
            </w:pPr>
            <w:r>
              <w:rPr>
                <w:rFonts w:hint="eastAsia"/>
                <w:sz w:val="24"/>
              </w:rPr>
              <w:t>由计算可得，原料空中转桶共计产生量58.674t/a，中转桶在车间妥善收集，转移过程可能发生破损，破损率取2%，则完好空桶产生量为57.50t/a，可由原料厂商回收重复利用，但在车间暂存时需作为危废管理，落实台账管理制度，如实记录产生量、转移量、转移去向，并签订回收协议。破损桶（1.174t/a）作为危废处置</w:t>
            </w:r>
            <w:r>
              <w:rPr>
                <w:rFonts w:hint="eastAsia"/>
                <w:bCs/>
                <w:sz w:val="24"/>
              </w:rPr>
              <w:t>，根据《国家危险废物名录》（2021年版），其代码为HW49 900-041-49。</w:t>
            </w:r>
          </w:p>
          <w:p>
            <w:pPr>
              <w:autoSpaceDE w:val="0"/>
              <w:autoSpaceDN w:val="0"/>
              <w:adjustRightInd w:val="0"/>
              <w:spacing w:line="360" w:lineRule="auto"/>
              <w:ind w:firstLine="482" w:firstLineChars="200"/>
              <w:rPr>
                <w:b/>
                <w:sz w:val="24"/>
              </w:rPr>
            </w:pPr>
            <w:r>
              <w:rPr>
                <w:rFonts w:hint="eastAsia"/>
                <w:b/>
                <w:sz w:val="24"/>
              </w:rPr>
              <w:t>（3）回收粉尘</w:t>
            </w:r>
          </w:p>
          <w:p>
            <w:pPr>
              <w:autoSpaceDE w:val="0"/>
              <w:autoSpaceDN w:val="0"/>
              <w:adjustRightInd w:val="0"/>
              <w:spacing w:line="360" w:lineRule="auto"/>
              <w:ind w:firstLine="480" w:firstLineChars="200"/>
              <w:rPr>
                <w:bCs/>
                <w:sz w:val="24"/>
              </w:rPr>
            </w:pPr>
            <w:r>
              <w:rPr>
                <w:rFonts w:hint="eastAsia"/>
                <w:bCs/>
                <w:sz w:val="24"/>
              </w:rPr>
              <w:t>根据废气分析，投料粉尘产生量2.343t/a，收集效率90%，净化效率99%，则布袋除尘器收集的粉料约2.088t/a，其成分为五水偏硅酸钠、葡萄糖酸钠、乙二胺四乙酸二钠（EDTA）等各类粉料混合物，无法继续回收使用，需作为危险废物委托资质单位处置，根据《国家危险废物名录》（2021年版），其代码为HW49 900-999-49。</w:t>
            </w:r>
          </w:p>
          <w:p>
            <w:pPr>
              <w:pStyle w:val="2"/>
              <w:spacing w:line="360" w:lineRule="auto"/>
              <w:ind w:firstLine="482" w:firstLineChars="200"/>
              <w:jc w:val="both"/>
              <w:rPr>
                <w:rFonts w:ascii="Times New Roman" w:cs="Times New Roman"/>
                <w:b/>
                <w:color w:val="auto"/>
                <w:lang w:val="zh-CN"/>
              </w:rPr>
            </w:pPr>
            <w:r>
              <w:rPr>
                <w:rFonts w:ascii="Times New Roman" w:cs="Times New Roman"/>
                <w:b/>
                <w:color w:val="auto"/>
              </w:rPr>
              <w:t>（</w:t>
            </w:r>
            <w:r>
              <w:rPr>
                <w:rFonts w:hint="eastAsia" w:ascii="Times New Roman" w:cs="Times New Roman"/>
                <w:b/>
                <w:color w:val="auto"/>
              </w:rPr>
              <w:t>4</w:t>
            </w:r>
            <w:r>
              <w:rPr>
                <w:rFonts w:ascii="Times New Roman" w:cs="Times New Roman"/>
                <w:b/>
                <w:color w:val="auto"/>
              </w:rPr>
              <w:t>）</w:t>
            </w:r>
            <w:r>
              <w:rPr>
                <w:rFonts w:hint="eastAsia" w:ascii="Times New Roman" w:cs="Times New Roman"/>
                <w:b/>
                <w:color w:val="auto"/>
                <w:lang w:val="zh-CN"/>
              </w:rPr>
              <w:t>纯水过滤材料</w:t>
            </w:r>
          </w:p>
          <w:p>
            <w:pPr>
              <w:spacing w:line="360" w:lineRule="auto"/>
              <w:ind w:firstLine="480" w:firstLineChars="200"/>
              <w:rPr>
                <w:rFonts w:hAnsi="宋体"/>
                <w:b/>
                <w:kern w:val="0"/>
                <w:sz w:val="24"/>
              </w:rPr>
            </w:pPr>
            <w:r>
              <w:rPr>
                <w:rFonts w:hint="eastAsia"/>
                <w:sz w:val="24"/>
              </w:rPr>
              <w:t>项目设置1台制纯水机，纯水制备过程中需定期对设备中的反渗透树脂膜、活性炭、滤芯进行更换，类比其他制纯水设备，纯水过滤材料年产生量约0.1t/a，收集后由设备商回收利用</w:t>
            </w:r>
            <w:r>
              <w:rPr>
                <w:sz w:val="24"/>
              </w:rPr>
              <w:t>。</w:t>
            </w:r>
          </w:p>
          <w:p>
            <w:pPr>
              <w:autoSpaceDE w:val="0"/>
              <w:autoSpaceDN w:val="0"/>
              <w:adjustRightInd w:val="0"/>
              <w:spacing w:line="360" w:lineRule="auto"/>
              <w:ind w:firstLine="482" w:firstLineChars="200"/>
              <w:rPr>
                <w:b/>
                <w:sz w:val="24"/>
              </w:rPr>
            </w:pPr>
            <w:r>
              <w:rPr>
                <w:rFonts w:hint="eastAsia"/>
                <w:b/>
                <w:sz w:val="24"/>
              </w:rPr>
              <w:t>（5）废活性炭</w:t>
            </w:r>
          </w:p>
          <w:p>
            <w:pPr>
              <w:spacing w:line="360" w:lineRule="auto"/>
              <w:ind w:firstLine="480" w:firstLineChars="200"/>
              <w:rPr>
                <w:rFonts w:hAnsi="宋体"/>
                <w:kern w:val="0"/>
                <w:sz w:val="24"/>
              </w:rPr>
            </w:pPr>
            <w:r>
              <w:rPr>
                <w:rFonts w:hint="eastAsia"/>
                <w:sz w:val="24"/>
              </w:rPr>
              <w:t>本项目生产车间产生的有机废气，采用“二级活性炭吸附”处理设施进行处理。结合前文工程分析，本项目被活性炭单元吸附的有机废气量约为0.755t/a，类比同类行业，活性炭的使用量与有机废气的质量比为4：1，即活性炭的吸附容量按25%计算，则废气治理所需活性炭量为3.02t/a，加上吸附的有机废气，则废活性炭产生量约为3.775t/a。根据《国家危险废物名录》（2021年），废活性炭属于危险废物HW49，废物代码：900-039-49，经收集后暂存与厂区危废暂存间内，定期委托有相应类别危险废物处置资质的单位回收处置，同时暂存过程按危险废物的有关规定和要求进行环境监管</w:t>
            </w:r>
            <w:r>
              <w:rPr>
                <w:sz w:val="24"/>
              </w:rPr>
              <w:t>。</w:t>
            </w:r>
          </w:p>
          <w:p>
            <w:pPr>
              <w:autoSpaceDE w:val="0"/>
              <w:autoSpaceDN w:val="0"/>
              <w:adjustRightInd w:val="0"/>
              <w:spacing w:line="360" w:lineRule="auto"/>
              <w:ind w:firstLine="482" w:firstLineChars="200"/>
              <w:rPr>
                <w:b/>
                <w:sz w:val="24"/>
              </w:rPr>
            </w:pPr>
            <w:r>
              <w:rPr>
                <w:rFonts w:hint="eastAsia"/>
                <w:b/>
                <w:sz w:val="24"/>
              </w:rPr>
              <w:t>（6）废棉纱及废手套</w:t>
            </w:r>
          </w:p>
          <w:p>
            <w:pPr>
              <w:autoSpaceDE w:val="0"/>
              <w:autoSpaceDN w:val="0"/>
              <w:adjustRightInd w:val="0"/>
              <w:spacing w:line="360" w:lineRule="auto"/>
              <w:ind w:firstLine="480" w:firstLineChars="200"/>
              <w:rPr>
                <w:sz w:val="24"/>
              </w:rPr>
            </w:pPr>
            <w:r>
              <w:rPr>
                <w:rFonts w:hint="eastAsia"/>
                <w:sz w:val="24"/>
              </w:rPr>
              <w:t>员工生产作业过程中将产生沾有各种有机溶剂的废棉纱及废手套，产生量约0.1t/a，根据《国家危险废物名录》（2021年），废棉纱及废手套属于危险废物HW49，废物代码：900-041-49，经收集后暂存与厂区危废暂存间内，定期委托有相应类别危险废物处置资质的单位回收处置，同时暂存过程按危险废物的有关规定和要求进行环境监管。</w:t>
            </w:r>
          </w:p>
          <w:p>
            <w:pPr>
              <w:autoSpaceDE w:val="0"/>
              <w:autoSpaceDN w:val="0"/>
              <w:adjustRightInd w:val="0"/>
              <w:spacing w:line="360" w:lineRule="auto"/>
              <w:ind w:firstLine="482" w:firstLineChars="200"/>
              <w:rPr>
                <w:b/>
                <w:sz w:val="24"/>
              </w:rPr>
            </w:pPr>
            <w:r>
              <w:rPr>
                <w:rFonts w:hint="eastAsia"/>
                <w:b/>
                <w:sz w:val="24"/>
              </w:rPr>
              <w:t>（7）废机油</w:t>
            </w:r>
          </w:p>
          <w:p>
            <w:pPr>
              <w:autoSpaceDE w:val="0"/>
              <w:autoSpaceDN w:val="0"/>
              <w:adjustRightInd w:val="0"/>
              <w:spacing w:line="360" w:lineRule="auto"/>
              <w:ind w:firstLine="480" w:firstLineChars="200"/>
              <w:rPr>
                <w:bCs/>
                <w:sz w:val="24"/>
              </w:rPr>
            </w:pPr>
            <w:r>
              <w:rPr>
                <w:rFonts w:hint="eastAsia"/>
                <w:bCs/>
                <w:sz w:val="24"/>
              </w:rPr>
              <w:t>项目设备维修养护时会产生一定量的废机油，产生量约为0.1t/a</w:t>
            </w:r>
            <w:r>
              <w:rPr>
                <w:rFonts w:hint="eastAsia"/>
                <w:sz w:val="24"/>
              </w:rPr>
              <w:t>，根据《国家危险废物名录》（2021年），废机油属于危险废物HW08，废物代码：</w:t>
            </w:r>
            <w:r>
              <w:rPr>
                <w:rFonts w:hint="eastAsia"/>
                <w:bCs/>
                <w:sz w:val="24"/>
              </w:rPr>
              <w:t>900-214-08</w:t>
            </w:r>
            <w:r>
              <w:rPr>
                <w:rFonts w:hint="eastAsia"/>
                <w:sz w:val="24"/>
              </w:rPr>
              <w:t>，经收集后暂存与厂区危废暂存间内，定期委托有相应类别危险废物处置资质的单位回收处置，同时暂存过程按危险废物的有关规定和要求进行环境监管。</w:t>
            </w:r>
          </w:p>
          <w:p>
            <w:pPr>
              <w:autoSpaceDE w:val="0"/>
              <w:autoSpaceDN w:val="0"/>
              <w:adjustRightInd w:val="0"/>
              <w:spacing w:line="360" w:lineRule="auto"/>
              <w:ind w:firstLine="482" w:firstLineChars="200"/>
              <w:rPr>
                <w:b/>
                <w:sz w:val="24"/>
              </w:rPr>
            </w:pPr>
            <w:r>
              <w:rPr>
                <w:rFonts w:hint="eastAsia"/>
                <w:b/>
                <w:sz w:val="24"/>
              </w:rPr>
              <w:t>（8）废含油手套</w:t>
            </w:r>
          </w:p>
          <w:p>
            <w:pPr>
              <w:spacing w:line="360" w:lineRule="auto"/>
              <w:ind w:firstLine="480" w:firstLineChars="200"/>
              <w:rPr>
                <w:rFonts w:hAnsi="宋体"/>
                <w:b/>
                <w:kern w:val="0"/>
                <w:sz w:val="24"/>
              </w:rPr>
            </w:pPr>
            <w:r>
              <w:rPr>
                <w:rFonts w:hint="eastAsia"/>
                <w:bCs/>
                <w:sz w:val="24"/>
              </w:rPr>
              <w:t>项目设备维修养护时会产生一定量的废含油手套，产生量约为0.1t/a</w:t>
            </w:r>
            <w:r>
              <w:rPr>
                <w:rFonts w:hint="eastAsia"/>
                <w:sz w:val="24"/>
              </w:rPr>
              <w:t>，根据《国家危险废物名录》（2021年），废含油手套属于危险废物HW49，废物代码：900-041-49，经收集后暂存与厂区危废暂存间内，定期委托有相应类别危险废物处置资质的单位回收处置，同时暂存过程按危险废物的有关规定和要求进行环境监管。</w:t>
            </w:r>
          </w:p>
          <w:p>
            <w:pPr>
              <w:spacing w:line="360" w:lineRule="auto"/>
              <w:ind w:firstLine="482" w:firstLineChars="200"/>
              <w:rPr>
                <w:rFonts w:hAnsi="宋体"/>
                <w:b/>
                <w:kern w:val="0"/>
                <w:sz w:val="24"/>
              </w:rPr>
            </w:pPr>
            <w:r>
              <w:rPr>
                <w:rFonts w:hint="eastAsia"/>
                <w:b/>
                <w:sz w:val="24"/>
              </w:rPr>
              <w:t>（9）</w:t>
            </w:r>
            <w:r>
              <w:rPr>
                <w:rFonts w:hint="eastAsia" w:hAnsi="宋体"/>
                <w:b/>
                <w:kern w:val="0"/>
                <w:sz w:val="24"/>
              </w:rPr>
              <w:t>员工生活垃圾</w:t>
            </w:r>
          </w:p>
          <w:p>
            <w:pPr>
              <w:spacing w:line="360" w:lineRule="auto"/>
              <w:ind w:firstLine="480" w:firstLineChars="200"/>
              <w:rPr>
                <w:rFonts w:hAnsi="宋体"/>
                <w:b/>
                <w:kern w:val="0"/>
                <w:sz w:val="24"/>
              </w:rPr>
            </w:pPr>
            <w:r>
              <w:rPr>
                <w:rFonts w:hint="eastAsia"/>
                <w:sz w:val="24"/>
              </w:rPr>
              <w:t>项目劳动定员150人</w:t>
            </w:r>
            <w:r>
              <w:rPr>
                <w:rFonts w:eastAsiaTheme="majorEastAsia"/>
                <w:kern w:val="0"/>
                <w:sz w:val="24"/>
              </w:rPr>
              <w:t>，</w:t>
            </w:r>
            <w:r>
              <w:rPr>
                <w:rFonts w:hint="eastAsia"/>
                <w:sz w:val="24"/>
              </w:rPr>
              <w:t>按人均产生垃圾1kg/d计，生活垃圾产生总量为0.15t/d（42t/a），项目生活垃圾委托当地环卫部门清运处理。</w:t>
            </w:r>
          </w:p>
          <w:p>
            <w:pPr>
              <w:autoSpaceDE w:val="0"/>
              <w:autoSpaceDN w:val="0"/>
              <w:adjustRightInd w:val="0"/>
              <w:spacing w:line="360" w:lineRule="auto"/>
              <w:ind w:firstLine="440" w:firstLineChars="200"/>
              <w:rPr>
                <w:bCs/>
                <w:spacing w:val="-10"/>
                <w:sz w:val="24"/>
              </w:rPr>
            </w:pPr>
            <w:r>
              <w:rPr>
                <w:bCs/>
                <w:spacing w:val="-10"/>
                <w:sz w:val="24"/>
              </w:rPr>
              <w:t>项目固体废物产排情况一览表见表</w:t>
            </w:r>
            <w:r>
              <w:rPr>
                <w:rFonts w:hint="eastAsia"/>
                <w:bCs/>
                <w:spacing w:val="-10"/>
                <w:sz w:val="24"/>
              </w:rPr>
              <w:t>4-20</w:t>
            </w:r>
            <w:r>
              <w:rPr>
                <w:bCs/>
                <w:spacing w:val="-10"/>
                <w:sz w:val="24"/>
              </w:rPr>
              <w:t>。</w:t>
            </w:r>
          </w:p>
          <w:p>
            <w:pPr>
              <w:spacing w:beforeLines="50"/>
              <w:jc w:val="center"/>
              <w:rPr>
                <w:b/>
                <w:szCs w:val="21"/>
              </w:rPr>
            </w:pPr>
            <w:r>
              <w:rPr>
                <w:b/>
                <w:szCs w:val="21"/>
              </w:rPr>
              <w:t>表4-</w:t>
            </w:r>
            <w:r>
              <w:rPr>
                <w:rFonts w:hint="eastAsia"/>
                <w:b/>
                <w:szCs w:val="21"/>
              </w:rPr>
              <w:t>20</w:t>
            </w:r>
            <w:r>
              <w:rPr>
                <w:b/>
                <w:szCs w:val="21"/>
              </w:rPr>
              <w:t xml:space="preserve">  项目固体废物产生排放情况</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30"/>
              <w:gridCol w:w="740"/>
              <w:gridCol w:w="1217"/>
              <w:gridCol w:w="1338"/>
              <w:gridCol w:w="661"/>
              <w:gridCol w:w="871"/>
              <w:gridCol w:w="710"/>
              <w:gridCol w:w="676"/>
              <w:gridCol w:w="1276"/>
              <w:gridCol w:w="7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b/>
                      <w:szCs w:val="21"/>
                    </w:rPr>
                  </w:pPr>
                  <w:r>
                    <w:rPr>
                      <w:b/>
                      <w:szCs w:val="21"/>
                    </w:rPr>
                    <w:t>固体废物名称</w:t>
                  </w:r>
                </w:p>
              </w:tc>
              <w:tc>
                <w:tcPr>
                  <w:tcW w:w="393" w:type="pct"/>
                  <w:shd w:val="clear" w:color="auto" w:fill="auto"/>
                  <w:vAlign w:val="center"/>
                </w:tcPr>
                <w:p>
                  <w:pPr>
                    <w:jc w:val="center"/>
                    <w:rPr>
                      <w:b/>
                      <w:szCs w:val="21"/>
                    </w:rPr>
                  </w:pPr>
                  <w:r>
                    <w:rPr>
                      <w:b/>
                      <w:szCs w:val="21"/>
                    </w:rPr>
                    <w:t>属性</w:t>
                  </w:r>
                </w:p>
              </w:tc>
              <w:tc>
                <w:tcPr>
                  <w:tcW w:w="646" w:type="pct"/>
                  <w:shd w:val="clear" w:color="auto" w:fill="auto"/>
                  <w:vAlign w:val="center"/>
                </w:tcPr>
                <w:p>
                  <w:pPr>
                    <w:jc w:val="center"/>
                    <w:rPr>
                      <w:b/>
                      <w:szCs w:val="21"/>
                    </w:rPr>
                  </w:pPr>
                  <w:r>
                    <w:rPr>
                      <w:b/>
                      <w:szCs w:val="21"/>
                    </w:rPr>
                    <w:t>编码</w:t>
                  </w:r>
                </w:p>
              </w:tc>
              <w:tc>
                <w:tcPr>
                  <w:tcW w:w="710" w:type="pct"/>
                  <w:shd w:val="clear" w:color="auto" w:fill="auto"/>
                  <w:vAlign w:val="center"/>
                </w:tcPr>
                <w:p>
                  <w:pPr>
                    <w:jc w:val="center"/>
                    <w:rPr>
                      <w:b/>
                      <w:szCs w:val="21"/>
                    </w:rPr>
                  </w:pPr>
                  <w:r>
                    <w:rPr>
                      <w:b/>
                      <w:szCs w:val="21"/>
                    </w:rPr>
                    <w:t>主要成分</w:t>
                  </w:r>
                </w:p>
              </w:tc>
              <w:tc>
                <w:tcPr>
                  <w:tcW w:w="351" w:type="pct"/>
                  <w:shd w:val="clear" w:color="auto" w:fill="auto"/>
                  <w:vAlign w:val="center"/>
                </w:tcPr>
                <w:p>
                  <w:pPr>
                    <w:jc w:val="center"/>
                    <w:rPr>
                      <w:b/>
                      <w:szCs w:val="21"/>
                    </w:rPr>
                  </w:pPr>
                  <w:r>
                    <w:rPr>
                      <w:b/>
                      <w:szCs w:val="21"/>
                    </w:rPr>
                    <w:t>物理性质</w:t>
                  </w:r>
                </w:p>
              </w:tc>
              <w:tc>
                <w:tcPr>
                  <w:tcW w:w="462" w:type="pct"/>
                  <w:shd w:val="clear" w:color="auto" w:fill="auto"/>
                  <w:vAlign w:val="center"/>
                </w:tcPr>
                <w:p>
                  <w:pPr>
                    <w:jc w:val="center"/>
                    <w:rPr>
                      <w:b/>
                      <w:szCs w:val="21"/>
                    </w:rPr>
                  </w:pPr>
                  <w:r>
                    <w:rPr>
                      <w:b/>
                      <w:szCs w:val="21"/>
                    </w:rPr>
                    <w:t>环境危险特性</w:t>
                  </w:r>
                </w:p>
              </w:tc>
              <w:tc>
                <w:tcPr>
                  <w:tcW w:w="377" w:type="pct"/>
                  <w:shd w:val="clear" w:color="auto" w:fill="auto"/>
                  <w:vAlign w:val="center"/>
                </w:tcPr>
                <w:p>
                  <w:pPr>
                    <w:jc w:val="center"/>
                    <w:rPr>
                      <w:b/>
                      <w:szCs w:val="21"/>
                    </w:rPr>
                  </w:pPr>
                  <w:r>
                    <w:rPr>
                      <w:b/>
                      <w:szCs w:val="21"/>
                    </w:rPr>
                    <w:t>年产生量</w:t>
                  </w:r>
                  <w:r>
                    <w:rPr>
                      <w:rFonts w:hint="eastAsia"/>
                      <w:b/>
                      <w:szCs w:val="21"/>
                    </w:rPr>
                    <w:t>t/a</w:t>
                  </w:r>
                </w:p>
              </w:tc>
              <w:tc>
                <w:tcPr>
                  <w:tcW w:w="359" w:type="pct"/>
                  <w:shd w:val="clear" w:color="auto" w:fill="auto"/>
                  <w:vAlign w:val="center"/>
                </w:tcPr>
                <w:p>
                  <w:pPr>
                    <w:jc w:val="center"/>
                    <w:rPr>
                      <w:b/>
                      <w:szCs w:val="21"/>
                    </w:rPr>
                  </w:pPr>
                  <w:r>
                    <w:rPr>
                      <w:b/>
                      <w:szCs w:val="21"/>
                    </w:rPr>
                    <w:t>贮存方式</w:t>
                  </w:r>
                </w:p>
              </w:tc>
              <w:tc>
                <w:tcPr>
                  <w:tcW w:w="677" w:type="pct"/>
                  <w:shd w:val="clear" w:color="auto" w:fill="auto"/>
                  <w:vAlign w:val="center"/>
                </w:tcPr>
                <w:p>
                  <w:pPr>
                    <w:jc w:val="center"/>
                    <w:rPr>
                      <w:b/>
                      <w:szCs w:val="21"/>
                    </w:rPr>
                  </w:pPr>
                  <w:r>
                    <w:rPr>
                      <w:b/>
                      <w:szCs w:val="21"/>
                    </w:rPr>
                    <w:t>利用处置方式和去向</w:t>
                  </w:r>
                </w:p>
              </w:tc>
              <w:tc>
                <w:tcPr>
                  <w:tcW w:w="372" w:type="pct"/>
                  <w:shd w:val="clear" w:color="auto" w:fill="auto"/>
                  <w:vAlign w:val="center"/>
                </w:tcPr>
                <w:p>
                  <w:pPr>
                    <w:jc w:val="center"/>
                    <w:rPr>
                      <w:b/>
                      <w:szCs w:val="21"/>
                    </w:rPr>
                  </w:pPr>
                  <w:r>
                    <w:rPr>
                      <w:b/>
                      <w:szCs w:val="21"/>
                    </w:rPr>
                    <w:t>利用处理量</w:t>
                  </w:r>
                  <w:r>
                    <w:rPr>
                      <w:rFonts w:hint="eastAsia"/>
                      <w:b/>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szCs w:val="21"/>
                    </w:rPr>
                  </w:pPr>
                  <w:r>
                    <w:rPr>
                      <w:rFonts w:hint="eastAsia"/>
                      <w:szCs w:val="21"/>
                    </w:rPr>
                    <w:t>废弃包装袋</w:t>
                  </w:r>
                </w:p>
              </w:tc>
              <w:tc>
                <w:tcPr>
                  <w:tcW w:w="393" w:type="pct"/>
                  <w:vMerge w:val="restart"/>
                  <w:shd w:val="clear" w:color="auto" w:fill="auto"/>
                  <w:vAlign w:val="center"/>
                </w:tcPr>
                <w:p>
                  <w:pPr>
                    <w:jc w:val="center"/>
                    <w:rPr>
                      <w:szCs w:val="21"/>
                    </w:rPr>
                  </w:pPr>
                  <w:r>
                    <w:rPr>
                      <w:szCs w:val="21"/>
                    </w:rPr>
                    <w:t>一般固废</w:t>
                  </w:r>
                </w:p>
              </w:tc>
              <w:tc>
                <w:tcPr>
                  <w:tcW w:w="646" w:type="pct"/>
                  <w:shd w:val="clear" w:color="auto" w:fill="auto"/>
                  <w:vAlign w:val="center"/>
                </w:tcPr>
                <w:p>
                  <w:pPr>
                    <w:jc w:val="center"/>
                    <w:rPr>
                      <w:szCs w:val="21"/>
                    </w:rPr>
                  </w:pPr>
                  <w:r>
                    <w:rPr>
                      <w:rFonts w:hint="eastAsia"/>
                      <w:szCs w:val="21"/>
                    </w:rPr>
                    <w:t>/</w:t>
                  </w:r>
                </w:p>
              </w:tc>
              <w:tc>
                <w:tcPr>
                  <w:tcW w:w="710" w:type="pct"/>
                  <w:shd w:val="clear" w:color="auto" w:fill="auto"/>
                  <w:vAlign w:val="center"/>
                </w:tcPr>
                <w:p>
                  <w:pPr>
                    <w:jc w:val="center"/>
                    <w:rPr>
                      <w:szCs w:val="21"/>
                    </w:rPr>
                  </w:pPr>
                  <w:r>
                    <w:rPr>
                      <w:rFonts w:hint="eastAsia"/>
                      <w:szCs w:val="21"/>
                    </w:rPr>
                    <w:t>PP、PET等</w:t>
                  </w:r>
                </w:p>
              </w:tc>
              <w:tc>
                <w:tcPr>
                  <w:tcW w:w="351" w:type="pct"/>
                  <w:shd w:val="clear" w:color="auto" w:fill="auto"/>
                  <w:vAlign w:val="center"/>
                </w:tcPr>
                <w:p>
                  <w:pPr>
                    <w:jc w:val="center"/>
                    <w:rPr>
                      <w:szCs w:val="21"/>
                    </w:rPr>
                  </w:pPr>
                  <w:r>
                    <w:rPr>
                      <w:szCs w:val="21"/>
                    </w:rPr>
                    <w:t>固态</w:t>
                  </w:r>
                </w:p>
              </w:tc>
              <w:tc>
                <w:tcPr>
                  <w:tcW w:w="462" w:type="pct"/>
                  <w:shd w:val="clear" w:color="auto" w:fill="auto"/>
                  <w:vAlign w:val="center"/>
                </w:tcPr>
                <w:p>
                  <w:pPr>
                    <w:jc w:val="center"/>
                    <w:rPr>
                      <w:szCs w:val="21"/>
                    </w:rPr>
                  </w:pPr>
                  <w:r>
                    <w:rPr>
                      <w:rFonts w:hint="eastAsia"/>
                      <w:szCs w:val="21"/>
                    </w:rPr>
                    <w:t>/</w:t>
                  </w:r>
                </w:p>
              </w:tc>
              <w:tc>
                <w:tcPr>
                  <w:tcW w:w="377" w:type="pct"/>
                  <w:shd w:val="clear" w:color="auto" w:fill="auto"/>
                  <w:vAlign w:val="center"/>
                </w:tcPr>
                <w:p>
                  <w:pPr>
                    <w:jc w:val="center"/>
                    <w:rPr>
                      <w:szCs w:val="21"/>
                    </w:rPr>
                  </w:pPr>
                  <w:r>
                    <w:rPr>
                      <w:rFonts w:hint="eastAsia"/>
                      <w:szCs w:val="21"/>
                    </w:rPr>
                    <w:t>6.7</w:t>
                  </w:r>
                </w:p>
              </w:tc>
              <w:tc>
                <w:tcPr>
                  <w:tcW w:w="359" w:type="pct"/>
                  <w:vMerge w:val="restart"/>
                  <w:shd w:val="clear" w:color="auto" w:fill="auto"/>
                  <w:vAlign w:val="center"/>
                </w:tcPr>
                <w:p>
                  <w:pPr>
                    <w:jc w:val="center"/>
                    <w:rPr>
                      <w:szCs w:val="21"/>
                    </w:rPr>
                  </w:pPr>
                  <w:r>
                    <w:rPr>
                      <w:szCs w:val="21"/>
                    </w:rPr>
                    <w:t>一般固废暂存间</w:t>
                  </w:r>
                </w:p>
              </w:tc>
              <w:tc>
                <w:tcPr>
                  <w:tcW w:w="677" w:type="pct"/>
                  <w:shd w:val="clear" w:color="auto" w:fill="auto"/>
                  <w:vAlign w:val="center"/>
                </w:tcPr>
                <w:p>
                  <w:pPr>
                    <w:jc w:val="center"/>
                    <w:rPr>
                      <w:szCs w:val="21"/>
                    </w:rPr>
                  </w:pPr>
                  <w:r>
                    <w:rPr>
                      <w:rFonts w:hint="eastAsia"/>
                      <w:szCs w:val="21"/>
                    </w:rPr>
                    <w:t>由原料生产商回收利用</w:t>
                  </w:r>
                </w:p>
              </w:tc>
              <w:tc>
                <w:tcPr>
                  <w:tcW w:w="372" w:type="pct"/>
                  <w:shd w:val="clear" w:color="auto" w:fill="auto"/>
                  <w:vAlign w:val="center"/>
                </w:tcPr>
                <w:p>
                  <w:pPr>
                    <w:jc w:val="center"/>
                    <w:rPr>
                      <w:szCs w:val="21"/>
                    </w:rPr>
                  </w:pPr>
                  <w:r>
                    <w:rPr>
                      <w:rFonts w:hint="eastAsia"/>
                      <w:szCs w:val="21"/>
                    </w:rPr>
                    <w:t>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szCs w:val="21"/>
                    </w:rPr>
                  </w:pPr>
                  <w:r>
                    <w:rPr>
                      <w:rFonts w:hint="eastAsia"/>
                      <w:szCs w:val="21"/>
                    </w:rPr>
                    <w:t>纯水过滤材料</w:t>
                  </w:r>
                </w:p>
              </w:tc>
              <w:tc>
                <w:tcPr>
                  <w:tcW w:w="393" w:type="pct"/>
                  <w:vMerge w:val="continue"/>
                  <w:shd w:val="clear" w:color="auto" w:fill="auto"/>
                  <w:vAlign w:val="center"/>
                </w:tcPr>
                <w:p>
                  <w:pPr>
                    <w:jc w:val="center"/>
                    <w:rPr>
                      <w:szCs w:val="21"/>
                    </w:rPr>
                  </w:pPr>
                </w:p>
              </w:tc>
              <w:tc>
                <w:tcPr>
                  <w:tcW w:w="646" w:type="pct"/>
                  <w:shd w:val="clear" w:color="auto" w:fill="auto"/>
                  <w:vAlign w:val="center"/>
                </w:tcPr>
                <w:p>
                  <w:pPr>
                    <w:jc w:val="center"/>
                    <w:rPr>
                      <w:szCs w:val="21"/>
                    </w:rPr>
                  </w:pPr>
                  <w:r>
                    <w:rPr>
                      <w:rFonts w:hint="eastAsia"/>
                      <w:szCs w:val="21"/>
                    </w:rPr>
                    <w:t>/</w:t>
                  </w:r>
                </w:p>
              </w:tc>
              <w:tc>
                <w:tcPr>
                  <w:tcW w:w="710" w:type="pct"/>
                  <w:shd w:val="clear" w:color="auto" w:fill="auto"/>
                  <w:vAlign w:val="center"/>
                </w:tcPr>
                <w:p>
                  <w:pPr>
                    <w:jc w:val="center"/>
                    <w:rPr>
                      <w:szCs w:val="21"/>
                    </w:rPr>
                  </w:pPr>
                  <w:r>
                    <w:rPr>
                      <w:rFonts w:hint="eastAsia"/>
                      <w:kern w:val="0"/>
                      <w:szCs w:val="21"/>
                    </w:rPr>
                    <w:t>废反渗透膜、滤芯</w:t>
                  </w:r>
                  <w:r>
                    <w:rPr>
                      <w:rFonts w:hint="eastAsia"/>
                      <w:szCs w:val="21"/>
                    </w:rPr>
                    <w:t>等</w:t>
                  </w:r>
                </w:p>
              </w:tc>
              <w:tc>
                <w:tcPr>
                  <w:tcW w:w="351" w:type="pct"/>
                  <w:shd w:val="clear" w:color="auto" w:fill="auto"/>
                  <w:vAlign w:val="center"/>
                </w:tcPr>
                <w:p>
                  <w:pPr>
                    <w:jc w:val="center"/>
                    <w:rPr>
                      <w:szCs w:val="21"/>
                    </w:rPr>
                  </w:pPr>
                  <w:r>
                    <w:rPr>
                      <w:szCs w:val="21"/>
                    </w:rPr>
                    <w:t>固态</w:t>
                  </w:r>
                </w:p>
              </w:tc>
              <w:tc>
                <w:tcPr>
                  <w:tcW w:w="462" w:type="pct"/>
                  <w:shd w:val="clear" w:color="auto" w:fill="auto"/>
                  <w:vAlign w:val="center"/>
                </w:tcPr>
                <w:p>
                  <w:pPr>
                    <w:jc w:val="center"/>
                    <w:rPr>
                      <w:szCs w:val="21"/>
                    </w:rPr>
                  </w:pPr>
                  <w:r>
                    <w:rPr>
                      <w:rFonts w:hint="eastAsia"/>
                      <w:szCs w:val="21"/>
                    </w:rPr>
                    <w:t>/</w:t>
                  </w:r>
                </w:p>
              </w:tc>
              <w:tc>
                <w:tcPr>
                  <w:tcW w:w="377" w:type="pct"/>
                  <w:shd w:val="clear" w:color="auto" w:fill="auto"/>
                  <w:vAlign w:val="center"/>
                </w:tcPr>
                <w:p>
                  <w:pPr>
                    <w:jc w:val="center"/>
                    <w:rPr>
                      <w:szCs w:val="21"/>
                    </w:rPr>
                  </w:pPr>
                  <w:r>
                    <w:rPr>
                      <w:rFonts w:hint="eastAsia"/>
                      <w:szCs w:val="21"/>
                    </w:rPr>
                    <w:t>0.1</w:t>
                  </w:r>
                </w:p>
              </w:tc>
              <w:tc>
                <w:tcPr>
                  <w:tcW w:w="359" w:type="pct"/>
                  <w:vMerge w:val="continue"/>
                  <w:shd w:val="clear" w:color="auto" w:fill="auto"/>
                  <w:vAlign w:val="center"/>
                </w:tcPr>
                <w:p>
                  <w:pPr>
                    <w:jc w:val="center"/>
                    <w:rPr>
                      <w:szCs w:val="21"/>
                    </w:rPr>
                  </w:pPr>
                </w:p>
              </w:tc>
              <w:tc>
                <w:tcPr>
                  <w:tcW w:w="677" w:type="pct"/>
                  <w:shd w:val="clear" w:color="auto" w:fill="auto"/>
                  <w:vAlign w:val="center"/>
                </w:tcPr>
                <w:p>
                  <w:pPr>
                    <w:jc w:val="center"/>
                    <w:rPr>
                      <w:szCs w:val="21"/>
                    </w:rPr>
                  </w:pPr>
                  <w:r>
                    <w:rPr>
                      <w:rFonts w:hint="eastAsia"/>
                      <w:szCs w:val="21"/>
                    </w:rPr>
                    <w:t>由设备商回收利用</w:t>
                  </w:r>
                </w:p>
              </w:tc>
              <w:tc>
                <w:tcPr>
                  <w:tcW w:w="372" w:type="pct"/>
                  <w:shd w:val="clear" w:color="auto" w:fill="auto"/>
                  <w:vAlign w:val="center"/>
                </w:tcPr>
                <w:p>
                  <w:pPr>
                    <w:jc w:val="center"/>
                    <w:rPr>
                      <w:szCs w:val="21"/>
                    </w:rPr>
                  </w:pPr>
                  <w:r>
                    <w:rPr>
                      <w:rFonts w:hint="eastAsia"/>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kern w:val="0"/>
                      <w:szCs w:val="21"/>
                    </w:rPr>
                  </w:pPr>
                  <w:r>
                    <w:rPr>
                      <w:rFonts w:hint="eastAsia"/>
                      <w:szCs w:val="21"/>
                    </w:rPr>
                    <w:t>空中转破桶</w:t>
                  </w:r>
                </w:p>
              </w:tc>
              <w:tc>
                <w:tcPr>
                  <w:tcW w:w="393" w:type="pct"/>
                  <w:vMerge w:val="restart"/>
                  <w:shd w:val="clear" w:color="auto" w:fill="auto"/>
                  <w:vAlign w:val="center"/>
                </w:tcPr>
                <w:p>
                  <w:pPr>
                    <w:jc w:val="center"/>
                    <w:rPr>
                      <w:szCs w:val="21"/>
                    </w:rPr>
                  </w:pPr>
                  <w:r>
                    <w:rPr>
                      <w:szCs w:val="21"/>
                    </w:rPr>
                    <w:t>危险废物</w:t>
                  </w:r>
                </w:p>
              </w:tc>
              <w:tc>
                <w:tcPr>
                  <w:tcW w:w="646" w:type="pct"/>
                  <w:shd w:val="clear" w:color="auto" w:fill="auto"/>
                  <w:vAlign w:val="center"/>
                </w:tcPr>
                <w:p>
                  <w:pPr>
                    <w:jc w:val="center"/>
                    <w:rPr>
                      <w:bCs/>
                      <w:szCs w:val="21"/>
                    </w:rPr>
                  </w:pPr>
                  <w:r>
                    <w:rPr>
                      <w:rFonts w:hint="eastAsia"/>
                      <w:bCs/>
                      <w:szCs w:val="21"/>
                    </w:rPr>
                    <w:t>HW49</w:t>
                  </w:r>
                </w:p>
                <w:p>
                  <w:pPr>
                    <w:jc w:val="center"/>
                    <w:rPr>
                      <w:szCs w:val="21"/>
                    </w:rPr>
                  </w:pPr>
                  <w:r>
                    <w:rPr>
                      <w:rFonts w:hint="eastAsia"/>
                      <w:bCs/>
                      <w:szCs w:val="21"/>
                    </w:rPr>
                    <w:t>900-041-49</w:t>
                  </w:r>
                </w:p>
              </w:tc>
              <w:tc>
                <w:tcPr>
                  <w:tcW w:w="710" w:type="pct"/>
                  <w:shd w:val="clear" w:color="auto" w:fill="auto"/>
                  <w:vAlign w:val="center"/>
                </w:tcPr>
                <w:p>
                  <w:pPr>
                    <w:jc w:val="center"/>
                    <w:rPr>
                      <w:szCs w:val="21"/>
                    </w:rPr>
                  </w:pPr>
                  <w:r>
                    <w:rPr>
                      <w:rFonts w:hint="eastAsia"/>
                      <w:szCs w:val="21"/>
                    </w:rPr>
                    <w:t>金属，有机物</w:t>
                  </w:r>
                </w:p>
              </w:tc>
              <w:tc>
                <w:tcPr>
                  <w:tcW w:w="351" w:type="pct"/>
                  <w:shd w:val="clear" w:color="auto" w:fill="auto"/>
                  <w:vAlign w:val="center"/>
                </w:tcPr>
                <w:p>
                  <w:pPr>
                    <w:jc w:val="center"/>
                    <w:rPr>
                      <w:szCs w:val="21"/>
                    </w:rPr>
                  </w:pPr>
                  <w:r>
                    <w:rPr>
                      <w:szCs w:val="21"/>
                    </w:rPr>
                    <w:t>固态</w:t>
                  </w:r>
                </w:p>
              </w:tc>
              <w:tc>
                <w:tcPr>
                  <w:tcW w:w="462" w:type="pct"/>
                  <w:shd w:val="clear" w:color="auto" w:fill="auto"/>
                  <w:vAlign w:val="center"/>
                </w:tcPr>
                <w:p>
                  <w:pPr>
                    <w:jc w:val="center"/>
                    <w:rPr>
                      <w:szCs w:val="21"/>
                    </w:rPr>
                  </w:pPr>
                  <w:r>
                    <w:rPr>
                      <w:rFonts w:hint="eastAsia"/>
                      <w:szCs w:val="21"/>
                    </w:rPr>
                    <w:t>T/In</w:t>
                  </w:r>
                </w:p>
              </w:tc>
              <w:tc>
                <w:tcPr>
                  <w:tcW w:w="377" w:type="pct"/>
                  <w:shd w:val="clear" w:color="auto" w:fill="auto"/>
                  <w:vAlign w:val="center"/>
                </w:tcPr>
                <w:p>
                  <w:pPr>
                    <w:jc w:val="center"/>
                    <w:rPr>
                      <w:szCs w:val="21"/>
                    </w:rPr>
                  </w:pPr>
                  <w:r>
                    <w:rPr>
                      <w:rFonts w:hint="eastAsia"/>
                      <w:szCs w:val="21"/>
                    </w:rPr>
                    <w:t>1.174</w:t>
                  </w:r>
                </w:p>
              </w:tc>
              <w:tc>
                <w:tcPr>
                  <w:tcW w:w="359" w:type="pct"/>
                  <w:vMerge w:val="restart"/>
                  <w:shd w:val="clear" w:color="auto" w:fill="auto"/>
                  <w:vAlign w:val="center"/>
                </w:tcPr>
                <w:p>
                  <w:pPr>
                    <w:jc w:val="center"/>
                    <w:rPr>
                      <w:szCs w:val="21"/>
                    </w:rPr>
                  </w:pPr>
                  <w:r>
                    <w:rPr>
                      <w:szCs w:val="21"/>
                    </w:rPr>
                    <w:t>危废暂存间</w:t>
                  </w:r>
                </w:p>
              </w:tc>
              <w:tc>
                <w:tcPr>
                  <w:tcW w:w="677" w:type="pct"/>
                  <w:vMerge w:val="restart"/>
                  <w:shd w:val="clear" w:color="auto" w:fill="auto"/>
                  <w:vAlign w:val="center"/>
                </w:tcPr>
                <w:p>
                  <w:pPr>
                    <w:jc w:val="center"/>
                    <w:rPr>
                      <w:szCs w:val="21"/>
                    </w:rPr>
                  </w:pPr>
                  <w:r>
                    <w:rPr>
                      <w:rFonts w:hint="eastAsia"/>
                      <w:szCs w:val="21"/>
                    </w:rPr>
                    <w:t>委托资质单位处置</w:t>
                  </w:r>
                </w:p>
              </w:tc>
              <w:tc>
                <w:tcPr>
                  <w:tcW w:w="372" w:type="pct"/>
                  <w:shd w:val="clear" w:color="auto" w:fill="auto"/>
                  <w:vAlign w:val="center"/>
                </w:tcPr>
                <w:p>
                  <w:pPr>
                    <w:jc w:val="center"/>
                    <w:rPr>
                      <w:szCs w:val="21"/>
                    </w:rPr>
                  </w:pPr>
                  <w:r>
                    <w:rPr>
                      <w:rFonts w:hint="eastAsia"/>
                      <w:szCs w:val="21"/>
                    </w:rPr>
                    <w:t>1.174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szCs w:val="21"/>
                    </w:rPr>
                  </w:pPr>
                  <w:r>
                    <w:rPr>
                      <w:szCs w:val="21"/>
                    </w:rPr>
                    <w:t>回收粉尘</w:t>
                  </w:r>
                </w:p>
              </w:tc>
              <w:tc>
                <w:tcPr>
                  <w:tcW w:w="393" w:type="pct"/>
                  <w:vMerge w:val="continue"/>
                  <w:shd w:val="clear" w:color="auto" w:fill="auto"/>
                  <w:vAlign w:val="center"/>
                </w:tcPr>
                <w:p>
                  <w:pPr>
                    <w:jc w:val="center"/>
                    <w:rPr>
                      <w:szCs w:val="21"/>
                    </w:rPr>
                  </w:pPr>
                </w:p>
              </w:tc>
              <w:tc>
                <w:tcPr>
                  <w:tcW w:w="646" w:type="pct"/>
                  <w:shd w:val="clear" w:color="auto" w:fill="auto"/>
                  <w:vAlign w:val="center"/>
                </w:tcPr>
                <w:p>
                  <w:pPr>
                    <w:jc w:val="center"/>
                    <w:rPr>
                      <w:bCs/>
                      <w:szCs w:val="21"/>
                    </w:rPr>
                  </w:pPr>
                  <w:r>
                    <w:rPr>
                      <w:rFonts w:hint="eastAsia"/>
                      <w:bCs/>
                      <w:szCs w:val="21"/>
                    </w:rPr>
                    <w:t>HW49</w:t>
                  </w:r>
                </w:p>
                <w:p>
                  <w:pPr>
                    <w:jc w:val="center"/>
                    <w:rPr>
                      <w:szCs w:val="21"/>
                    </w:rPr>
                  </w:pPr>
                  <w:r>
                    <w:rPr>
                      <w:rFonts w:hint="eastAsia"/>
                      <w:bCs/>
                      <w:szCs w:val="21"/>
                    </w:rPr>
                    <w:t>900-999-49</w:t>
                  </w:r>
                </w:p>
              </w:tc>
              <w:tc>
                <w:tcPr>
                  <w:tcW w:w="710" w:type="pct"/>
                  <w:shd w:val="clear" w:color="auto" w:fill="auto"/>
                  <w:vAlign w:val="center"/>
                </w:tcPr>
                <w:p>
                  <w:pPr>
                    <w:jc w:val="center"/>
                    <w:rPr>
                      <w:szCs w:val="21"/>
                    </w:rPr>
                  </w:pPr>
                  <w:r>
                    <w:rPr>
                      <w:rFonts w:hint="eastAsia"/>
                      <w:szCs w:val="21"/>
                    </w:rPr>
                    <w:t>五水偏硅酸钠、葡萄糖酸钠等</w:t>
                  </w:r>
                </w:p>
              </w:tc>
              <w:tc>
                <w:tcPr>
                  <w:tcW w:w="351" w:type="pct"/>
                  <w:shd w:val="clear" w:color="auto" w:fill="auto"/>
                  <w:vAlign w:val="center"/>
                </w:tcPr>
                <w:p>
                  <w:pPr>
                    <w:jc w:val="center"/>
                    <w:rPr>
                      <w:szCs w:val="21"/>
                    </w:rPr>
                  </w:pPr>
                  <w:r>
                    <w:rPr>
                      <w:szCs w:val="21"/>
                    </w:rPr>
                    <w:t>固态</w:t>
                  </w:r>
                </w:p>
              </w:tc>
              <w:tc>
                <w:tcPr>
                  <w:tcW w:w="462" w:type="pct"/>
                  <w:shd w:val="clear" w:color="auto" w:fill="auto"/>
                  <w:vAlign w:val="center"/>
                </w:tcPr>
                <w:p>
                  <w:pPr>
                    <w:jc w:val="center"/>
                    <w:rPr>
                      <w:szCs w:val="21"/>
                    </w:rPr>
                  </w:pPr>
                  <w:r>
                    <w:rPr>
                      <w:szCs w:val="21"/>
                    </w:rPr>
                    <w:t>T/C/I/R</w:t>
                  </w:r>
                </w:p>
              </w:tc>
              <w:tc>
                <w:tcPr>
                  <w:tcW w:w="377" w:type="pct"/>
                  <w:shd w:val="clear" w:color="auto" w:fill="auto"/>
                  <w:vAlign w:val="center"/>
                </w:tcPr>
                <w:p>
                  <w:pPr>
                    <w:jc w:val="center"/>
                    <w:rPr>
                      <w:szCs w:val="21"/>
                    </w:rPr>
                  </w:pPr>
                  <w:r>
                    <w:rPr>
                      <w:rFonts w:hint="eastAsia"/>
                      <w:szCs w:val="21"/>
                    </w:rPr>
                    <w:t>2.088</w:t>
                  </w:r>
                </w:p>
              </w:tc>
              <w:tc>
                <w:tcPr>
                  <w:tcW w:w="359" w:type="pct"/>
                  <w:vMerge w:val="continue"/>
                  <w:shd w:val="clear" w:color="auto" w:fill="auto"/>
                  <w:vAlign w:val="center"/>
                </w:tcPr>
                <w:p>
                  <w:pPr>
                    <w:jc w:val="center"/>
                    <w:rPr>
                      <w:szCs w:val="21"/>
                    </w:rPr>
                  </w:pPr>
                </w:p>
              </w:tc>
              <w:tc>
                <w:tcPr>
                  <w:tcW w:w="677" w:type="pct"/>
                  <w:vMerge w:val="continue"/>
                  <w:shd w:val="clear" w:color="auto" w:fill="auto"/>
                  <w:vAlign w:val="center"/>
                </w:tcPr>
                <w:p>
                  <w:pPr>
                    <w:jc w:val="center"/>
                    <w:rPr>
                      <w:szCs w:val="21"/>
                    </w:rPr>
                  </w:pPr>
                </w:p>
              </w:tc>
              <w:tc>
                <w:tcPr>
                  <w:tcW w:w="372" w:type="pct"/>
                  <w:shd w:val="clear" w:color="auto" w:fill="auto"/>
                  <w:vAlign w:val="center"/>
                </w:tcPr>
                <w:p>
                  <w:pPr>
                    <w:jc w:val="center"/>
                    <w:rPr>
                      <w:szCs w:val="21"/>
                    </w:rPr>
                  </w:pPr>
                  <w:r>
                    <w:rPr>
                      <w:rFonts w:hint="eastAsia"/>
                      <w:szCs w:val="21"/>
                    </w:rPr>
                    <w:t>2.088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szCs w:val="21"/>
                    </w:rPr>
                  </w:pPr>
                  <w:r>
                    <w:rPr>
                      <w:rFonts w:hint="eastAsia"/>
                      <w:szCs w:val="21"/>
                    </w:rPr>
                    <w:t>废活性炭</w:t>
                  </w:r>
                </w:p>
              </w:tc>
              <w:tc>
                <w:tcPr>
                  <w:tcW w:w="393" w:type="pct"/>
                  <w:vMerge w:val="continue"/>
                  <w:shd w:val="clear" w:color="auto" w:fill="auto"/>
                  <w:vAlign w:val="center"/>
                </w:tcPr>
                <w:p>
                  <w:pPr>
                    <w:jc w:val="center"/>
                    <w:rPr>
                      <w:szCs w:val="21"/>
                    </w:rPr>
                  </w:pPr>
                </w:p>
              </w:tc>
              <w:tc>
                <w:tcPr>
                  <w:tcW w:w="646" w:type="pct"/>
                  <w:shd w:val="clear" w:color="auto" w:fill="auto"/>
                  <w:vAlign w:val="center"/>
                </w:tcPr>
                <w:p>
                  <w:pPr>
                    <w:jc w:val="center"/>
                    <w:rPr>
                      <w:bCs/>
                      <w:szCs w:val="21"/>
                    </w:rPr>
                  </w:pPr>
                  <w:r>
                    <w:rPr>
                      <w:rFonts w:hint="eastAsia"/>
                      <w:bCs/>
                      <w:szCs w:val="21"/>
                    </w:rPr>
                    <w:t>HW49</w:t>
                  </w:r>
                </w:p>
                <w:p>
                  <w:pPr>
                    <w:jc w:val="center"/>
                    <w:rPr>
                      <w:szCs w:val="21"/>
                    </w:rPr>
                  </w:pPr>
                  <w:r>
                    <w:rPr>
                      <w:rFonts w:hint="eastAsia"/>
                      <w:bCs/>
                      <w:szCs w:val="21"/>
                    </w:rPr>
                    <w:t>900-039-49</w:t>
                  </w:r>
                </w:p>
              </w:tc>
              <w:tc>
                <w:tcPr>
                  <w:tcW w:w="710" w:type="pct"/>
                  <w:shd w:val="clear" w:color="auto" w:fill="auto"/>
                  <w:vAlign w:val="center"/>
                </w:tcPr>
                <w:p>
                  <w:pPr>
                    <w:jc w:val="center"/>
                    <w:rPr>
                      <w:szCs w:val="21"/>
                    </w:rPr>
                  </w:pPr>
                  <w:r>
                    <w:rPr>
                      <w:rFonts w:hint="eastAsia"/>
                      <w:szCs w:val="21"/>
                    </w:rPr>
                    <w:t>有机物</w:t>
                  </w:r>
                </w:p>
              </w:tc>
              <w:tc>
                <w:tcPr>
                  <w:tcW w:w="351" w:type="pct"/>
                  <w:shd w:val="clear" w:color="auto" w:fill="auto"/>
                  <w:vAlign w:val="center"/>
                </w:tcPr>
                <w:p>
                  <w:pPr>
                    <w:jc w:val="center"/>
                    <w:rPr>
                      <w:szCs w:val="21"/>
                    </w:rPr>
                  </w:pPr>
                  <w:r>
                    <w:rPr>
                      <w:szCs w:val="21"/>
                    </w:rPr>
                    <w:t>固态</w:t>
                  </w:r>
                </w:p>
              </w:tc>
              <w:tc>
                <w:tcPr>
                  <w:tcW w:w="462" w:type="pct"/>
                  <w:shd w:val="clear" w:color="auto" w:fill="auto"/>
                  <w:vAlign w:val="center"/>
                </w:tcPr>
                <w:p>
                  <w:pPr>
                    <w:jc w:val="center"/>
                    <w:rPr>
                      <w:szCs w:val="21"/>
                    </w:rPr>
                  </w:pPr>
                  <w:r>
                    <w:rPr>
                      <w:rFonts w:hint="eastAsia"/>
                      <w:szCs w:val="21"/>
                    </w:rPr>
                    <w:t>T</w:t>
                  </w:r>
                </w:p>
              </w:tc>
              <w:tc>
                <w:tcPr>
                  <w:tcW w:w="377" w:type="pct"/>
                  <w:shd w:val="clear" w:color="auto" w:fill="auto"/>
                  <w:vAlign w:val="center"/>
                </w:tcPr>
                <w:p>
                  <w:pPr>
                    <w:jc w:val="center"/>
                    <w:rPr>
                      <w:szCs w:val="21"/>
                    </w:rPr>
                  </w:pPr>
                  <w:r>
                    <w:rPr>
                      <w:rFonts w:hint="eastAsia"/>
                      <w:szCs w:val="21"/>
                    </w:rPr>
                    <w:t>3.775</w:t>
                  </w:r>
                </w:p>
              </w:tc>
              <w:tc>
                <w:tcPr>
                  <w:tcW w:w="359" w:type="pct"/>
                  <w:vMerge w:val="continue"/>
                  <w:shd w:val="clear" w:color="auto" w:fill="auto"/>
                  <w:vAlign w:val="center"/>
                </w:tcPr>
                <w:p>
                  <w:pPr>
                    <w:jc w:val="center"/>
                    <w:rPr>
                      <w:szCs w:val="21"/>
                    </w:rPr>
                  </w:pPr>
                </w:p>
              </w:tc>
              <w:tc>
                <w:tcPr>
                  <w:tcW w:w="677" w:type="pct"/>
                  <w:vMerge w:val="continue"/>
                  <w:shd w:val="clear" w:color="auto" w:fill="auto"/>
                  <w:vAlign w:val="center"/>
                </w:tcPr>
                <w:p>
                  <w:pPr>
                    <w:jc w:val="center"/>
                    <w:rPr>
                      <w:szCs w:val="21"/>
                    </w:rPr>
                  </w:pPr>
                </w:p>
              </w:tc>
              <w:tc>
                <w:tcPr>
                  <w:tcW w:w="372" w:type="pct"/>
                  <w:shd w:val="clear" w:color="auto" w:fill="auto"/>
                  <w:vAlign w:val="center"/>
                </w:tcPr>
                <w:p>
                  <w:pPr>
                    <w:jc w:val="center"/>
                    <w:rPr>
                      <w:szCs w:val="21"/>
                    </w:rPr>
                  </w:pPr>
                  <w:r>
                    <w:rPr>
                      <w:rFonts w:hint="eastAsia"/>
                      <w:szCs w:val="21"/>
                    </w:rPr>
                    <w:t>3.775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kern w:val="0"/>
                      <w:szCs w:val="21"/>
                    </w:rPr>
                  </w:pPr>
                  <w:r>
                    <w:rPr>
                      <w:rFonts w:hint="eastAsia"/>
                      <w:kern w:val="0"/>
                      <w:szCs w:val="21"/>
                    </w:rPr>
                    <w:t>废棉纱及废手套</w:t>
                  </w:r>
                </w:p>
              </w:tc>
              <w:tc>
                <w:tcPr>
                  <w:tcW w:w="393" w:type="pct"/>
                  <w:vMerge w:val="continue"/>
                  <w:shd w:val="clear" w:color="auto" w:fill="auto"/>
                  <w:vAlign w:val="center"/>
                </w:tcPr>
                <w:p>
                  <w:pPr>
                    <w:jc w:val="center"/>
                    <w:rPr>
                      <w:szCs w:val="21"/>
                    </w:rPr>
                  </w:pPr>
                </w:p>
              </w:tc>
              <w:tc>
                <w:tcPr>
                  <w:tcW w:w="646" w:type="pct"/>
                  <w:shd w:val="clear" w:color="auto" w:fill="auto"/>
                  <w:vAlign w:val="center"/>
                </w:tcPr>
                <w:p>
                  <w:pPr>
                    <w:jc w:val="center"/>
                    <w:rPr>
                      <w:bCs/>
                      <w:szCs w:val="21"/>
                    </w:rPr>
                  </w:pPr>
                  <w:r>
                    <w:rPr>
                      <w:rFonts w:hint="eastAsia"/>
                      <w:bCs/>
                      <w:szCs w:val="21"/>
                    </w:rPr>
                    <w:t>HW49</w:t>
                  </w:r>
                </w:p>
                <w:p>
                  <w:pPr>
                    <w:jc w:val="center"/>
                    <w:rPr>
                      <w:szCs w:val="21"/>
                    </w:rPr>
                  </w:pPr>
                  <w:r>
                    <w:rPr>
                      <w:rFonts w:hint="eastAsia"/>
                      <w:bCs/>
                      <w:szCs w:val="21"/>
                    </w:rPr>
                    <w:t>900-041-49</w:t>
                  </w:r>
                </w:p>
              </w:tc>
              <w:tc>
                <w:tcPr>
                  <w:tcW w:w="710" w:type="pct"/>
                  <w:shd w:val="clear" w:color="auto" w:fill="auto"/>
                  <w:vAlign w:val="center"/>
                </w:tcPr>
                <w:p>
                  <w:pPr>
                    <w:jc w:val="center"/>
                    <w:rPr>
                      <w:szCs w:val="21"/>
                    </w:rPr>
                  </w:pPr>
                  <w:r>
                    <w:rPr>
                      <w:rFonts w:hint="eastAsia"/>
                      <w:szCs w:val="21"/>
                    </w:rPr>
                    <w:t>纤维</w:t>
                  </w:r>
                </w:p>
              </w:tc>
              <w:tc>
                <w:tcPr>
                  <w:tcW w:w="351" w:type="pct"/>
                  <w:shd w:val="clear" w:color="auto" w:fill="auto"/>
                  <w:vAlign w:val="center"/>
                </w:tcPr>
                <w:p>
                  <w:pPr>
                    <w:jc w:val="center"/>
                    <w:rPr>
                      <w:szCs w:val="21"/>
                    </w:rPr>
                  </w:pPr>
                  <w:r>
                    <w:rPr>
                      <w:rFonts w:hint="eastAsia"/>
                      <w:szCs w:val="21"/>
                    </w:rPr>
                    <w:t>固态</w:t>
                  </w:r>
                </w:p>
              </w:tc>
              <w:tc>
                <w:tcPr>
                  <w:tcW w:w="462" w:type="pct"/>
                  <w:shd w:val="clear" w:color="auto" w:fill="auto"/>
                  <w:vAlign w:val="center"/>
                </w:tcPr>
                <w:p>
                  <w:pPr>
                    <w:jc w:val="center"/>
                    <w:rPr>
                      <w:szCs w:val="21"/>
                    </w:rPr>
                  </w:pPr>
                  <w:r>
                    <w:rPr>
                      <w:rFonts w:hint="eastAsia"/>
                      <w:szCs w:val="21"/>
                    </w:rPr>
                    <w:t>T/In</w:t>
                  </w:r>
                </w:p>
              </w:tc>
              <w:tc>
                <w:tcPr>
                  <w:tcW w:w="377" w:type="pct"/>
                  <w:shd w:val="clear" w:color="auto" w:fill="auto"/>
                  <w:vAlign w:val="center"/>
                </w:tcPr>
                <w:p>
                  <w:pPr>
                    <w:jc w:val="center"/>
                    <w:rPr>
                      <w:szCs w:val="21"/>
                    </w:rPr>
                  </w:pPr>
                  <w:r>
                    <w:rPr>
                      <w:rFonts w:hint="eastAsia"/>
                      <w:szCs w:val="21"/>
                    </w:rPr>
                    <w:t>0.1</w:t>
                  </w:r>
                </w:p>
              </w:tc>
              <w:tc>
                <w:tcPr>
                  <w:tcW w:w="359" w:type="pct"/>
                  <w:vMerge w:val="continue"/>
                  <w:shd w:val="clear" w:color="auto" w:fill="auto"/>
                  <w:vAlign w:val="center"/>
                </w:tcPr>
                <w:p>
                  <w:pPr>
                    <w:jc w:val="center"/>
                    <w:rPr>
                      <w:szCs w:val="21"/>
                    </w:rPr>
                  </w:pPr>
                </w:p>
              </w:tc>
              <w:tc>
                <w:tcPr>
                  <w:tcW w:w="677" w:type="pct"/>
                  <w:vMerge w:val="continue"/>
                  <w:shd w:val="clear" w:color="auto" w:fill="auto"/>
                  <w:vAlign w:val="center"/>
                </w:tcPr>
                <w:p>
                  <w:pPr>
                    <w:jc w:val="center"/>
                    <w:rPr>
                      <w:szCs w:val="21"/>
                    </w:rPr>
                  </w:pPr>
                </w:p>
              </w:tc>
              <w:tc>
                <w:tcPr>
                  <w:tcW w:w="372" w:type="pct"/>
                  <w:shd w:val="clear" w:color="auto" w:fill="auto"/>
                  <w:vAlign w:val="center"/>
                </w:tcPr>
                <w:p>
                  <w:pPr>
                    <w:jc w:val="center"/>
                    <w:rPr>
                      <w:szCs w:val="21"/>
                    </w:rPr>
                  </w:pPr>
                  <w:r>
                    <w:rPr>
                      <w:rFonts w:hint="eastAsia"/>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kern w:val="0"/>
                      <w:szCs w:val="21"/>
                    </w:rPr>
                  </w:pPr>
                  <w:r>
                    <w:rPr>
                      <w:rFonts w:hint="eastAsia"/>
                      <w:kern w:val="0"/>
                      <w:szCs w:val="21"/>
                    </w:rPr>
                    <w:t>废机油</w:t>
                  </w:r>
                </w:p>
              </w:tc>
              <w:tc>
                <w:tcPr>
                  <w:tcW w:w="393" w:type="pct"/>
                  <w:vMerge w:val="continue"/>
                  <w:shd w:val="clear" w:color="auto" w:fill="auto"/>
                  <w:vAlign w:val="center"/>
                </w:tcPr>
                <w:p>
                  <w:pPr>
                    <w:jc w:val="center"/>
                    <w:rPr>
                      <w:szCs w:val="21"/>
                    </w:rPr>
                  </w:pPr>
                </w:p>
              </w:tc>
              <w:tc>
                <w:tcPr>
                  <w:tcW w:w="646" w:type="pct"/>
                  <w:shd w:val="clear" w:color="auto" w:fill="auto"/>
                  <w:vAlign w:val="center"/>
                </w:tcPr>
                <w:p>
                  <w:pPr>
                    <w:jc w:val="center"/>
                    <w:rPr>
                      <w:bCs/>
                      <w:szCs w:val="21"/>
                    </w:rPr>
                  </w:pPr>
                  <w:r>
                    <w:rPr>
                      <w:rFonts w:hint="eastAsia"/>
                      <w:bCs/>
                      <w:szCs w:val="21"/>
                    </w:rPr>
                    <w:t>HW08</w:t>
                  </w:r>
                </w:p>
                <w:p>
                  <w:pPr>
                    <w:jc w:val="center"/>
                    <w:rPr>
                      <w:szCs w:val="21"/>
                    </w:rPr>
                  </w:pPr>
                  <w:r>
                    <w:rPr>
                      <w:rFonts w:hint="eastAsia"/>
                      <w:bCs/>
                      <w:szCs w:val="21"/>
                    </w:rPr>
                    <w:t>900-214-08</w:t>
                  </w:r>
                </w:p>
              </w:tc>
              <w:tc>
                <w:tcPr>
                  <w:tcW w:w="710" w:type="pct"/>
                  <w:shd w:val="clear" w:color="auto" w:fill="auto"/>
                  <w:vAlign w:val="center"/>
                </w:tcPr>
                <w:p>
                  <w:pPr>
                    <w:jc w:val="center"/>
                    <w:rPr>
                      <w:szCs w:val="21"/>
                    </w:rPr>
                  </w:pPr>
                  <w:r>
                    <w:rPr>
                      <w:rFonts w:hint="eastAsia"/>
                      <w:szCs w:val="21"/>
                    </w:rPr>
                    <w:t>废矿物油</w:t>
                  </w:r>
                </w:p>
              </w:tc>
              <w:tc>
                <w:tcPr>
                  <w:tcW w:w="351" w:type="pct"/>
                  <w:shd w:val="clear" w:color="auto" w:fill="auto"/>
                  <w:vAlign w:val="center"/>
                </w:tcPr>
                <w:p>
                  <w:pPr>
                    <w:jc w:val="center"/>
                    <w:rPr>
                      <w:szCs w:val="21"/>
                    </w:rPr>
                  </w:pPr>
                  <w:r>
                    <w:rPr>
                      <w:rFonts w:hint="eastAsia"/>
                      <w:szCs w:val="21"/>
                    </w:rPr>
                    <w:t>固态</w:t>
                  </w:r>
                </w:p>
              </w:tc>
              <w:tc>
                <w:tcPr>
                  <w:tcW w:w="462" w:type="pct"/>
                  <w:shd w:val="clear" w:color="auto" w:fill="auto"/>
                  <w:vAlign w:val="center"/>
                </w:tcPr>
                <w:p>
                  <w:pPr>
                    <w:jc w:val="center"/>
                    <w:rPr>
                      <w:szCs w:val="21"/>
                    </w:rPr>
                  </w:pPr>
                  <w:r>
                    <w:rPr>
                      <w:rFonts w:hint="eastAsia"/>
                      <w:szCs w:val="21"/>
                    </w:rPr>
                    <w:t>T/I</w:t>
                  </w:r>
                </w:p>
              </w:tc>
              <w:tc>
                <w:tcPr>
                  <w:tcW w:w="377" w:type="pct"/>
                  <w:shd w:val="clear" w:color="auto" w:fill="auto"/>
                  <w:vAlign w:val="center"/>
                </w:tcPr>
                <w:p>
                  <w:pPr>
                    <w:jc w:val="center"/>
                    <w:rPr>
                      <w:szCs w:val="21"/>
                    </w:rPr>
                  </w:pPr>
                  <w:r>
                    <w:rPr>
                      <w:rFonts w:hint="eastAsia"/>
                      <w:szCs w:val="21"/>
                    </w:rPr>
                    <w:t>0.1</w:t>
                  </w:r>
                </w:p>
              </w:tc>
              <w:tc>
                <w:tcPr>
                  <w:tcW w:w="359" w:type="pct"/>
                  <w:vMerge w:val="continue"/>
                  <w:shd w:val="clear" w:color="auto" w:fill="auto"/>
                  <w:vAlign w:val="center"/>
                </w:tcPr>
                <w:p>
                  <w:pPr>
                    <w:jc w:val="center"/>
                    <w:rPr>
                      <w:szCs w:val="21"/>
                    </w:rPr>
                  </w:pPr>
                </w:p>
              </w:tc>
              <w:tc>
                <w:tcPr>
                  <w:tcW w:w="677" w:type="pct"/>
                  <w:vMerge w:val="continue"/>
                  <w:shd w:val="clear" w:color="auto" w:fill="auto"/>
                  <w:vAlign w:val="center"/>
                </w:tcPr>
                <w:p>
                  <w:pPr>
                    <w:jc w:val="center"/>
                    <w:rPr>
                      <w:szCs w:val="21"/>
                    </w:rPr>
                  </w:pPr>
                </w:p>
              </w:tc>
              <w:tc>
                <w:tcPr>
                  <w:tcW w:w="372" w:type="pct"/>
                  <w:shd w:val="clear" w:color="auto" w:fill="auto"/>
                  <w:vAlign w:val="center"/>
                </w:tcPr>
                <w:p>
                  <w:pPr>
                    <w:jc w:val="center"/>
                    <w:rPr>
                      <w:szCs w:val="21"/>
                    </w:rPr>
                  </w:pPr>
                  <w:r>
                    <w:rPr>
                      <w:rFonts w:hint="eastAsia"/>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kern w:val="0"/>
                      <w:szCs w:val="21"/>
                    </w:rPr>
                  </w:pPr>
                  <w:r>
                    <w:rPr>
                      <w:rFonts w:hint="eastAsia"/>
                      <w:kern w:val="0"/>
                      <w:szCs w:val="21"/>
                    </w:rPr>
                    <w:t>废含油手套</w:t>
                  </w:r>
                </w:p>
              </w:tc>
              <w:tc>
                <w:tcPr>
                  <w:tcW w:w="393" w:type="pct"/>
                  <w:vMerge w:val="continue"/>
                  <w:shd w:val="clear" w:color="auto" w:fill="auto"/>
                  <w:vAlign w:val="center"/>
                </w:tcPr>
                <w:p>
                  <w:pPr>
                    <w:jc w:val="center"/>
                    <w:rPr>
                      <w:szCs w:val="21"/>
                    </w:rPr>
                  </w:pPr>
                </w:p>
              </w:tc>
              <w:tc>
                <w:tcPr>
                  <w:tcW w:w="646" w:type="pct"/>
                  <w:shd w:val="clear" w:color="auto" w:fill="auto"/>
                  <w:vAlign w:val="center"/>
                </w:tcPr>
                <w:p>
                  <w:pPr>
                    <w:jc w:val="center"/>
                    <w:rPr>
                      <w:bCs/>
                      <w:szCs w:val="21"/>
                    </w:rPr>
                  </w:pPr>
                  <w:r>
                    <w:rPr>
                      <w:rFonts w:hint="eastAsia"/>
                      <w:bCs/>
                      <w:szCs w:val="21"/>
                    </w:rPr>
                    <w:t>HW49</w:t>
                  </w:r>
                </w:p>
                <w:p>
                  <w:pPr>
                    <w:jc w:val="center"/>
                    <w:rPr>
                      <w:szCs w:val="21"/>
                    </w:rPr>
                  </w:pPr>
                  <w:r>
                    <w:rPr>
                      <w:rFonts w:hint="eastAsia"/>
                      <w:bCs/>
                      <w:szCs w:val="21"/>
                    </w:rPr>
                    <w:t>900-041-49</w:t>
                  </w:r>
                </w:p>
              </w:tc>
              <w:tc>
                <w:tcPr>
                  <w:tcW w:w="710" w:type="pct"/>
                  <w:shd w:val="clear" w:color="auto" w:fill="auto"/>
                  <w:vAlign w:val="center"/>
                </w:tcPr>
                <w:p>
                  <w:pPr>
                    <w:jc w:val="center"/>
                    <w:rPr>
                      <w:szCs w:val="21"/>
                    </w:rPr>
                  </w:pPr>
                  <w:r>
                    <w:rPr>
                      <w:rFonts w:hint="eastAsia"/>
                      <w:szCs w:val="21"/>
                    </w:rPr>
                    <w:t>纤维</w:t>
                  </w:r>
                </w:p>
              </w:tc>
              <w:tc>
                <w:tcPr>
                  <w:tcW w:w="351" w:type="pct"/>
                  <w:shd w:val="clear" w:color="auto" w:fill="auto"/>
                  <w:vAlign w:val="center"/>
                </w:tcPr>
                <w:p>
                  <w:pPr>
                    <w:jc w:val="center"/>
                    <w:rPr>
                      <w:szCs w:val="21"/>
                    </w:rPr>
                  </w:pPr>
                  <w:r>
                    <w:rPr>
                      <w:rFonts w:hint="eastAsia"/>
                      <w:szCs w:val="21"/>
                    </w:rPr>
                    <w:t>固态</w:t>
                  </w:r>
                </w:p>
              </w:tc>
              <w:tc>
                <w:tcPr>
                  <w:tcW w:w="462" w:type="pct"/>
                  <w:shd w:val="clear" w:color="auto" w:fill="auto"/>
                  <w:vAlign w:val="center"/>
                </w:tcPr>
                <w:p>
                  <w:pPr>
                    <w:jc w:val="center"/>
                    <w:rPr>
                      <w:szCs w:val="21"/>
                    </w:rPr>
                  </w:pPr>
                  <w:r>
                    <w:rPr>
                      <w:rFonts w:hint="eastAsia"/>
                      <w:szCs w:val="21"/>
                    </w:rPr>
                    <w:t>T/In</w:t>
                  </w:r>
                </w:p>
              </w:tc>
              <w:tc>
                <w:tcPr>
                  <w:tcW w:w="377" w:type="pct"/>
                  <w:shd w:val="clear" w:color="auto" w:fill="auto"/>
                  <w:vAlign w:val="center"/>
                </w:tcPr>
                <w:p>
                  <w:pPr>
                    <w:jc w:val="center"/>
                    <w:rPr>
                      <w:szCs w:val="21"/>
                    </w:rPr>
                  </w:pPr>
                  <w:r>
                    <w:rPr>
                      <w:rFonts w:hint="eastAsia"/>
                      <w:szCs w:val="21"/>
                    </w:rPr>
                    <w:t>0.1</w:t>
                  </w:r>
                </w:p>
              </w:tc>
              <w:tc>
                <w:tcPr>
                  <w:tcW w:w="359" w:type="pct"/>
                  <w:vMerge w:val="continue"/>
                  <w:shd w:val="clear" w:color="auto" w:fill="auto"/>
                  <w:vAlign w:val="center"/>
                </w:tcPr>
                <w:p>
                  <w:pPr>
                    <w:jc w:val="center"/>
                    <w:rPr>
                      <w:szCs w:val="21"/>
                    </w:rPr>
                  </w:pPr>
                </w:p>
              </w:tc>
              <w:tc>
                <w:tcPr>
                  <w:tcW w:w="677" w:type="pct"/>
                  <w:vMerge w:val="continue"/>
                  <w:shd w:val="clear" w:color="auto" w:fill="auto"/>
                  <w:vAlign w:val="center"/>
                </w:tcPr>
                <w:p>
                  <w:pPr>
                    <w:jc w:val="center"/>
                    <w:rPr>
                      <w:szCs w:val="21"/>
                    </w:rPr>
                  </w:pPr>
                </w:p>
              </w:tc>
              <w:tc>
                <w:tcPr>
                  <w:tcW w:w="372" w:type="pct"/>
                  <w:shd w:val="clear" w:color="auto" w:fill="auto"/>
                  <w:vAlign w:val="center"/>
                </w:tcPr>
                <w:p>
                  <w:pPr>
                    <w:jc w:val="center"/>
                    <w:rPr>
                      <w:szCs w:val="21"/>
                    </w:rPr>
                  </w:pPr>
                  <w:r>
                    <w:rPr>
                      <w:rFonts w:hint="eastAsia"/>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3" w:type="pct"/>
                  <w:shd w:val="clear" w:color="auto" w:fill="auto"/>
                  <w:vAlign w:val="center"/>
                </w:tcPr>
                <w:p>
                  <w:pPr>
                    <w:jc w:val="center"/>
                    <w:rPr>
                      <w:kern w:val="0"/>
                      <w:szCs w:val="21"/>
                    </w:rPr>
                  </w:pPr>
                  <w:r>
                    <w:rPr>
                      <w:rFonts w:hint="eastAsia"/>
                      <w:kern w:val="0"/>
                      <w:szCs w:val="21"/>
                    </w:rPr>
                    <w:t>生活垃圾</w:t>
                  </w:r>
                </w:p>
              </w:tc>
              <w:tc>
                <w:tcPr>
                  <w:tcW w:w="393" w:type="pct"/>
                  <w:shd w:val="clear" w:color="auto" w:fill="auto"/>
                  <w:vAlign w:val="center"/>
                </w:tcPr>
                <w:p>
                  <w:pPr>
                    <w:jc w:val="center"/>
                    <w:rPr>
                      <w:szCs w:val="21"/>
                    </w:rPr>
                  </w:pPr>
                  <w:r>
                    <w:rPr>
                      <w:szCs w:val="21"/>
                    </w:rPr>
                    <w:t>生活垃圾</w:t>
                  </w:r>
                </w:p>
              </w:tc>
              <w:tc>
                <w:tcPr>
                  <w:tcW w:w="646" w:type="pct"/>
                  <w:shd w:val="clear" w:color="auto" w:fill="auto"/>
                  <w:vAlign w:val="center"/>
                </w:tcPr>
                <w:p>
                  <w:pPr>
                    <w:jc w:val="center"/>
                    <w:rPr>
                      <w:szCs w:val="21"/>
                    </w:rPr>
                  </w:pPr>
                  <w:r>
                    <w:rPr>
                      <w:rFonts w:hint="eastAsia"/>
                      <w:szCs w:val="21"/>
                    </w:rPr>
                    <w:t>/</w:t>
                  </w:r>
                </w:p>
              </w:tc>
              <w:tc>
                <w:tcPr>
                  <w:tcW w:w="710" w:type="pct"/>
                  <w:shd w:val="clear" w:color="auto" w:fill="auto"/>
                  <w:vAlign w:val="center"/>
                </w:tcPr>
                <w:p>
                  <w:pPr>
                    <w:jc w:val="center"/>
                    <w:rPr>
                      <w:szCs w:val="21"/>
                    </w:rPr>
                  </w:pPr>
                  <w:r>
                    <w:rPr>
                      <w:rFonts w:hint="eastAsia"/>
                      <w:szCs w:val="21"/>
                    </w:rPr>
                    <w:t>塑料、纸等</w:t>
                  </w:r>
                </w:p>
              </w:tc>
              <w:tc>
                <w:tcPr>
                  <w:tcW w:w="351" w:type="pct"/>
                  <w:shd w:val="clear" w:color="auto" w:fill="auto"/>
                  <w:vAlign w:val="center"/>
                </w:tcPr>
                <w:p>
                  <w:pPr>
                    <w:jc w:val="center"/>
                    <w:rPr>
                      <w:szCs w:val="21"/>
                    </w:rPr>
                  </w:pPr>
                  <w:r>
                    <w:rPr>
                      <w:rFonts w:hint="eastAsia"/>
                      <w:szCs w:val="21"/>
                    </w:rPr>
                    <w:t>固态</w:t>
                  </w:r>
                </w:p>
              </w:tc>
              <w:tc>
                <w:tcPr>
                  <w:tcW w:w="462" w:type="pct"/>
                  <w:shd w:val="clear" w:color="auto" w:fill="auto"/>
                  <w:vAlign w:val="center"/>
                </w:tcPr>
                <w:p>
                  <w:pPr>
                    <w:jc w:val="center"/>
                    <w:rPr>
                      <w:szCs w:val="21"/>
                    </w:rPr>
                  </w:pPr>
                  <w:r>
                    <w:rPr>
                      <w:rFonts w:hint="eastAsia"/>
                      <w:szCs w:val="21"/>
                    </w:rPr>
                    <w:t>/</w:t>
                  </w:r>
                </w:p>
              </w:tc>
              <w:tc>
                <w:tcPr>
                  <w:tcW w:w="377" w:type="pct"/>
                  <w:shd w:val="clear" w:color="auto" w:fill="auto"/>
                  <w:vAlign w:val="center"/>
                </w:tcPr>
                <w:p>
                  <w:pPr>
                    <w:jc w:val="center"/>
                    <w:rPr>
                      <w:szCs w:val="21"/>
                    </w:rPr>
                  </w:pPr>
                  <w:r>
                    <w:rPr>
                      <w:rFonts w:hint="eastAsia"/>
                      <w:szCs w:val="21"/>
                    </w:rPr>
                    <w:t>42</w:t>
                  </w:r>
                </w:p>
              </w:tc>
              <w:tc>
                <w:tcPr>
                  <w:tcW w:w="359" w:type="pct"/>
                  <w:shd w:val="clear" w:color="auto" w:fill="auto"/>
                  <w:vAlign w:val="center"/>
                </w:tcPr>
                <w:p>
                  <w:pPr>
                    <w:jc w:val="center"/>
                    <w:rPr>
                      <w:szCs w:val="21"/>
                    </w:rPr>
                  </w:pPr>
                  <w:r>
                    <w:rPr>
                      <w:szCs w:val="21"/>
                    </w:rPr>
                    <w:t>垃圾桶等</w:t>
                  </w:r>
                </w:p>
              </w:tc>
              <w:tc>
                <w:tcPr>
                  <w:tcW w:w="677" w:type="pct"/>
                  <w:shd w:val="clear" w:color="auto" w:fill="auto"/>
                  <w:vAlign w:val="center"/>
                </w:tcPr>
                <w:p>
                  <w:pPr>
                    <w:jc w:val="center"/>
                    <w:rPr>
                      <w:szCs w:val="21"/>
                    </w:rPr>
                  </w:pPr>
                  <w:r>
                    <w:rPr>
                      <w:szCs w:val="21"/>
                    </w:rPr>
                    <w:t>交环卫部门清运处理</w:t>
                  </w:r>
                </w:p>
              </w:tc>
              <w:tc>
                <w:tcPr>
                  <w:tcW w:w="372" w:type="pct"/>
                  <w:shd w:val="clear" w:color="auto" w:fill="auto"/>
                  <w:vAlign w:val="center"/>
                </w:tcPr>
                <w:p>
                  <w:pPr>
                    <w:jc w:val="center"/>
                    <w:rPr>
                      <w:szCs w:val="21"/>
                    </w:rPr>
                  </w:pPr>
                  <w:r>
                    <w:rPr>
                      <w:rFonts w:hint="eastAsia"/>
                      <w:szCs w:val="21"/>
                    </w:rPr>
                    <w:t>42</w:t>
                  </w:r>
                </w:p>
              </w:tc>
            </w:tr>
          </w:tbl>
          <w:p>
            <w:pPr>
              <w:autoSpaceDE w:val="0"/>
              <w:autoSpaceDN w:val="0"/>
              <w:adjustRightInd w:val="0"/>
              <w:spacing w:line="360" w:lineRule="auto"/>
              <w:ind w:firstLine="442" w:firstLineChars="200"/>
              <w:rPr>
                <w:rFonts w:hAnsi="宋体"/>
                <w:b/>
                <w:bCs/>
                <w:spacing w:val="-10"/>
                <w:sz w:val="24"/>
              </w:rPr>
            </w:pPr>
            <w:r>
              <w:rPr>
                <w:rFonts w:hint="eastAsia"/>
                <w:b/>
                <w:bCs/>
                <w:spacing w:val="-10"/>
                <w:sz w:val="24"/>
              </w:rPr>
              <w:t>5</w:t>
            </w:r>
            <w:r>
              <w:rPr>
                <w:rFonts w:hAnsi="宋体"/>
                <w:b/>
                <w:bCs/>
                <w:spacing w:val="-10"/>
                <w:sz w:val="24"/>
              </w:rPr>
              <w:t>、环境</w:t>
            </w:r>
            <w:r>
              <w:rPr>
                <w:rFonts w:hint="eastAsia" w:hAnsi="宋体"/>
                <w:b/>
                <w:bCs/>
                <w:spacing w:val="-10"/>
                <w:sz w:val="24"/>
              </w:rPr>
              <w:t>管理</w:t>
            </w:r>
            <w:r>
              <w:rPr>
                <w:rFonts w:hAnsi="宋体"/>
                <w:b/>
                <w:bCs/>
                <w:spacing w:val="-10"/>
                <w:sz w:val="24"/>
              </w:rPr>
              <w:t>要求</w:t>
            </w:r>
          </w:p>
          <w:p>
            <w:pPr>
              <w:spacing w:line="360" w:lineRule="auto"/>
              <w:ind w:firstLine="482"/>
              <w:jc w:val="left"/>
              <w:rPr>
                <w:b/>
                <w:bCs/>
                <w:sz w:val="24"/>
              </w:rPr>
            </w:pPr>
            <w:r>
              <w:rPr>
                <w:rFonts w:hint="eastAsia"/>
                <w:b/>
                <w:bCs/>
                <w:sz w:val="24"/>
              </w:rPr>
              <w:t>（1）一般固废管理措施</w:t>
            </w:r>
          </w:p>
          <w:p>
            <w:pPr>
              <w:spacing w:line="360" w:lineRule="auto"/>
              <w:ind w:firstLine="482"/>
              <w:jc w:val="left"/>
              <w:rPr>
                <w:bCs/>
                <w:sz w:val="24"/>
              </w:rPr>
            </w:pPr>
            <w:r>
              <w:rPr>
                <w:rFonts w:hint="eastAsia" w:hAnsiTheme="majorEastAsia" w:eastAsiaTheme="majorEastAsia"/>
                <w:kern w:val="0"/>
                <w:sz w:val="24"/>
              </w:rPr>
              <w:t>本项目的一般固废主要为</w:t>
            </w:r>
            <w:r>
              <w:rPr>
                <w:rFonts w:hint="eastAsia"/>
                <w:sz w:val="24"/>
              </w:rPr>
              <w:t>废弃包装袋</w:t>
            </w:r>
            <w:r>
              <w:rPr>
                <w:rFonts w:hint="eastAsia" w:hAnsiTheme="majorEastAsia" w:eastAsiaTheme="majorEastAsia"/>
                <w:kern w:val="0"/>
                <w:sz w:val="24"/>
              </w:rPr>
              <w:t>、</w:t>
            </w:r>
            <w:r>
              <w:rPr>
                <w:rFonts w:hint="eastAsia"/>
                <w:sz w:val="24"/>
              </w:rPr>
              <w:t>纯水过滤材料</w:t>
            </w:r>
            <w:r>
              <w:rPr>
                <w:rFonts w:hint="eastAsia" w:hAnsiTheme="majorEastAsia" w:eastAsiaTheme="majorEastAsia"/>
                <w:kern w:val="0"/>
                <w:sz w:val="24"/>
              </w:rPr>
              <w:t>。废弃包装袋</w:t>
            </w:r>
            <w:r>
              <w:rPr>
                <w:rFonts w:hint="eastAsia"/>
                <w:sz w:val="24"/>
              </w:rPr>
              <w:t>由原料生产商回收利用</w:t>
            </w:r>
            <w:r>
              <w:rPr>
                <w:rFonts w:hint="eastAsia" w:hAnsiTheme="majorEastAsia" w:eastAsiaTheme="majorEastAsia"/>
                <w:kern w:val="0"/>
                <w:sz w:val="24"/>
              </w:rPr>
              <w:t>；纯水过滤材料</w:t>
            </w:r>
            <w:r>
              <w:rPr>
                <w:rFonts w:hint="eastAsia"/>
                <w:sz w:val="24"/>
              </w:rPr>
              <w:t>由设备商回收利用。</w:t>
            </w:r>
          </w:p>
          <w:p>
            <w:pPr>
              <w:spacing w:line="360" w:lineRule="auto"/>
              <w:ind w:firstLine="480" w:firstLineChars="200"/>
              <w:jc w:val="left"/>
              <w:rPr>
                <w:sz w:val="24"/>
              </w:rPr>
            </w:pPr>
            <w:r>
              <w:rPr>
                <w:rFonts w:hint="eastAsia"/>
                <w:sz w:val="24"/>
              </w:rPr>
              <w:t>本项目一般固废在室内贮存，不适用《一般工业固体废物贮存和填埋污染控制标准》（GB18599-2020），其贮存过程应满足相应防渗漏、防雨淋、防扬尘等环境保护要求，一般固废不得露天堆放</w:t>
            </w:r>
            <w:r>
              <w:rPr>
                <w:sz w:val="24"/>
              </w:rPr>
              <w:t>。</w:t>
            </w:r>
          </w:p>
          <w:p>
            <w:pPr>
              <w:spacing w:line="360" w:lineRule="auto"/>
              <w:ind w:firstLine="482"/>
              <w:jc w:val="left"/>
              <w:rPr>
                <w:b/>
                <w:bCs/>
                <w:sz w:val="24"/>
              </w:rPr>
            </w:pPr>
            <w:r>
              <w:rPr>
                <w:rFonts w:hint="eastAsia"/>
                <w:b/>
                <w:bCs/>
                <w:sz w:val="24"/>
              </w:rPr>
              <w:t>（2）危险废物管理措施</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危险废物具有长期性、隐蔽性和潜在性，根据《危险废物贮存污染控制标准》（GB18597-2023），需从以下几方面加强对危险废物的管理力度。</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项目危废间及空中转桶暂存区域地面与墙角应当落实防腐防渗措施，建筑材料与危险废物相容；危废间内有安全照明设施和观察窗口；用以存放装载液体、半固体危险废物容器的地方，有耐腐蚀的硬化地面，且表面无裂隙；设置堵截泄流的裙脚，地面与裙脚所围建的容积不低于堵截最大容器的最大储量或总储量的五分之一；不相容的危险废物分开存放，并设有隔离间隔断；定期清运库存，减少厂区暂存量，且储桶需定期检修，保证桶壁完好，避免出现破损渗漏情况。</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危险废物盛装容器使用符合标准的容器（完好无损、衬里要与危险废物相容（不相互反应）等）盛装危险废物，此外暂存含液态固废底部需设置托盘，暂存库有专人管理，各类危险废物包装物外张贴符合规定的标志。</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危险废物的堆放要求：堆放危险废物的高度应根据地面承载能力确定；不相容的危险废物不能堆放在一起；总贮存量不超过300kg（L）的危险废物要放入符合标准的容器内，加上标签，容器放入坚固的柜或箱中，柜或箱应设多个直径不少于30mm的排气孔。不相容危险废物要分别存放或存放在不渗透间隔分开的区域内，每个部分都应有防漏裙脚或储漏盘，防漏裙脚或储漏盘的材料要与危险废物相容。</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危险废物贮存设施的安全防护：危险废物贮存设施都必须按 GB15562.2 的规定设置警示标志；危险废物贮存设施周围应设置围墙或其它防护栅栏；危险废物贮存设施应配备通讯设备、照明设施、安全防护服装及工具，并设有应急防护设施；危险废物贮存设施内清理出来的泄漏物，一律按危险废物处理，并及时收集并贮存在容器中，定期委托有资质的单位进行处理。此外，需按照相关规范要求，做好防火措施。</w:t>
            </w:r>
          </w:p>
          <w:p>
            <w:pPr>
              <w:spacing w:line="360" w:lineRule="auto"/>
              <w:ind w:firstLine="482" w:firstLineChars="200"/>
              <w:rPr>
                <w:b/>
                <w:sz w:val="24"/>
              </w:rPr>
            </w:pPr>
            <w:r>
              <w:rPr>
                <w:rFonts w:hint="eastAsia"/>
                <w:b/>
                <w:sz w:val="24"/>
              </w:rPr>
              <w:t>（3）生活垃圾管理要求</w:t>
            </w:r>
          </w:p>
          <w:p>
            <w:pPr>
              <w:spacing w:line="360" w:lineRule="auto"/>
              <w:ind w:firstLine="480" w:firstLineChars="200"/>
              <w:rPr>
                <w:sz w:val="24"/>
              </w:rPr>
            </w:pPr>
            <w:r>
              <w:rPr>
                <w:rFonts w:hint="eastAsia"/>
                <w:sz w:val="24"/>
              </w:rPr>
              <w:t>生活垃圾日产日清，及时委托环卫部门清运处理</w:t>
            </w:r>
            <w:r>
              <w:rPr>
                <w:sz w:val="24"/>
              </w:rPr>
              <w:t>。</w:t>
            </w:r>
          </w:p>
          <w:p>
            <w:pPr>
              <w:spacing w:line="360" w:lineRule="auto"/>
              <w:ind w:firstLine="482" w:firstLineChars="200"/>
              <w:rPr>
                <w:b/>
                <w:sz w:val="24"/>
              </w:rPr>
            </w:pPr>
            <w:r>
              <w:rPr>
                <w:rFonts w:hint="eastAsia"/>
                <w:b/>
                <w:sz w:val="24"/>
              </w:rPr>
              <w:t>（4）日常管理要求</w:t>
            </w:r>
          </w:p>
          <w:p>
            <w:pPr>
              <w:spacing w:line="360" w:lineRule="auto"/>
              <w:ind w:firstLine="440" w:firstLineChars="200"/>
              <w:rPr>
                <w:bCs/>
                <w:spacing w:val="-10"/>
                <w:sz w:val="24"/>
              </w:rPr>
            </w:pPr>
            <w:r>
              <w:rPr>
                <w:rFonts w:hint="eastAsia"/>
                <w:bCs/>
                <w:spacing w:val="-10"/>
                <w:sz w:val="24"/>
              </w:rPr>
              <w:t>建设单位需建立并做好固体废物日常管理工作，履行申报登记制度、建立台账管理制度等，保存时间不低于 5 年，对于危险废物还应向生态环境主管部门进行申报，并执行转移联单制度，规范并如实记录危险废物管理台账。</w:t>
            </w:r>
          </w:p>
          <w:p>
            <w:pPr>
              <w:spacing w:line="360" w:lineRule="auto"/>
              <w:ind w:firstLine="440" w:firstLineChars="200"/>
              <w:rPr>
                <w:rFonts w:hAnsi="宋体"/>
                <w:b/>
                <w:kern w:val="0"/>
                <w:sz w:val="24"/>
              </w:rPr>
            </w:pPr>
            <w:r>
              <w:rPr>
                <w:rFonts w:hint="eastAsia"/>
                <w:bCs/>
                <w:spacing w:val="-10"/>
                <w:sz w:val="24"/>
              </w:rPr>
              <w:t>综上，项目运营期固体废物通过以上措施处理后，可以得到及时、妥善的处理和处置，不会造成二次污染，对周围环境影响很小，环保措施可行</w:t>
            </w:r>
            <w:r>
              <w:rPr>
                <w:rFonts w:hint="eastAsia"/>
                <w:bCs/>
                <w:sz w:val="24"/>
              </w:rPr>
              <w:t>。</w:t>
            </w:r>
          </w:p>
          <w:p>
            <w:pPr>
              <w:spacing w:line="360" w:lineRule="auto"/>
              <w:ind w:firstLine="442" w:firstLineChars="200"/>
              <w:rPr>
                <w:b/>
                <w:bCs/>
                <w:spacing w:val="-10"/>
                <w:sz w:val="24"/>
              </w:rPr>
            </w:pPr>
            <w:r>
              <w:rPr>
                <w:rFonts w:hint="eastAsia"/>
                <w:b/>
                <w:bCs/>
                <w:spacing w:val="-10"/>
                <w:sz w:val="24"/>
              </w:rPr>
              <w:t>五</w:t>
            </w:r>
            <w:r>
              <w:rPr>
                <w:b/>
                <w:bCs/>
                <w:spacing w:val="-10"/>
                <w:sz w:val="24"/>
              </w:rPr>
              <w:t>、地下水</w:t>
            </w:r>
            <w:r>
              <w:rPr>
                <w:rFonts w:hint="eastAsia"/>
                <w:b/>
                <w:bCs/>
                <w:spacing w:val="-10"/>
                <w:sz w:val="24"/>
              </w:rPr>
              <w:t>环境影响和保护措施</w:t>
            </w:r>
          </w:p>
          <w:p>
            <w:pPr>
              <w:autoSpaceDE w:val="0"/>
              <w:autoSpaceDN w:val="0"/>
              <w:adjustRightInd w:val="0"/>
              <w:spacing w:line="360" w:lineRule="auto"/>
              <w:ind w:firstLine="482" w:firstLineChars="200"/>
              <w:rPr>
                <w:b/>
                <w:sz w:val="24"/>
              </w:rPr>
            </w:pPr>
            <w:r>
              <w:rPr>
                <w:rFonts w:hint="eastAsia"/>
                <w:b/>
                <w:sz w:val="24"/>
              </w:rPr>
              <w:t>1、地下水可能造成污染的途径</w:t>
            </w:r>
          </w:p>
          <w:p>
            <w:pPr>
              <w:autoSpaceDE w:val="0"/>
              <w:autoSpaceDN w:val="0"/>
              <w:adjustRightInd w:val="0"/>
              <w:spacing w:line="360" w:lineRule="auto"/>
              <w:ind w:firstLine="480" w:firstLineChars="200"/>
              <w:rPr>
                <w:sz w:val="24"/>
              </w:rPr>
            </w:pPr>
            <w:r>
              <w:rPr>
                <w:rFonts w:hint="eastAsia"/>
                <w:sz w:val="24"/>
              </w:rPr>
              <w:t>本项目大气污染物包括有机废气及颗粒物，不涉及重金属和持久性污染物，可不考虑大气沉降途径影响。可能对地下水、土壤产生影响的途径有：原料仓库、成品仓库、搅拌分装区、空桶暂存区、危废间事故状态下发生泄漏、漫流时对周围地下水、土壤造成污染。</w:t>
            </w:r>
          </w:p>
          <w:p>
            <w:pPr>
              <w:spacing w:beforeLines="50"/>
              <w:jc w:val="center"/>
              <w:rPr>
                <w:b/>
                <w:szCs w:val="21"/>
              </w:rPr>
            </w:pPr>
            <w:r>
              <w:rPr>
                <w:b/>
                <w:szCs w:val="21"/>
              </w:rPr>
              <w:t>表4-</w:t>
            </w:r>
            <w:r>
              <w:rPr>
                <w:rFonts w:hint="eastAsia"/>
                <w:b/>
                <w:szCs w:val="21"/>
              </w:rPr>
              <w:t>21</w:t>
            </w:r>
            <w:r>
              <w:rPr>
                <w:b/>
                <w:szCs w:val="21"/>
              </w:rPr>
              <w:t xml:space="preserve">  地下水、土壤环境影响识别</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1"/>
              <w:gridCol w:w="1570"/>
              <w:gridCol w:w="1570"/>
              <w:gridCol w:w="1570"/>
              <w:gridCol w:w="1570"/>
              <w:gridCol w:w="15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71" w:type="dxa"/>
                  <w:vAlign w:val="center"/>
                </w:tcPr>
                <w:p>
                  <w:pPr>
                    <w:autoSpaceDE w:val="0"/>
                    <w:autoSpaceDN w:val="0"/>
                    <w:adjustRightInd w:val="0"/>
                    <w:jc w:val="center"/>
                    <w:rPr>
                      <w:b/>
                      <w:szCs w:val="21"/>
                    </w:rPr>
                  </w:pPr>
                  <w:r>
                    <w:rPr>
                      <w:rFonts w:hint="eastAsia"/>
                      <w:b/>
                      <w:szCs w:val="21"/>
                    </w:rPr>
                    <w:t>污染源</w:t>
                  </w:r>
                </w:p>
              </w:tc>
              <w:tc>
                <w:tcPr>
                  <w:tcW w:w="1570" w:type="dxa"/>
                  <w:vAlign w:val="center"/>
                </w:tcPr>
                <w:p>
                  <w:pPr>
                    <w:autoSpaceDE w:val="0"/>
                    <w:autoSpaceDN w:val="0"/>
                    <w:adjustRightInd w:val="0"/>
                    <w:jc w:val="center"/>
                    <w:rPr>
                      <w:b/>
                      <w:szCs w:val="21"/>
                    </w:rPr>
                  </w:pPr>
                  <w:r>
                    <w:rPr>
                      <w:rFonts w:hint="eastAsia"/>
                      <w:b/>
                      <w:szCs w:val="21"/>
                    </w:rPr>
                    <w:t>工艺流程/节点</w:t>
                  </w:r>
                </w:p>
              </w:tc>
              <w:tc>
                <w:tcPr>
                  <w:tcW w:w="1570" w:type="dxa"/>
                  <w:vAlign w:val="center"/>
                </w:tcPr>
                <w:p>
                  <w:pPr>
                    <w:autoSpaceDE w:val="0"/>
                    <w:autoSpaceDN w:val="0"/>
                    <w:adjustRightInd w:val="0"/>
                    <w:jc w:val="center"/>
                    <w:rPr>
                      <w:b/>
                      <w:szCs w:val="21"/>
                    </w:rPr>
                  </w:pPr>
                  <w:r>
                    <w:rPr>
                      <w:rFonts w:hint="eastAsia"/>
                      <w:b/>
                      <w:szCs w:val="21"/>
                    </w:rPr>
                    <w:t>污染途径</w:t>
                  </w:r>
                </w:p>
              </w:tc>
              <w:tc>
                <w:tcPr>
                  <w:tcW w:w="1570" w:type="dxa"/>
                  <w:vAlign w:val="center"/>
                </w:tcPr>
                <w:p>
                  <w:pPr>
                    <w:autoSpaceDE w:val="0"/>
                    <w:autoSpaceDN w:val="0"/>
                    <w:adjustRightInd w:val="0"/>
                    <w:jc w:val="center"/>
                    <w:rPr>
                      <w:b/>
                      <w:szCs w:val="21"/>
                    </w:rPr>
                  </w:pPr>
                  <w:r>
                    <w:rPr>
                      <w:rFonts w:hint="eastAsia"/>
                      <w:b/>
                      <w:szCs w:val="21"/>
                    </w:rPr>
                    <w:t>全部污染物指标</w:t>
                  </w:r>
                </w:p>
              </w:tc>
              <w:tc>
                <w:tcPr>
                  <w:tcW w:w="1570" w:type="dxa"/>
                  <w:vAlign w:val="center"/>
                </w:tcPr>
                <w:p>
                  <w:pPr>
                    <w:autoSpaceDE w:val="0"/>
                    <w:autoSpaceDN w:val="0"/>
                    <w:adjustRightInd w:val="0"/>
                    <w:jc w:val="center"/>
                    <w:rPr>
                      <w:b/>
                      <w:szCs w:val="21"/>
                    </w:rPr>
                  </w:pPr>
                  <w:r>
                    <w:rPr>
                      <w:rFonts w:hint="eastAsia"/>
                      <w:b/>
                      <w:szCs w:val="21"/>
                    </w:rPr>
                    <w:t>特征因子</w:t>
                  </w:r>
                </w:p>
              </w:tc>
              <w:tc>
                <w:tcPr>
                  <w:tcW w:w="1570" w:type="dxa"/>
                  <w:vAlign w:val="center"/>
                </w:tcPr>
                <w:p>
                  <w:pPr>
                    <w:autoSpaceDE w:val="0"/>
                    <w:autoSpaceDN w:val="0"/>
                    <w:adjustRightInd w:val="0"/>
                    <w:jc w:val="center"/>
                    <w:rPr>
                      <w:b/>
                      <w:szCs w:val="21"/>
                    </w:rPr>
                  </w:pPr>
                  <w:r>
                    <w:rPr>
                      <w:rFonts w:hint="eastAsia"/>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71" w:type="dxa"/>
                  <w:vMerge w:val="restart"/>
                  <w:vAlign w:val="center"/>
                </w:tcPr>
                <w:p>
                  <w:pPr>
                    <w:autoSpaceDE w:val="0"/>
                    <w:autoSpaceDN w:val="0"/>
                    <w:adjustRightInd w:val="0"/>
                    <w:jc w:val="center"/>
                    <w:rPr>
                      <w:szCs w:val="21"/>
                    </w:rPr>
                  </w:pPr>
                  <w:r>
                    <w:rPr>
                      <w:rFonts w:hint="eastAsia"/>
                      <w:szCs w:val="21"/>
                    </w:rPr>
                    <w:t>原料仓库、成品仓库、搅拌分装区</w:t>
                  </w:r>
                </w:p>
              </w:tc>
              <w:tc>
                <w:tcPr>
                  <w:tcW w:w="1570" w:type="dxa"/>
                  <w:vMerge w:val="restart"/>
                  <w:vAlign w:val="center"/>
                </w:tcPr>
                <w:p>
                  <w:pPr>
                    <w:autoSpaceDE w:val="0"/>
                    <w:autoSpaceDN w:val="0"/>
                    <w:adjustRightInd w:val="0"/>
                    <w:jc w:val="center"/>
                    <w:rPr>
                      <w:szCs w:val="21"/>
                    </w:rPr>
                  </w:pPr>
                  <w:r>
                    <w:rPr>
                      <w:rFonts w:hint="eastAsia"/>
                      <w:szCs w:val="21"/>
                    </w:rPr>
                    <w:t>原料/成品暂存、生产</w:t>
                  </w:r>
                </w:p>
              </w:tc>
              <w:tc>
                <w:tcPr>
                  <w:tcW w:w="1570" w:type="dxa"/>
                  <w:vAlign w:val="center"/>
                </w:tcPr>
                <w:p>
                  <w:pPr>
                    <w:autoSpaceDE w:val="0"/>
                    <w:autoSpaceDN w:val="0"/>
                    <w:adjustRightInd w:val="0"/>
                    <w:jc w:val="center"/>
                    <w:rPr>
                      <w:szCs w:val="21"/>
                    </w:rPr>
                  </w:pPr>
                  <w:r>
                    <w:rPr>
                      <w:rFonts w:hint="eastAsia"/>
                      <w:szCs w:val="21"/>
                    </w:rPr>
                    <w:t>地表漫流</w:t>
                  </w:r>
                </w:p>
              </w:tc>
              <w:tc>
                <w:tcPr>
                  <w:tcW w:w="1570" w:type="dxa"/>
                  <w:vMerge w:val="restart"/>
                  <w:vAlign w:val="center"/>
                </w:tcPr>
                <w:p>
                  <w:pPr>
                    <w:autoSpaceDE w:val="0"/>
                    <w:autoSpaceDN w:val="0"/>
                    <w:adjustRightInd w:val="0"/>
                    <w:jc w:val="center"/>
                    <w:rPr>
                      <w:szCs w:val="21"/>
                    </w:rPr>
                  </w:pPr>
                  <w:r>
                    <w:rPr>
                      <w:rFonts w:hint="eastAsia"/>
                      <w:szCs w:val="21"/>
                    </w:rPr>
                    <w:t>pH、石油类、LAS、总氮</w:t>
                  </w:r>
                </w:p>
              </w:tc>
              <w:tc>
                <w:tcPr>
                  <w:tcW w:w="1570" w:type="dxa"/>
                  <w:vMerge w:val="restart"/>
                  <w:vAlign w:val="center"/>
                </w:tcPr>
                <w:p>
                  <w:pPr>
                    <w:autoSpaceDE w:val="0"/>
                    <w:autoSpaceDN w:val="0"/>
                    <w:adjustRightInd w:val="0"/>
                    <w:jc w:val="center"/>
                    <w:rPr>
                      <w:szCs w:val="21"/>
                    </w:rPr>
                  </w:pPr>
                  <w:r>
                    <w:rPr>
                      <w:rFonts w:hint="eastAsia"/>
                      <w:szCs w:val="21"/>
                    </w:rPr>
                    <w:t>pH、石油类、LAS、总氮</w:t>
                  </w:r>
                </w:p>
              </w:tc>
              <w:tc>
                <w:tcPr>
                  <w:tcW w:w="1570" w:type="dxa"/>
                  <w:vMerge w:val="restart"/>
                  <w:vAlign w:val="center"/>
                </w:tcPr>
                <w:p>
                  <w:pPr>
                    <w:autoSpaceDE w:val="0"/>
                    <w:autoSpaceDN w:val="0"/>
                    <w:adjustRightInd w:val="0"/>
                    <w:jc w:val="center"/>
                    <w:rPr>
                      <w:szCs w:val="21"/>
                    </w:rPr>
                  </w:pPr>
                  <w:r>
                    <w:rPr>
                      <w:rFonts w:hint="eastAsia"/>
                      <w:szCs w:val="21"/>
                    </w:rPr>
                    <w:t>事故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71" w:type="dxa"/>
                  <w:vMerge w:val="continue"/>
                  <w:vAlign w:val="center"/>
                </w:tcPr>
                <w:p>
                  <w:pPr>
                    <w:autoSpaceDE w:val="0"/>
                    <w:autoSpaceDN w:val="0"/>
                    <w:adjustRightInd w:val="0"/>
                    <w:jc w:val="center"/>
                    <w:rPr>
                      <w:szCs w:val="21"/>
                    </w:rPr>
                  </w:pPr>
                </w:p>
              </w:tc>
              <w:tc>
                <w:tcPr>
                  <w:tcW w:w="1570" w:type="dxa"/>
                  <w:vMerge w:val="continue"/>
                  <w:vAlign w:val="center"/>
                </w:tcPr>
                <w:p>
                  <w:pPr>
                    <w:autoSpaceDE w:val="0"/>
                    <w:autoSpaceDN w:val="0"/>
                    <w:adjustRightInd w:val="0"/>
                    <w:jc w:val="center"/>
                    <w:rPr>
                      <w:szCs w:val="21"/>
                    </w:rPr>
                  </w:pPr>
                </w:p>
              </w:tc>
              <w:tc>
                <w:tcPr>
                  <w:tcW w:w="1570" w:type="dxa"/>
                  <w:vAlign w:val="center"/>
                </w:tcPr>
                <w:p>
                  <w:pPr>
                    <w:autoSpaceDE w:val="0"/>
                    <w:autoSpaceDN w:val="0"/>
                    <w:adjustRightInd w:val="0"/>
                    <w:jc w:val="center"/>
                    <w:rPr>
                      <w:szCs w:val="21"/>
                    </w:rPr>
                  </w:pPr>
                  <w:r>
                    <w:rPr>
                      <w:rFonts w:hint="eastAsia"/>
                      <w:szCs w:val="21"/>
                    </w:rPr>
                    <w:t>垂直入渗</w:t>
                  </w:r>
                </w:p>
              </w:tc>
              <w:tc>
                <w:tcPr>
                  <w:tcW w:w="1570" w:type="dxa"/>
                  <w:vMerge w:val="continue"/>
                  <w:vAlign w:val="center"/>
                </w:tcPr>
                <w:p>
                  <w:pPr>
                    <w:autoSpaceDE w:val="0"/>
                    <w:autoSpaceDN w:val="0"/>
                    <w:adjustRightInd w:val="0"/>
                    <w:jc w:val="center"/>
                    <w:rPr>
                      <w:szCs w:val="21"/>
                    </w:rPr>
                  </w:pPr>
                </w:p>
              </w:tc>
              <w:tc>
                <w:tcPr>
                  <w:tcW w:w="1570" w:type="dxa"/>
                  <w:vMerge w:val="continue"/>
                  <w:vAlign w:val="center"/>
                </w:tcPr>
                <w:p>
                  <w:pPr>
                    <w:autoSpaceDE w:val="0"/>
                    <w:autoSpaceDN w:val="0"/>
                    <w:adjustRightInd w:val="0"/>
                    <w:jc w:val="center"/>
                    <w:rPr>
                      <w:szCs w:val="21"/>
                    </w:rPr>
                  </w:pPr>
                </w:p>
              </w:tc>
              <w:tc>
                <w:tcPr>
                  <w:tcW w:w="1570" w:type="dxa"/>
                  <w:vMerge w:val="continue"/>
                  <w:vAlign w:val="center"/>
                </w:tcPr>
                <w:p>
                  <w:pPr>
                    <w:autoSpaceDE w:val="0"/>
                    <w:autoSpaceDN w:val="0"/>
                    <w:adjustRightIn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71" w:type="dxa"/>
                  <w:vMerge w:val="restart"/>
                  <w:vAlign w:val="center"/>
                </w:tcPr>
                <w:p>
                  <w:pPr>
                    <w:autoSpaceDE w:val="0"/>
                    <w:autoSpaceDN w:val="0"/>
                    <w:adjustRightInd w:val="0"/>
                    <w:jc w:val="center"/>
                    <w:rPr>
                      <w:szCs w:val="21"/>
                    </w:rPr>
                  </w:pPr>
                  <w:r>
                    <w:rPr>
                      <w:rFonts w:hint="eastAsia"/>
                      <w:szCs w:val="21"/>
                    </w:rPr>
                    <w:t>空桶暂存区、危废间</w:t>
                  </w:r>
                </w:p>
              </w:tc>
              <w:tc>
                <w:tcPr>
                  <w:tcW w:w="1570" w:type="dxa"/>
                  <w:vMerge w:val="restart"/>
                  <w:vAlign w:val="center"/>
                </w:tcPr>
                <w:p>
                  <w:pPr>
                    <w:autoSpaceDE w:val="0"/>
                    <w:autoSpaceDN w:val="0"/>
                    <w:adjustRightInd w:val="0"/>
                    <w:jc w:val="center"/>
                    <w:rPr>
                      <w:szCs w:val="21"/>
                    </w:rPr>
                  </w:pPr>
                  <w:r>
                    <w:rPr>
                      <w:rFonts w:hint="eastAsia"/>
                      <w:szCs w:val="21"/>
                    </w:rPr>
                    <w:t>危废、中转桶暂存</w:t>
                  </w:r>
                </w:p>
              </w:tc>
              <w:tc>
                <w:tcPr>
                  <w:tcW w:w="1570" w:type="dxa"/>
                  <w:vAlign w:val="center"/>
                </w:tcPr>
                <w:p>
                  <w:pPr>
                    <w:autoSpaceDE w:val="0"/>
                    <w:autoSpaceDN w:val="0"/>
                    <w:adjustRightInd w:val="0"/>
                    <w:jc w:val="center"/>
                    <w:rPr>
                      <w:szCs w:val="21"/>
                    </w:rPr>
                  </w:pPr>
                  <w:r>
                    <w:rPr>
                      <w:rFonts w:hint="eastAsia"/>
                      <w:szCs w:val="21"/>
                    </w:rPr>
                    <w:t>地表漫流</w:t>
                  </w:r>
                </w:p>
              </w:tc>
              <w:tc>
                <w:tcPr>
                  <w:tcW w:w="1570" w:type="dxa"/>
                  <w:vMerge w:val="continue"/>
                  <w:vAlign w:val="center"/>
                </w:tcPr>
                <w:p>
                  <w:pPr>
                    <w:autoSpaceDE w:val="0"/>
                    <w:autoSpaceDN w:val="0"/>
                    <w:adjustRightInd w:val="0"/>
                    <w:jc w:val="center"/>
                    <w:rPr>
                      <w:szCs w:val="21"/>
                    </w:rPr>
                  </w:pPr>
                </w:p>
              </w:tc>
              <w:tc>
                <w:tcPr>
                  <w:tcW w:w="1570" w:type="dxa"/>
                  <w:vMerge w:val="continue"/>
                  <w:vAlign w:val="center"/>
                </w:tcPr>
                <w:p>
                  <w:pPr>
                    <w:autoSpaceDE w:val="0"/>
                    <w:autoSpaceDN w:val="0"/>
                    <w:adjustRightInd w:val="0"/>
                    <w:jc w:val="center"/>
                    <w:rPr>
                      <w:szCs w:val="21"/>
                    </w:rPr>
                  </w:pPr>
                </w:p>
              </w:tc>
              <w:tc>
                <w:tcPr>
                  <w:tcW w:w="1570" w:type="dxa"/>
                  <w:vMerge w:val="continue"/>
                  <w:vAlign w:val="center"/>
                </w:tcPr>
                <w:p>
                  <w:pPr>
                    <w:autoSpaceDE w:val="0"/>
                    <w:autoSpaceDN w:val="0"/>
                    <w:adjustRightIn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71" w:type="dxa"/>
                  <w:vMerge w:val="continue"/>
                  <w:vAlign w:val="center"/>
                </w:tcPr>
                <w:p>
                  <w:pPr>
                    <w:autoSpaceDE w:val="0"/>
                    <w:autoSpaceDN w:val="0"/>
                    <w:adjustRightInd w:val="0"/>
                    <w:jc w:val="center"/>
                    <w:rPr>
                      <w:b/>
                      <w:szCs w:val="21"/>
                    </w:rPr>
                  </w:pPr>
                </w:p>
              </w:tc>
              <w:tc>
                <w:tcPr>
                  <w:tcW w:w="1570" w:type="dxa"/>
                  <w:vMerge w:val="continue"/>
                  <w:vAlign w:val="center"/>
                </w:tcPr>
                <w:p>
                  <w:pPr>
                    <w:autoSpaceDE w:val="0"/>
                    <w:autoSpaceDN w:val="0"/>
                    <w:adjustRightInd w:val="0"/>
                    <w:jc w:val="center"/>
                    <w:rPr>
                      <w:b/>
                      <w:szCs w:val="21"/>
                    </w:rPr>
                  </w:pPr>
                </w:p>
              </w:tc>
              <w:tc>
                <w:tcPr>
                  <w:tcW w:w="1570" w:type="dxa"/>
                  <w:vAlign w:val="center"/>
                </w:tcPr>
                <w:p>
                  <w:pPr>
                    <w:autoSpaceDE w:val="0"/>
                    <w:autoSpaceDN w:val="0"/>
                    <w:adjustRightInd w:val="0"/>
                    <w:jc w:val="center"/>
                    <w:rPr>
                      <w:szCs w:val="21"/>
                    </w:rPr>
                  </w:pPr>
                  <w:r>
                    <w:rPr>
                      <w:rFonts w:hint="eastAsia"/>
                      <w:szCs w:val="21"/>
                    </w:rPr>
                    <w:t>垂直入渗</w:t>
                  </w:r>
                </w:p>
              </w:tc>
              <w:tc>
                <w:tcPr>
                  <w:tcW w:w="1570" w:type="dxa"/>
                  <w:vMerge w:val="continue"/>
                  <w:vAlign w:val="center"/>
                </w:tcPr>
                <w:p>
                  <w:pPr>
                    <w:autoSpaceDE w:val="0"/>
                    <w:autoSpaceDN w:val="0"/>
                    <w:adjustRightInd w:val="0"/>
                    <w:jc w:val="center"/>
                    <w:rPr>
                      <w:b/>
                      <w:szCs w:val="21"/>
                    </w:rPr>
                  </w:pPr>
                </w:p>
              </w:tc>
              <w:tc>
                <w:tcPr>
                  <w:tcW w:w="1570" w:type="dxa"/>
                  <w:vMerge w:val="continue"/>
                  <w:vAlign w:val="center"/>
                </w:tcPr>
                <w:p>
                  <w:pPr>
                    <w:autoSpaceDE w:val="0"/>
                    <w:autoSpaceDN w:val="0"/>
                    <w:adjustRightInd w:val="0"/>
                    <w:jc w:val="center"/>
                    <w:rPr>
                      <w:b/>
                      <w:szCs w:val="21"/>
                    </w:rPr>
                  </w:pPr>
                </w:p>
              </w:tc>
              <w:tc>
                <w:tcPr>
                  <w:tcW w:w="1570" w:type="dxa"/>
                  <w:vMerge w:val="continue"/>
                  <w:vAlign w:val="center"/>
                </w:tcPr>
                <w:p>
                  <w:pPr>
                    <w:autoSpaceDE w:val="0"/>
                    <w:autoSpaceDN w:val="0"/>
                    <w:adjustRightInd w:val="0"/>
                    <w:jc w:val="center"/>
                    <w:rPr>
                      <w:b/>
                      <w:szCs w:val="21"/>
                    </w:rPr>
                  </w:pPr>
                </w:p>
              </w:tc>
            </w:tr>
          </w:tbl>
          <w:p>
            <w:pPr>
              <w:autoSpaceDE w:val="0"/>
              <w:autoSpaceDN w:val="0"/>
              <w:adjustRightInd w:val="0"/>
              <w:spacing w:line="360" w:lineRule="auto"/>
              <w:ind w:firstLine="482" w:firstLineChars="200"/>
              <w:rPr>
                <w:b/>
                <w:sz w:val="24"/>
              </w:rPr>
            </w:pPr>
            <w:r>
              <w:rPr>
                <w:rFonts w:hint="eastAsia"/>
                <w:b/>
                <w:sz w:val="24"/>
              </w:rPr>
              <w:t>2、分区防控措施</w:t>
            </w:r>
          </w:p>
          <w:p>
            <w:pPr>
              <w:autoSpaceDE w:val="0"/>
              <w:autoSpaceDN w:val="0"/>
              <w:adjustRightInd w:val="0"/>
              <w:spacing w:line="360" w:lineRule="auto"/>
              <w:ind w:firstLine="482" w:firstLineChars="200"/>
              <w:rPr>
                <w:b/>
                <w:sz w:val="24"/>
              </w:rPr>
            </w:pPr>
            <w:r>
              <w:rPr>
                <w:rFonts w:hint="eastAsia"/>
                <w:b/>
                <w:sz w:val="24"/>
              </w:rPr>
              <w:t>（1）防渗原则</w:t>
            </w:r>
          </w:p>
          <w:p>
            <w:pPr>
              <w:autoSpaceDE w:val="0"/>
              <w:autoSpaceDN w:val="0"/>
              <w:adjustRightInd w:val="0"/>
              <w:spacing w:line="360" w:lineRule="auto"/>
              <w:ind w:firstLine="480" w:firstLineChars="200"/>
              <w:rPr>
                <w:sz w:val="24"/>
              </w:rPr>
            </w:pPr>
            <w:r>
              <w:rPr>
                <w:rFonts w:hint="eastAsia"/>
                <w:sz w:val="24"/>
              </w:rPr>
              <w:t>地下水、土壤污染防治措施按照“源头控制、末端防治、污染监控、应急响应”相结合的原则，需从污染物的产生、入渗、扩散、应急响应全阶段进行控制。</w:t>
            </w:r>
          </w:p>
          <w:p>
            <w:pPr>
              <w:autoSpaceDE w:val="0"/>
              <w:autoSpaceDN w:val="0"/>
              <w:adjustRightInd w:val="0"/>
              <w:spacing w:line="360" w:lineRule="auto"/>
              <w:ind w:firstLine="480" w:firstLineChars="200"/>
              <w:rPr>
                <w:sz w:val="24"/>
              </w:rPr>
            </w:pPr>
            <w:r>
              <w:rPr>
                <w:rFonts w:hint="eastAsia"/>
                <w:sz w:val="24"/>
              </w:rPr>
              <w:t>①源头控制</w:t>
            </w:r>
          </w:p>
          <w:p>
            <w:pPr>
              <w:autoSpaceDE w:val="0"/>
              <w:autoSpaceDN w:val="0"/>
              <w:adjustRightInd w:val="0"/>
              <w:spacing w:line="360" w:lineRule="auto"/>
              <w:ind w:firstLine="480" w:firstLineChars="200"/>
              <w:rPr>
                <w:sz w:val="24"/>
              </w:rPr>
            </w:pPr>
            <w:r>
              <w:rPr>
                <w:rFonts w:hint="eastAsia"/>
                <w:sz w:val="24"/>
              </w:rPr>
              <w:t>源头控制是本项目土壤及地下水污染防治措施的重点。源头控制是本项目土壤及地下水污染防治措施的重点。加强日常生产过程中监管维护，防止和降低污染物跑、冒、滴、漏，将污染物泄漏的环境风险事故降低到最低程度。</w:t>
            </w:r>
          </w:p>
          <w:p>
            <w:pPr>
              <w:spacing w:line="360" w:lineRule="auto"/>
              <w:ind w:firstLine="480" w:firstLineChars="200"/>
              <w:rPr>
                <w:sz w:val="24"/>
              </w:rPr>
            </w:pPr>
            <w:r>
              <w:rPr>
                <w:rFonts w:hint="eastAsia"/>
                <w:sz w:val="24"/>
              </w:rPr>
              <w:t>②末端防治</w:t>
            </w:r>
          </w:p>
          <w:p>
            <w:pPr>
              <w:spacing w:line="360" w:lineRule="auto"/>
              <w:ind w:firstLine="480" w:firstLineChars="200"/>
              <w:rPr>
                <w:bCs/>
                <w:spacing w:val="-10"/>
                <w:sz w:val="24"/>
              </w:rPr>
            </w:pPr>
            <w:r>
              <w:rPr>
                <w:rFonts w:hint="eastAsia" w:eastAsiaTheme="minorEastAsia"/>
                <w:bCs/>
                <w:sz w:val="24"/>
              </w:rPr>
              <w:t>原料/成品仓库、搅拌分装区、空桶暂存区、危废间、初期雨水池及应急设施属于重点防渗区，应按照按照 GB18597、GB18598等设计规范采取防渗措施。</w:t>
            </w:r>
          </w:p>
          <w:p>
            <w:pPr>
              <w:spacing w:line="360" w:lineRule="auto"/>
              <w:ind w:firstLine="440" w:firstLineChars="200"/>
              <w:rPr>
                <w:bCs/>
                <w:spacing w:val="-10"/>
                <w:sz w:val="24"/>
              </w:rPr>
            </w:pPr>
            <w:r>
              <w:rPr>
                <w:rFonts w:hint="eastAsia"/>
                <w:bCs/>
                <w:spacing w:val="-10"/>
                <w:sz w:val="24"/>
              </w:rPr>
              <w:t>③应急响应措施</w:t>
            </w:r>
          </w:p>
          <w:p>
            <w:pPr>
              <w:spacing w:line="360" w:lineRule="auto"/>
              <w:ind w:firstLine="440" w:firstLineChars="200"/>
              <w:rPr>
                <w:bCs/>
                <w:spacing w:val="-10"/>
                <w:sz w:val="24"/>
              </w:rPr>
            </w:pPr>
            <w:r>
              <w:rPr>
                <w:rFonts w:hint="eastAsia"/>
                <w:bCs/>
                <w:spacing w:val="-10"/>
                <w:sz w:val="24"/>
              </w:rPr>
              <w:t>一旦发现污染物存在泄漏，应立即启动应急响应。在发现污染泄漏后，首先切断污染源，将原料迅速转入安全区域，对污染区域进行污染评估，根据评估结果采取合适的污染处理措施，以有效抑制污染物向下游扩散，控制污染范围，使地下水质量得到尽快恢复，尽量避免对地表水体的污染。</w:t>
            </w:r>
          </w:p>
          <w:p>
            <w:pPr>
              <w:spacing w:line="360" w:lineRule="auto"/>
              <w:ind w:firstLine="442" w:firstLineChars="200"/>
              <w:rPr>
                <w:b/>
                <w:bCs/>
                <w:spacing w:val="-10"/>
                <w:sz w:val="24"/>
              </w:rPr>
            </w:pPr>
            <w:r>
              <w:rPr>
                <w:rFonts w:hint="eastAsia"/>
                <w:b/>
                <w:bCs/>
                <w:spacing w:val="-10"/>
                <w:sz w:val="24"/>
              </w:rPr>
              <w:t>（2）防渗措施</w:t>
            </w:r>
          </w:p>
          <w:p>
            <w:pPr>
              <w:spacing w:line="360" w:lineRule="auto"/>
              <w:ind w:firstLine="440" w:firstLineChars="200"/>
              <w:rPr>
                <w:bCs/>
                <w:spacing w:val="-10"/>
                <w:sz w:val="24"/>
              </w:rPr>
            </w:pPr>
            <w:r>
              <w:rPr>
                <w:rFonts w:hint="eastAsia"/>
                <w:bCs/>
                <w:spacing w:val="-10"/>
                <w:sz w:val="24"/>
              </w:rPr>
              <w:t>项目对地下水及土壤的污染主要考虑原料、成品暂存期间的泄漏，要求企业对上述重点防渗区均按照下表设计规范采取防渗措施，可有效避免项目对地下水及土壤污染，项目运行期间，通过采取合理有效的防渗措施，确保厂区对附近浅层地下水不会产生污染。</w:t>
            </w:r>
          </w:p>
          <w:p>
            <w:pPr>
              <w:spacing w:line="360" w:lineRule="auto"/>
              <w:ind w:firstLine="442" w:firstLineChars="200"/>
              <w:rPr>
                <w:b/>
                <w:bCs/>
                <w:spacing w:val="-10"/>
                <w:sz w:val="24"/>
              </w:rPr>
            </w:pPr>
            <w:r>
              <w:rPr>
                <w:rFonts w:hint="eastAsia"/>
                <w:b/>
                <w:bCs/>
                <w:spacing w:val="-10"/>
                <w:sz w:val="24"/>
              </w:rPr>
              <w:t>（3）地下水、土壤污染分区防治</w:t>
            </w:r>
          </w:p>
          <w:p>
            <w:pPr>
              <w:spacing w:line="360" w:lineRule="auto"/>
              <w:ind w:firstLine="440" w:firstLineChars="200"/>
              <w:rPr>
                <w:bCs/>
                <w:spacing w:val="-10"/>
                <w:sz w:val="24"/>
              </w:rPr>
            </w:pPr>
            <w:r>
              <w:rPr>
                <w:rFonts w:hint="eastAsia"/>
                <w:bCs/>
                <w:spacing w:val="-10"/>
                <w:sz w:val="24"/>
              </w:rPr>
              <w:t>项目防渗分区分为重点防渗区、一般防渗区、简单防渗区，另外对于无污染产生的区域，在此列为非污染区。</w:t>
            </w:r>
          </w:p>
          <w:p>
            <w:pPr>
              <w:spacing w:line="360" w:lineRule="auto"/>
              <w:ind w:firstLine="440" w:firstLineChars="200"/>
              <w:rPr>
                <w:bCs/>
                <w:spacing w:val="-10"/>
                <w:sz w:val="24"/>
              </w:rPr>
            </w:pPr>
            <w:r>
              <w:rPr>
                <w:rFonts w:hint="eastAsia"/>
                <w:bCs/>
                <w:spacing w:val="-10"/>
                <w:sz w:val="24"/>
              </w:rPr>
              <w:t>根据本项目特点，防渗区域划分及防渗要求见下表。</w:t>
            </w:r>
          </w:p>
          <w:p>
            <w:pPr>
              <w:spacing w:beforeLines="50"/>
              <w:jc w:val="center"/>
              <w:rPr>
                <w:b/>
                <w:szCs w:val="21"/>
              </w:rPr>
            </w:pPr>
            <w:r>
              <w:rPr>
                <w:b/>
                <w:szCs w:val="21"/>
              </w:rPr>
              <w:t>表4-</w:t>
            </w:r>
            <w:r>
              <w:rPr>
                <w:rFonts w:hint="eastAsia"/>
                <w:b/>
                <w:szCs w:val="21"/>
              </w:rPr>
              <w:t xml:space="preserve">22 </w:t>
            </w:r>
            <w:r>
              <w:rPr>
                <w:b/>
                <w:szCs w:val="21"/>
              </w:rPr>
              <w:t xml:space="preserve"> 地下水、土壤环境影响识别</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9"/>
              <w:gridCol w:w="3260"/>
              <w:gridCol w:w="45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8" w:type="pct"/>
                  <w:vAlign w:val="center"/>
                </w:tcPr>
                <w:p>
                  <w:pPr>
                    <w:autoSpaceDE w:val="0"/>
                    <w:autoSpaceDN w:val="0"/>
                    <w:adjustRightInd w:val="0"/>
                    <w:jc w:val="center"/>
                    <w:rPr>
                      <w:b/>
                      <w:szCs w:val="21"/>
                    </w:rPr>
                  </w:pPr>
                  <w:r>
                    <w:rPr>
                      <w:rFonts w:hint="eastAsia"/>
                      <w:b/>
                      <w:szCs w:val="21"/>
                    </w:rPr>
                    <w:t>分区类别</w:t>
                  </w:r>
                </w:p>
              </w:tc>
              <w:tc>
                <w:tcPr>
                  <w:tcW w:w="1730" w:type="pct"/>
                  <w:vAlign w:val="center"/>
                </w:tcPr>
                <w:p>
                  <w:pPr>
                    <w:autoSpaceDE w:val="0"/>
                    <w:autoSpaceDN w:val="0"/>
                    <w:adjustRightInd w:val="0"/>
                    <w:jc w:val="center"/>
                    <w:rPr>
                      <w:b/>
                      <w:szCs w:val="21"/>
                    </w:rPr>
                  </w:pPr>
                  <w:r>
                    <w:rPr>
                      <w:rFonts w:hint="eastAsia"/>
                      <w:b/>
                      <w:szCs w:val="21"/>
                    </w:rPr>
                    <w:t>分区举例</w:t>
                  </w:r>
                </w:p>
              </w:tc>
              <w:tc>
                <w:tcPr>
                  <w:tcW w:w="2432" w:type="pct"/>
                  <w:vAlign w:val="center"/>
                </w:tcPr>
                <w:p>
                  <w:pPr>
                    <w:autoSpaceDE w:val="0"/>
                    <w:autoSpaceDN w:val="0"/>
                    <w:adjustRightInd w:val="0"/>
                    <w:jc w:val="center"/>
                    <w:rPr>
                      <w:b/>
                      <w:szCs w:val="21"/>
                    </w:rPr>
                  </w:pPr>
                  <w:r>
                    <w:rPr>
                      <w:rFonts w:hint="eastAsia"/>
                      <w:b/>
                      <w:szCs w:val="21"/>
                    </w:rPr>
                    <w:t>防渗要求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8" w:type="pct"/>
                  <w:vAlign w:val="center"/>
                </w:tcPr>
                <w:p>
                  <w:pPr>
                    <w:autoSpaceDE w:val="0"/>
                    <w:autoSpaceDN w:val="0"/>
                    <w:adjustRightInd w:val="0"/>
                    <w:jc w:val="center"/>
                    <w:rPr>
                      <w:szCs w:val="21"/>
                    </w:rPr>
                  </w:pPr>
                  <w:r>
                    <w:rPr>
                      <w:rFonts w:hint="eastAsia"/>
                      <w:szCs w:val="21"/>
                    </w:rPr>
                    <w:t>一般防渗区</w:t>
                  </w:r>
                </w:p>
              </w:tc>
              <w:tc>
                <w:tcPr>
                  <w:tcW w:w="1730" w:type="pct"/>
                  <w:vAlign w:val="center"/>
                </w:tcPr>
                <w:p>
                  <w:pPr>
                    <w:autoSpaceDE w:val="0"/>
                    <w:autoSpaceDN w:val="0"/>
                    <w:adjustRightInd w:val="0"/>
                    <w:jc w:val="center"/>
                    <w:rPr>
                      <w:szCs w:val="21"/>
                    </w:rPr>
                  </w:pPr>
                  <w:r>
                    <w:rPr>
                      <w:rFonts w:hint="eastAsia"/>
                      <w:szCs w:val="21"/>
                    </w:rPr>
                    <w:t>一般固废间</w:t>
                  </w:r>
                </w:p>
              </w:tc>
              <w:tc>
                <w:tcPr>
                  <w:tcW w:w="2432" w:type="pct"/>
                  <w:vAlign w:val="center"/>
                </w:tcPr>
                <w:p>
                  <w:pPr>
                    <w:autoSpaceDE w:val="0"/>
                    <w:autoSpaceDN w:val="0"/>
                    <w:adjustRightInd w:val="0"/>
                    <w:jc w:val="center"/>
                    <w:rPr>
                      <w:szCs w:val="21"/>
                    </w:rPr>
                  </w:pPr>
                  <w:r>
                    <w:rPr>
                      <w:rFonts w:hint="eastAsia"/>
                      <w:szCs w:val="21"/>
                    </w:rPr>
                    <w:t>等效粘土防渗层Mb≥1.5m，渗透系数K≤10</w:t>
                  </w:r>
                  <w:r>
                    <w:rPr>
                      <w:rFonts w:hint="eastAsia"/>
                      <w:szCs w:val="21"/>
                      <w:vertAlign w:val="superscript"/>
                    </w:rPr>
                    <w:t>-7</w:t>
                  </w:r>
                  <w:r>
                    <w:rPr>
                      <w:rFonts w:hint="eastAsia"/>
                      <w:szCs w:val="21"/>
                    </w:rPr>
                    <w:t>cm/s，或参照 GB18598执行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8" w:type="pct"/>
                  <w:vMerge w:val="restart"/>
                  <w:vAlign w:val="center"/>
                </w:tcPr>
                <w:p>
                  <w:pPr>
                    <w:autoSpaceDE w:val="0"/>
                    <w:autoSpaceDN w:val="0"/>
                    <w:adjustRightInd w:val="0"/>
                    <w:jc w:val="center"/>
                    <w:rPr>
                      <w:szCs w:val="21"/>
                    </w:rPr>
                  </w:pPr>
                  <w:r>
                    <w:rPr>
                      <w:rFonts w:hint="eastAsia"/>
                      <w:szCs w:val="21"/>
                    </w:rPr>
                    <w:t>重点防渗区</w:t>
                  </w:r>
                </w:p>
              </w:tc>
              <w:tc>
                <w:tcPr>
                  <w:tcW w:w="1730" w:type="pct"/>
                  <w:vAlign w:val="center"/>
                </w:tcPr>
                <w:p>
                  <w:pPr>
                    <w:autoSpaceDE w:val="0"/>
                    <w:autoSpaceDN w:val="0"/>
                    <w:adjustRightInd w:val="0"/>
                    <w:jc w:val="center"/>
                    <w:rPr>
                      <w:szCs w:val="21"/>
                    </w:rPr>
                  </w:pPr>
                  <w:r>
                    <w:rPr>
                      <w:rFonts w:hint="eastAsia"/>
                      <w:szCs w:val="21"/>
                    </w:rPr>
                    <w:t>1#厂房、2#厂房、3#厂房、4#厂房、8#仓库、9#仓库、10#仓库、应急事故池、初期雨水池</w:t>
                  </w:r>
                </w:p>
              </w:tc>
              <w:tc>
                <w:tcPr>
                  <w:tcW w:w="2432" w:type="pct"/>
                  <w:vAlign w:val="center"/>
                </w:tcPr>
                <w:p>
                  <w:pPr>
                    <w:autoSpaceDE w:val="0"/>
                    <w:autoSpaceDN w:val="0"/>
                    <w:adjustRightInd w:val="0"/>
                    <w:jc w:val="center"/>
                    <w:rPr>
                      <w:szCs w:val="21"/>
                    </w:rPr>
                  </w:pPr>
                  <w:r>
                    <w:rPr>
                      <w:rFonts w:hint="eastAsia"/>
                      <w:szCs w:val="21"/>
                    </w:rPr>
                    <w:t>等效粘土防渗层Mb≥6m，渗透系数K≤10</w:t>
                  </w:r>
                  <w:r>
                    <w:rPr>
                      <w:rFonts w:hint="eastAsia"/>
                      <w:szCs w:val="21"/>
                      <w:vertAlign w:val="superscript"/>
                    </w:rPr>
                    <w:t>-7</w:t>
                  </w:r>
                  <w:r>
                    <w:rPr>
                      <w:rFonts w:hint="eastAsia"/>
                      <w:szCs w:val="21"/>
                    </w:rPr>
                    <w:t>cm/s，或参照GB18598执行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8" w:type="pct"/>
                  <w:vMerge w:val="continue"/>
                  <w:vAlign w:val="center"/>
                </w:tcPr>
                <w:p>
                  <w:pPr>
                    <w:autoSpaceDE w:val="0"/>
                    <w:autoSpaceDN w:val="0"/>
                    <w:adjustRightInd w:val="0"/>
                    <w:jc w:val="center"/>
                    <w:rPr>
                      <w:b/>
                      <w:szCs w:val="21"/>
                    </w:rPr>
                  </w:pPr>
                </w:p>
              </w:tc>
              <w:tc>
                <w:tcPr>
                  <w:tcW w:w="1730" w:type="pct"/>
                  <w:vAlign w:val="center"/>
                </w:tcPr>
                <w:p>
                  <w:pPr>
                    <w:autoSpaceDE w:val="0"/>
                    <w:autoSpaceDN w:val="0"/>
                    <w:adjustRightInd w:val="0"/>
                    <w:jc w:val="center"/>
                    <w:rPr>
                      <w:szCs w:val="21"/>
                    </w:rPr>
                  </w:pPr>
                  <w:r>
                    <w:rPr>
                      <w:rFonts w:hint="eastAsia"/>
                      <w:szCs w:val="21"/>
                    </w:rPr>
                    <w:t>危废暂存间</w:t>
                  </w:r>
                </w:p>
              </w:tc>
              <w:tc>
                <w:tcPr>
                  <w:tcW w:w="2432" w:type="pct"/>
                  <w:vAlign w:val="center"/>
                </w:tcPr>
                <w:p>
                  <w:pPr>
                    <w:autoSpaceDE w:val="0"/>
                    <w:autoSpaceDN w:val="0"/>
                    <w:adjustRightInd w:val="0"/>
                    <w:jc w:val="center"/>
                    <w:rPr>
                      <w:szCs w:val="21"/>
                    </w:rPr>
                  </w:pPr>
                  <w:r>
                    <w:rPr>
                      <w:rFonts w:hint="eastAsia"/>
                      <w:szCs w:val="21"/>
                    </w:rPr>
                    <w:t>按照GB18597要求，渗透系数 K≤10</w:t>
                  </w:r>
                  <w:r>
                    <w:rPr>
                      <w:rFonts w:hint="eastAsia"/>
                      <w:szCs w:val="21"/>
                      <w:vertAlign w:val="superscript"/>
                    </w:rPr>
                    <w:t>-10</w:t>
                  </w:r>
                  <w:r>
                    <w:rPr>
                      <w:rFonts w:hint="eastAsia"/>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8" w:type="pct"/>
                  <w:vAlign w:val="center"/>
                </w:tcPr>
                <w:p>
                  <w:pPr>
                    <w:autoSpaceDE w:val="0"/>
                    <w:autoSpaceDN w:val="0"/>
                    <w:adjustRightInd w:val="0"/>
                    <w:jc w:val="center"/>
                    <w:rPr>
                      <w:szCs w:val="21"/>
                    </w:rPr>
                  </w:pPr>
                  <w:r>
                    <w:rPr>
                      <w:rFonts w:hint="eastAsia"/>
                      <w:szCs w:val="21"/>
                    </w:rPr>
                    <w:t>间单防渗区</w:t>
                  </w:r>
                </w:p>
              </w:tc>
              <w:tc>
                <w:tcPr>
                  <w:tcW w:w="1730" w:type="pct"/>
                  <w:vAlign w:val="center"/>
                </w:tcPr>
                <w:p>
                  <w:pPr>
                    <w:autoSpaceDE w:val="0"/>
                    <w:autoSpaceDN w:val="0"/>
                    <w:adjustRightInd w:val="0"/>
                    <w:jc w:val="center"/>
                    <w:rPr>
                      <w:szCs w:val="21"/>
                    </w:rPr>
                  </w:pPr>
                  <w:r>
                    <w:rPr>
                      <w:rFonts w:hint="eastAsia"/>
                      <w:szCs w:val="21"/>
                    </w:rPr>
                    <w:t>5#办公楼、6#宿舍楼、11#门卫室、12#门卫室等</w:t>
                  </w:r>
                </w:p>
              </w:tc>
              <w:tc>
                <w:tcPr>
                  <w:tcW w:w="2432" w:type="pct"/>
                  <w:vAlign w:val="center"/>
                </w:tcPr>
                <w:p>
                  <w:pPr>
                    <w:autoSpaceDE w:val="0"/>
                    <w:autoSpaceDN w:val="0"/>
                    <w:adjustRightInd w:val="0"/>
                    <w:jc w:val="center"/>
                    <w:rPr>
                      <w:szCs w:val="21"/>
                    </w:rPr>
                  </w:pPr>
                  <w:r>
                    <w:rPr>
                      <w:rFonts w:hint="eastAsia"/>
                      <w:szCs w:val="21"/>
                    </w:rPr>
                    <w:t>不需要设置专门的防渗层，一般地面硬化</w:t>
                  </w:r>
                </w:p>
              </w:tc>
            </w:tr>
          </w:tbl>
          <w:p>
            <w:pPr>
              <w:spacing w:line="360" w:lineRule="auto"/>
              <w:ind w:firstLine="442" w:firstLineChars="200"/>
              <w:rPr>
                <w:b/>
                <w:bCs/>
                <w:spacing w:val="-10"/>
                <w:sz w:val="24"/>
              </w:rPr>
            </w:pPr>
            <w:r>
              <w:rPr>
                <w:rFonts w:hint="eastAsia"/>
                <w:b/>
                <w:bCs/>
                <w:spacing w:val="-10"/>
                <w:sz w:val="24"/>
              </w:rPr>
              <w:t>3、分区防控要求</w:t>
            </w:r>
          </w:p>
          <w:p>
            <w:pPr>
              <w:spacing w:line="360" w:lineRule="auto"/>
              <w:ind w:firstLine="440" w:firstLineChars="200"/>
              <w:rPr>
                <w:bCs/>
                <w:spacing w:val="-10"/>
                <w:sz w:val="24"/>
              </w:rPr>
            </w:pPr>
            <w:r>
              <w:rPr>
                <w:rFonts w:hint="eastAsia"/>
                <w:bCs/>
                <w:spacing w:val="-10"/>
                <w:sz w:val="24"/>
              </w:rPr>
              <w:t>项目上表中重点防渗区应按照上表设计规范采取防渗措施后，正常情况下，不会对土壤、地下水造成影响。</w:t>
            </w:r>
          </w:p>
          <w:p>
            <w:pPr>
              <w:spacing w:line="360" w:lineRule="auto"/>
              <w:ind w:firstLine="442" w:firstLineChars="200"/>
              <w:rPr>
                <w:b/>
                <w:bCs/>
                <w:spacing w:val="-10"/>
                <w:sz w:val="24"/>
              </w:rPr>
            </w:pPr>
            <w:r>
              <w:rPr>
                <w:rFonts w:hint="eastAsia"/>
                <w:b/>
                <w:bCs/>
                <w:spacing w:val="-10"/>
                <w:sz w:val="24"/>
              </w:rPr>
              <w:t>4、跟踪监测要求</w:t>
            </w:r>
          </w:p>
          <w:p>
            <w:pPr>
              <w:spacing w:line="360" w:lineRule="auto"/>
              <w:ind w:firstLine="440" w:firstLineChars="200"/>
              <w:rPr>
                <w:bCs/>
                <w:spacing w:val="-10"/>
                <w:sz w:val="24"/>
              </w:rPr>
            </w:pPr>
            <w:r>
              <w:rPr>
                <w:rFonts w:hint="eastAsia"/>
                <w:bCs/>
                <w:spacing w:val="-10"/>
                <w:sz w:val="24"/>
              </w:rPr>
              <w:t>企业车间地面全部进行硬化，本环评要求企业应根据分区防渗要求对厂区一般及重点防渗区进行防腐防渗处理，在落实该措施后，基本不会对区域土壤和地下水造成污染，企业需加强厂区巡视，另需加强对防渗地坪的维护，保证防渗效果，方可不开展地下水、土壤跟踪检测。</w:t>
            </w:r>
          </w:p>
          <w:p>
            <w:pPr>
              <w:spacing w:line="360" w:lineRule="auto"/>
              <w:ind w:firstLine="442" w:firstLineChars="200"/>
              <w:rPr>
                <w:b/>
                <w:bCs/>
                <w:spacing w:val="-10"/>
                <w:sz w:val="24"/>
              </w:rPr>
            </w:pPr>
            <w:r>
              <w:rPr>
                <w:b/>
                <w:bCs/>
                <w:spacing w:val="-10"/>
                <w:sz w:val="24"/>
              </w:rPr>
              <w:t>六、生态环境</w:t>
            </w:r>
          </w:p>
          <w:p>
            <w:pPr>
              <w:spacing w:line="360" w:lineRule="auto"/>
              <w:ind w:firstLine="440" w:firstLineChars="200"/>
              <w:rPr>
                <w:bCs/>
                <w:spacing w:val="-10"/>
                <w:sz w:val="24"/>
              </w:rPr>
            </w:pPr>
            <w:r>
              <w:rPr>
                <w:rFonts w:hint="eastAsia"/>
                <w:bCs/>
                <w:spacing w:val="-10"/>
                <w:sz w:val="24"/>
              </w:rPr>
              <w:t>本项目位于</w:t>
            </w:r>
            <w:r>
              <w:rPr>
                <w:sz w:val="24"/>
              </w:rPr>
              <w:t>衡山高新技术产业开发区</w:t>
            </w:r>
            <w:r>
              <w:rPr>
                <w:rFonts w:hint="eastAsia"/>
                <w:bCs/>
                <w:spacing w:val="-10"/>
                <w:sz w:val="24"/>
              </w:rPr>
              <w:t>，选址范围内无生态环境保护目标，因此本项目不会对周边生态环境产生影响。</w:t>
            </w:r>
          </w:p>
          <w:p>
            <w:pPr>
              <w:pStyle w:val="2"/>
              <w:adjustRightInd/>
              <w:spacing w:line="360" w:lineRule="auto"/>
              <w:ind w:firstLine="482" w:firstLineChars="200"/>
              <w:jc w:val="both"/>
              <w:rPr>
                <w:rFonts w:ascii="Times New Roman" w:cs="Times New Roman"/>
                <w:color w:val="auto"/>
              </w:rPr>
            </w:pPr>
            <w:r>
              <w:rPr>
                <w:rFonts w:ascii="Times New Roman" w:cs="Times New Roman"/>
                <w:b/>
                <w:color w:val="auto"/>
              </w:rPr>
              <w:t>七、环境风险</w:t>
            </w:r>
          </w:p>
          <w:p>
            <w:pPr>
              <w:spacing w:line="360" w:lineRule="auto"/>
              <w:ind w:firstLine="480" w:firstLineChars="200"/>
              <w:rPr>
                <w:sz w:val="24"/>
              </w:rPr>
            </w:pPr>
            <w:r>
              <w:rPr>
                <w:rFonts w:hint="eastAsia"/>
                <w:sz w:val="24"/>
              </w:rPr>
              <w:t>根据《建设项目环境风险评价技术导则》（HJ 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spacing w:line="360" w:lineRule="auto"/>
              <w:ind w:firstLine="482" w:firstLineChars="200"/>
              <w:rPr>
                <w:b/>
                <w:sz w:val="24"/>
              </w:rPr>
            </w:pPr>
            <w:r>
              <w:rPr>
                <w:rFonts w:hint="eastAsia"/>
                <w:b/>
                <w:sz w:val="24"/>
              </w:rPr>
              <w:t>1、评价依据</w:t>
            </w:r>
          </w:p>
          <w:p>
            <w:pPr>
              <w:spacing w:line="360" w:lineRule="auto"/>
              <w:ind w:firstLine="480" w:firstLineChars="200"/>
              <w:rPr>
                <w:sz w:val="24"/>
              </w:rPr>
            </w:pPr>
            <w:r>
              <w:rPr>
                <w:rFonts w:hint="eastAsia"/>
                <w:sz w:val="24"/>
              </w:rPr>
              <w:t>（1）风险调查</w:t>
            </w:r>
          </w:p>
          <w:p>
            <w:pPr>
              <w:spacing w:line="360" w:lineRule="auto"/>
              <w:ind w:firstLine="480" w:firstLineChars="200"/>
              <w:rPr>
                <w:sz w:val="24"/>
              </w:rPr>
            </w:pPr>
            <w:r>
              <w:rPr>
                <w:rFonts w:hint="eastAsia"/>
                <w:sz w:val="24"/>
              </w:rPr>
              <w:t>根据生态环境部办公厅2020年12月24日印发的《建设项目环境影响报告表编制技术指南（污染影响类）（试行）》中具体编制要求“明确有毒有害和易燃易爆等风险物质和风险源分布及可能影响途径，并提出相应环境风险防范措施”。本项目为水基清洗剂、水性切削液、润滑油、碳氢清洗剂生产建设项目，通过对项目生产过程中原辅材料进行分析、对比，同时参考《建设项目环境风险评价技术导则》（HJ169-2018）附录B进行对比，本项目的原辅材料存在易燃易爆物、部分易腐蚀化学品的风险物质，即含油原辅材料及含基础油产品，其危险特性主要表现为泄漏风险及燃烧爆炸风险；一乙醇胺、三乙醇胺硼酸酯等有毒有害物，危险特性主要表现为泄漏风险。项目生产涉及危险物质主要有危险废物，属于附录B突发环境事件风险物质。</w:t>
            </w:r>
          </w:p>
          <w:p>
            <w:pPr>
              <w:spacing w:line="360" w:lineRule="auto"/>
              <w:ind w:firstLine="480" w:firstLineChars="200"/>
              <w:rPr>
                <w:sz w:val="24"/>
              </w:rPr>
            </w:pPr>
            <w:r>
              <w:rPr>
                <w:rFonts w:hint="eastAsia"/>
                <w:sz w:val="24"/>
              </w:rPr>
              <w:t>（2）风险潜势初判</w:t>
            </w:r>
          </w:p>
          <w:p>
            <w:pPr>
              <w:spacing w:line="360" w:lineRule="auto"/>
              <w:ind w:firstLine="480" w:firstLineChars="200"/>
              <w:rPr>
                <w:sz w:val="24"/>
              </w:rPr>
            </w:pPr>
            <w:r>
              <w:rPr>
                <w:rFonts w:hint="eastAsia"/>
                <w:sz w:val="24"/>
              </w:rPr>
              <w:t>根据《建设项目环境风险评价技术导则》（HJ 169－2018）附录C，计算所涉及的每种危险物质在厂界内的最大存在总量与其在附录B 中对应临界量的比值Q。</w:t>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当只涉及一种危险物质时，计算该物质的总量与其临界量比值，即为Q；</w:t>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当存在多种危险物质时，则按式（1）计算物质总量与其临界量比值（Q）：</w:t>
            </w:r>
          </w:p>
          <w:p>
            <w:pPr>
              <w:autoSpaceDE w:val="0"/>
              <w:autoSpaceDN w:val="0"/>
              <w:adjustRightInd w:val="0"/>
              <w:spacing w:line="360" w:lineRule="auto"/>
              <w:ind w:firstLine="480" w:firstLineChars="200"/>
              <w:jc w:val="center"/>
              <w:rPr>
                <w:rFonts w:eastAsiaTheme="majorEastAsia"/>
                <w:sz w:val="24"/>
              </w:rPr>
            </w:pPr>
            <w:r>
              <w:rPr>
                <w:rFonts w:eastAsiaTheme="majorEastAsia"/>
                <w:sz w:val="24"/>
              </w:rPr>
              <w:drawing>
                <wp:inline distT="0" distB="0" distL="0" distR="0">
                  <wp:extent cx="1733550" cy="485775"/>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25" cstate="print"/>
                          <a:srcRect/>
                          <a:stretch>
                            <a:fillRect/>
                          </a:stretch>
                        </pic:blipFill>
                        <pic:spPr>
                          <a:xfrm>
                            <a:off x="0" y="0"/>
                            <a:ext cx="1733550" cy="485775"/>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式中：q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——每种危险物质的最大存在量，t；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——每种危险物质的临界量，t；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当Q＜1时，该项目环境风险潜势为</w:t>
            </w:r>
            <w:r>
              <w:rPr>
                <w:rFonts w:hint="eastAsia" w:asciiTheme="majorEastAsia" w:hAnsiTheme="majorEastAsia" w:eastAsiaTheme="majorEastAsia"/>
                <w:sz w:val="24"/>
              </w:rPr>
              <w:t>Ⅰ</w:t>
            </w:r>
            <w:r>
              <w:rPr>
                <w:rFonts w:hint="eastAsia" w:eastAsiaTheme="majorEastAsia"/>
                <w:sz w:val="24"/>
              </w:rPr>
              <w: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当Q≥1时，将Q值划分为：（1）1≤Q＜10；（2）10≤Q＜100；（3）Q≥100。</w:t>
            </w:r>
          </w:p>
          <w:p>
            <w:pPr>
              <w:autoSpaceDE w:val="0"/>
              <w:autoSpaceDN w:val="0"/>
              <w:adjustRightInd w:val="0"/>
              <w:spacing w:line="360" w:lineRule="auto"/>
              <w:ind w:firstLine="480" w:firstLineChars="200"/>
              <w:rPr>
                <w:sz w:val="24"/>
                <w:szCs w:val="20"/>
              </w:rPr>
            </w:pPr>
            <w:r>
              <w:rPr>
                <w:rFonts w:hint="eastAsia"/>
                <w:sz w:val="24"/>
              </w:rPr>
              <w:t>项目涉及《建设项目环境风险评价技术导则》（HJ/T169-2018）附录 B重点关注的危险废物为危险废物</w:t>
            </w:r>
            <w:r>
              <w:rPr>
                <w:sz w:val="24"/>
                <w:szCs w:val="20"/>
              </w:rPr>
              <w:t>，临界量按照</w:t>
            </w:r>
            <w:r>
              <w:rPr>
                <w:rFonts w:hint="eastAsia"/>
                <w:sz w:val="24"/>
                <w:szCs w:val="20"/>
              </w:rPr>
              <w:t>《</w:t>
            </w:r>
            <w:r>
              <w:rPr>
                <w:sz w:val="24"/>
                <w:szCs w:val="20"/>
              </w:rPr>
              <w:t>建设项目环境风险评价技术导则</w:t>
            </w:r>
            <w:r>
              <w:rPr>
                <w:rFonts w:hint="eastAsia"/>
                <w:sz w:val="24"/>
                <w:szCs w:val="20"/>
              </w:rPr>
              <w:t>》</w:t>
            </w:r>
            <w:r>
              <w:rPr>
                <w:sz w:val="24"/>
                <w:szCs w:val="20"/>
              </w:rPr>
              <w:t>（HJ169-2018）中附录B-表B.1</w:t>
            </w:r>
            <w:r>
              <w:rPr>
                <w:rFonts w:hint="eastAsia"/>
                <w:sz w:val="24"/>
                <w:szCs w:val="20"/>
              </w:rPr>
              <w:t>和B.2</w:t>
            </w:r>
            <w:r>
              <w:rPr>
                <w:sz w:val="24"/>
                <w:szCs w:val="20"/>
              </w:rPr>
              <w:t>所列的风险物质，其推荐临界量</w:t>
            </w:r>
            <w:r>
              <w:rPr>
                <w:rFonts w:hint="eastAsia"/>
                <w:sz w:val="24"/>
                <w:szCs w:val="20"/>
              </w:rPr>
              <w:t>和最大存在量如下。</w:t>
            </w:r>
          </w:p>
          <w:p>
            <w:pPr>
              <w:spacing w:beforeLines="50"/>
              <w:jc w:val="center"/>
              <w:rPr>
                <w:b/>
                <w:szCs w:val="21"/>
              </w:rPr>
            </w:pPr>
            <w:r>
              <w:rPr>
                <w:b/>
                <w:szCs w:val="21"/>
              </w:rPr>
              <w:t>表</w:t>
            </w:r>
            <w:r>
              <w:rPr>
                <w:rFonts w:hint="eastAsia"/>
                <w:b/>
                <w:szCs w:val="21"/>
              </w:rPr>
              <w:t>4-23</w:t>
            </w:r>
            <w:r>
              <w:rPr>
                <w:b/>
                <w:szCs w:val="21"/>
              </w:rPr>
              <w:t xml:space="preserve"> </w:t>
            </w:r>
            <w:r>
              <w:rPr>
                <w:rFonts w:hint="eastAsia"/>
                <w:b/>
                <w:szCs w:val="21"/>
              </w:rPr>
              <w:t xml:space="preserve"> </w:t>
            </w:r>
            <w:r>
              <w:rPr>
                <w:b/>
                <w:szCs w:val="21"/>
              </w:rPr>
              <w:t>本项目Q值计算表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40"/>
              <w:gridCol w:w="3618"/>
              <w:gridCol w:w="1345"/>
              <w:gridCol w:w="1860"/>
              <w:gridCol w:w="1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tabs>
                      <w:tab w:val="left" w:pos="3480"/>
                    </w:tabs>
                    <w:adjustRightInd w:val="0"/>
                    <w:snapToGrid w:val="0"/>
                    <w:jc w:val="center"/>
                    <w:rPr>
                      <w:b/>
                    </w:rPr>
                  </w:pPr>
                  <w:r>
                    <w:rPr>
                      <w:b/>
                    </w:rPr>
                    <w:t>序号</w:t>
                  </w:r>
                </w:p>
              </w:tc>
              <w:tc>
                <w:tcPr>
                  <w:tcW w:w="1920" w:type="pct"/>
                  <w:vAlign w:val="center"/>
                </w:tcPr>
                <w:p>
                  <w:pPr>
                    <w:tabs>
                      <w:tab w:val="left" w:pos="3480"/>
                    </w:tabs>
                    <w:adjustRightInd w:val="0"/>
                    <w:snapToGrid w:val="0"/>
                    <w:jc w:val="center"/>
                    <w:rPr>
                      <w:b/>
                    </w:rPr>
                  </w:pPr>
                  <w:r>
                    <w:rPr>
                      <w:b/>
                    </w:rPr>
                    <w:t>名称</w:t>
                  </w:r>
                </w:p>
              </w:tc>
              <w:tc>
                <w:tcPr>
                  <w:tcW w:w="714" w:type="pct"/>
                  <w:vAlign w:val="center"/>
                </w:tcPr>
                <w:p>
                  <w:pPr>
                    <w:tabs>
                      <w:tab w:val="left" w:pos="3480"/>
                    </w:tabs>
                    <w:adjustRightInd w:val="0"/>
                    <w:snapToGrid w:val="0"/>
                    <w:jc w:val="center"/>
                    <w:rPr>
                      <w:b/>
                    </w:rPr>
                  </w:pPr>
                  <w:r>
                    <w:rPr>
                      <w:b/>
                    </w:rPr>
                    <w:t>最大</w:t>
                  </w:r>
                  <w:r>
                    <w:rPr>
                      <w:rFonts w:hint="eastAsia"/>
                      <w:b/>
                    </w:rPr>
                    <w:t>存在</w:t>
                  </w:r>
                  <w:r>
                    <w:rPr>
                      <w:b/>
                    </w:rPr>
                    <w:t>量（t）</w:t>
                  </w:r>
                </w:p>
              </w:tc>
              <w:tc>
                <w:tcPr>
                  <w:tcW w:w="987" w:type="pct"/>
                  <w:vAlign w:val="center"/>
                </w:tcPr>
                <w:p>
                  <w:pPr>
                    <w:tabs>
                      <w:tab w:val="left" w:pos="3480"/>
                    </w:tabs>
                    <w:adjustRightInd w:val="0"/>
                    <w:snapToGrid w:val="0"/>
                    <w:jc w:val="center"/>
                    <w:rPr>
                      <w:b/>
                    </w:rPr>
                  </w:pPr>
                  <w:r>
                    <w:rPr>
                      <w:b/>
                    </w:rPr>
                    <w:t>临界储存量（t）</w:t>
                  </w:r>
                </w:p>
              </w:tc>
              <w:tc>
                <w:tcPr>
                  <w:tcW w:w="986" w:type="pct"/>
                  <w:vAlign w:val="center"/>
                </w:tcPr>
                <w:p>
                  <w:pPr>
                    <w:tabs>
                      <w:tab w:val="left" w:pos="3480"/>
                    </w:tabs>
                    <w:adjustRightInd w:val="0"/>
                    <w:snapToGrid w:val="0"/>
                    <w:jc w:val="center"/>
                    <w:rPr>
                      <w:b/>
                    </w:rPr>
                  </w:pPr>
                  <w:r>
                    <w:rPr>
                      <w:rFonts w:hint="eastAsia"/>
                      <w:b/>
                    </w:rPr>
                    <w:t>该种危险物质Q值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1</w:t>
                  </w:r>
                </w:p>
              </w:tc>
              <w:tc>
                <w:tcPr>
                  <w:tcW w:w="1920" w:type="pct"/>
                  <w:vAlign w:val="center"/>
                </w:tcPr>
                <w:p>
                  <w:pPr>
                    <w:jc w:val="center"/>
                    <w:rPr>
                      <w:szCs w:val="21"/>
                    </w:rPr>
                  </w:pPr>
                  <w:r>
                    <w:rPr>
                      <w:color w:val="000000"/>
                      <w:kern w:val="0"/>
                      <w:szCs w:val="21"/>
                    </w:rPr>
                    <w:t>150N基础白油</w:t>
                  </w:r>
                </w:p>
              </w:tc>
              <w:tc>
                <w:tcPr>
                  <w:tcW w:w="714" w:type="pct"/>
                  <w:vAlign w:val="center"/>
                </w:tcPr>
                <w:p>
                  <w:pPr>
                    <w:tabs>
                      <w:tab w:val="left" w:pos="3480"/>
                    </w:tabs>
                    <w:adjustRightInd w:val="0"/>
                    <w:snapToGrid w:val="0"/>
                    <w:jc w:val="center"/>
                  </w:pPr>
                  <w:r>
                    <w:rPr>
                      <w:rFonts w:hint="eastAsia"/>
                    </w:rPr>
                    <w:t>16.5</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0.0066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2</w:t>
                  </w:r>
                </w:p>
              </w:tc>
              <w:tc>
                <w:tcPr>
                  <w:tcW w:w="1920" w:type="pct"/>
                  <w:vAlign w:val="center"/>
                </w:tcPr>
                <w:p>
                  <w:pPr>
                    <w:jc w:val="center"/>
                    <w:rPr>
                      <w:szCs w:val="21"/>
                    </w:rPr>
                  </w:pPr>
                  <w:r>
                    <w:rPr>
                      <w:color w:val="000000"/>
                      <w:kern w:val="0"/>
                      <w:szCs w:val="21"/>
                    </w:rPr>
                    <w:t>500N基础白油</w:t>
                  </w:r>
                </w:p>
              </w:tc>
              <w:tc>
                <w:tcPr>
                  <w:tcW w:w="714" w:type="pct"/>
                  <w:vAlign w:val="center"/>
                </w:tcPr>
                <w:p>
                  <w:pPr>
                    <w:tabs>
                      <w:tab w:val="left" w:pos="3480"/>
                    </w:tabs>
                    <w:adjustRightInd w:val="0"/>
                    <w:snapToGrid w:val="0"/>
                    <w:jc w:val="center"/>
                  </w:pPr>
                  <w:r>
                    <w:rPr>
                      <w:rFonts w:hint="eastAsia"/>
                    </w:rPr>
                    <w:t>38.8</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0.01552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3</w:t>
                  </w:r>
                </w:p>
              </w:tc>
              <w:tc>
                <w:tcPr>
                  <w:tcW w:w="1920" w:type="pct"/>
                  <w:vAlign w:val="center"/>
                </w:tcPr>
                <w:p>
                  <w:pPr>
                    <w:jc w:val="center"/>
                    <w:rPr>
                      <w:szCs w:val="21"/>
                    </w:rPr>
                  </w:pPr>
                  <w:r>
                    <w:rPr>
                      <w:color w:val="000000"/>
                      <w:kern w:val="0"/>
                      <w:szCs w:val="21"/>
                    </w:rPr>
                    <w:t>轻质白油</w:t>
                  </w:r>
                </w:p>
              </w:tc>
              <w:tc>
                <w:tcPr>
                  <w:tcW w:w="714" w:type="pct"/>
                  <w:vAlign w:val="center"/>
                </w:tcPr>
                <w:p>
                  <w:pPr>
                    <w:tabs>
                      <w:tab w:val="left" w:pos="3480"/>
                    </w:tabs>
                    <w:adjustRightInd w:val="0"/>
                    <w:snapToGrid w:val="0"/>
                    <w:jc w:val="center"/>
                  </w:pPr>
                  <w:r>
                    <w:rPr>
                      <w:rFonts w:hint="eastAsia"/>
                    </w:rPr>
                    <w:t>31.2</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0.01248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4</w:t>
                  </w:r>
                </w:p>
              </w:tc>
              <w:tc>
                <w:tcPr>
                  <w:tcW w:w="1920" w:type="pct"/>
                  <w:vAlign w:val="center"/>
                </w:tcPr>
                <w:p>
                  <w:pPr>
                    <w:jc w:val="center"/>
                    <w:rPr>
                      <w:szCs w:val="21"/>
                    </w:rPr>
                  </w:pPr>
                  <w:r>
                    <w:rPr>
                      <w:color w:val="000000"/>
                      <w:kern w:val="0"/>
                      <w:szCs w:val="21"/>
                    </w:rPr>
                    <w:t>10#基础白油</w:t>
                  </w:r>
                </w:p>
              </w:tc>
              <w:tc>
                <w:tcPr>
                  <w:tcW w:w="714" w:type="pct"/>
                  <w:vAlign w:val="center"/>
                </w:tcPr>
                <w:p>
                  <w:pPr>
                    <w:tabs>
                      <w:tab w:val="left" w:pos="3480"/>
                    </w:tabs>
                    <w:adjustRightInd w:val="0"/>
                    <w:snapToGrid w:val="0"/>
                    <w:jc w:val="center"/>
                  </w:pPr>
                  <w:r>
                    <w:rPr>
                      <w:rFonts w:hint="eastAsia"/>
                    </w:rPr>
                    <w:t>6</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0.0024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5</w:t>
                  </w:r>
                </w:p>
              </w:tc>
              <w:tc>
                <w:tcPr>
                  <w:tcW w:w="1920" w:type="pct"/>
                  <w:vAlign w:val="center"/>
                </w:tcPr>
                <w:p>
                  <w:pPr>
                    <w:keepNext/>
                    <w:tabs>
                      <w:tab w:val="left" w:pos="3480"/>
                    </w:tabs>
                    <w:adjustRightInd w:val="0"/>
                    <w:snapToGrid w:val="0"/>
                    <w:jc w:val="center"/>
                  </w:pPr>
                  <w:r>
                    <w:rPr>
                      <w:color w:val="000000"/>
                      <w:kern w:val="0"/>
                      <w:szCs w:val="21"/>
                    </w:rPr>
                    <w:t>菜籽油</w:t>
                  </w:r>
                </w:p>
              </w:tc>
              <w:tc>
                <w:tcPr>
                  <w:tcW w:w="714" w:type="pct"/>
                  <w:vAlign w:val="center"/>
                </w:tcPr>
                <w:p>
                  <w:pPr>
                    <w:tabs>
                      <w:tab w:val="left" w:pos="3480"/>
                    </w:tabs>
                    <w:adjustRightInd w:val="0"/>
                    <w:snapToGrid w:val="0"/>
                    <w:jc w:val="center"/>
                  </w:pPr>
                  <w:r>
                    <w:rPr>
                      <w:rFonts w:hint="eastAsia"/>
                    </w:rPr>
                    <w:t>6.5</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0.0026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6</w:t>
                  </w:r>
                </w:p>
              </w:tc>
              <w:tc>
                <w:tcPr>
                  <w:tcW w:w="1920" w:type="pct"/>
                  <w:vAlign w:val="center"/>
                </w:tcPr>
                <w:p>
                  <w:pPr>
                    <w:jc w:val="center"/>
                    <w:rPr>
                      <w:szCs w:val="21"/>
                    </w:rPr>
                  </w:pPr>
                  <w:r>
                    <w:rPr>
                      <w:color w:val="000000"/>
                      <w:kern w:val="0"/>
                      <w:szCs w:val="21"/>
                    </w:rPr>
                    <w:t>150BS基础白油</w:t>
                  </w:r>
                </w:p>
              </w:tc>
              <w:tc>
                <w:tcPr>
                  <w:tcW w:w="714" w:type="pct"/>
                  <w:vAlign w:val="center"/>
                </w:tcPr>
                <w:p>
                  <w:pPr>
                    <w:tabs>
                      <w:tab w:val="left" w:pos="3480"/>
                    </w:tabs>
                    <w:adjustRightInd w:val="0"/>
                    <w:snapToGrid w:val="0"/>
                    <w:jc w:val="center"/>
                  </w:pPr>
                  <w:r>
                    <w:rPr>
                      <w:rFonts w:hint="eastAsia"/>
                    </w:rPr>
                    <w:t>7.5</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7</w:t>
                  </w:r>
                </w:p>
              </w:tc>
              <w:tc>
                <w:tcPr>
                  <w:tcW w:w="1920" w:type="pct"/>
                  <w:vAlign w:val="center"/>
                </w:tcPr>
                <w:p>
                  <w:pPr>
                    <w:jc w:val="center"/>
                    <w:rPr>
                      <w:szCs w:val="21"/>
                    </w:rPr>
                  </w:pPr>
                  <w:r>
                    <w:rPr>
                      <w:color w:val="000000"/>
                      <w:kern w:val="0"/>
                      <w:szCs w:val="21"/>
                    </w:rPr>
                    <w:t>环烷油K30</w:t>
                  </w:r>
                </w:p>
              </w:tc>
              <w:tc>
                <w:tcPr>
                  <w:tcW w:w="714" w:type="pct"/>
                  <w:vAlign w:val="center"/>
                </w:tcPr>
                <w:p>
                  <w:pPr>
                    <w:tabs>
                      <w:tab w:val="left" w:pos="3480"/>
                    </w:tabs>
                    <w:adjustRightInd w:val="0"/>
                    <w:snapToGrid w:val="0"/>
                    <w:jc w:val="center"/>
                  </w:pPr>
                  <w:r>
                    <w:rPr>
                      <w:rFonts w:hint="eastAsia"/>
                    </w:rPr>
                    <w:t>16.8</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0.00672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8</w:t>
                  </w:r>
                </w:p>
              </w:tc>
              <w:tc>
                <w:tcPr>
                  <w:tcW w:w="1920" w:type="pct"/>
                  <w:vAlign w:val="center"/>
                </w:tcPr>
                <w:p>
                  <w:pPr>
                    <w:jc w:val="center"/>
                    <w:rPr>
                      <w:szCs w:val="21"/>
                    </w:rPr>
                  </w:pPr>
                  <w:r>
                    <w:rPr>
                      <w:color w:val="000000"/>
                      <w:kern w:val="0"/>
                      <w:szCs w:val="21"/>
                    </w:rPr>
                    <w:t>妥尔油</w:t>
                  </w:r>
                </w:p>
              </w:tc>
              <w:tc>
                <w:tcPr>
                  <w:tcW w:w="714" w:type="pct"/>
                  <w:vAlign w:val="center"/>
                </w:tcPr>
                <w:p>
                  <w:pPr>
                    <w:tabs>
                      <w:tab w:val="left" w:pos="3480"/>
                    </w:tabs>
                    <w:adjustRightInd w:val="0"/>
                    <w:snapToGrid w:val="0"/>
                    <w:jc w:val="center"/>
                  </w:pPr>
                  <w:r>
                    <w:rPr>
                      <w:rFonts w:hint="eastAsia"/>
                    </w:rPr>
                    <w:t>2.4</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0.00096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9</w:t>
                  </w:r>
                </w:p>
              </w:tc>
              <w:tc>
                <w:tcPr>
                  <w:tcW w:w="1920" w:type="pct"/>
                  <w:vAlign w:val="center"/>
                </w:tcPr>
                <w:p>
                  <w:pPr>
                    <w:jc w:val="center"/>
                    <w:rPr>
                      <w:szCs w:val="21"/>
                    </w:rPr>
                  </w:pPr>
                  <w:r>
                    <w:rPr>
                      <w:rFonts w:hint="eastAsia"/>
                      <w:szCs w:val="21"/>
                    </w:rPr>
                    <w:t>一乙醇胺</w:t>
                  </w:r>
                </w:p>
              </w:tc>
              <w:tc>
                <w:tcPr>
                  <w:tcW w:w="714" w:type="pct"/>
                  <w:vAlign w:val="center"/>
                </w:tcPr>
                <w:p>
                  <w:pPr>
                    <w:tabs>
                      <w:tab w:val="left" w:pos="3480"/>
                    </w:tabs>
                    <w:adjustRightInd w:val="0"/>
                    <w:snapToGrid w:val="0"/>
                    <w:jc w:val="center"/>
                  </w:pPr>
                  <w:r>
                    <w:rPr>
                      <w:rFonts w:hint="eastAsia"/>
                    </w:rPr>
                    <w:t>2.5</w:t>
                  </w:r>
                </w:p>
              </w:tc>
              <w:tc>
                <w:tcPr>
                  <w:tcW w:w="987" w:type="pct"/>
                  <w:vAlign w:val="center"/>
                </w:tcPr>
                <w:p>
                  <w:pPr>
                    <w:tabs>
                      <w:tab w:val="left" w:pos="3480"/>
                    </w:tabs>
                    <w:adjustRightInd w:val="0"/>
                    <w:snapToGrid w:val="0"/>
                    <w:jc w:val="center"/>
                  </w:pPr>
                  <w:r>
                    <w:rPr>
                      <w:rFonts w:hint="eastAsia"/>
                    </w:rPr>
                    <w:t>50</w:t>
                  </w:r>
                  <w:r>
                    <w:rPr>
                      <w:rFonts w:hint="eastAsia"/>
                      <w:vertAlign w:val="superscript"/>
                    </w:rPr>
                    <w:t>①</w:t>
                  </w:r>
                </w:p>
              </w:tc>
              <w:tc>
                <w:tcPr>
                  <w:tcW w:w="986" w:type="pct"/>
                  <w:vAlign w:val="center"/>
                </w:tcPr>
                <w:p>
                  <w:pPr>
                    <w:jc w:val="center"/>
                    <w:rPr>
                      <w:color w:val="000000"/>
                      <w:szCs w:val="21"/>
                    </w:rPr>
                  </w:pPr>
                  <w:r>
                    <w:rPr>
                      <w:color w:val="000000"/>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10</w:t>
                  </w:r>
                </w:p>
              </w:tc>
              <w:tc>
                <w:tcPr>
                  <w:tcW w:w="1920" w:type="pct"/>
                  <w:vAlign w:val="center"/>
                </w:tcPr>
                <w:p>
                  <w:pPr>
                    <w:jc w:val="center"/>
                    <w:rPr>
                      <w:szCs w:val="21"/>
                    </w:rPr>
                  </w:pPr>
                  <w:r>
                    <w:rPr>
                      <w:rFonts w:hint="eastAsia"/>
                      <w:szCs w:val="21"/>
                    </w:rPr>
                    <w:t>三乙醇胺硼酸酯</w:t>
                  </w:r>
                </w:p>
              </w:tc>
              <w:tc>
                <w:tcPr>
                  <w:tcW w:w="714" w:type="pct"/>
                  <w:vAlign w:val="center"/>
                </w:tcPr>
                <w:p>
                  <w:pPr>
                    <w:tabs>
                      <w:tab w:val="left" w:pos="3480"/>
                    </w:tabs>
                    <w:adjustRightInd w:val="0"/>
                    <w:snapToGrid w:val="0"/>
                    <w:jc w:val="center"/>
                  </w:pPr>
                  <w:r>
                    <w:rPr>
                      <w:rFonts w:hint="eastAsia"/>
                    </w:rPr>
                    <w:t>1.5</w:t>
                  </w:r>
                </w:p>
              </w:tc>
              <w:tc>
                <w:tcPr>
                  <w:tcW w:w="987" w:type="pct"/>
                  <w:vAlign w:val="center"/>
                </w:tcPr>
                <w:p>
                  <w:pPr>
                    <w:tabs>
                      <w:tab w:val="left" w:pos="3480"/>
                    </w:tabs>
                    <w:adjustRightInd w:val="0"/>
                    <w:snapToGrid w:val="0"/>
                    <w:jc w:val="center"/>
                  </w:pPr>
                  <w:r>
                    <w:rPr>
                      <w:rFonts w:hint="eastAsia"/>
                    </w:rPr>
                    <w:t>50</w:t>
                  </w:r>
                  <w:r>
                    <w:rPr>
                      <w:rFonts w:hint="eastAsia"/>
                      <w:vertAlign w:val="superscript"/>
                    </w:rPr>
                    <w:t>①</w:t>
                  </w:r>
                </w:p>
              </w:tc>
              <w:tc>
                <w:tcPr>
                  <w:tcW w:w="986" w:type="pct"/>
                  <w:vAlign w:val="center"/>
                </w:tcPr>
                <w:p>
                  <w:pPr>
                    <w:jc w:val="center"/>
                    <w:rPr>
                      <w:color w:val="000000"/>
                      <w:szCs w:val="21"/>
                    </w:rPr>
                  </w:pPr>
                  <w:r>
                    <w:rPr>
                      <w:color w:val="000000"/>
                      <w:szCs w:val="21"/>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11</w:t>
                  </w:r>
                </w:p>
              </w:tc>
              <w:tc>
                <w:tcPr>
                  <w:tcW w:w="1920" w:type="pct"/>
                  <w:vAlign w:val="center"/>
                </w:tcPr>
                <w:p>
                  <w:pPr>
                    <w:keepNext/>
                    <w:tabs>
                      <w:tab w:val="left" w:pos="3480"/>
                    </w:tabs>
                    <w:adjustRightInd w:val="0"/>
                    <w:snapToGrid w:val="0"/>
                    <w:jc w:val="center"/>
                  </w:pPr>
                  <w:r>
                    <w:rPr>
                      <w:rFonts w:hint="eastAsia"/>
                    </w:rPr>
                    <w:t>危险废物及空中转桶</w:t>
                  </w:r>
                </w:p>
              </w:tc>
              <w:tc>
                <w:tcPr>
                  <w:tcW w:w="714" w:type="pct"/>
                  <w:vAlign w:val="center"/>
                </w:tcPr>
                <w:p>
                  <w:pPr>
                    <w:tabs>
                      <w:tab w:val="left" w:pos="3480"/>
                    </w:tabs>
                    <w:adjustRightInd w:val="0"/>
                    <w:snapToGrid w:val="0"/>
                    <w:jc w:val="center"/>
                  </w:pPr>
                  <w:r>
                    <w:rPr>
                      <w:rFonts w:hint="eastAsia"/>
                    </w:rPr>
                    <w:t>5</w:t>
                  </w:r>
                </w:p>
              </w:tc>
              <w:tc>
                <w:tcPr>
                  <w:tcW w:w="987" w:type="pct"/>
                  <w:vAlign w:val="center"/>
                </w:tcPr>
                <w:p>
                  <w:pPr>
                    <w:tabs>
                      <w:tab w:val="left" w:pos="3480"/>
                    </w:tabs>
                    <w:adjustRightInd w:val="0"/>
                    <w:snapToGrid w:val="0"/>
                    <w:jc w:val="center"/>
                  </w:pPr>
                  <w:r>
                    <w:rPr>
                      <w:rFonts w:hint="eastAsia"/>
                    </w:rPr>
                    <w:t>50</w:t>
                  </w:r>
                </w:p>
              </w:tc>
              <w:tc>
                <w:tcPr>
                  <w:tcW w:w="986" w:type="pct"/>
                  <w:vAlign w:val="center"/>
                </w:tcPr>
                <w:p>
                  <w:pPr>
                    <w:jc w:val="center"/>
                    <w:rPr>
                      <w:color w:val="000000"/>
                      <w:szCs w:val="21"/>
                    </w:rPr>
                  </w:pPr>
                  <w:r>
                    <w:rPr>
                      <w:color w:val="000000"/>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93" w:type="pct"/>
                  <w:vAlign w:val="center"/>
                </w:tcPr>
                <w:p>
                  <w:pPr>
                    <w:keepNext/>
                    <w:tabs>
                      <w:tab w:val="left" w:pos="3480"/>
                    </w:tabs>
                    <w:adjustRightInd w:val="0"/>
                    <w:snapToGrid w:val="0"/>
                    <w:jc w:val="center"/>
                  </w:pPr>
                  <w:r>
                    <w:rPr>
                      <w:rFonts w:hint="eastAsia"/>
                    </w:rPr>
                    <w:t>12</w:t>
                  </w:r>
                </w:p>
              </w:tc>
              <w:tc>
                <w:tcPr>
                  <w:tcW w:w="1920" w:type="pct"/>
                  <w:vAlign w:val="center"/>
                </w:tcPr>
                <w:p>
                  <w:pPr>
                    <w:keepNext/>
                    <w:tabs>
                      <w:tab w:val="left" w:pos="3480"/>
                    </w:tabs>
                    <w:adjustRightInd w:val="0"/>
                    <w:snapToGrid w:val="0"/>
                    <w:jc w:val="center"/>
                  </w:pPr>
                  <w:r>
                    <w:t>产品</w:t>
                  </w:r>
                </w:p>
              </w:tc>
              <w:tc>
                <w:tcPr>
                  <w:tcW w:w="714" w:type="pct"/>
                  <w:vAlign w:val="center"/>
                </w:tcPr>
                <w:p>
                  <w:pPr>
                    <w:tabs>
                      <w:tab w:val="left" w:pos="3480"/>
                    </w:tabs>
                    <w:adjustRightInd w:val="0"/>
                    <w:snapToGrid w:val="0"/>
                    <w:jc w:val="center"/>
                  </w:pPr>
                  <w:r>
                    <w:rPr>
                      <w:rFonts w:hint="eastAsia"/>
                    </w:rPr>
                    <w:t>995</w:t>
                  </w:r>
                </w:p>
              </w:tc>
              <w:tc>
                <w:tcPr>
                  <w:tcW w:w="987" w:type="pct"/>
                  <w:vAlign w:val="center"/>
                </w:tcPr>
                <w:p>
                  <w:pPr>
                    <w:tabs>
                      <w:tab w:val="left" w:pos="3480"/>
                    </w:tabs>
                    <w:adjustRightInd w:val="0"/>
                    <w:snapToGrid w:val="0"/>
                    <w:jc w:val="center"/>
                  </w:pPr>
                  <w:r>
                    <w:rPr>
                      <w:rFonts w:hint="eastAsia"/>
                    </w:rPr>
                    <w:t>2500</w:t>
                  </w:r>
                </w:p>
              </w:tc>
              <w:tc>
                <w:tcPr>
                  <w:tcW w:w="986" w:type="pct"/>
                  <w:vAlign w:val="center"/>
                </w:tcPr>
                <w:p>
                  <w:pPr>
                    <w:jc w:val="center"/>
                    <w:rPr>
                      <w:color w:val="000000"/>
                      <w:szCs w:val="21"/>
                    </w:rPr>
                  </w:pPr>
                  <w:r>
                    <w:rPr>
                      <w:color w:val="000000"/>
                      <w:szCs w:val="21"/>
                    </w:rPr>
                    <w:t>0.39</w:t>
                  </w:r>
                  <w:r>
                    <w:rPr>
                      <w:rFonts w:hint="eastAsia"/>
                      <w:color w:val="000000"/>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4014" w:type="pct"/>
                  <w:gridSpan w:val="4"/>
                  <w:vAlign w:val="center"/>
                </w:tcPr>
                <w:p>
                  <w:pPr>
                    <w:tabs>
                      <w:tab w:val="left" w:pos="3480"/>
                    </w:tabs>
                    <w:adjustRightInd w:val="0"/>
                    <w:snapToGrid w:val="0"/>
                    <w:jc w:val="center"/>
                  </w:pPr>
                  <w:r>
                    <w:t>合计</w:t>
                  </w:r>
                </w:p>
              </w:tc>
              <w:tc>
                <w:tcPr>
                  <w:tcW w:w="986" w:type="pct"/>
                  <w:vAlign w:val="center"/>
                </w:tcPr>
                <w:p>
                  <w:pPr>
                    <w:tabs>
                      <w:tab w:val="left" w:pos="3480"/>
                    </w:tabs>
                    <w:adjustRightInd w:val="0"/>
                    <w:snapToGrid w:val="0"/>
                    <w:jc w:val="center"/>
                  </w:pPr>
                  <w:r>
                    <w:rPr>
                      <w:rFonts w:hint="eastAsia"/>
                    </w:rPr>
                    <w:t>0.62828</w:t>
                  </w:r>
                </w:p>
              </w:tc>
            </w:tr>
          </w:tbl>
          <w:p>
            <w:pPr>
              <w:spacing w:line="360" w:lineRule="auto"/>
              <w:ind w:firstLine="480" w:firstLineChars="200"/>
              <w:rPr>
                <w:sz w:val="24"/>
              </w:rPr>
            </w:pPr>
            <w:r>
              <w:rPr>
                <w:rFonts w:hint="eastAsia" w:eastAsiaTheme="majorEastAsia"/>
                <w:sz w:val="24"/>
              </w:rPr>
              <w:t>注：①根据一乙醇胺、三乙醇胺硼酸酯毒理学性质，属于HJ169-2018 附录B表B.2健康危险急性毒性物质（类别2，类别3），临界量50t；②危险废物及暂存的空中转桶以 HJ169-2018表B.2中“健康危害急性毒性物质（类别2，类别3）”计，临界量50t，本项目危废及空桶最大暂存量5t。</w:t>
            </w:r>
          </w:p>
          <w:p>
            <w:pPr>
              <w:spacing w:line="360" w:lineRule="auto"/>
              <w:ind w:firstLine="480" w:firstLineChars="200"/>
              <w:rPr>
                <w:sz w:val="24"/>
              </w:rPr>
            </w:pPr>
            <w:r>
              <w:rPr>
                <w:rFonts w:hint="eastAsia"/>
                <w:sz w:val="24"/>
              </w:rPr>
              <w:t>根据计算，Q值划分为Q=0.62428＜1。</w:t>
            </w:r>
          </w:p>
          <w:p>
            <w:pPr>
              <w:spacing w:line="360" w:lineRule="auto"/>
              <w:ind w:firstLine="480" w:firstLineChars="200"/>
              <w:rPr>
                <w:sz w:val="24"/>
              </w:rPr>
            </w:pPr>
            <w:r>
              <w:rPr>
                <w:rFonts w:hint="eastAsia"/>
                <w:sz w:val="24"/>
              </w:rPr>
              <w:t>（3）评价工作等级</w:t>
            </w:r>
          </w:p>
          <w:p>
            <w:pPr>
              <w:spacing w:line="360" w:lineRule="auto"/>
              <w:ind w:firstLine="480" w:firstLineChars="200"/>
              <w:rPr>
                <w:sz w:val="24"/>
              </w:rPr>
            </w:pPr>
            <w:r>
              <w:rPr>
                <w:rFonts w:hint="eastAsia"/>
                <w:sz w:val="24"/>
              </w:rPr>
              <w:t>根据项目危险物质数量与临界量的比值Q，对比《建设项目环境风险评价技术导则》（HJ/T169-2018）表1，可知项目环境风险评价工作等级为简单分析。</w:t>
            </w:r>
          </w:p>
          <w:p>
            <w:pPr>
              <w:spacing w:beforeLines="50"/>
              <w:jc w:val="center"/>
              <w:rPr>
                <w:b/>
                <w:szCs w:val="21"/>
              </w:rPr>
            </w:pPr>
            <w:r>
              <w:rPr>
                <w:b/>
                <w:szCs w:val="21"/>
              </w:rPr>
              <w:t>表4-</w:t>
            </w:r>
            <w:r>
              <w:rPr>
                <w:rFonts w:hint="eastAsia"/>
                <w:b/>
                <w:szCs w:val="21"/>
              </w:rPr>
              <w:t xml:space="preserve">24 </w:t>
            </w:r>
            <w:r>
              <w:rPr>
                <w:b/>
                <w:szCs w:val="21"/>
              </w:rPr>
              <w:t xml:space="preserve"> 评价工作等级划分</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42"/>
              <w:gridCol w:w="1632"/>
              <w:gridCol w:w="1916"/>
              <w:gridCol w:w="1703"/>
              <w:gridCol w:w="21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4" w:type="pct"/>
                  <w:vAlign w:val="center"/>
                </w:tcPr>
                <w:p>
                  <w:pPr>
                    <w:adjustRightInd w:val="0"/>
                    <w:snapToGrid w:val="0"/>
                    <w:jc w:val="center"/>
                    <w:rPr>
                      <w:b/>
                      <w:bCs/>
                      <w:szCs w:val="21"/>
                    </w:rPr>
                  </w:pPr>
                  <w:r>
                    <w:rPr>
                      <w:b/>
                      <w:bCs/>
                      <w:szCs w:val="21"/>
                    </w:rPr>
                    <w:t>环境风险潜势</w:t>
                  </w:r>
                </w:p>
              </w:tc>
              <w:tc>
                <w:tcPr>
                  <w:tcW w:w="866" w:type="pct"/>
                  <w:vAlign w:val="center"/>
                </w:tcPr>
                <w:p>
                  <w:pPr>
                    <w:adjustRightInd w:val="0"/>
                    <w:snapToGrid w:val="0"/>
                    <w:jc w:val="center"/>
                    <w:rPr>
                      <w:b/>
                      <w:bCs/>
                      <w:szCs w:val="21"/>
                    </w:rPr>
                  </w:pPr>
                  <w:r>
                    <w:rPr>
                      <w:b/>
                      <w:bCs/>
                      <w:szCs w:val="21"/>
                    </w:rPr>
                    <w:fldChar w:fldCharType="begin"/>
                  </w:r>
                  <w:r>
                    <w:rPr>
                      <w:b/>
                      <w:bCs/>
                      <w:szCs w:val="21"/>
                    </w:rPr>
                    <w:instrText xml:space="preserve"> = 4 \* ROMAN </w:instrText>
                  </w:r>
                  <w:r>
                    <w:rPr>
                      <w:b/>
                      <w:bCs/>
                      <w:szCs w:val="21"/>
                    </w:rPr>
                    <w:fldChar w:fldCharType="separate"/>
                  </w:r>
                  <w:r>
                    <w:rPr>
                      <w:b/>
                      <w:bCs/>
                      <w:szCs w:val="21"/>
                    </w:rPr>
                    <w:t>IV</w:t>
                  </w:r>
                  <w:r>
                    <w:rPr>
                      <w:b/>
                      <w:bCs/>
                      <w:szCs w:val="21"/>
                    </w:rPr>
                    <w:fldChar w:fldCharType="end"/>
                  </w:r>
                  <w:r>
                    <w:rPr>
                      <w:b/>
                      <w:bCs/>
                      <w:szCs w:val="21"/>
                    </w:rPr>
                    <w:t>、</w:t>
                  </w:r>
                  <w:r>
                    <w:rPr>
                      <w:b/>
                      <w:bCs/>
                      <w:szCs w:val="21"/>
                    </w:rPr>
                    <w:fldChar w:fldCharType="begin"/>
                  </w:r>
                  <w:r>
                    <w:rPr>
                      <w:b/>
                      <w:bCs/>
                      <w:szCs w:val="21"/>
                    </w:rPr>
                    <w:instrText xml:space="preserve"> = 4 \* ROMAN </w:instrText>
                  </w:r>
                  <w:r>
                    <w:rPr>
                      <w:b/>
                      <w:bCs/>
                      <w:szCs w:val="21"/>
                    </w:rPr>
                    <w:fldChar w:fldCharType="separate"/>
                  </w:r>
                  <w:r>
                    <w:rPr>
                      <w:b/>
                      <w:bCs/>
                      <w:szCs w:val="21"/>
                    </w:rPr>
                    <w:t>IV</w:t>
                  </w:r>
                  <w:r>
                    <w:rPr>
                      <w:b/>
                      <w:bCs/>
                      <w:szCs w:val="21"/>
                    </w:rPr>
                    <w:fldChar w:fldCharType="end"/>
                  </w:r>
                  <w:r>
                    <w:rPr>
                      <w:b/>
                      <w:bCs/>
                      <w:szCs w:val="21"/>
                      <w:vertAlign w:val="superscript"/>
                    </w:rPr>
                    <w:t>+</w:t>
                  </w:r>
                </w:p>
              </w:tc>
              <w:tc>
                <w:tcPr>
                  <w:tcW w:w="1017" w:type="pct"/>
                  <w:vAlign w:val="center"/>
                </w:tcPr>
                <w:p>
                  <w:pPr>
                    <w:adjustRightInd w:val="0"/>
                    <w:snapToGrid w:val="0"/>
                    <w:jc w:val="center"/>
                    <w:rPr>
                      <w:b/>
                      <w:bCs/>
                      <w:szCs w:val="21"/>
                    </w:rPr>
                  </w:pPr>
                  <w:r>
                    <w:rPr>
                      <w:b/>
                      <w:bCs/>
                      <w:szCs w:val="21"/>
                    </w:rPr>
                    <w:fldChar w:fldCharType="begin"/>
                  </w:r>
                  <w:r>
                    <w:rPr>
                      <w:b/>
                      <w:bCs/>
                      <w:szCs w:val="21"/>
                    </w:rPr>
                    <w:instrText xml:space="preserve"> = 3 \* ROMAN </w:instrText>
                  </w:r>
                  <w:r>
                    <w:rPr>
                      <w:b/>
                      <w:bCs/>
                      <w:szCs w:val="21"/>
                    </w:rPr>
                    <w:fldChar w:fldCharType="separate"/>
                  </w:r>
                  <w:r>
                    <w:rPr>
                      <w:b/>
                      <w:bCs/>
                      <w:szCs w:val="21"/>
                    </w:rPr>
                    <w:t>III</w:t>
                  </w:r>
                  <w:r>
                    <w:rPr>
                      <w:b/>
                      <w:bCs/>
                      <w:szCs w:val="21"/>
                    </w:rPr>
                    <w:fldChar w:fldCharType="end"/>
                  </w:r>
                </w:p>
              </w:tc>
              <w:tc>
                <w:tcPr>
                  <w:tcW w:w="904" w:type="pct"/>
                  <w:vAlign w:val="center"/>
                </w:tcPr>
                <w:p>
                  <w:pPr>
                    <w:adjustRightInd w:val="0"/>
                    <w:snapToGrid w:val="0"/>
                    <w:jc w:val="center"/>
                    <w:rPr>
                      <w:b/>
                      <w:bCs/>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p>
              </w:tc>
              <w:tc>
                <w:tcPr>
                  <w:tcW w:w="1129" w:type="pct"/>
                  <w:vAlign w:val="center"/>
                </w:tcPr>
                <w:p>
                  <w:pPr>
                    <w:adjustRightInd w:val="0"/>
                    <w:snapToGrid w:val="0"/>
                    <w:jc w:val="center"/>
                    <w:rPr>
                      <w:b/>
                      <w:bCs/>
                      <w:szCs w:val="21"/>
                    </w:rPr>
                  </w:pPr>
                  <w:r>
                    <w:rPr>
                      <w:b/>
                      <w:bCs/>
                      <w:szCs w:val="21"/>
                    </w:rPr>
                    <w:fldChar w:fldCharType="begin"/>
                  </w:r>
                  <w:r>
                    <w:rPr>
                      <w:b/>
                      <w:bCs/>
                      <w:szCs w:val="21"/>
                    </w:rPr>
                    <w:instrText xml:space="preserve"> = 1 \* ROMAN </w:instrText>
                  </w:r>
                  <w:r>
                    <w:rPr>
                      <w:b/>
                      <w:bCs/>
                      <w:szCs w:val="21"/>
                    </w:rPr>
                    <w:fldChar w:fldCharType="separate"/>
                  </w:r>
                  <w:r>
                    <w:rPr>
                      <w:b/>
                      <w:bCs/>
                      <w:szCs w:val="21"/>
                    </w:rPr>
                    <w:t>I</w:t>
                  </w:r>
                  <w:r>
                    <w:rPr>
                      <w:b/>
                      <w:bCs/>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4" w:type="pct"/>
                  <w:vAlign w:val="center"/>
                </w:tcPr>
                <w:p>
                  <w:pPr>
                    <w:adjustRightInd w:val="0"/>
                    <w:snapToGrid w:val="0"/>
                    <w:jc w:val="center"/>
                    <w:rPr>
                      <w:szCs w:val="21"/>
                    </w:rPr>
                  </w:pPr>
                  <w:r>
                    <w:rPr>
                      <w:szCs w:val="21"/>
                    </w:rPr>
                    <w:t>评价工作等级</w:t>
                  </w:r>
                </w:p>
              </w:tc>
              <w:tc>
                <w:tcPr>
                  <w:tcW w:w="866" w:type="pct"/>
                  <w:vAlign w:val="center"/>
                </w:tcPr>
                <w:p>
                  <w:pPr>
                    <w:adjustRightInd w:val="0"/>
                    <w:snapToGrid w:val="0"/>
                    <w:jc w:val="center"/>
                    <w:rPr>
                      <w:szCs w:val="21"/>
                    </w:rPr>
                  </w:pPr>
                  <w:r>
                    <w:rPr>
                      <w:szCs w:val="21"/>
                    </w:rPr>
                    <w:t>一</w:t>
                  </w:r>
                </w:p>
              </w:tc>
              <w:tc>
                <w:tcPr>
                  <w:tcW w:w="1017" w:type="pct"/>
                  <w:vAlign w:val="center"/>
                </w:tcPr>
                <w:p>
                  <w:pPr>
                    <w:adjustRightInd w:val="0"/>
                    <w:snapToGrid w:val="0"/>
                    <w:jc w:val="center"/>
                    <w:rPr>
                      <w:szCs w:val="21"/>
                    </w:rPr>
                  </w:pPr>
                  <w:r>
                    <w:rPr>
                      <w:szCs w:val="21"/>
                    </w:rPr>
                    <w:t>二</w:t>
                  </w:r>
                </w:p>
              </w:tc>
              <w:tc>
                <w:tcPr>
                  <w:tcW w:w="904" w:type="pct"/>
                  <w:vAlign w:val="center"/>
                </w:tcPr>
                <w:p>
                  <w:pPr>
                    <w:adjustRightInd w:val="0"/>
                    <w:snapToGrid w:val="0"/>
                    <w:jc w:val="center"/>
                    <w:rPr>
                      <w:szCs w:val="21"/>
                    </w:rPr>
                  </w:pPr>
                  <w:r>
                    <w:rPr>
                      <w:szCs w:val="21"/>
                    </w:rPr>
                    <w:t>三</w:t>
                  </w:r>
                </w:p>
              </w:tc>
              <w:tc>
                <w:tcPr>
                  <w:tcW w:w="1129" w:type="pct"/>
                  <w:shd w:val="clear" w:color="auto" w:fill="D9D9D9"/>
                  <w:vAlign w:val="center"/>
                </w:tcPr>
                <w:p>
                  <w:pPr>
                    <w:adjustRightInd w:val="0"/>
                    <w:snapToGrid w:val="0"/>
                    <w:jc w:val="center"/>
                    <w:rPr>
                      <w:szCs w:val="21"/>
                    </w:rPr>
                  </w:pPr>
                  <w:r>
                    <w:rPr>
                      <w:szCs w:val="21"/>
                    </w:rPr>
                    <w:t>简单分析</w:t>
                  </w:r>
                  <w:r>
                    <w:rPr>
                      <w:szCs w:val="21"/>
                      <w:vertAlign w:val="superscript"/>
                    </w:rPr>
                    <w:t>a</w:t>
                  </w:r>
                </w:p>
              </w:tc>
            </w:tr>
          </w:tbl>
          <w:p>
            <w:pPr>
              <w:spacing w:line="360" w:lineRule="auto"/>
              <w:ind w:firstLine="482" w:firstLineChars="200"/>
              <w:rPr>
                <w:b/>
                <w:sz w:val="24"/>
              </w:rPr>
            </w:pPr>
            <w:r>
              <w:rPr>
                <w:rFonts w:hint="eastAsia"/>
                <w:b/>
                <w:sz w:val="24"/>
              </w:rPr>
              <w:t>2、环境敏感目标概况</w:t>
            </w:r>
          </w:p>
          <w:p>
            <w:pPr>
              <w:spacing w:line="360" w:lineRule="auto"/>
              <w:ind w:firstLine="480" w:firstLineChars="200"/>
              <w:rPr>
                <w:sz w:val="24"/>
              </w:rPr>
            </w:pPr>
            <w:r>
              <w:rPr>
                <w:rFonts w:hint="eastAsia"/>
                <w:sz w:val="24"/>
              </w:rPr>
              <w:t>项目周围环境敏感点详见表3-3。</w:t>
            </w:r>
          </w:p>
          <w:p>
            <w:pPr>
              <w:spacing w:line="360" w:lineRule="auto"/>
              <w:ind w:firstLine="482" w:firstLineChars="200"/>
              <w:rPr>
                <w:b/>
                <w:sz w:val="24"/>
              </w:rPr>
            </w:pPr>
            <w:r>
              <w:rPr>
                <w:rFonts w:hint="eastAsia"/>
                <w:b/>
                <w:sz w:val="24"/>
              </w:rPr>
              <w:t>3、环境风险识别</w:t>
            </w:r>
          </w:p>
          <w:p>
            <w:pPr>
              <w:spacing w:line="360" w:lineRule="auto"/>
              <w:ind w:firstLine="480" w:firstLineChars="200"/>
              <w:rPr>
                <w:sz w:val="24"/>
              </w:rPr>
            </w:pPr>
            <w:r>
              <w:rPr>
                <w:rFonts w:hint="eastAsia"/>
                <w:sz w:val="24"/>
              </w:rPr>
              <w:t>根据《建设项目环境风险评价技术导则》（HJ169-2018）附录 B，中所规定的危险化学品物质，项目使用生产环境风险物质，主要环境风险事故情景是液态化学品、危险废物储存泄漏，污染物事故排放及火灾伴生次生风险</w:t>
            </w:r>
            <w:r>
              <w:rPr>
                <w:sz w:val="24"/>
              </w:rPr>
              <w:t>。</w:t>
            </w:r>
          </w:p>
          <w:p>
            <w:pPr>
              <w:spacing w:beforeLines="50"/>
              <w:jc w:val="center"/>
              <w:rPr>
                <w:b/>
                <w:szCs w:val="21"/>
              </w:rPr>
            </w:pPr>
            <w:r>
              <w:rPr>
                <w:b/>
                <w:szCs w:val="21"/>
              </w:rPr>
              <w:t>表4-</w:t>
            </w:r>
            <w:r>
              <w:rPr>
                <w:rFonts w:hint="eastAsia"/>
                <w:b/>
                <w:szCs w:val="21"/>
              </w:rPr>
              <w:t xml:space="preserve">25 </w:t>
            </w:r>
            <w:r>
              <w:rPr>
                <w:b/>
                <w:szCs w:val="21"/>
              </w:rPr>
              <w:t xml:space="preserve"> </w:t>
            </w:r>
            <w:r>
              <w:rPr>
                <w:rFonts w:hint="eastAsia"/>
                <w:b/>
                <w:szCs w:val="21"/>
              </w:rPr>
              <w:t>生产</w:t>
            </w:r>
            <w:r>
              <w:rPr>
                <w:b/>
                <w:szCs w:val="21"/>
              </w:rPr>
              <w:t>及贮存过程中潜在危险因素分析</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55"/>
              <w:gridCol w:w="1775"/>
              <w:gridCol w:w="1843"/>
              <w:gridCol w:w="34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adjustRightInd w:val="0"/>
                    <w:snapToGrid w:val="0"/>
                    <w:jc w:val="center"/>
                    <w:rPr>
                      <w:b/>
                      <w:szCs w:val="21"/>
                    </w:rPr>
                  </w:pPr>
                  <w:r>
                    <w:rPr>
                      <w:b/>
                      <w:szCs w:val="21"/>
                    </w:rPr>
                    <w:t>危险目标</w:t>
                  </w:r>
                </w:p>
              </w:tc>
              <w:tc>
                <w:tcPr>
                  <w:tcW w:w="942" w:type="pct"/>
                  <w:vAlign w:val="center"/>
                </w:tcPr>
                <w:p>
                  <w:pPr>
                    <w:adjustRightInd w:val="0"/>
                    <w:snapToGrid w:val="0"/>
                    <w:jc w:val="center"/>
                    <w:rPr>
                      <w:b/>
                      <w:szCs w:val="21"/>
                    </w:rPr>
                  </w:pPr>
                  <w:r>
                    <w:rPr>
                      <w:b/>
                      <w:szCs w:val="21"/>
                    </w:rPr>
                    <w:t>事故类型</w:t>
                  </w:r>
                </w:p>
              </w:tc>
              <w:tc>
                <w:tcPr>
                  <w:tcW w:w="978" w:type="pct"/>
                  <w:vAlign w:val="center"/>
                </w:tcPr>
                <w:p>
                  <w:pPr>
                    <w:adjustRightInd w:val="0"/>
                    <w:snapToGrid w:val="0"/>
                    <w:jc w:val="center"/>
                    <w:rPr>
                      <w:b/>
                      <w:szCs w:val="21"/>
                    </w:rPr>
                  </w:pPr>
                  <w:r>
                    <w:rPr>
                      <w:b/>
                      <w:szCs w:val="21"/>
                    </w:rPr>
                    <w:t>事故引发可能原因</w:t>
                  </w:r>
                </w:p>
              </w:tc>
              <w:tc>
                <w:tcPr>
                  <w:tcW w:w="1830" w:type="pct"/>
                  <w:vAlign w:val="center"/>
                </w:tcPr>
                <w:p>
                  <w:pPr>
                    <w:adjustRightInd w:val="0"/>
                    <w:snapToGrid w:val="0"/>
                    <w:jc w:val="center"/>
                    <w:rPr>
                      <w:b/>
                      <w:szCs w:val="21"/>
                    </w:rPr>
                  </w:pPr>
                  <w:r>
                    <w:rPr>
                      <w:b/>
                      <w:szCs w:val="21"/>
                    </w:rPr>
                    <w:t>危害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adjustRightInd w:val="0"/>
                    <w:snapToGrid w:val="0"/>
                    <w:jc w:val="center"/>
                    <w:rPr>
                      <w:szCs w:val="21"/>
                    </w:rPr>
                  </w:pPr>
                  <w:r>
                    <w:rPr>
                      <w:rFonts w:hint="eastAsia"/>
                      <w:szCs w:val="21"/>
                    </w:rPr>
                    <w:t>原料/成品仓库、生产区</w:t>
                  </w:r>
                </w:p>
              </w:tc>
              <w:tc>
                <w:tcPr>
                  <w:tcW w:w="942" w:type="pct"/>
                  <w:vAlign w:val="center"/>
                </w:tcPr>
                <w:p>
                  <w:pPr>
                    <w:snapToGrid w:val="0"/>
                    <w:jc w:val="center"/>
                    <w:rPr>
                      <w:szCs w:val="21"/>
                    </w:rPr>
                  </w:pPr>
                  <w:r>
                    <w:rPr>
                      <w:rFonts w:hint="eastAsia"/>
                      <w:szCs w:val="21"/>
                    </w:rPr>
                    <w:t>液态化学品泄漏</w:t>
                  </w:r>
                </w:p>
              </w:tc>
              <w:tc>
                <w:tcPr>
                  <w:tcW w:w="978" w:type="pct"/>
                  <w:vAlign w:val="center"/>
                </w:tcPr>
                <w:p>
                  <w:pPr>
                    <w:adjustRightInd w:val="0"/>
                    <w:snapToGrid w:val="0"/>
                    <w:jc w:val="center"/>
                    <w:rPr>
                      <w:szCs w:val="21"/>
                    </w:rPr>
                  </w:pPr>
                  <w:r>
                    <w:rPr>
                      <w:rFonts w:hint="eastAsia"/>
                      <w:szCs w:val="21"/>
                    </w:rPr>
                    <w:t>包装桶破损、人为操作失误</w:t>
                  </w:r>
                </w:p>
              </w:tc>
              <w:tc>
                <w:tcPr>
                  <w:tcW w:w="1830" w:type="pct"/>
                  <w:vAlign w:val="center"/>
                </w:tcPr>
                <w:p>
                  <w:pPr>
                    <w:adjustRightInd w:val="0"/>
                    <w:snapToGrid w:val="0"/>
                    <w:jc w:val="center"/>
                    <w:rPr>
                      <w:szCs w:val="21"/>
                    </w:rPr>
                  </w:pPr>
                  <w:r>
                    <w:rPr>
                      <w:rFonts w:hint="eastAsia"/>
                      <w:szCs w:val="21"/>
                    </w:rPr>
                    <w:t>物料扩散至周围低洼或排水管道影响地表水、地下水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adjustRightInd w:val="0"/>
                    <w:snapToGrid w:val="0"/>
                    <w:jc w:val="center"/>
                    <w:rPr>
                      <w:szCs w:val="21"/>
                    </w:rPr>
                  </w:pPr>
                  <w:r>
                    <w:rPr>
                      <w:rFonts w:hint="eastAsia"/>
                      <w:szCs w:val="21"/>
                    </w:rPr>
                    <w:t>废气事故排放</w:t>
                  </w:r>
                </w:p>
              </w:tc>
              <w:tc>
                <w:tcPr>
                  <w:tcW w:w="942" w:type="pct"/>
                  <w:vAlign w:val="center"/>
                </w:tcPr>
                <w:p>
                  <w:pPr>
                    <w:snapToGrid w:val="0"/>
                    <w:jc w:val="center"/>
                    <w:rPr>
                      <w:szCs w:val="21"/>
                    </w:rPr>
                  </w:pPr>
                  <w:r>
                    <w:rPr>
                      <w:rFonts w:hint="eastAsia"/>
                      <w:szCs w:val="21"/>
                    </w:rPr>
                    <w:t>废气事故排放</w:t>
                  </w:r>
                </w:p>
              </w:tc>
              <w:tc>
                <w:tcPr>
                  <w:tcW w:w="978" w:type="pct"/>
                  <w:vAlign w:val="center"/>
                </w:tcPr>
                <w:p>
                  <w:pPr>
                    <w:adjustRightInd w:val="0"/>
                    <w:snapToGrid w:val="0"/>
                    <w:jc w:val="center"/>
                    <w:rPr>
                      <w:szCs w:val="21"/>
                    </w:rPr>
                  </w:pPr>
                  <w:r>
                    <w:rPr>
                      <w:rFonts w:hint="eastAsia"/>
                      <w:szCs w:val="21"/>
                    </w:rPr>
                    <w:t>废气治理设施失灵</w:t>
                  </w:r>
                </w:p>
              </w:tc>
              <w:tc>
                <w:tcPr>
                  <w:tcW w:w="1830" w:type="pct"/>
                  <w:vAlign w:val="center"/>
                </w:tcPr>
                <w:p>
                  <w:pPr>
                    <w:adjustRightInd w:val="0"/>
                    <w:snapToGrid w:val="0"/>
                    <w:jc w:val="center"/>
                    <w:rPr>
                      <w:szCs w:val="21"/>
                    </w:rPr>
                  </w:pPr>
                  <w:r>
                    <w:rPr>
                      <w:rFonts w:hint="eastAsia"/>
                      <w:szCs w:val="21"/>
                    </w:rPr>
                    <w:t>废气事故排放扩散中大气，影响大气、土壤环境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adjustRightInd w:val="0"/>
                    <w:snapToGrid w:val="0"/>
                    <w:jc w:val="center"/>
                    <w:rPr>
                      <w:szCs w:val="21"/>
                    </w:rPr>
                  </w:pPr>
                  <w:r>
                    <w:rPr>
                      <w:rFonts w:hint="eastAsia"/>
                      <w:szCs w:val="21"/>
                    </w:rPr>
                    <w:t>危险废物仓库</w:t>
                  </w:r>
                </w:p>
              </w:tc>
              <w:tc>
                <w:tcPr>
                  <w:tcW w:w="942" w:type="pct"/>
                  <w:vAlign w:val="center"/>
                </w:tcPr>
                <w:p>
                  <w:pPr>
                    <w:snapToGrid w:val="0"/>
                    <w:jc w:val="center"/>
                    <w:rPr>
                      <w:szCs w:val="21"/>
                    </w:rPr>
                  </w:pPr>
                  <w:r>
                    <w:rPr>
                      <w:rFonts w:hint="eastAsia"/>
                      <w:szCs w:val="21"/>
                    </w:rPr>
                    <w:t>危险废物泄漏</w:t>
                  </w:r>
                </w:p>
              </w:tc>
              <w:tc>
                <w:tcPr>
                  <w:tcW w:w="978" w:type="pct"/>
                  <w:vAlign w:val="center"/>
                </w:tcPr>
                <w:p>
                  <w:pPr>
                    <w:adjustRightInd w:val="0"/>
                    <w:snapToGrid w:val="0"/>
                    <w:jc w:val="center"/>
                    <w:rPr>
                      <w:szCs w:val="21"/>
                    </w:rPr>
                  </w:pPr>
                  <w:r>
                    <w:rPr>
                      <w:rFonts w:hint="eastAsia"/>
                      <w:szCs w:val="21"/>
                    </w:rPr>
                    <w:t>容器破损、人为操作失误</w:t>
                  </w:r>
                </w:p>
              </w:tc>
              <w:tc>
                <w:tcPr>
                  <w:tcW w:w="1830" w:type="pct"/>
                  <w:vAlign w:val="center"/>
                </w:tcPr>
                <w:p>
                  <w:pPr>
                    <w:adjustRightInd w:val="0"/>
                    <w:snapToGrid w:val="0"/>
                    <w:jc w:val="center"/>
                    <w:rPr>
                      <w:szCs w:val="21"/>
                    </w:rPr>
                  </w:pPr>
                  <w:r>
                    <w:rPr>
                      <w:rFonts w:hint="eastAsia"/>
                      <w:szCs w:val="21"/>
                    </w:rPr>
                    <w:t>物料扩散至周围低洼或排水管道影响地表水、地下水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adjustRightInd w:val="0"/>
                    <w:snapToGrid w:val="0"/>
                    <w:jc w:val="center"/>
                    <w:rPr>
                      <w:szCs w:val="21"/>
                    </w:rPr>
                  </w:pPr>
                  <w:r>
                    <w:rPr>
                      <w:rFonts w:hint="eastAsia"/>
                      <w:szCs w:val="21"/>
                    </w:rPr>
                    <w:t>/</w:t>
                  </w:r>
                </w:p>
              </w:tc>
              <w:tc>
                <w:tcPr>
                  <w:tcW w:w="942" w:type="pct"/>
                  <w:vAlign w:val="center"/>
                </w:tcPr>
                <w:p>
                  <w:pPr>
                    <w:snapToGrid w:val="0"/>
                    <w:jc w:val="center"/>
                    <w:rPr>
                      <w:szCs w:val="21"/>
                    </w:rPr>
                  </w:pPr>
                  <w:r>
                    <w:rPr>
                      <w:rFonts w:hint="eastAsia"/>
                      <w:szCs w:val="21"/>
                    </w:rPr>
                    <w:t>火灾</w:t>
                  </w:r>
                </w:p>
              </w:tc>
              <w:tc>
                <w:tcPr>
                  <w:tcW w:w="978" w:type="pct"/>
                  <w:vAlign w:val="center"/>
                </w:tcPr>
                <w:p>
                  <w:pPr>
                    <w:adjustRightInd w:val="0"/>
                    <w:snapToGrid w:val="0"/>
                    <w:jc w:val="center"/>
                    <w:rPr>
                      <w:szCs w:val="21"/>
                    </w:rPr>
                  </w:pPr>
                  <w:r>
                    <w:rPr>
                      <w:rFonts w:hint="eastAsia"/>
                      <w:szCs w:val="21"/>
                    </w:rPr>
                    <w:t>/</w:t>
                  </w:r>
                </w:p>
              </w:tc>
              <w:tc>
                <w:tcPr>
                  <w:tcW w:w="1830" w:type="pct"/>
                  <w:vAlign w:val="center"/>
                </w:tcPr>
                <w:p>
                  <w:pPr>
                    <w:adjustRightInd w:val="0"/>
                    <w:snapToGrid w:val="0"/>
                    <w:jc w:val="center"/>
                    <w:rPr>
                      <w:szCs w:val="21"/>
                    </w:rPr>
                  </w:pPr>
                  <w:r>
                    <w:rPr>
                      <w:rFonts w:hint="eastAsia"/>
                      <w:szCs w:val="21"/>
                    </w:rPr>
                    <w:t>火灾次生（伴生）污染物、物料不完全燃烧，影响周围大气环境</w:t>
                  </w:r>
                </w:p>
              </w:tc>
            </w:tr>
          </w:tbl>
          <w:p>
            <w:pPr>
              <w:spacing w:line="360" w:lineRule="auto"/>
              <w:ind w:firstLine="482" w:firstLineChars="200"/>
              <w:rPr>
                <w:b/>
                <w:sz w:val="24"/>
              </w:rPr>
            </w:pPr>
            <w:r>
              <w:rPr>
                <w:rFonts w:hint="eastAsia"/>
                <w:b/>
                <w:sz w:val="24"/>
              </w:rPr>
              <w:t>4、环境风险防范措施及应急要求</w:t>
            </w:r>
          </w:p>
          <w:p>
            <w:pPr>
              <w:pStyle w:val="2"/>
              <w:spacing w:line="360" w:lineRule="auto"/>
              <w:ind w:firstLine="480" w:firstLineChars="200"/>
              <w:rPr>
                <w:rFonts w:ascii="Times New Roman" w:hAnsi="宋体" w:cs="Times New Roman"/>
                <w:b/>
                <w:color w:val="auto"/>
              </w:rPr>
            </w:pPr>
            <w:r>
              <w:rPr>
                <w:rFonts w:hint="eastAsia" w:ascii="Times New Roman" w:hAnsi="宋体" w:cs="Times New Roman"/>
                <w:color w:val="auto"/>
              </w:rPr>
              <w:t>由于建设项目具有潜在的风险事故危险性，因此本项目在运营中必须进行合理安排、严格执行国家的防火安全设计规范，严格安全生产制度，严格管理，提高操作人员的素质和水平，避免或减少事故的发生。</w:t>
            </w:r>
          </w:p>
          <w:p>
            <w:pPr>
              <w:pStyle w:val="2"/>
              <w:spacing w:line="360" w:lineRule="auto"/>
              <w:ind w:firstLine="480" w:firstLineChars="200"/>
              <w:jc w:val="both"/>
              <w:rPr>
                <w:rFonts w:ascii="Times New Roman" w:hAnsi="宋体" w:cs="Times New Roman"/>
                <w:color w:val="auto"/>
              </w:rPr>
            </w:pPr>
            <w:r>
              <w:rPr>
                <w:rFonts w:hint="eastAsia" w:ascii="Times New Roman" w:hAnsi="宋体" w:cs="Times New Roman"/>
                <w:color w:val="auto"/>
              </w:rPr>
              <w:t>（1）原料/成品仓库、生产区等区域管理措施</w:t>
            </w:r>
            <w:r>
              <w:rPr>
                <w:rFonts w:ascii="Times New Roman" w:hAnsi="宋体" w:cs="Times New Roman"/>
                <w:color w:val="auto"/>
              </w:rPr>
              <w:t xml:space="preserve"> </w:t>
            </w:r>
          </w:p>
          <w:p>
            <w:pPr>
              <w:pStyle w:val="2"/>
              <w:spacing w:line="360" w:lineRule="auto"/>
              <w:ind w:firstLine="480" w:firstLineChars="200"/>
              <w:jc w:val="both"/>
              <w:rPr>
                <w:rFonts w:hAnsi="宋体"/>
                <w:color w:val="auto"/>
              </w:rPr>
            </w:pPr>
            <w:r>
              <w:rPr>
                <w:rFonts w:hint="eastAsia" w:hAnsi="宋体"/>
                <w:color w:val="auto"/>
              </w:rPr>
              <w:t>原料/成品仓库、生产区等区域设置围堰，地面做好防渗防腐，事故时防止泄漏液体流散造成环境污染。原料暂存处做好相关物料告知牌与安全标志标识。原料在入库前必须做完整检查，储存过程中必须定期巡检和严格交接检查。</w:t>
            </w:r>
          </w:p>
          <w:p>
            <w:pPr>
              <w:pStyle w:val="2"/>
              <w:spacing w:line="360" w:lineRule="auto"/>
              <w:ind w:firstLine="480" w:firstLineChars="200"/>
              <w:jc w:val="both"/>
              <w:rPr>
                <w:rFonts w:ascii="Times New Roman" w:cs="Times New Roman"/>
                <w:color w:val="auto"/>
              </w:rPr>
            </w:pPr>
            <w:r>
              <w:rPr>
                <w:rFonts w:ascii="Times New Roman" w:hAnsi="宋体" w:cs="Times New Roman"/>
                <w:color w:val="auto"/>
              </w:rPr>
              <w:t>（</w:t>
            </w:r>
            <w:r>
              <w:rPr>
                <w:rFonts w:ascii="Times New Roman" w:cs="Times New Roman"/>
                <w:color w:val="auto"/>
              </w:rPr>
              <w:t>2</w:t>
            </w:r>
            <w:r>
              <w:rPr>
                <w:rFonts w:ascii="Times New Roman" w:hAnsi="宋体" w:cs="Times New Roman"/>
                <w:color w:val="auto"/>
              </w:rPr>
              <w:t>）</w:t>
            </w:r>
            <w:r>
              <w:rPr>
                <w:rFonts w:hint="eastAsia" w:ascii="Times New Roman" w:hAnsi="宋体" w:cs="Times New Roman"/>
                <w:color w:val="auto"/>
              </w:rPr>
              <w:t>废气治理设施管理措施</w:t>
            </w:r>
          </w:p>
          <w:p>
            <w:pPr>
              <w:pStyle w:val="2"/>
              <w:spacing w:line="360" w:lineRule="auto"/>
              <w:ind w:firstLine="480" w:firstLineChars="200"/>
              <w:rPr>
                <w:rFonts w:hAnsi="宋体"/>
                <w:color w:val="auto"/>
              </w:rPr>
            </w:pPr>
            <w:r>
              <w:rPr>
                <w:rFonts w:hint="eastAsia" w:hAnsi="宋体"/>
                <w:color w:val="auto"/>
              </w:rPr>
              <w:t>严格按照废气处理系统的操作规程进行规范操作。加强废气处理系统的检修及保养，确保设备处于良好状态，使设备达到预期的处理效果。操作人员定时记录废气处理状况，由专人巡视，遇不良工作状况立即停止车间相关作业，杜绝事故性废气直排，检修完毕后再通知生产车间相关工序。</w:t>
            </w:r>
          </w:p>
          <w:p>
            <w:pPr>
              <w:autoSpaceDE w:val="0"/>
              <w:autoSpaceDN w:val="0"/>
              <w:adjustRightInd w:val="0"/>
              <w:spacing w:line="360" w:lineRule="auto"/>
              <w:ind w:firstLine="480" w:firstLineChars="200"/>
              <w:rPr>
                <w:sz w:val="24"/>
              </w:rPr>
            </w:pPr>
            <w:r>
              <w:rPr>
                <w:rFonts w:hint="eastAsia"/>
                <w:sz w:val="24"/>
              </w:rPr>
              <w:t>（3）危险废物暂存仓库管理措施</w:t>
            </w:r>
          </w:p>
          <w:p>
            <w:pPr>
              <w:autoSpaceDE w:val="0"/>
              <w:autoSpaceDN w:val="0"/>
              <w:adjustRightInd w:val="0"/>
              <w:spacing w:line="360" w:lineRule="auto"/>
              <w:ind w:firstLine="480" w:firstLineChars="200"/>
              <w:rPr>
                <w:sz w:val="24"/>
              </w:rPr>
            </w:pPr>
            <w:r>
              <w:rPr>
                <w:rFonts w:hint="eastAsia"/>
                <w:sz w:val="24"/>
              </w:rPr>
              <w:t>在危险废物暂存仓库设置分区，出入口设置围堰，并做好地面防渗措施；设立相关危废的处理处置流程。危险废物暂存仓库四周设有围堰，事故时防止泄漏液体流散造成环境污染。为保证危险废物暂存仓库安全，应控制每种危险废物的暂存量，及时或定期转移危废至有资质的单位处置，进一步降低事故风险。</w:t>
            </w:r>
          </w:p>
          <w:p>
            <w:pPr>
              <w:autoSpaceDE w:val="0"/>
              <w:autoSpaceDN w:val="0"/>
              <w:adjustRightInd w:val="0"/>
              <w:spacing w:line="360" w:lineRule="auto"/>
              <w:ind w:firstLine="480" w:firstLineChars="200"/>
              <w:rPr>
                <w:sz w:val="24"/>
              </w:rPr>
            </w:pPr>
            <w:r>
              <w:rPr>
                <w:rFonts w:hint="eastAsia"/>
                <w:sz w:val="24"/>
              </w:rPr>
              <w:t>（4）本项目均在车间内生产，不设置露天生产区域。车间内设置吸油棉、消防沙、周转罐等收集堵漏措施，车间门口设置漫坡、配备消防沙袋等车间围堵措施，一旦发生火灾事故，消防水会围截在车间内暂存，并在车间门口处设置收集沟槽，设置事故应急池，对事故废水进行收集暂存，尽快由槽罐车转运至有资质的单位处理，不对外界造成影响。</w:t>
            </w:r>
          </w:p>
          <w:p>
            <w:pPr>
              <w:autoSpaceDE w:val="0"/>
              <w:autoSpaceDN w:val="0"/>
              <w:adjustRightInd w:val="0"/>
              <w:spacing w:line="360" w:lineRule="auto"/>
              <w:ind w:firstLine="480" w:firstLineChars="200"/>
              <w:rPr>
                <w:sz w:val="24"/>
              </w:rPr>
            </w:pPr>
            <w:r>
              <w:rPr>
                <w:rFonts w:hint="eastAsia"/>
                <w:sz w:val="24"/>
              </w:rPr>
              <w:t>（5）火灾产生的次生影响</w:t>
            </w:r>
          </w:p>
          <w:p>
            <w:pPr>
              <w:autoSpaceDE w:val="0"/>
              <w:autoSpaceDN w:val="0"/>
              <w:adjustRightInd w:val="0"/>
              <w:spacing w:line="360" w:lineRule="auto"/>
              <w:ind w:firstLine="480" w:firstLineChars="200"/>
              <w:rPr>
                <w:sz w:val="24"/>
              </w:rPr>
            </w:pPr>
            <w:r>
              <w:rPr>
                <w:rFonts w:hint="eastAsia"/>
                <w:sz w:val="24"/>
              </w:rPr>
              <w:t>发生火灾事故时，产生的消防废水流出厂区范围，对周边土壤环境和水环境产生一定的影响；火灾发生时，物料不完全燃烧的废气对周围的大气环境产生一定的影响。</w:t>
            </w:r>
          </w:p>
          <w:p>
            <w:pPr>
              <w:autoSpaceDE w:val="0"/>
              <w:autoSpaceDN w:val="0"/>
              <w:adjustRightInd w:val="0"/>
              <w:spacing w:line="360" w:lineRule="auto"/>
              <w:ind w:firstLine="480" w:firstLineChars="200"/>
              <w:rPr>
                <w:sz w:val="24"/>
              </w:rPr>
            </w:pPr>
            <w:r>
              <w:rPr>
                <w:rFonts w:hint="eastAsia"/>
                <w:sz w:val="24"/>
              </w:rPr>
              <w:t>根据火灾危险性等级和防火、防爆要求，区内建筑物的防火等级均应采用国家现行规范要求按二级耐火等级设计，满足建筑防火要求。凡禁火区均设置明显标志牌。安全出口及安全疏散距离应符合《建筑设计防火规范》GBJ16-87 的要求。</w:t>
            </w:r>
          </w:p>
          <w:p>
            <w:pPr>
              <w:autoSpaceDE w:val="0"/>
              <w:autoSpaceDN w:val="0"/>
              <w:adjustRightInd w:val="0"/>
              <w:spacing w:line="360" w:lineRule="auto"/>
              <w:ind w:firstLine="480" w:firstLineChars="200"/>
              <w:rPr>
                <w:sz w:val="24"/>
              </w:rPr>
            </w:pPr>
            <w:r>
              <w:rPr>
                <w:rFonts w:hint="eastAsia"/>
                <w:sz w:val="24"/>
              </w:rPr>
              <w:t>建设项目的消防采用独立稳定高压消防供水系统，生产区应配备消防栓灭火系统。消防水管道沿装置及辅助生产设施周围布置，在管道上按照规范要求配置消火栓。</w:t>
            </w:r>
          </w:p>
          <w:p>
            <w:pPr>
              <w:autoSpaceDE w:val="0"/>
              <w:autoSpaceDN w:val="0"/>
              <w:adjustRightInd w:val="0"/>
              <w:spacing w:line="360" w:lineRule="auto"/>
              <w:ind w:firstLine="480" w:firstLineChars="200"/>
              <w:rPr>
                <w:sz w:val="24"/>
              </w:rPr>
            </w:pPr>
            <w:r>
              <w:rPr>
                <w:rFonts w:hint="eastAsia"/>
                <w:sz w:val="24"/>
              </w:rPr>
              <w:t>建议项目厂区出入口设置漫坡并配备消防沙袋，项目产生消防事故时，产生的事故废水均能截留于厂内。</w:t>
            </w:r>
          </w:p>
          <w:p>
            <w:pPr>
              <w:autoSpaceDE w:val="0"/>
              <w:autoSpaceDN w:val="0"/>
              <w:adjustRightInd w:val="0"/>
              <w:spacing w:line="360" w:lineRule="auto"/>
              <w:ind w:firstLine="480" w:firstLineChars="200"/>
              <w:rPr>
                <w:sz w:val="24"/>
              </w:rPr>
            </w:pPr>
            <w:r>
              <w:rPr>
                <w:rFonts w:hint="eastAsia"/>
                <w:sz w:val="24"/>
              </w:rPr>
              <w:t>（6）综合管理安全对策措施</w:t>
            </w:r>
          </w:p>
          <w:p>
            <w:pPr>
              <w:autoSpaceDE w:val="0"/>
              <w:autoSpaceDN w:val="0"/>
              <w:adjustRightInd w:val="0"/>
              <w:spacing w:line="360" w:lineRule="auto"/>
              <w:ind w:firstLine="480" w:firstLineChars="200"/>
              <w:rPr>
                <w:sz w:val="24"/>
              </w:rPr>
            </w:pPr>
            <w:r>
              <w:rPr>
                <w:rFonts w:hint="eastAsia"/>
                <w:sz w:val="24"/>
              </w:rPr>
              <w:t>①按国家相关安全法律法规的要求，建立“安全生产责任制度”、“安全教育制度”、“安全检查制度”、“安全奖惩制度”、“防火制度”、“安全技术操作规程”等主要规章制度。</w:t>
            </w:r>
          </w:p>
          <w:p>
            <w:pPr>
              <w:autoSpaceDE w:val="0"/>
              <w:autoSpaceDN w:val="0"/>
              <w:adjustRightInd w:val="0"/>
              <w:spacing w:line="360" w:lineRule="auto"/>
              <w:ind w:firstLine="480" w:firstLineChars="200"/>
              <w:rPr>
                <w:sz w:val="24"/>
              </w:rPr>
            </w:pPr>
            <w:r>
              <w:rPr>
                <w:rFonts w:hint="eastAsia"/>
                <w:sz w:val="24"/>
              </w:rPr>
              <w:t>在此基础上，建立健全安全管理体系，吸取业界同类设备、工艺的安全管理经验，制定安全管理目标和规章制度，制定并严格执行安全巡检制度。</w:t>
            </w:r>
          </w:p>
          <w:p>
            <w:pPr>
              <w:autoSpaceDE w:val="0"/>
              <w:autoSpaceDN w:val="0"/>
              <w:adjustRightInd w:val="0"/>
              <w:spacing w:line="360" w:lineRule="auto"/>
              <w:ind w:firstLine="480" w:firstLineChars="200"/>
              <w:rPr>
                <w:sz w:val="24"/>
              </w:rPr>
            </w:pPr>
            <w:r>
              <w:rPr>
                <w:rFonts w:hint="eastAsia"/>
                <w:sz w:val="24"/>
              </w:rPr>
              <w:t>②应制定并执行严格的工作许可证管理制度和作业程序，尤其是生产操作人员，必须取得许可证后方可进行作业。</w:t>
            </w:r>
          </w:p>
          <w:p>
            <w:pPr>
              <w:autoSpaceDE w:val="0"/>
              <w:autoSpaceDN w:val="0"/>
              <w:adjustRightInd w:val="0"/>
              <w:spacing w:line="360" w:lineRule="auto"/>
              <w:ind w:firstLine="480" w:firstLineChars="200"/>
              <w:rPr>
                <w:sz w:val="24"/>
              </w:rPr>
            </w:pPr>
            <w:r>
              <w:rPr>
                <w:rFonts w:hint="eastAsia"/>
                <w:sz w:val="24"/>
              </w:rPr>
              <w:t>③应为员工提供必需的个人防护用品，如全身防护服、防毒面具、手套、工作鞋等，以保护作业人员安全和身体健康。</w:t>
            </w:r>
          </w:p>
          <w:p>
            <w:pPr>
              <w:autoSpaceDE w:val="0"/>
              <w:autoSpaceDN w:val="0"/>
              <w:adjustRightInd w:val="0"/>
              <w:spacing w:line="360" w:lineRule="auto"/>
              <w:ind w:firstLine="480" w:firstLineChars="200"/>
              <w:rPr>
                <w:sz w:val="24"/>
              </w:rPr>
            </w:pPr>
            <w:r>
              <w:rPr>
                <w:rFonts w:hint="eastAsia"/>
                <w:sz w:val="24"/>
              </w:rPr>
              <w:t>④管道出现异常情况，操作人员或巡检人员应及时向主管人员报告，采取必要的应急措施。</w:t>
            </w:r>
          </w:p>
          <w:p>
            <w:pPr>
              <w:autoSpaceDE w:val="0"/>
              <w:autoSpaceDN w:val="0"/>
              <w:adjustRightInd w:val="0"/>
              <w:spacing w:line="360" w:lineRule="auto"/>
              <w:ind w:firstLine="482" w:firstLineChars="200"/>
              <w:rPr>
                <w:b/>
                <w:sz w:val="24"/>
              </w:rPr>
            </w:pPr>
            <w:r>
              <w:rPr>
                <w:rFonts w:hint="eastAsia"/>
                <w:b/>
                <w:sz w:val="24"/>
              </w:rPr>
              <w:t>5、事故应急池设置</w:t>
            </w:r>
          </w:p>
          <w:p>
            <w:pPr>
              <w:adjustRightInd w:val="0"/>
              <w:spacing w:line="360" w:lineRule="auto"/>
              <w:ind w:firstLine="480" w:firstLineChars="200"/>
              <w:rPr>
                <w:sz w:val="24"/>
              </w:rPr>
            </w:pPr>
            <w:r>
              <w:rPr>
                <w:rFonts w:hint="eastAsia"/>
                <w:sz w:val="24"/>
              </w:rPr>
              <w:t>为了防止原料泄漏或火灾时产生的消防水外流，建设单位应设置雨水总排口阀门和应急水池，并且生产车间已设置导流沟，在发生泄漏或火灾时，应先关闭雨水总排口阀门，通过导流沟将泄漏废水和消防废水引入应急水池，另外，应急水池已做好防渗漏措施，待事故结束后建设单位将事故废水送交具有相应资质的单位进行处理。</w:t>
            </w:r>
          </w:p>
          <w:p>
            <w:pPr>
              <w:adjustRightInd w:val="0"/>
              <w:spacing w:line="360" w:lineRule="auto"/>
              <w:ind w:firstLine="480" w:firstLineChars="200"/>
              <w:rPr>
                <w:sz w:val="24"/>
              </w:rPr>
            </w:pPr>
            <w:r>
              <w:rPr>
                <w:rFonts w:hint="eastAsia"/>
                <w:sz w:val="24"/>
              </w:rPr>
              <w:t>根据《化工建设项目环境保护工程设计标准》（</w:t>
            </w:r>
            <w:r>
              <w:rPr>
                <w:sz w:val="24"/>
              </w:rPr>
              <w:t>GB</w:t>
            </w:r>
            <w:r>
              <w:rPr>
                <w:rFonts w:hint="eastAsia"/>
                <w:sz w:val="24"/>
              </w:rPr>
              <w:t xml:space="preserve">/T </w:t>
            </w:r>
            <w:r>
              <w:rPr>
                <w:sz w:val="24"/>
              </w:rPr>
              <w:t>50483-20</w:t>
            </w:r>
            <w:r>
              <w:rPr>
                <w:rFonts w:hint="eastAsia"/>
                <w:sz w:val="24"/>
              </w:rPr>
              <w:t>1</w:t>
            </w:r>
            <w:r>
              <w:rPr>
                <w:sz w:val="24"/>
              </w:rPr>
              <w:t>9</w:t>
            </w:r>
            <w:r>
              <w:rPr>
                <w:rFonts w:hint="eastAsia"/>
                <w:sz w:val="24"/>
              </w:rPr>
              <w:t>）中对于事故应急池的规定，应急池容量公式如下：</w:t>
            </w:r>
          </w:p>
          <w:p>
            <w:pPr>
              <w:adjustRightInd w:val="0"/>
              <w:spacing w:line="360" w:lineRule="auto"/>
              <w:jc w:val="center"/>
              <w:rPr>
                <w:sz w:val="24"/>
              </w:rPr>
            </w:pPr>
            <w:r>
              <w:rPr>
                <w:rFonts w:hint="eastAsia"/>
                <w:sz w:val="24"/>
              </w:rPr>
              <w:t>V</w:t>
            </w:r>
            <w:r>
              <w:rPr>
                <w:rFonts w:hint="eastAsia"/>
                <w:sz w:val="24"/>
                <w:vertAlign w:val="subscript"/>
              </w:rPr>
              <w:t>总</w:t>
            </w:r>
            <w:r>
              <w:rPr>
                <w:rFonts w:hint="eastAsia"/>
                <w:sz w:val="24"/>
              </w:rPr>
              <w:t>=（V</w:t>
            </w:r>
            <w:r>
              <w:rPr>
                <w:rFonts w:hint="eastAsia"/>
                <w:sz w:val="24"/>
                <w:vertAlign w:val="subscript"/>
              </w:rPr>
              <w:t>1</w:t>
            </w:r>
            <w:r>
              <w:rPr>
                <w:rFonts w:hint="eastAsia"/>
                <w:sz w:val="24"/>
              </w:rPr>
              <w:t>+V</w:t>
            </w:r>
            <w:r>
              <w:rPr>
                <w:rFonts w:hint="eastAsia"/>
                <w:sz w:val="24"/>
                <w:vertAlign w:val="subscript"/>
              </w:rPr>
              <w:t>2</w:t>
            </w:r>
            <w:r>
              <w:rPr>
                <w:rFonts w:hint="eastAsia"/>
                <w:sz w:val="24"/>
              </w:rPr>
              <w:t>-V</w:t>
            </w:r>
            <w:r>
              <w:rPr>
                <w:rFonts w:hint="eastAsia"/>
                <w:sz w:val="24"/>
                <w:vertAlign w:val="subscript"/>
              </w:rPr>
              <w:t>3</w:t>
            </w:r>
            <w:r>
              <w:rPr>
                <w:rFonts w:hint="eastAsia"/>
                <w:sz w:val="24"/>
              </w:rPr>
              <w:t>）</w:t>
            </w:r>
            <w:r>
              <w:rPr>
                <w:sz w:val="24"/>
                <w:vertAlign w:val="subscript"/>
              </w:rPr>
              <w:t>max</w:t>
            </w:r>
            <w:r>
              <w:rPr>
                <w:rFonts w:hint="eastAsia"/>
                <w:sz w:val="24"/>
              </w:rPr>
              <w:t>+V4+V5</w:t>
            </w:r>
          </w:p>
          <w:p>
            <w:pPr>
              <w:adjustRightInd w:val="0"/>
              <w:spacing w:line="360" w:lineRule="auto"/>
              <w:ind w:firstLine="480" w:firstLineChars="200"/>
              <w:rPr>
                <w:sz w:val="24"/>
              </w:rPr>
            </w:pPr>
            <w:r>
              <w:rPr>
                <w:rFonts w:hint="eastAsia"/>
                <w:sz w:val="24"/>
              </w:rPr>
              <w:t>式中：V</w:t>
            </w:r>
            <w:r>
              <w:rPr>
                <w:rFonts w:hint="eastAsia"/>
                <w:sz w:val="24"/>
                <w:vertAlign w:val="subscript"/>
              </w:rPr>
              <w:t>总</w:t>
            </w:r>
            <w:r>
              <w:rPr>
                <w:rFonts w:hint="eastAsia"/>
                <w:sz w:val="24"/>
              </w:rPr>
              <w:t>—事故储存设施总有效容积；</w:t>
            </w:r>
          </w:p>
          <w:p>
            <w:pPr>
              <w:adjustRightInd w:val="0"/>
              <w:spacing w:line="360" w:lineRule="auto"/>
              <w:ind w:firstLine="1200" w:firstLineChars="500"/>
              <w:rPr>
                <w:sz w:val="24"/>
              </w:rPr>
            </w:pPr>
            <w:r>
              <w:rPr>
                <w:rFonts w:hint="eastAsia"/>
                <w:sz w:val="24"/>
              </w:rPr>
              <w:t>V</w:t>
            </w:r>
            <w:r>
              <w:rPr>
                <w:rFonts w:hint="eastAsia"/>
                <w:sz w:val="24"/>
                <w:vertAlign w:val="subscript"/>
              </w:rPr>
              <w:t>1</w:t>
            </w:r>
            <w:r>
              <w:rPr>
                <w:rFonts w:hint="eastAsia"/>
                <w:sz w:val="24"/>
              </w:rPr>
              <w:t>—收集系统范围内发生事故的一个罐组或一套装置的物料量（m</w:t>
            </w:r>
            <w:r>
              <w:rPr>
                <w:rFonts w:hint="eastAsia"/>
                <w:sz w:val="24"/>
                <w:vertAlign w:val="superscript"/>
              </w:rPr>
              <w:t>3</w:t>
            </w:r>
            <w:r>
              <w:rPr>
                <w:rFonts w:hint="eastAsia"/>
                <w:sz w:val="24"/>
              </w:rPr>
              <w:t>），项目生产过程最大的储罐容积约为60m</w:t>
            </w:r>
            <w:r>
              <w:rPr>
                <w:rFonts w:hint="eastAsia"/>
                <w:sz w:val="24"/>
                <w:vertAlign w:val="superscript"/>
              </w:rPr>
              <w:t>3</w:t>
            </w:r>
            <w:r>
              <w:rPr>
                <w:rFonts w:hint="eastAsia"/>
                <w:sz w:val="24"/>
              </w:rPr>
              <w:t>，项目V</w:t>
            </w:r>
            <w:r>
              <w:rPr>
                <w:rFonts w:hint="eastAsia"/>
                <w:sz w:val="24"/>
                <w:vertAlign w:val="subscript"/>
              </w:rPr>
              <w:t>1</w:t>
            </w:r>
            <w:r>
              <w:rPr>
                <w:rFonts w:hint="eastAsia"/>
                <w:sz w:val="24"/>
              </w:rPr>
              <w:t>取值为60m</w:t>
            </w:r>
            <w:r>
              <w:rPr>
                <w:rFonts w:hint="eastAsia"/>
                <w:sz w:val="24"/>
                <w:vertAlign w:val="superscript"/>
              </w:rPr>
              <w:t>3</w:t>
            </w:r>
            <w:r>
              <w:rPr>
                <w:rFonts w:hint="eastAsia"/>
                <w:sz w:val="24"/>
              </w:rPr>
              <w:t>；</w:t>
            </w:r>
          </w:p>
          <w:p>
            <w:pPr>
              <w:adjustRightInd w:val="0"/>
              <w:spacing w:line="360" w:lineRule="auto"/>
              <w:ind w:firstLine="1200" w:firstLineChars="500"/>
              <w:rPr>
                <w:sz w:val="24"/>
              </w:rPr>
            </w:pPr>
            <w:r>
              <w:rPr>
                <w:rFonts w:hint="eastAsia"/>
                <w:sz w:val="24"/>
              </w:rPr>
              <w:t>V2—发生事故的储罐或装置的消防水量，m</w:t>
            </w:r>
            <w:r>
              <w:rPr>
                <w:rFonts w:hint="eastAsia"/>
                <w:sz w:val="24"/>
                <w:vertAlign w:val="superscript"/>
              </w:rPr>
              <w:t>3</w:t>
            </w:r>
            <w:r>
              <w:rPr>
                <w:rFonts w:hint="eastAsia"/>
                <w:sz w:val="24"/>
              </w:rPr>
              <w:t>。消防废水量参照《消防给水及消火栓系统技术规范》（GB 50974-2014）中要求计算，发生火灾时，消防栓用水量取15L/s，火灾延续时间按1h计为V</w:t>
            </w:r>
            <w:r>
              <w:rPr>
                <w:rFonts w:hint="eastAsia"/>
                <w:sz w:val="24"/>
                <w:vertAlign w:val="subscript"/>
              </w:rPr>
              <w:t>2</w:t>
            </w:r>
            <w:r>
              <w:rPr>
                <w:rFonts w:hint="eastAsia"/>
                <w:sz w:val="24"/>
              </w:rPr>
              <w:t>=54m</w:t>
            </w:r>
            <w:r>
              <w:rPr>
                <w:rFonts w:hint="eastAsia"/>
                <w:sz w:val="24"/>
                <w:vertAlign w:val="superscript"/>
              </w:rPr>
              <w:t>3</w:t>
            </w:r>
            <w:r>
              <w:rPr>
                <w:rFonts w:hint="eastAsia"/>
                <w:sz w:val="24"/>
              </w:rPr>
              <w:t>；</w:t>
            </w:r>
          </w:p>
          <w:p>
            <w:pPr>
              <w:adjustRightInd w:val="0"/>
              <w:spacing w:line="360" w:lineRule="auto"/>
              <w:ind w:firstLine="1200" w:firstLineChars="500"/>
              <w:rPr>
                <w:sz w:val="24"/>
              </w:rPr>
            </w:pPr>
            <w:r>
              <w:rPr>
                <w:rFonts w:hint="eastAsia"/>
                <w:sz w:val="24"/>
              </w:rPr>
              <w:t>V</w:t>
            </w:r>
            <w:r>
              <w:rPr>
                <w:rFonts w:hint="eastAsia"/>
                <w:sz w:val="24"/>
                <w:vertAlign w:val="subscript"/>
              </w:rPr>
              <w:t>3</w:t>
            </w:r>
            <w:r>
              <w:rPr>
                <w:rFonts w:hint="eastAsia"/>
                <w:sz w:val="24"/>
              </w:rPr>
              <w:t>—发生事故时可以转输到其他储存或处理设施的物料量，m</w:t>
            </w:r>
            <w:r>
              <w:rPr>
                <w:rFonts w:hint="eastAsia"/>
                <w:sz w:val="24"/>
                <w:vertAlign w:val="superscript"/>
              </w:rPr>
              <w:t>3</w:t>
            </w:r>
            <w:r>
              <w:rPr>
                <w:rFonts w:hint="eastAsia"/>
                <w:sz w:val="24"/>
              </w:rPr>
              <w:t>；本项目不设可以转输到其他储存或处理设施，V</w:t>
            </w:r>
            <w:r>
              <w:rPr>
                <w:rFonts w:hint="eastAsia"/>
                <w:sz w:val="24"/>
                <w:vertAlign w:val="subscript"/>
              </w:rPr>
              <w:t>3</w:t>
            </w:r>
            <w:r>
              <w:rPr>
                <w:rFonts w:hint="eastAsia"/>
                <w:sz w:val="24"/>
              </w:rPr>
              <w:t>=0。</w:t>
            </w:r>
          </w:p>
          <w:p>
            <w:pPr>
              <w:adjustRightInd w:val="0"/>
              <w:spacing w:line="360" w:lineRule="auto"/>
              <w:ind w:firstLine="1200" w:firstLineChars="500"/>
              <w:rPr>
                <w:sz w:val="24"/>
              </w:rPr>
            </w:pPr>
            <w:r>
              <w:rPr>
                <w:rFonts w:hint="eastAsia"/>
                <w:sz w:val="24"/>
              </w:rPr>
              <w:t>V</w:t>
            </w:r>
            <w:r>
              <w:rPr>
                <w:rFonts w:hint="eastAsia"/>
                <w:sz w:val="24"/>
                <w:vertAlign w:val="subscript"/>
              </w:rPr>
              <w:t>4</w:t>
            </w:r>
            <w:r>
              <w:rPr>
                <w:rFonts w:hint="eastAsia"/>
                <w:sz w:val="24"/>
              </w:rPr>
              <w:t>—发生事故时仍应进入该收集系统的工业废水量，m</w:t>
            </w:r>
            <w:r>
              <w:rPr>
                <w:rFonts w:hint="eastAsia"/>
                <w:sz w:val="24"/>
                <w:vertAlign w:val="superscript"/>
              </w:rPr>
              <w:t>3</w:t>
            </w:r>
            <w:r>
              <w:rPr>
                <w:rFonts w:hint="eastAsia"/>
                <w:sz w:val="24"/>
              </w:rPr>
              <w:t>；取最大一天的生产废水量，即1.61m</w:t>
            </w:r>
            <w:r>
              <w:rPr>
                <w:rFonts w:hint="eastAsia"/>
                <w:sz w:val="24"/>
                <w:vertAlign w:val="superscript"/>
              </w:rPr>
              <w:t>3</w:t>
            </w:r>
            <w:r>
              <w:rPr>
                <w:rFonts w:hint="eastAsia"/>
                <w:sz w:val="24"/>
              </w:rPr>
              <w:t>/d，则V</w:t>
            </w:r>
            <w:r>
              <w:rPr>
                <w:rFonts w:hint="eastAsia"/>
                <w:sz w:val="24"/>
                <w:vertAlign w:val="subscript"/>
              </w:rPr>
              <w:t>4</w:t>
            </w:r>
            <w:r>
              <w:rPr>
                <w:rFonts w:hint="eastAsia"/>
                <w:sz w:val="24"/>
              </w:rPr>
              <w:t>=1.61m</w:t>
            </w:r>
            <w:r>
              <w:rPr>
                <w:rFonts w:hint="eastAsia"/>
                <w:sz w:val="24"/>
                <w:vertAlign w:val="superscript"/>
              </w:rPr>
              <w:t>3</w:t>
            </w:r>
            <w:r>
              <w:rPr>
                <w:rFonts w:hint="eastAsia"/>
                <w:sz w:val="24"/>
              </w:rPr>
              <w:t>。</w:t>
            </w:r>
          </w:p>
          <w:p>
            <w:pPr>
              <w:adjustRightInd w:val="0"/>
              <w:spacing w:line="360" w:lineRule="auto"/>
              <w:ind w:firstLine="1200" w:firstLineChars="500"/>
              <w:rPr>
                <w:sz w:val="24"/>
              </w:rPr>
            </w:pPr>
            <w:r>
              <w:rPr>
                <w:rFonts w:hint="eastAsia"/>
                <w:sz w:val="24"/>
              </w:rPr>
              <w:t>V</w:t>
            </w:r>
            <w:r>
              <w:rPr>
                <w:rFonts w:hint="eastAsia"/>
                <w:sz w:val="24"/>
                <w:vertAlign w:val="subscript"/>
              </w:rPr>
              <w:t>5</w:t>
            </w:r>
            <w:r>
              <w:rPr>
                <w:rFonts w:hint="eastAsia"/>
                <w:sz w:val="24"/>
              </w:rPr>
              <w:t>—发生事故时可能进入该收集系统的降雨量，m</w:t>
            </w:r>
            <w:r>
              <w:rPr>
                <w:rFonts w:hint="eastAsia"/>
                <w:sz w:val="24"/>
                <w:vertAlign w:val="superscript"/>
              </w:rPr>
              <w:t>3</w:t>
            </w:r>
            <w:r>
              <w:rPr>
                <w:rFonts w:hint="eastAsia"/>
                <w:sz w:val="24"/>
              </w:rPr>
              <w:t>根据前文第3.3.2.2章节核算可知，项目初期雨水产生约为</w:t>
            </w:r>
            <w:r>
              <w:rPr>
                <w:rFonts w:hint="eastAsia"/>
                <w:kern w:val="0"/>
                <w:sz w:val="24"/>
              </w:rPr>
              <w:t>41.16</w:t>
            </w:r>
            <w:r>
              <w:rPr>
                <w:kern w:val="0"/>
                <w:sz w:val="24"/>
              </w:rPr>
              <w:t>m</w:t>
            </w:r>
            <w:r>
              <w:rPr>
                <w:kern w:val="0"/>
                <w:sz w:val="24"/>
                <w:vertAlign w:val="superscript"/>
              </w:rPr>
              <w:t>3</w:t>
            </w:r>
            <w:r>
              <w:rPr>
                <w:kern w:val="0"/>
                <w:sz w:val="24"/>
              </w:rPr>
              <w:t>/次</w:t>
            </w:r>
            <w:r>
              <w:rPr>
                <w:rFonts w:hint="eastAsia"/>
                <w:sz w:val="24"/>
              </w:rPr>
              <w:t>，即V</w:t>
            </w:r>
            <w:r>
              <w:rPr>
                <w:rFonts w:hint="eastAsia"/>
                <w:sz w:val="24"/>
                <w:vertAlign w:val="subscript"/>
              </w:rPr>
              <w:t>5</w:t>
            </w:r>
            <w:r>
              <w:rPr>
                <w:rFonts w:hint="eastAsia"/>
                <w:sz w:val="24"/>
              </w:rPr>
              <w:t>=</w:t>
            </w:r>
            <w:r>
              <w:rPr>
                <w:rFonts w:hint="eastAsia"/>
                <w:kern w:val="0"/>
                <w:sz w:val="24"/>
              </w:rPr>
              <w:t>41.16</w:t>
            </w:r>
            <w:r>
              <w:rPr>
                <w:kern w:val="0"/>
                <w:sz w:val="24"/>
              </w:rPr>
              <w:t>m</w:t>
            </w:r>
            <w:r>
              <w:rPr>
                <w:kern w:val="0"/>
                <w:sz w:val="24"/>
                <w:vertAlign w:val="superscript"/>
              </w:rPr>
              <w:t>3</w:t>
            </w:r>
            <w:r>
              <w:rPr>
                <w:rFonts w:hint="eastAsia"/>
                <w:sz w:val="24"/>
              </w:rPr>
              <w:t>。</w:t>
            </w:r>
          </w:p>
          <w:p>
            <w:pPr>
              <w:adjustRightInd w:val="0"/>
              <w:spacing w:line="360" w:lineRule="auto"/>
              <w:ind w:firstLine="480" w:firstLineChars="200"/>
              <w:rPr>
                <w:sz w:val="24"/>
              </w:rPr>
            </w:pPr>
            <w:r>
              <w:rPr>
                <w:rFonts w:hint="eastAsia"/>
                <w:sz w:val="24"/>
              </w:rPr>
              <w:t>因此，企业厂区内突发环境事件期间所需应急池大小为：V</w:t>
            </w:r>
            <w:r>
              <w:rPr>
                <w:sz w:val="24"/>
                <w:vertAlign w:val="subscript"/>
              </w:rPr>
              <w:t>总</w:t>
            </w:r>
            <w:r>
              <w:rPr>
                <w:rFonts w:hint="eastAsia"/>
                <w:sz w:val="24"/>
              </w:rPr>
              <w:t>=（V</w:t>
            </w:r>
            <w:r>
              <w:rPr>
                <w:rFonts w:hint="eastAsia"/>
                <w:sz w:val="24"/>
                <w:vertAlign w:val="subscript"/>
              </w:rPr>
              <w:t>1</w:t>
            </w:r>
            <w:r>
              <w:rPr>
                <w:rFonts w:hint="eastAsia"/>
                <w:sz w:val="24"/>
              </w:rPr>
              <w:t>+V</w:t>
            </w:r>
            <w:r>
              <w:rPr>
                <w:rFonts w:hint="eastAsia"/>
                <w:sz w:val="24"/>
                <w:vertAlign w:val="subscript"/>
              </w:rPr>
              <w:t>2</w:t>
            </w:r>
            <w:r>
              <w:rPr>
                <w:rFonts w:hint="eastAsia"/>
                <w:sz w:val="24"/>
              </w:rPr>
              <w:t>-V</w:t>
            </w:r>
            <w:r>
              <w:rPr>
                <w:rFonts w:hint="eastAsia"/>
                <w:sz w:val="24"/>
                <w:vertAlign w:val="subscript"/>
              </w:rPr>
              <w:t>3</w:t>
            </w:r>
            <w:r>
              <w:rPr>
                <w:rFonts w:hint="eastAsia"/>
                <w:sz w:val="24"/>
              </w:rPr>
              <w:t>）</w:t>
            </w:r>
            <w:r>
              <w:rPr>
                <w:sz w:val="24"/>
                <w:vertAlign w:val="subscript"/>
              </w:rPr>
              <w:t>max</w:t>
            </w:r>
            <w:r>
              <w:rPr>
                <w:rFonts w:hint="eastAsia"/>
                <w:sz w:val="24"/>
              </w:rPr>
              <w:t>+V</w:t>
            </w:r>
            <w:r>
              <w:rPr>
                <w:rFonts w:hint="eastAsia"/>
                <w:sz w:val="24"/>
                <w:vertAlign w:val="subscript"/>
              </w:rPr>
              <w:t>4</w:t>
            </w:r>
            <w:r>
              <w:rPr>
                <w:rFonts w:hint="eastAsia"/>
                <w:sz w:val="24"/>
              </w:rPr>
              <w:t>+V</w:t>
            </w:r>
            <w:r>
              <w:rPr>
                <w:rFonts w:hint="eastAsia"/>
                <w:sz w:val="24"/>
                <w:vertAlign w:val="subscript"/>
              </w:rPr>
              <w:t>5</w:t>
            </w:r>
            <w:r>
              <w:rPr>
                <w:rFonts w:hint="eastAsia"/>
                <w:sz w:val="24"/>
              </w:rPr>
              <w:t>=（60m</w:t>
            </w:r>
            <w:r>
              <w:rPr>
                <w:rFonts w:hint="eastAsia"/>
                <w:sz w:val="24"/>
                <w:vertAlign w:val="superscript"/>
              </w:rPr>
              <w:t>3</w:t>
            </w:r>
            <w:r>
              <w:rPr>
                <w:rFonts w:hint="eastAsia"/>
                <w:sz w:val="24"/>
              </w:rPr>
              <w:t>+54m</w:t>
            </w:r>
            <w:r>
              <w:rPr>
                <w:rFonts w:hint="eastAsia"/>
                <w:sz w:val="24"/>
                <w:vertAlign w:val="superscript"/>
              </w:rPr>
              <w:t>3</w:t>
            </w:r>
            <w:r>
              <w:rPr>
                <w:rFonts w:hint="eastAsia"/>
                <w:sz w:val="24"/>
              </w:rPr>
              <w:t>-0）+1.61m</w:t>
            </w:r>
            <w:r>
              <w:rPr>
                <w:rFonts w:hint="eastAsia"/>
                <w:sz w:val="24"/>
                <w:vertAlign w:val="superscript"/>
              </w:rPr>
              <w:t>3</w:t>
            </w:r>
            <w:r>
              <w:rPr>
                <w:rFonts w:hint="eastAsia"/>
                <w:sz w:val="24"/>
              </w:rPr>
              <w:t>+41.16m</w:t>
            </w:r>
            <w:r>
              <w:rPr>
                <w:rFonts w:hint="eastAsia"/>
                <w:sz w:val="24"/>
                <w:vertAlign w:val="superscript"/>
              </w:rPr>
              <w:t>3</w:t>
            </w:r>
            <w:r>
              <w:rPr>
                <w:rFonts w:hint="eastAsia"/>
                <w:sz w:val="24"/>
              </w:rPr>
              <w:t>=156.77m</w:t>
            </w:r>
            <w:r>
              <w:rPr>
                <w:rFonts w:hint="eastAsia"/>
                <w:sz w:val="24"/>
                <w:vertAlign w:val="superscript"/>
              </w:rPr>
              <w:t>3</w:t>
            </w:r>
            <w:r>
              <w:rPr>
                <w:rFonts w:hint="eastAsia"/>
                <w:sz w:val="24"/>
              </w:rPr>
              <w:t>。</w:t>
            </w:r>
          </w:p>
          <w:p>
            <w:pPr>
              <w:autoSpaceDE w:val="0"/>
              <w:autoSpaceDN w:val="0"/>
              <w:adjustRightInd w:val="0"/>
              <w:spacing w:line="360" w:lineRule="auto"/>
              <w:ind w:firstLine="480" w:firstLineChars="200"/>
              <w:rPr>
                <w:b/>
                <w:sz w:val="24"/>
              </w:rPr>
            </w:pPr>
            <w:r>
              <w:rPr>
                <w:rFonts w:hint="eastAsia"/>
                <w:kern w:val="0"/>
                <w:sz w:val="24"/>
              </w:rPr>
              <w:t>参考《化工建设项目环境保护工程设计标准》（GB/T 50483-2019）等规定，公司拟规划设置一个容积为200m</w:t>
            </w:r>
            <w:r>
              <w:rPr>
                <w:rFonts w:hint="eastAsia"/>
                <w:kern w:val="0"/>
                <w:sz w:val="24"/>
                <w:vertAlign w:val="superscript"/>
              </w:rPr>
              <w:t>3</w:t>
            </w:r>
            <w:r>
              <w:rPr>
                <w:rFonts w:hint="eastAsia"/>
                <w:kern w:val="0"/>
                <w:sz w:val="24"/>
              </w:rPr>
              <w:t>的事故应急池，位于厂区西南角，可满足应急状态下储存容量要求。</w:t>
            </w:r>
          </w:p>
          <w:p>
            <w:pPr>
              <w:autoSpaceDE w:val="0"/>
              <w:autoSpaceDN w:val="0"/>
              <w:adjustRightInd w:val="0"/>
              <w:spacing w:line="360" w:lineRule="auto"/>
              <w:ind w:firstLine="482" w:firstLineChars="200"/>
              <w:rPr>
                <w:b/>
                <w:kern w:val="0"/>
                <w:sz w:val="24"/>
              </w:rPr>
            </w:pPr>
            <w:r>
              <w:rPr>
                <w:rFonts w:hint="eastAsia"/>
                <w:b/>
                <w:sz w:val="24"/>
              </w:rPr>
              <w:t>6、</w:t>
            </w:r>
            <w:r>
              <w:rPr>
                <w:rFonts w:hint="eastAsia"/>
                <w:b/>
                <w:kern w:val="0"/>
                <w:sz w:val="24"/>
              </w:rPr>
              <w:t>环境风险分析结论</w:t>
            </w:r>
          </w:p>
          <w:p>
            <w:pPr>
              <w:adjustRightInd w:val="0"/>
              <w:snapToGrid w:val="0"/>
              <w:spacing w:line="360" w:lineRule="auto"/>
              <w:ind w:firstLine="480" w:firstLineChars="200"/>
              <w:rPr>
                <w:kern w:val="0"/>
                <w:sz w:val="24"/>
              </w:rPr>
            </w:pPr>
            <w:r>
              <w:rPr>
                <w:rFonts w:hint="eastAsia"/>
                <w:kern w:val="0"/>
                <w:sz w:val="24"/>
              </w:rPr>
              <w:t>经分析，项目生产过程中存在的风险物质未构成重大危险源。本项目可能发生的事故主要包括生产运行和储运过程的原材料的泄漏、废气事故排放等。根据其他同类企业的多年运行经验，该类项目泄漏、废气事故排放等事故发生概率很低，只要通过加强公司管理，做好防范措施等，可将其风险控制在可接受范围内。同时，在项目运营过程中认真落实，使发生事故的环境影响控制在最小的范围内。</w:t>
            </w:r>
          </w:p>
          <w:p>
            <w:pPr>
              <w:pStyle w:val="111"/>
              <w:spacing w:before="120" w:line="240" w:lineRule="auto"/>
            </w:pPr>
            <w:r>
              <w:rPr>
                <w:rFonts w:hint="eastAsia"/>
              </w:rPr>
              <w:t>表4-26  建设项目环境风险简单分析内容表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28"/>
              <w:gridCol w:w="1398"/>
              <w:gridCol w:w="1630"/>
              <w:gridCol w:w="1328"/>
              <w:gridCol w:w="2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pPr>
                    <w:pStyle w:val="110"/>
                  </w:pPr>
                  <w:r>
                    <w:rPr>
                      <w:rFonts w:hAnsi="宋体" w:eastAsia="宋体"/>
                    </w:rPr>
                    <w:t>建设项目名称</w:t>
                  </w:r>
                </w:p>
              </w:tc>
              <w:tc>
                <w:tcPr>
                  <w:tcW w:w="3392" w:type="pct"/>
                  <w:gridSpan w:val="4"/>
                  <w:vAlign w:val="center"/>
                </w:tcPr>
                <w:p>
                  <w:pPr>
                    <w:pStyle w:val="110"/>
                    <w:rPr>
                      <w:rFonts w:eastAsia="宋体"/>
                    </w:rPr>
                  </w:pPr>
                  <w:r>
                    <w:rPr>
                      <w:rFonts w:hint="eastAsia" w:eastAsia="宋体"/>
                    </w:rPr>
                    <w:t>湖南鸿福实业有限公司新材料建设项目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pPr>
                    <w:pStyle w:val="110"/>
                  </w:pPr>
                  <w:r>
                    <w:rPr>
                      <w:rFonts w:hAnsi="宋体" w:eastAsia="宋体"/>
                    </w:rPr>
                    <w:t>建设地点</w:t>
                  </w:r>
                </w:p>
              </w:tc>
              <w:tc>
                <w:tcPr>
                  <w:tcW w:w="742" w:type="pct"/>
                  <w:vAlign w:val="center"/>
                </w:tcPr>
                <w:p>
                  <w:pPr>
                    <w:pStyle w:val="110"/>
                  </w:pPr>
                  <w:r>
                    <w:rPr>
                      <w:rFonts w:hAnsi="宋体" w:eastAsia="宋体"/>
                    </w:rPr>
                    <w:t>（湖南）省</w:t>
                  </w:r>
                </w:p>
              </w:tc>
              <w:tc>
                <w:tcPr>
                  <w:tcW w:w="865" w:type="pct"/>
                  <w:vAlign w:val="center"/>
                </w:tcPr>
                <w:p>
                  <w:pPr>
                    <w:pStyle w:val="110"/>
                  </w:pPr>
                  <w:r>
                    <w:rPr>
                      <w:rFonts w:hAnsi="宋体" w:eastAsia="宋体"/>
                    </w:rPr>
                    <w:t>（衡阳）市</w:t>
                  </w:r>
                </w:p>
              </w:tc>
              <w:tc>
                <w:tcPr>
                  <w:tcW w:w="705" w:type="pct"/>
                  <w:vAlign w:val="center"/>
                </w:tcPr>
                <w:p>
                  <w:pPr>
                    <w:pStyle w:val="110"/>
                  </w:pPr>
                  <w:r>
                    <w:rPr>
                      <w:rFonts w:hAnsi="宋体" w:eastAsia="宋体"/>
                    </w:rPr>
                    <w:t>（衡</w:t>
                  </w:r>
                  <w:r>
                    <w:rPr>
                      <w:rFonts w:hint="eastAsia" w:hAnsi="宋体" w:eastAsia="宋体"/>
                    </w:rPr>
                    <w:t>山</w:t>
                  </w:r>
                  <w:r>
                    <w:rPr>
                      <w:rFonts w:hAnsi="宋体" w:eastAsia="宋体"/>
                    </w:rPr>
                    <w:t>）县</w:t>
                  </w:r>
                </w:p>
              </w:tc>
              <w:tc>
                <w:tcPr>
                  <w:tcW w:w="1078" w:type="pct"/>
                  <w:vAlign w:val="center"/>
                </w:tcPr>
                <w:p>
                  <w:pPr>
                    <w:pStyle w:val="110"/>
                  </w:pPr>
                  <w:r>
                    <w:rPr>
                      <w:rFonts w:hint="eastAsia" w:hAnsi="宋体" w:eastAsia="宋体"/>
                    </w:rPr>
                    <w:t>衡山高新技术产业开发区坪青路旁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pPr>
                    <w:pStyle w:val="110"/>
                  </w:pPr>
                  <w:r>
                    <w:rPr>
                      <w:rFonts w:hAnsi="宋体" w:eastAsia="宋体"/>
                    </w:rPr>
                    <w:t>地理坐标</w:t>
                  </w:r>
                </w:p>
              </w:tc>
              <w:tc>
                <w:tcPr>
                  <w:tcW w:w="742" w:type="pct"/>
                  <w:vAlign w:val="center"/>
                </w:tcPr>
                <w:p>
                  <w:pPr>
                    <w:pStyle w:val="110"/>
                  </w:pPr>
                  <w:r>
                    <w:rPr>
                      <w:rFonts w:hAnsi="宋体" w:eastAsia="宋体"/>
                    </w:rPr>
                    <w:t>经度</w:t>
                  </w:r>
                </w:p>
              </w:tc>
              <w:tc>
                <w:tcPr>
                  <w:tcW w:w="865" w:type="pct"/>
                  <w:vAlign w:val="center"/>
                </w:tcPr>
                <w:p>
                  <w:pPr>
                    <w:pStyle w:val="110"/>
                  </w:pPr>
                  <w:r>
                    <w:t xml:space="preserve">E </w:t>
                  </w:r>
                  <w:r>
                    <w:rPr>
                      <w:rFonts w:hint="eastAsia"/>
                    </w:rPr>
                    <w:t>112.88</w:t>
                  </w:r>
                  <w:r>
                    <w:rPr>
                      <w:rFonts w:hint="eastAsia" w:eastAsiaTheme="minorEastAsia"/>
                    </w:rPr>
                    <w:t>0915</w:t>
                  </w:r>
                  <w:r>
                    <w:t>°</w:t>
                  </w:r>
                </w:p>
              </w:tc>
              <w:tc>
                <w:tcPr>
                  <w:tcW w:w="705" w:type="pct"/>
                  <w:vAlign w:val="center"/>
                </w:tcPr>
                <w:p>
                  <w:pPr>
                    <w:pStyle w:val="110"/>
                  </w:pPr>
                  <w:r>
                    <w:rPr>
                      <w:rFonts w:hAnsi="宋体" w:eastAsia="宋体"/>
                    </w:rPr>
                    <w:t>纬度</w:t>
                  </w:r>
                </w:p>
              </w:tc>
              <w:tc>
                <w:tcPr>
                  <w:tcW w:w="1078" w:type="pct"/>
                  <w:vAlign w:val="center"/>
                </w:tcPr>
                <w:p>
                  <w:pPr>
                    <w:pStyle w:val="110"/>
                  </w:pPr>
                  <w:r>
                    <w:t xml:space="preserve">N </w:t>
                  </w:r>
                  <w:r>
                    <w:rPr>
                      <w:rFonts w:hint="eastAsia"/>
                    </w:rPr>
                    <w:t>27.280</w:t>
                  </w:r>
                  <w:r>
                    <w:rPr>
                      <w:rFonts w:hint="eastAsia" w:eastAsiaTheme="minorEastAsia"/>
                    </w:rPr>
                    <w:t>949</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pPr>
                    <w:pStyle w:val="110"/>
                  </w:pPr>
                  <w:r>
                    <w:rPr>
                      <w:rFonts w:hAnsi="宋体" w:eastAsia="宋体"/>
                    </w:rPr>
                    <w:t>主要危险物质及分布</w:t>
                  </w:r>
                </w:p>
              </w:tc>
              <w:tc>
                <w:tcPr>
                  <w:tcW w:w="3392" w:type="pct"/>
                  <w:gridSpan w:val="4"/>
                  <w:vAlign w:val="center"/>
                </w:tcPr>
                <w:p>
                  <w:pPr>
                    <w:pStyle w:val="110"/>
                    <w:jc w:val="both"/>
                    <w:rPr>
                      <w:rFonts w:eastAsia="宋体"/>
                    </w:rPr>
                  </w:pPr>
                  <w:r>
                    <w:rPr>
                      <w:rFonts w:hint="eastAsia" w:eastAsia="宋体"/>
                    </w:rPr>
                    <w:t>原料/成品仓库、生产区、危废暂存间</w:t>
                  </w:r>
                  <w:r>
                    <w:rPr>
                      <w:rFonts w:eastAsia="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pPr>
                    <w:pStyle w:val="110"/>
                  </w:pPr>
                  <w:r>
                    <w:rPr>
                      <w:rFonts w:hAnsi="宋体" w:eastAsia="宋体"/>
                    </w:rPr>
                    <w:t>环境影响途径及危害后果（大气、地表水、地下水等）</w:t>
                  </w:r>
                </w:p>
              </w:tc>
              <w:tc>
                <w:tcPr>
                  <w:tcW w:w="3392" w:type="pct"/>
                  <w:gridSpan w:val="4"/>
                  <w:vAlign w:val="center"/>
                </w:tcPr>
                <w:p>
                  <w:pPr>
                    <w:pStyle w:val="110"/>
                    <w:jc w:val="both"/>
                  </w:pPr>
                  <w:r>
                    <w:rPr>
                      <w:rFonts w:hint="eastAsia" w:hAnsi="宋体" w:eastAsia="宋体"/>
                    </w:rPr>
                    <w:t>详见“环境风险识别”</w:t>
                  </w:r>
                  <w:r>
                    <w:rPr>
                      <w:rFonts w:hAnsi="宋体" w:eastAsia="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vAlign w:val="center"/>
                </w:tcPr>
                <w:p>
                  <w:pPr>
                    <w:pStyle w:val="110"/>
                  </w:pPr>
                  <w:r>
                    <w:rPr>
                      <w:rFonts w:eastAsia="宋体"/>
                    </w:rPr>
                    <w:t>环境风险防范措施要求</w:t>
                  </w:r>
                </w:p>
              </w:tc>
              <w:tc>
                <w:tcPr>
                  <w:tcW w:w="3392" w:type="pct"/>
                  <w:gridSpan w:val="4"/>
                  <w:vAlign w:val="center"/>
                </w:tcPr>
                <w:p>
                  <w:pPr>
                    <w:pStyle w:val="110"/>
                    <w:jc w:val="both"/>
                    <w:rPr>
                      <w:rFonts w:eastAsia="等线"/>
                    </w:rPr>
                  </w:pPr>
                  <w:r>
                    <w:rPr>
                      <w:rFonts w:hint="eastAsia" w:hAnsi="宋体" w:eastAsia="宋体"/>
                    </w:rPr>
                    <w:t>详见“环境风险防范措施及应急要求”。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pPr>
                    <w:pStyle w:val="110"/>
                    <w:jc w:val="both"/>
                  </w:pPr>
                  <w:r>
                    <w:rPr>
                      <w:rFonts w:hAnsi="宋体" w:eastAsia="宋体"/>
                    </w:rPr>
                    <w:t>填表说明（列出项目相关信息及评价说明）：</w:t>
                  </w:r>
                </w:p>
                <w:p>
                  <w:pPr>
                    <w:pStyle w:val="110"/>
                    <w:jc w:val="both"/>
                  </w:pPr>
                  <w:r>
                    <w:rPr>
                      <w:rFonts w:hAnsi="宋体" w:eastAsia="宋体"/>
                    </w:rPr>
                    <w:t>本项目经风险调查、风险潜势初判，确定项目风险潜势为</w:t>
                  </w:r>
                  <w:r>
                    <w:rPr>
                      <w:rFonts w:eastAsia="宋体"/>
                    </w:rPr>
                    <w:t>Ⅰ</w:t>
                  </w:r>
                  <w:r>
                    <w:rPr>
                      <w:rFonts w:hAnsi="宋体" w:eastAsia="宋体"/>
                    </w:rPr>
                    <w:t>，仅对项目进行简单分析</w:t>
                  </w:r>
                </w:p>
              </w:tc>
            </w:tr>
          </w:tbl>
          <w:p>
            <w:pPr>
              <w:adjustRightInd w:val="0"/>
              <w:snapToGrid w:val="0"/>
              <w:spacing w:line="360" w:lineRule="auto"/>
              <w:ind w:firstLine="480" w:firstLineChars="200"/>
              <w:rPr>
                <w:kern w:val="0"/>
                <w:sz w:val="24"/>
              </w:rPr>
            </w:pPr>
          </w:p>
          <w:p>
            <w:pPr>
              <w:pStyle w:val="2"/>
              <w:rPr>
                <w:color w:val="auto"/>
                <w:kern w:val="0"/>
              </w:rPr>
            </w:pPr>
          </w:p>
          <w:p>
            <w:pPr>
              <w:pStyle w:val="4"/>
              <w:ind w:firstLine="480"/>
              <w:rPr>
                <w:kern w:val="0"/>
                <w:sz w:val="24"/>
              </w:rPr>
            </w:pPr>
          </w:p>
          <w:p>
            <w:pPr>
              <w:rPr>
                <w:kern w:val="0"/>
                <w:sz w:val="24"/>
              </w:rPr>
            </w:pPr>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Pr>
              <w:adjustRightInd w:val="0"/>
              <w:snapToGrid w:val="0"/>
              <w:spacing w:line="360" w:lineRule="auto"/>
              <w:ind w:firstLine="480" w:firstLineChars="200"/>
              <w:rPr>
                <w:rFonts w:hAnsi="宋体"/>
                <w:kern w:val="0"/>
                <w:sz w:val="24"/>
              </w:rPr>
            </w:pPr>
          </w:p>
        </w:tc>
      </w:tr>
    </w:tbl>
    <w:p>
      <w:pPr>
        <w:spacing w:beforeLines="50"/>
        <w:jc w:val="center"/>
        <w:rPr>
          <w:b/>
        </w:rPr>
        <w:sectPr>
          <w:pgSz w:w="11907" w:h="16840"/>
          <w:pgMar w:top="1701" w:right="1531" w:bottom="2126" w:left="1531" w:header="851" w:footer="851" w:gutter="0"/>
          <w:cols w:space="720" w:num="1"/>
          <w:docGrid w:linePitch="312" w:charSpace="0"/>
        </w:sectPr>
      </w:pPr>
    </w:p>
    <w:p>
      <w:pPr>
        <w:pStyle w:val="28"/>
        <w:jc w:val="center"/>
        <w:outlineLvl w:val="0"/>
        <w:rPr>
          <w:rFonts w:ascii="黑体" w:hAnsi="黑体" w:eastAsia="黑体"/>
          <w:snapToGrid w:val="0"/>
          <w:sz w:val="30"/>
          <w:szCs w:val="30"/>
        </w:rPr>
      </w:pPr>
      <w:bookmarkStart w:id="15" w:name="_Toc111712330"/>
      <w:r>
        <w:rPr>
          <w:rFonts w:hint="eastAsia" w:ascii="黑体" w:hAnsi="黑体" w:eastAsia="黑体"/>
          <w:snapToGrid w:val="0"/>
          <w:sz w:val="30"/>
          <w:szCs w:val="30"/>
        </w:rPr>
        <w:t>五、</w:t>
      </w:r>
      <w:bookmarkStart w:id="16" w:name="_Hlk54167917"/>
      <w:r>
        <w:rPr>
          <w:rFonts w:hint="eastAsia" w:ascii="黑体" w:hAnsi="黑体" w:eastAsia="黑体"/>
          <w:snapToGrid w:val="0"/>
          <w:sz w:val="30"/>
          <w:szCs w:val="30"/>
        </w:rPr>
        <w:t>环境保护措施监督检查清单</w:t>
      </w:r>
      <w:bookmarkEnd w:id="15"/>
      <w:bookmarkEnd w:id="16"/>
    </w:p>
    <w:tbl>
      <w:tblPr>
        <w:tblStyle w:val="31"/>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1700"/>
        <w:gridCol w:w="1620"/>
        <w:gridCol w:w="2250"/>
        <w:gridCol w:w="32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tcBorders>
              <w:tl2br w:val="single" w:color="auto" w:sz="12" w:space="0"/>
            </w:tcBorders>
            <w:vAlign w:val="center"/>
          </w:tcPr>
          <w:p>
            <w:pPr>
              <w:adjustRightInd w:val="0"/>
              <w:snapToGrid w:val="0"/>
              <w:ind w:firstLine="422" w:firstLineChars="200"/>
              <w:rPr>
                <w:b/>
                <w:szCs w:val="21"/>
              </w:rPr>
            </w:pPr>
            <w:r>
              <w:rPr>
                <w:b/>
                <w:szCs w:val="21"/>
              </w:rPr>
              <w:t>内容</w:t>
            </w:r>
          </w:p>
          <w:p>
            <w:pPr>
              <w:adjustRightInd w:val="0"/>
              <w:snapToGrid w:val="0"/>
              <w:jc w:val="center"/>
              <w:rPr>
                <w:b/>
                <w:szCs w:val="21"/>
              </w:rPr>
            </w:pPr>
            <w:r>
              <w:rPr>
                <w:b/>
                <w:szCs w:val="21"/>
              </w:rPr>
              <w:t>要素</w:t>
            </w:r>
          </w:p>
        </w:tc>
        <w:tc>
          <w:tcPr>
            <w:tcW w:w="1700" w:type="dxa"/>
            <w:vAlign w:val="center"/>
          </w:tcPr>
          <w:p>
            <w:pPr>
              <w:adjustRightInd w:val="0"/>
              <w:snapToGrid w:val="0"/>
              <w:jc w:val="center"/>
              <w:rPr>
                <w:b/>
                <w:szCs w:val="21"/>
              </w:rPr>
            </w:pPr>
            <w:r>
              <w:rPr>
                <w:b/>
                <w:szCs w:val="21"/>
              </w:rPr>
              <w:t>排放口（编号、名称）/污染源</w:t>
            </w:r>
          </w:p>
        </w:tc>
        <w:tc>
          <w:tcPr>
            <w:tcW w:w="1620" w:type="dxa"/>
            <w:vAlign w:val="center"/>
          </w:tcPr>
          <w:p>
            <w:pPr>
              <w:adjustRightInd w:val="0"/>
              <w:snapToGrid w:val="0"/>
              <w:jc w:val="center"/>
              <w:rPr>
                <w:b/>
                <w:szCs w:val="21"/>
              </w:rPr>
            </w:pPr>
            <w:r>
              <w:rPr>
                <w:b/>
                <w:szCs w:val="21"/>
              </w:rPr>
              <w:t>污染物项目</w:t>
            </w:r>
          </w:p>
        </w:tc>
        <w:tc>
          <w:tcPr>
            <w:tcW w:w="2250" w:type="dxa"/>
            <w:vAlign w:val="center"/>
          </w:tcPr>
          <w:p>
            <w:pPr>
              <w:adjustRightInd w:val="0"/>
              <w:snapToGrid w:val="0"/>
              <w:jc w:val="center"/>
              <w:rPr>
                <w:b/>
                <w:szCs w:val="21"/>
              </w:rPr>
            </w:pPr>
            <w:r>
              <w:rPr>
                <w:b/>
                <w:szCs w:val="21"/>
              </w:rPr>
              <w:t>环境保护措施</w:t>
            </w:r>
          </w:p>
        </w:tc>
        <w:tc>
          <w:tcPr>
            <w:tcW w:w="3233" w:type="dxa"/>
            <w:vAlign w:val="center"/>
          </w:tcPr>
          <w:p>
            <w:pPr>
              <w:adjustRightInd w:val="0"/>
              <w:snapToGrid w:val="0"/>
              <w:jc w:val="center"/>
              <w:rPr>
                <w:b/>
                <w:szCs w:val="21"/>
              </w:rPr>
            </w:pPr>
            <w:r>
              <w:rPr>
                <w:b/>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restart"/>
            <w:vAlign w:val="center"/>
          </w:tcPr>
          <w:p>
            <w:pPr>
              <w:adjustRightInd w:val="0"/>
              <w:snapToGrid w:val="0"/>
              <w:jc w:val="center"/>
              <w:rPr>
                <w:b/>
                <w:szCs w:val="21"/>
              </w:rPr>
            </w:pPr>
            <w:r>
              <w:rPr>
                <w:b/>
                <w:szCs w:val="21"/>
              </w:rPr>
              <w:t>大气环境</w:t>
            </w:r>
          </w:p>
        </w:tc>
        <w:tc>
          <w:tcPr>
            <w:tcW w:w="1700" w:type="dxa"/>
            <w:vAlign w:val="center"/>
          </w:tcPr>
          <w:p>
            <w:pPr>
              <w:adjustRightInd w:val="0"/>
              <w:snapToGrid w:val="0"/>
              <w:jc w:val="center"/>
              <w:rPr>
                <w:szCs w:val="21"/>
              </w:rPr>
            </w:pPr>
            <w:r>
              <w:rPr>
                <w:rFonts w:hint="eastAsia"/>
                <w:szCs w:val="21"/>
              </w:rPr>
              <w:t>1#厂房投料粉尘；投料、搅拌、分装、储罐呼吸废气</w:t>
            </w:r>
            <w:r>
              <w:rPr>
                <w:szCs w:val="21"/>
              </w:rPr>
              <w:t>（</w:t>
            </w:r>
            <w:r>
              <w:rPr>
                <w:rFonts w:hint="eastAsia"/>
                <w:szCs w:val="21"/>
              </w:rPr>
              <w:t>DA001</w:t>
            </w:r>
            <w:r>
              <w:rPr>
                <w:szCs w:val="21"/>
              </w:rPr>
              <w:t>）</w:t>
            </w:r>
          </w:p>
        </w:tc>
        <w:tc>
          <w:tcPr>
            <w:tcW w:w="1620" w:type="dxa"/>
            <w:vAlign w:val="center"/>
          </w:tcPr>
          <w:p>
            <w:pPr>
              <w:adjustRightInd w:val="0"/>
              <w:snapToGrid w:val="0"/>
              <w:jc w:val="center"/>
              <w:rPr>
                <w:szCs w:val="21"/>
              </w:rPr>
            </w:pPr>
            <w:r>
              <w:rPr>
                <w:szCs w:val="21"/>
              </w:rPr>
              <w:t>非甲烷总烃</w:t>
            </w:r>
          </w:p>
          <w:p>
            <w:pPr>
              <w:adjustRightInd w:val="0"/>
              <w:snapToGrid w:val="0"/>
              <w:jc w:val="center"/>
              <w:rPr>
                <w:szCs w:val="21"/>
              </w:rPr>
            </w:pPr>
            <w:r>
              <w:rPr>
                <w:szCs w:val="21"/>
              </w:rPr>
              <w:t>颗粒物</w:t>
            </w:r>
          </w:p>
          <w:p>
            <w:pPr>
              <w:pStyle w:val="2"/>
              <w:jc w:val="center"/>
            </w:pPr>
            <w:r>
              <w:rPr>
                <w:rFonts w:hint="eastAsia" w:ascii="Times New Roman" w:cs="Times New Roman"/>
                <w:color w:val="auto"/>
                <w:sz w:val="21"/>
                <w:szCs w:val="21"/>
              </w:rPr>
              <w:t>臭气浓度</w:t>
            </w:r>
          </w:p>
        </w:tc>
        <w:tc>
          <w:tcPr>
            <w:tcW w:w="2250" w:type="dxa"/>
            <w:vAlign w:val="center"/>
          </w:tcPr>
          <w:p>
            <w:pPr>
              <w:adjustRightInd w:val="0"/>
              <w:snapToGrid w:val="0"/>
              <w:jc w:val="center"/>
              <w:rPr>
                <w:szCs w:val="21"/>
              </w:rPr>
            </w:pPr>
            <w:r>
              <w:rPr>
                <w:rFonts w:hint="eastAsia"/>
                <w:szCs w:val="21"/>
              </w:rPr>
              <w:t>车间生产保持密闭，废气收集后经“布袋除尘器+二级活性炭”设施处理后通过1根15m高排气筒DA001排放</w:t>
            </w:r>
          </w:p>
        </w:tc>
        <w:tc>
          <w:tcPr>
            <w:tcW w:w="3233" w:type="dxa"/>
            <w:vMerge w:val="restart"/>
            <w:vAlign w:val="center"/>
          </w:tcPr>
          <w:p>
            <w:pPr>
              <w:autoSpaceDE w:val="0"/>
              <w:autoSpaceDN w:val="0"/>
              <w:adjustRightInd w:val="0"/>
              <w:jc w:val="center"/>
              <w:rPr>
                <w:szCs w:val="21"/>
              </w:rPr>
            </w:pPr>
            <w:r>
              <w:rPr>
                <w:rFonts w:hint="eastAsia"/>
              </w:rPr>
              <w:t>颗粒物、非甲烷总烃达到《大气污染物综合排放标准》（GB16297-1996）表2新污染物排放限值，臭气浓度达到《恶臭污染物排放标准》表 2 恶臭污染物排放标准值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hint="eastAsia"/>
                <w:szCs w:val="21"/>
              </w:rPr>
              <w:t>2#厂房投料、搅拌、分装、储罐呼吸废气</w:t>
            </w:r>
            <w:r>
              <w:rPr>
                <w:szCs w:val="21"/>
              </w:rPr>
              <w:t>（</w:t>
            </w:r>
            <w:r>
              <w:rPr>
                <w:rFonts w:hint="eastAsia"/>
                <w:szCs w:val="21"/>
              </w:rPr>
              <w:t>DA002</w:t>
            </w:r>
            <w:r>
              <w:rPr>
                <w:szCs w:val="21"/>
              </w:rPr>
              <w:t>）</w:t>
            </w:r>
          </w:p>
        </w:tc>
        <w:tc>
          <w:tcPr>
            <w:tcW w:w="1620" w:type="dxa"/>
            <w:vAlign w:val="center"/>
          </w:tcPr>
          <w:p>
            <w:pPr>
              <w:adjustRightInd w:val="0"/>
              <w:snapToGrid w:val="0"/>
              <w:jc w:val="center"/>
              <w:rPr>
                <w:szCs w:val="21"/>
              </w:rPr>
            </w:pPr>
            <w:r>
              <w:rPr>
                <w:szCs w:val="21"/>
              </w:rPr>
              <w:t>非甲烷总烃</w:t>
            </w:r>
          </w:p>
          <w:p>
            <w:pPr>
              <w:adjustRightInd w:val="0"/>
              <w:snapToGrid w:val="0"/>
              <w:jc w:val="center"/>
              <w:rPr>
                <w:bCs/>
                <w:spacing w:val="-10"/>
                <w:szCs w:val="21"/>
              </w:rPr>
            </w:pPr>
            <w:r>
              <w:rPr>
                <w:rFonts w:hint="eastAsia"/>
                <w:szCs w:val="21"/>
              </w:rPr>
              <w:t>臭气浓度</w:t>
            </w:r>
          </w:p>
        </w:tc>
        <w:tc>
          <w:tcPr>
            <w:tcW w:w="2250" w:type="dxa"/>
            <w:vAlign w:val="center"/>
          </w:tcPr>
          <w:p>
            <w:pPr>
              <w:adjustRightInd w:val="0"/>
              <w:snapToGrid w:val="0"/>
              <w:jc w:val="center"/>
              <w:rPr>
                <w:szCs w:val="21"/>
              </w:rPr>
            </w:pPr>
            <w:r>
              <w:rPr>
                <w:rFonts w:hint="eastAsia"/>
                <w:szCs w:val="21"/>
              </w:rPr>
              <w:t>车间生产保持密闭，废气收集后经“二级活性炭”设施处理后通过1根15m高排气筒DA002排放</w:t>
            </w:r>
          </w:p>
        </w:tc>
        <w:tc>
          <w:tcPr>
            <w:tcW w:w="3233" w:type="dxa"/>
            <w:vMerge w:val="continue"/>
            <w:vAlign w:val="center"/>
          </w:tcPr>
          <w:p>
            <w:pPr>
              <w:autoSpaceDE w:val="0"/>
              <w:autoSpaceDN w:val="0"/>
              <w:adjustRightIn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hint="eastAsia"/>
                <w:szCs w:val="21"/>
              </w:rPr>
              <w:t>3#厂房投料粉尘</w:t>
            </w:r>
            <w:r>
              <w:rPr>
                <w:szCs w:val="21"/>
              </w:rPr>
              <w:t>（</w:t>
            </w:r>
            <w:r>
              <w:rPr>
                <w:rFonts w:hint="eastAsia"/>
                <w:szCs w:val="21"/>
              </w:rPr>
              <w:t>DA002</w:t>
            </w:r>
            <w:r>
              <w:rPr>
                <w:szCs w:val="21"/>
              </w:rPr>
              <w:t>）</w:t>
            </w:r>
          </w:p>
        </w:tc>
        <w:tc>
          <w:tcPr>
            <w:tcW w:w="1620" w:type="dxa"/>
            <w:vAlign w:val="center"/>
          </w:tcPr>
          <w:p>
            <w:pPr>
              <w:adjustRightInd w:val="0"/>
              <w:snapToGrid w:val="0"/>
              <w:jc w:val="center"/>
              <w:rPr>
                <w:szCs w:val="21"/>
              </w:rPr>
            </w:pPr>
            <w:r>
              <w:rPr>
                <w:szCs w:val="21"/>
              </w:rPr>
              <w:t>颗粒物</w:t>
            </w:r>
          </w:p>
        </w:tc>
        <w:tc>
          <w:tcPr>
            <w:tcW w:w="2250" w:type="dxa"/>
            <w:vAlign w:val="center"/>
          </w:tcPr>
          <w:p>
            <w:pPr>
              <w:adjustRightInd w:val="0"/>
              <w:snapToGrid w:val="0"/>
              <w:jc w:val="center"/>
              <w:rPr>
                <w:szCs w:val="21"/>
              </w:rPr>
            </w:pPr>
            <w:r>
              <w:rPr>
                <w:rFonts w:hint="eastAsia"/>
                <w:szCs w:val="21"/>
              </w:rPr>
              <w:t>车间生产保持密闭，废气收集后经布袋除尘器处理后通过1根15m高排气筒DA003排放</w:t>
            </w:r>
          </w:p>
        </w:tc>
        <w:tc>
          <w:tcPr>
            <w:tcW w:w="3233" w:type="dxa"/>
            <w:vMerge w:val="continue"/>
            <w:vAlign w:val="center"/>
          </w:tcPr>
          <w:p>
            <w:pPr>
              <w:autoSpaceDE w:val="0"/>
              <w:autoSpaceDN w:val="0"/>
              <w:adjustRightIn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hint="eastAsia"/>
                <w:szCs w:val="21"/>
              </w:rPr>
              <w:t>4#厂房投料、搅拌、分装、储罐呼吸废气</w:t>
            </w:r>
            <w:r>
              <w:rPr>
                <w:szCs w:val="21"/>
              </w:rPr>
              <w:t>（</w:t>
            </w:r>
            <w:r>
              <w:rPr>
                <w:rFonts w:hint="eastAsia"/>
                <w:szCs w:val="21"/>
              </w:rPr>
              <w:t>DA002</w:t>
            </w:r>
            <w:r>
              <w:rPr>
                <w:szCs w:val="21"/>
              </w:rPr>
              <w:t>）</w:t>
            </w:r>
          </w:p>
        </w:tc>
        <w:tc>
          <w:tcPr>
            <w:tcW w:w="1620" w:type="dxa"/>
            <w:vAlign w:val="center"/>
          </w:tcPr>
          <w:p>
            <w:pPr>
              <w:adjustRightInd w:val="0"/>
              <w:snapToGrid w:val="0"/>
              <w:jc w:val="center"/>
              <w:rPr>
                <w:szCs w:val="21"/>
              </w:rPr>
            </w:pPr>
            <w:r>
              <w:rPr>
                <w:szCs w:val="21"/>
              </w:rPr>
              <w:t>非甲烷总烃</w:t>
            </w:r>
          </w:p>
          <w:p>
            <w:pPr>
              <w:adjustRightInd w:val="0"/>
              <w:snapToGrid w:val="0"/>
              <w:jc w:val="center"/>
              <w:rPr>
                <w:bCs/>
                <w:spacing w:val="-10"/>
                <w:szCs w:val="21"/>
              </w:rPr>
            </w:pPr>
            <w:r>
              <w:rPr>
                <w:rFonts w:hint="eastAsia"/>
                <w:szCs w:val="21"/>
              </w:rPr>
              <w:t>臭气浓度</w:t>
            </w:r>
          </w:p>
        </w:tc>
        <w:tc>
          <w:tcPr>
            <w:tcW w:w="2250" w:type="dxa"/>
            <w:vAlign w:val="center"/>
          </w:tcPr>
          <w:p>
            <w:pPr>
              <w:adjustRightInd w:val="0"/>
              <w:snapToGrid w:val="0"/>
              <w:jc w:val="center"/>
              <w:rPr>
                <w:szCs w:val="21"/>
              </w:rPr>
            </w:pPr>
            <w:r>
              <w:rPr>
                <w:rFonts w:hint="eastAsia"/>
                <w:szCs w:val="21"/>
              </w:rPr>
              <w:t>车间生产保持密闭，废气收集后经“二级活性炭”设施处理后通过1根15m高排气筒DA004排放</w:t>
            </w:r>
          </w:p>
        </w:tc>
        <w:tc>
          <w:tcPr>
            <w:tcW w:w="3233" w:type="dxa"/>
            <w:vMerge w:val="continue"/>
            <w:vAlign w:val="center"/>
          </w:tcPr>
          <w:p>
            <w:pPr>
              <w:autoSpaceDE w:val="0"/>
              <w:autoSpaceDN w:val="0"/>
              <w:adjustRightIn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hint="eastAsia"/>
                <w:szCs w:val="21"/>
              </w:rPr>
              <w:t>厂界无组织废气</w:t>
            </w:r>
          </w:p>
        </w:tc>
        <w:tc>
          <w:tcPr>
            <w:tcW w:w="1620" w:type="dxa"/>
            <w:vAlign w:val="center"/>
          </w:tcPr>
          <w:p>
            <w:pPr>
              <w:adjustRightInd w:val="0"/>
              <w:snapToGrid w:val="0"/>
              <w:jc w:val="center"/>
              <w:rPr>
                <w:bCs/>
                <w:spacing w:val="-10"/>
                <w:szCs w:val="21"/>
              </w:rPr>
            </w:pPr>
            <w:r>
              <w:rPr>
                <w:rFonts w:hint="eastAsia"/>
                <w:bCs/>
                <w:spacing w:val="-10"/>
                <w:szCs w:val="21"/>
              </w:rPr>
              <w:t>NMHC、</w:t>
            </w:r>
            <w:r>
              <w:rPr>
                <w:bCs/>
                <w:spacing w:val="-10"/>
                <w:szCs w:val="21"/>
              </w:rPr>
              <w:t>颗粒物</w:t>
            </w:r>
            <w:r>
              <w:rPr>
                <w:rFonts w:hint="eastAsia"/>
                <w:bCs/>
                <w:spacing w:val="-10"/>
                <w:szCs w:val="21"/>
              </w:rPr>
              <w:t>、</w:t>
            </w:r>
            <w:r>
              <w:rPr>
                <w:rFonts w:hint="eastAsia"/>
                <w:szCs w:val="21"/>
              </w:rPr>
              <w:t>臭气浓度</w:t>
            </w:r>
          </w:p>
        </w:tc>
        <w:tc>
          <w:tcPr>
            <w:tcW w:w="2250" w:type="dxa"/>
            <w:vAlign w:val="center"/>
          </w:tcPr>
          <w:p>
            <w:pPr>
              <w:adjustRightInd w:val="0"/>
              <w:snapToGrid w:val="0"/>
              <w:jc w:val="center"/>
              <w:rPr>
                <w:szCs w:val="21"/>
              </w:rPr>
            </w:pPr>
            <w:r>
              <w:rPr>
                <w:rFonts w:hint="eastAsia" w:eastAsiaTheme="minorEastAsia"/>
                <w:szCs w:val="21"/>
              </w:rPr>
              <w:t>加强车间通风</w:t>
            </w:r>
          </w:p>
        </w:tc>
        <w:tc>
          <w:tcPr>
            <w:tcW w:w="3233" w:type="dxa"/>
            <w:vAlign w:val="center"/>
          </w:tcPr>
          <w:p>
            <w:pPr>
              <w:autoSpaceDE w:val="0"/>
              <w:autoSpaceDN w:val="0"/>
              <w:adjustRightInd w:val="0"/>
              <w:jc w:val="center"/>
              <w:rPr>
                <w:szCs w:val="21"/>
              </w:rPr>
            </w:pPr>
            <w:r>
              <w:rPr>
                <w:rFonts w:hint="eastAsia"/>
                <w:szCs w:val="21"/>
              </w:rPr>
              <w:t>《大气污染物综合排放标准》（GB16297-1996）表2无组织排放监控浓度限值要求；《恶臭污染物排放标准》（GB14554-93）表1恶臭污染物厂界标准值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hint="eastAsia"/>
                <w:szCs w:val="21"/>
              </w:rPr>
              <w:t>厂区内无组织废气</w:t>
            </w:r>
          </w:p>
        </w:tc>
        <w:tc>
          <w:tcPr>
            <w:tcW w:w="1620" w:type="dxa"/>
            <w:vAlign w:val="center"/>
          </w:tcPr>
          <w:p>
            <w:pPr>
              <w:adjustRightInd w:val="0"/>
              <w:snapToGrid w:val="0"/>
              <w:jc w:val="center"/>
              <w:rPr>
                <w:bCs/>
                <w:spacing w:val="-10"/>
                <w:szCs w:val="21"/>
              </w:rPr>
            </w:pPr>
            <w:r>
              <w:rPr>
                <w:rFonts w:hint="eastAsia"/>
                <w:bCs/>
                <w:spacing w:val="-10"/>
                <w:szCs w:val="21"/>
              </w:rPr>
              <w:t>NMHC</w:t>
            </w:r>
          </w:p>
        </w:tc>
        <w:tc>
          <w:tcPr>
            <w:tcW w:w="2250" w:type="dxa"/>
            <w:vAlign w:val="center"/>
          </w:tcPr>
          <w:p>
            <w:pPr>
              <w:adjustRightInd w:val="0"/>
              <w:snapToGrid w:val="0"/>
              <w:jc w:val="center"/>
              <w:rPr>
                <w:rFonts w:eastAsiaTheme="minorEastAsia"/>
                <w:szCs w:val="21"/>
              </w:rPr>
            </w:pPr>
            <w:r>
              <w:rPr>
                <w:rFonts w:hint="eastAsia" w:eastAsiaTheme="minorEastAsia"/>
                <w:szCs w:val="21"/>
              </w:rPr>
              <w:t>加强车间通风</w:t>
            </w:r>
          </w:p>
        </w:tc>
        <w:tc>
          <w:tcPr>
            <w:tcW w:w="3233" w:type="dxa"/>
            <w:vAlign w:val="center"/>
          </w:tcPr>
          <w:p>
            <w:pPr>
              <w:autoSpaceDE w:val="0"/>
              <w:autoSpaceDN w:val="0"/>
              <w:adjustRightInd w:val="0"/>
              <w:jc w:val="center"/>
              <w:rPr>
                <w:szCs w:val="21"/>
              </w:rPr>
            </w:pPr>
            <w:r>
              <w:rPr>
                <w:rFonts w:hint="eastAsia"/>
                <w:szCs w:val="21"/>
              </w:rPr>
              <w:t>《挥发性有机物无组织排放控制标准》（GB37822-2019）附录A表A.1中的排放限值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eastAsiaTheme="minorEastAsia"/>
                <w:szCs w:val="21"/>
              </w:rPr>
              <w:t>食堂</w:t>
            </w:r>
          </w:p>
        </w:tc>
        <w:tc>
          <w:tcPr>
            <w:tcW w:w="1620" w:type="dxa"/>
            <w:vAlign w:val="center"/>
          </w:tcPr>
          <w:p>
            <w:pPr>
              <w:adjustRightInd w:val="0"/>
              <w:snapToGrid w:val="0"/>
              <w:jc w:val="center"/>
              <w:rPr>
                <w:bCs/>
                <w:spacing w:val="-10"/>
                <w:szCs w:val="21"/>
              </w:rPr>
            </w:pPr>
            <w:r>
              <w:rPr>
                <w:rFonts w:eastAsiaTheme="minorEastAsia"/>
                <w:szCs w:val="21"/>
              </w:rPr>
              <w:t>油烟</w:t>
            </w:r>
          </w:p>
        </w:tc>
        <w:tc>
          <w:tcPr>
            <w:tcW w:w="2250" w:type="dxa"/>
            <w:vAlign w:val="center"/>
          </w:tcPr>
          <w:p>
            <w:pPr>
              <w:adjustRightInd w:val="0"/>
              <w:snapToGrid w:val="0"/>
              <w:jc w:val="center"/>
              <w:rPr>
                <w:szCs w:val="21"/>
              </w:rPr>
            </w:pPr>
            <w:r>
              <w:rPr>
                <w:rFonts w:eastAsiaTheme="minorEastAsia"/>
                <w:szCs w:val="21"/>
              </w:rPr>
              <w:t>高效油烟净化器+引至楼面高空排放</w:t>
            </w:r>
          </w:p>
        </w:tc>
        <w:tc>
          <w:tcPr>
            <w:tcW w:w="3233" w:type="dxa"/>
            <w:vAlign w:val="center"/>
          </w:tcPr>
          <w:p>
            <w:pPr>
              <w:autoSpaceDE w:val="0"/>
              <w:autoSpaceDN w:val="0"/>
              <w:adjustRightInd w:val="0"/>
              <w:jc w:val="center"/>
              <w:rPr>
                <w:szCs w:val="21"/>
              </w:rPr>
            </w:pPr>
            <w:r>
              <w:rPr>
                <w:rFonts w:hint="eastAsia"/>
                <w:szCs w:val="21"/>
              </w:rPr>
              <w:t>《饮食业油烟排放标准》（GB18483-2001）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restart"/>
            <w:vAlign w:val="center"/>
          </w:tcPr>
          <w:p>
            <w:pPr>
              <w:adjustRightInd w:val="0"/>
              <w:snapToGrid w:val="0"/>
              <w:jc w:val="center"/>
              <w:rPr>
                <w:b/>
                <w:szCs w:val="21"/>
              </w:rPr>
            </w:pPr>
            <w:r>
              <w:rPr>
                <w:b/>
                <w:szCs w:val="21"/>
              </w:rPr>
              <w:t>地表水环境</w:t>
            </w:r>
          </w:p>
        </w:tc>
        <w:tc>
          <w:tcPr>
            <w:tcW w:w="1700" w:type="dxa"/>
            <w:vAlign w:val="center"/>
          </w:tcPr>
          <w:p>
            <w:pPr>
              <w:adjustRightInd w:val="0"/>
              <w:snapToGrid w:val="0"/>
              <w:jc w:val="center"/>
              <w:rPr>
                <w:szCs w:val="21"/>
              </w:rPr>
            </w:pPr>
            <w:r>
              <w:rPr>
                <w:rFonts w:hint="eastAsia"/>
                <w:szCs w:val="21"/>
              </w:rPr>
              <w:t>生活</w:t>
            </w:r>
            <w:r>
              <w:rPr>
                <w:szCs w:val="21"/>
              </w:rPr>
              <w:t>污水</w:t>
            </w:r>
          </w:p>
        </w:tc>
        <w:tc>
          <w:tcPr>
            <w:tcW w:w="1620" w:type="dxa"/>
            <w:vAlign w:val="center"/>
          </w:tcPr>
          <w:p>
            <w:pPr>
              <w:adjustRightInd w:val="0"/>
              <w:snapToGrid w:val="0"/>
              <w:jc w:val="center"/>
              <w:rPr>
                <w:szCs w:val="21"/>
              </w:rPr>
            </w:pPr>
            <w:r>
              <w:rPr>
                <w:rFonts w:hint="eastAsia"/>
                <w:szCs w:val="21"/>
              </w:rPr>
              <w:t>COD</w:t>
            </w:r>
            <w:r>
              <w:rPr>
                <w:rFonts w:hint="eastAsia"/>
                <w:szCs w:val="21"/>
                <w:vertAlign w:val="subscript"/>
              </w:rPr>
              <w:t>Cr</w:t>
            </w:r>
            <w:r>
              <w:rPr>
                <w:rFonts w:hint="eastAsia"/>
                <w:szCs w:val="21"/>
              </w:rPr>
              <w:t>、BOD</w:t>
            </w:r>
            <w:r>
              <w:rPr>
                <w:rFonts w:hint="eastAsia"/>
                <w:szCs w:val="21"/>
                <w:vertAlign w:val="subscript"/>
              </w:rPr>
              <w:t>5</w:t>
            </w:r>
            <w:r>
              <w:rPr>
                <w:rFonts w:hint="eastAsia"/>
                <w:szCs w:val="21"/>
              </w:rPr>
              <w:t>、SS、氨氮、动植物油等</w:t>
            </w:r>
          </w:p>
        </w:tc>
        <w:tc>
          <w:tcPr>
            <w:tcW w:w="2250" w:type="dxa"/>
            <w:vMerge w:val="restart"/>
            <w:vAlign w:val="center"/>
          </w:tcPr>
          <w:p>
            <w:pPr>
              <w:adjustRightInd w:val="0"/>
              <w:snapToGrid w:val="0"/>
              <w:jc w:val="center"/>
              <w:rPr>
                <w:szCs w:val="21"/>
              </w:rPr>
            </w:pPr>
            <w:r>
              <w:rPr>
                <w:rFonts w:hint="eastAsia"/>
                <w:szCs w:val="21"/>
              </w:rPr>
              <w:t>经化粪池预处理后排入市政污水管网</w:t>
            </w:r>
          </w:p>
        </w:tc>
        <w:tc>
          <w:tcPr>
            <w:tcW w:w="3233" w:type="dxa"/>
            <w:vMerge w:val="restart"/>
            <w:vAlign w:val="center"/>
          </w:tcPr>
          <w:p>
            <w:pPr>
              <w:adjustRightInd w:val="0"/>
              <w:snapToGrid w:val="0"/>
              <w:jc w:val="center"/>
              <w:rPr>
                <w:szCs w:val="21"/>
              </w:rPr>
            </w:pPr>
            <w:r>
              <w:rPr>
                <w:rFonts w:hint="eastAsia"/>
                <w:szCs w:val="21"/>
              </w:rPr>
              <w:t>近期（衡山高新区综合污水处理厂扩容提标工程投产前），经衡山高新区综合污水处理厂处理达到《污水综合排放标准》（GB8978-1996）一级标准后排入衡山县城污水处理厂处理，最终排入湘江；远期（衡山高新区综合污水处理厂扩容提标工程投产后），经衡山高新区综合污水处理厂处理达到《城镇污水处理厂污染物排放标准》（GB18918-2002）一级A标准排放至湘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hint="eastAsia"/>
                <w:szCs w:val="21"/>
              </w:rPr>
              <w:t>车间地面保洁废水</w:t>
            </w:r>
          </w:p>
        </w:tc>
        <w:tc>
          <w:tcPr>
            <w:tcW w:w="1620" w:type="dxa"/>
            <w:vAlign w:val="center"/>
          </w:tcPr>
          <w:p>
            <w:pPr>
              <w:adjustRightInd w:val="0"/>
              <w:snapToGrid w:val="0"/>
              <w:jc w:val="center"/>
              <w:rPr>
                <w:szCs w:val="21"/>
              </w:rPr>
            </w:pPr>
            <w:r>
              <w:rPr>
                <w:rFonts w:hint="eastAsia"/>
                <w:szCs w:val="21"/>
              </w:rPr>
              <w:t>COD</w:t>
            </w:r>
            <w:r>
              <w:rPr>
                <w:rFonts w:hint="eastAsia"/>
                <w:szCs w:val="21"/>
                <w:vertAlign w:val="subscript"/>
              </w:rPr>
              <w:t>Cr</w:t>
            </w:r>
            <w:r>
              <w:rPr>
                <w:rFonts w:hint="eastAsia"/>
                <w:szCs w:val="21"/>
              </w:rPr>
              <w:t>、BOD</w:t>
            </w:r>
            <w:r>
              <w:rPr>
                <w:rFonts w:hint="eastAsia"/>
                <w:szCs w:val="21"/>
                <w:vertAlign w:val="subscript"/>
              </w:rPr>
              <w:t>5</w:t>
            </w:r>
            <w:r>
              <w:rPr>
                <w:rFonts w:hint="eastAsia"/>
                <w:szCs w:val="21"/>
              </w:rPr>
              <w:t>、SS、氨氮及石油类等</w:t>
            </w:r>
          </w:p>
        </w:tc>
        <w:tc>
          <w:tcPr>
            <w:tcW w:w="2250" w:type="dxa"/>
            <w:vMerge w:val="continue"/>
            <w:vAlign w:val="center"/>
          </w:tcPr>
          <w:p>
            <w:pPr>
              <w:adjustRightInd w:val="0"/>
              <w:snapToGrid w:val="0"/>
              <w:jc w:val="center"/>
              <w:rPr>
                <w:szCs w:val="21"/>
              </w:rPr>
            </w:pPr>
          </w:p>
        </w:tc>
        <w:tc>
          <w:tcPr>
            <w:tcW w:w="3233" w:type="dxa"/>
            <w:vMerge w:val="continue"/>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hint="eastAsia"/>
                <w:szCs w:val="21"/>
              </w:rPr>
              <w:t>搅拌罐清洗废水</w:t>
            </w:r>
          </w:p>
        </w:tc>
        <w:tc>
          <w:tcPr>
            <w:tcW w:w="1620" w:type="dxa"/>
            <w:vAlign w:val="center"/>
          </w:tcPr>
          <w:p>
            <w:pPr>
              <w:adjustRightInd w:val="0"/>
              <w:snapToGrid w:val="0"/>
              <w:jc w:val="center"/>
              <w:rPr>
                <w:szCs w:val="21"/>
              </w:rPr>
            </w:pPr>
            <w:r>
              <w:rPr>
                <w:rFonts w:hint="eastAsia"/>
                <w:szCs w:val="21"/>
              </w:rPr>
              <w:t>SS</w:t>
            </w:r>
          </w:p>
        </w:tc>
        <w:tc>
          <w:tcPr>
            <w:tcW w:w="2250" w:type="dxa"/>
            <w:vAlign w:val="center"/>
          </w:tcPr>
          <w:p>
            <w:pPr>
              <w:adjustRightInd w:val="0"/>
              <w:snapToGrid w:val="0"/>
              <w:jc w:val="center"/>
              <w:rPr>
                <w:szCs w:val="21"/>
              </w:rPr>
            </w:pPr>
            <w:r>
              <w:rPr>
                <w:rFonts w:hint="eastAsia"/>
                <w:szCs w:val="21"/>
              </w:rPr>
              <w:t>采用专用储桶收集后回用对应产品配料，不外排</w:t>
            </w:r>
          </w:p>
        </w:tc>
        <w:tc>
          <w:tcPr>
            <w:tcW w:w="3233" w:type="dxa"/>
            <w:vAlign w:val="center"/>
          </w:tcPr>
          <w:p>
            <w:pPr>
              <w:adjustRightInd w:val="0"/>
              <w:snapToGrid w:val="0"/>
              <w:jc w:val="center"/>
              <w:rPr>
                <w:szCs w:val="21"/>
              </w:rPr>
            </w:pPr>
            <w:r>
              <w:rPr>
                <w:rFonts w:hint="eastAsia"/>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Merge w:val="continue"/>
            <w:vAlign w:val="center"/>
          </w:tcPr>
          <w:p>
            <w:pPr>
              <w:adjustRightInd w:val="0"/>
              <w:snapToGrid w:val="0"/>
              <w:jc w:val="center"/>
              <w:rPr>
                <w:b/>
                <w:szCs w:val="21"/>
              </w:rPr>
            </w:pPr>
          </w:p>
        </w:tc>
        <w:tc>
          <w:tcPr>
            <w:tcW w:w="1700" w:type="dxa"/>
            <w:vAlign w:val="center"/>
          </w:tcPr>
          <w:p>
            <w:pPr>
              <w:adjustRightInd w:val="0"/>
              <w:snapToGrid w:val="0"/>
              <w:jc w:val="center"/>
              <w:rPr>
                <w:szCs w:val="21"/>
              </w:rPr>
            </w:pPr>
            <w:r>
              <w:rPr>
                <w:rFonts w:hint="eastAsia"/>
                <w:szCs w:val="21"/>
              </w:rPr>
              <w:t>纯水制备浓水</w:t>
            </w:r>
          </w:p>
        </w:tc>
        <w:tc>
          <w:tcPr>
            <w:tcW w:w="1620" w:type="dxa"/>
            <w:vAlign w:val="center"/>
          </w:tcPr>
          <w:p>
            <w:pPr>
              <w:adjustRightInd w:val="0"/>
              <w:snapToGrid w:val="0"/>
              <w:jc w:val="center"/>
              <w:rPr>
                <w:szCs w:val="21"/>
              </w:rPr>
            </w:pPr>
            <w:r>
              <w:rPr>
                <w:rFonts w:hint="eastAsia"/>
                <w:szCs w:val="21"/>
              </w:rPr>
              <w:t>Mg</w:t>
            </w:r>
            <w:r>
              <w:rPr>
                <w:rFonts w:hint="eastAsia"/>
                <w:szCs w:val="21"/>
                <w:vertAlign w:val="superscript"/>
              </w:rPr>
              <w:t>2+</w:t>
            </w:r>
            <w:r>
              <w:rPr>
                <w:rFonts w:hint="eastAsia"/>
                <w:szCs w:val="21"/>
              </w:rPr>
              <w:t>、Ca</w:t>
            </w:r>
            <w:r>
              <w:rPr>
                <w:rFonts w:hint="eastAsia"/>
                <w:szCs w:val="21"/>
                <w:vertAlign w:val="superscript"/>
              </w:rPr>
              <w:t>2+</w:t>
            </w:r>
          </w:p>
        </w:tc>
        <w:tc>
          <w:tcPr>
            <w:tcW w:w="2250" w:type="dxa"/>
            <w:vAlign w:val="center"/>
          </w:tcPr>
          <w:p>
            <w:pPr>
              <w:adjustRightInd w:val="0"/>
              <w:snapToGrid w:val="0"/>
              <w:jc w:val="center"/>
              <w:rPr>
                <w:szCs w:val="21"/>
              </w:rPr>
            </w:pPr>
            <w:r>
              <w:rPr>
                <w:rFonts w:hint="eastAsia"/>
                <w:szCs w:val="21"/>
              </w:rPr>
              <w:t>作为清净下水排入市政雨水管网</w:t>
            </w:r>
          </w:p>
        </w:tc>
        <w:tc>
          <w:tcPr>
            <w:tcW w:w="3233" w:type="dxa"/>
            <w:vAlign w:val="center"/>
          </w:tcPr>
          <w:p>
            <w:pPr>
              <w:adjustRightInd w:val="0"/>
              <w:snapToGrid w:val="0"/>
              <w:jc w:val="center"/>
              <w:rPr>
                <w:szCs w:val="21"/>
              </w:rPr>
            </w:pPr>
            <w:r>
              <w:rPr>
                <w:rFonts w:hint="eastAsia"/>
                <w:szCs w:val="21"/>
              </w:rPr>
              <w:t>符合环保要求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pPr>
              <w:adjustRightInd w:val="0"/>
              <w:snapToGrid w:val="0"/>
              <w:jc w:val="center"/>
              <w:rPr>
                <w:b/>
                <w:szCs w:val="21"/>
              </w:rPr>
            </w:pPr>
            <w:r>
              <w:rPr>
                <w:b/>
                <w:szCs w:val="21"/>
              </w:rPr>
              <w:t>声环境</w:t>
            </w:r>
          </w:p>
        </w:tc>
        <w:tc>
          <w:tcPr>
            <w:tcW w:w="1700" w:type="dxa"/>
            <w:vAlign w:val="center"/>
          </w:tcPr>
          <w:p>
            <w:pPr>
              <w:adjustRightInd w:val="0"/>
              <w:snapToGrid w:val="0"/>
              <w:jc w:val="center"/>
              <w:rPr>
                <w:szCs w:val="21"/>
              </w:rPr>
            </w:pPr>
            <w:r>
              <w:rPr>
                <w:szCs w:val="21"/>
              </w:rPr>
              <w:t>噪声</w:t>
            </w:r>
          </w:p>
        </w:tc>
        <w:tc>
          <w:tcPr>
            <w:tcW w:w="3870" w:type="dxa"/>
            <w:gridSpan w:val="2"/>
            <w:vAlign w:val="center"/>
          </w:tcPr>
          <w:p>
            <w:pPr>
              <w:pStyle w:val="2"/>
              <w:jc w:val="center"/>
              <w:rPr>
                <w:rFonts w:ascii="Times New Roman" w:cs="Times New Roman"/>
                <w:color w:val="auto"/>
                <w:sz w:val="21"/>
                <w:szCs w:val="21"/>
              </w:rPr>
            </w:pPr>
            <w:r>
              <w:rPr>
                <w:rFonts w:ascii="Times New Roman" w:cs="Times New Roman"/>
                <w:color w:val="auto"/>
                <w:sz w:val="21"/>
                <w:szCs w:val="21"/>
              </w:rPr>
              <w:t>选用低噪声设备、基础减振，建筑隔声</w:t>
            </w:r>
          </w:p>
        </w:tc>
        <w:tc>
          <w:tcPr>
            <w:tcW w:w="3233" w:type="dxa"/>
            <w:vAlign w:val="center"/>
          </w:tcPr>
          <w:p>
            <w:pPr>
              <w:adjustRightInd w:val="0"/>
              <w:snapToGrid w:val="0"/>
              <w:jc w:val="center"/>
              <w:rPr>
                <w:szCs w:val="21"/>
              </w:rPr>
            </w:pPr>
            <w:r>
              <w:rPr>
                <w:szCs w:val="21"/>
              </w:rPr>
              <w:t>《工业企业厂界环境噪声排放标准》（GB12348-2008）</w:t>
            </w:r>
            <w:r>
              <w:rPr>
                <w:rFonts w:hint="eastAsia"/>
                <w:szCs w:val="21"/>
              </w:rPr>
              <w:t>3、4</w:t>
            </w:r>
            <w:r>
              <w:rPr>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pPr>
              <w:adjustRightInd w:val="0"/>
              <w:snapToGrid w:val="0"/>
              <w:jc w:val="center"/>
              <w:rPr>
                <w:b/>
                <w:szCs w:val="21"/>
              </w:rPr>
            </w:pPr>
            <w:r>
              <w:rPr>
                <w:b/>
                <w:szCs w:val="21"/>
              </w:rPr>
              <w:t>电磁辐射</w:t>
            </w:r>
          </w:p>
        </w:tc>
        <w:tc>
          <w:tcPr>
            <w:tcW w:w="1700" w:type="dxa"/>
            <w:vAlign w:val="center"/>
          </w:tcPr>
          <w:p>
            <w:pPr>
              <w:adjustRightInd w:val="0"/>
              <w:snapToGrid w:val="0"/>
              <w:jc w:val="center"/>
              <w:rPr>
                <w:szCs w:val="21"/>
              </w:rPr>
            </w:pPr>
            <w:r>
              <w:rPr>
                <w:szCs w:val="21"/>
              </w:rPr>
              <w:t>无</w:t>
            </w:r>
          </w:p>
        </w:tc>
        <w:tc>
          <w:tcPr>
            <w:tcW w:w="1620" w:type="dxa"/>
            <w:vAlign w:val="center"/>
          </w:tcPr>
          <w:p>
            <w:pPr>
              <w:adjustRightInd w:val="0"/>
              <w:snapToGrid w:val="0"/>
              <w:jc w:val="center"/>
              <w:rPr>
                <w:szCs w:val="21"/>
              </w:rPr>
            </w:pPr>
            <w:r>
              <w:rPr>
                <w:szCs w:val="21"/>
              </w:rPr>
              <w:t>无</w:t>
            </w:r>
          </w:p>
        </w:tc>
        <w:tc>
          <w:tcPr>
            <w:tcW w:w="2250" w:type="dxa"/>
            <w:vAlign w:val="center"/>
          </w:tcPr>
          <w:p>
            <w:pPr>
              <w:adjustRightInd w:val="0"/>
              <w:snapToGrid w:val="0"/>
              <w:jc w:val="center"/>
              <w:rPr>
                <w:szCs w:val="21"/>
              </w:rPr>
            </w:pPr>
            <w:r>
              <w:rPr>
                <w:szCs w:val="21"/>
              </w:rPr>
              <w:t>无</w:t>
            </w:r>
          </w:p>
        </w:tc>
        <w:tc>
          <w:tcPr>
            <w:tcW w:w="3233" w:type="dxa"/>
            <w:vAlign w:val="center"/>
          </w:tcPr>
          <w:p>
            <w:pPr>
              <w:adjustRightInd w:val="0"/>
              <w:snapToGrid w:val="0"/>
              <w:jc w:val="center"/>
              <w:rPr>
                <w:szCs w:val="21"/>
              </w:rPr>
            </w:pPr>
            <w:r>
              <w:rPr>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pPr>
              <w:adjustRightInd w:val="0"/>
              <w:snapToGrid w:val="0"/>
              <w:jc w:val="center"/>
              <w:rPr>
                <w:b/>
                <w:szCs w:val="21"/>
              </w:rPr>
            </w:pPr>
            <w:r>
              <w:rPr>
                <w:b/>
                <w:szCs w:val="21"/>
              </w:rPr>
              <w:t>固体废物</w:t>
            </w:r>
          </w:p>
        </w:tc>
        <w:tc>
          <w:tcPr>
            <w:tcW w:w="8803" w:type="dxa"/>
            <w:gridSpan w:val="4"/>
            <w:vAlign w:val="center"/>
          </w:tcPr>
          <w:p>
            <w:pPr>
              <w:pStyle w:val="2"/>
              <w:rPr>
                <w:rFonts w:ascii="Times New Roman" w:cs="Times New Roman"/>
                <w:color w:val="auto"/>
                <w:sz w:val="21"/>
                <w:szCs w:val="21"/>
              </w:rPr>
            </w:pPr>
            <w:r>
              <w:rPr>
                <w:rFonts w:ascii="Times New Roman" w:hAnsi="宋体" w:cs="Times New Roman"/>
                <w:color w:val="auto"/>
                <w:sz w:val="21"/>
                <w:szCs w:val="21"/>
              </w:rPr>
              <w:t>①</w:t>
            </w:r>
            <w:r>
              <w:rPr>
                <w:rFonts w:ascii="Times New Roman" w:cs="Times New Roman"/>
                <w:color w:val="auto"/>
                <w:sz w:val="21"/>
                <w:szCs w:val="21"/>
              </w:rPr>
              <w:t>生活垃圾：收集后交由当地环卫部门统一清运；</w:t>
            </w:r>
          </w:p>
          <w:p>
            <w:pPr>
              <w:pStyle w:val="2"/>
              <w:rPr>
                <w:rFonts w:ascii="Times New Roman" w:cs="Times New Roman"/>
                <w:color w:val="auto"/>
                <w:sz w:val="21"/>
                <w:szCs w:val="21"/>
              </w:rPr>
            </w:pPr>
            <w:r>
              <w:rPr>
                <w:rFonts w:ascii="Times New Roman" w:hAnsi="宋体" w:cs="Times New Roman"/>
                <w:color w:val="auto"/>
                <w:sz w:val="21"/>
                <w:szCs w:val="21"/>
              </w:rPr>
              <w:t>②</w:t>
            </w:r>
            <w:r>
              <w:rPr>
                <w:rFonts w:ascii="Times New Roman" w:cs="Times New Roman"/>
                <w:color w:val="auto"/>
                <w:sz w:val="21"/>
                <w:szCs w:val="21"/>
              </w:rPr>
              <w:t>一般固废：</w:t>
            </w:r>
            <w:r>
              <w:rPr>
                <w:rFonts w:hint="eastAsia" w:ascii="Times New Roman" w:cs="Times New Roman"/>
                <w:color w:val="auto"/>
                <w:sz w:val="21"/>
                <w:szCs w:val="21"/>
              </w:rPr>
              <w:t>废弃包装袋由原料生产商回收利用；纯水过滤材料收集后由设备商回收利用</w:t>
            </w:r>
            <w:r>
              <w:rPr>
                <w:rFonts w:ascii="Times New Roman" w:cs="Times New Roman"/>
                <w:color w:val="auto"/>
                <w:sz w:val="21"/>
                <w:szCs w:val="21"/>
              </w:rPr>
              <w:t>。</w:t>
            </w:r>
          </w:p>
          <w:p>
            <w:pPr>
              <w:pStyle w:val="2"/>
              <w:rPr>
                <w:rFonts w:ascii="Times New Roman" w:cs="Times New Roman"/>
                <w:color w:val="auto"/>
                <w:sz w:val="21"/>
                <w:szCs w:val="21"/>
              </w:rPr>
            </w:pPr>
            <w:r>
              <w:rPr>
                <w:rFonts w:ascii="Times New Roman" w:hAnsi="宋体" w:cs="Times New Roman"/>
                <w:color w:val="auto"/>
                <w:sz w:val="21"/>
                <w:szCs w:val="21"/>
              </w:rPr>
              <w:t>③</w:t>
            </w:r>
            <w:r>
              <w:rPr>
                <w:rFonts w:ascii="Times New Roman" w:cs="Times New Roman"/>
                <w:color w:val="auto"/>
                <w:sz w:val="21"/>
                <w:szCs w:val="21"/>
              </w:rPr>
              <w:t>危险废物：</w:t>
            </w:r>
            <w:r>
              <w:rPr>
                <w:rFonts w:hint="eastAsia" w:ascii="Times New Roman" w:cs="Times New Roman"/>
                <w:color w:val="auto"/>
                <w:sz w:val="21"/>
                <w:szCs w:val="21"/>
              </w:rPr>
              <w:t>空中转破桶、回收粉尘、废活性炭、废棉纱及废手套、废机油以及废含油手套等危险废物，分类收集后暂存于危废暂存间，定期委托有相应类别危险废物处置资质的单位回收处置，同时暂存过程按危险废物的有关规定和要求进行环境监管；空中转桶交由厂家回收并用于其原始用途，暂存过程按危险废物的有关规定和要求进行环境监管</w:t>
            </w:r>
            <w:r>
              <w:rPr>
                <w:rFonts w:ascii="Times New Roman"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pPr>
              <w:adjustRightInd w:val="0"/>
              <w:snapToGrid w:val="0"/>
              <w:jc w:val="center"/>
              <w:rPr>
                <w:b/>
                <w:szCs w:val="21"/>
              </w:rPr>
            </w:pPr>
            <w:r>
              <w:rPr>
                <w:b/>
                <w:szCs w:val="21"/>
              </w:rPr>
              <w:t>土壤及地下水污染防治措施</w:t>
            </w:r>
          </w:p>
        </w:tc>
        <w:tc>
          <w:tcPr>
            <w:tcW w:w="8803" w:type="dxa"/>
            <w:gridSpan w:val="4"/>
            <w:vAlign w:val="center"/>
          </w:tcPr>
          <w:p>
            <w:pPr>
              <w:adjustRightInd w:val="0"/>
              <w:snapToGrid w:val="0"/>
              <w:rPr>
                <w:szCs w:val="21"/>
              </w:rPr>
            </w:pPr>
            <w:r>
              <w:rPr>
                <w:rFonts w:hint="eastAsia"/>
              </w:rPr>
              <w:t>按照“源头控制、末端防治、污染监控、应急响应”相结合的原则，需从污染物的产生、入渗、扩散、应急响应全阶段进行控制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pPr>
              <w:adjustRightInd w:val="0"/>
              <w:snapToGrid w:val="0"/>
              <w:jc w:val="center"/>
              <w:rPr>
                <w:b/>
                <w:szCs w:val="21"/>
              </w:rPr>
            </w:pPr>
            <w:r>
              <w:rPr>
                <w:b/>
                <w:szCs w:val="21"/>
              </w:rPr>
              <w:t>生态保护措施</w:t>
            </w:r>
          </w:p>
        </w:tc>
        <w:tc>
          <w:tcPr>
            <w:tcW w:w="8803" w:type="dxa"/>
            <w:gridSpan w:val="4"/>
            <w:vAlign w:val="center"/>
          </w:tcPr>
          <w:p>
            <w:pPr>
              <w:adjustRightInd w:val="0"/>
              <w:snapToGrid w:val="0"/>
              <w:jc w:val="center"/>
              <w:rPr>
                <w:szCs w:val="21"/>
              </w:rPr>
            </w:pPr>
            <w:r>
              <w:rPr>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pPr>
              <w:adjustRightInd w:val="0"/>
              <w:snapToGrid w:val="0"/>
              <w:jc w:val="center"/>
              <w:rPr>
                <w:b/>
                <w:spacing w:val="-8"/>
                <w:szCs w:val="21"/>
              </w:rPr>
            </w:pPr>
            <w:r>
              <w:rPr>
                <w:b/>
                <w:spacing w:val="-8"/>
                <w:szCs w:val="21"/>
              </w:rPr>
              <w:t>环境风险</w:t>
            </w:r>
          </w:p>
          <w:p>
            <w:pPr>
              <w:adjustRightInd w:val="0"/>
              <w:snapToGrid w:val="0"/>
              <w:jc w:val="center"/>
              <w:rPr>
                <w:b/>
                <w:spacing w:val="-8"/>
                <w:szCs w:val="21"/>
              </w:rPr>
            </w:pPr>
            <w:r>
              <w:rPr>
                <w:b/>
                <w:spacing w:val="-8"/>
                <w:szCs w:val="21"/>
              </w:rPr>
              <w:t>防范措施</w:t>
            </w:r>
          </w:p>
        </w:tc>
        <w:tc>
          <w:tcPr>
            <w:tcW w:w="8803" w:type="dxa"/>
            <w:gridSpan w:val="4"/>
            <w:vAlign w:val="center"/>
          </w:tcPr>
          <w:p>
            <w:pPr>
              <w:pStyle w:val="2"/>
              <w:rPr>
                <w:rFonts w:ascii="Times New Roman" w:cs="Times New Roman"/>
                <w:color w:val="auto"/>
                <w:sz w:val="21"/>
                <w:szCs w:val="21"/>
              </w:rPr>
            </w:pPr>
            <w:r>
              <w:rPr>
                <w:rFonts w:hint="eastAsia" w:ascii="Times New Roman" w:cs="Times New Roman"/>
                <w:color w:val="auto"/>
                <w:sz w:val="21"/>
                <w:szCs w:val="21"/>
              </w:rPr>
              <w:t>项目生产过程中存在的风险物质未构成重大危险源。本项目可能发生的事故主要包括生产运行和储运过程的原材料的泄漏、废气事故排放等。根据其他同类企业的多年运行经验，该类项目泄漏、废气事故排放等事故发生概率很低，只要通过加强公司管理，做好防范措施等，可将其风险控制在可接受范围内。同时，在项目运营过程中认真落实，使发生事故的环境影响控制在最小的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03" w:type="dxa"/>
            <w:vAlign w:val="center"/>
          </w:tcPr>
          <w:p>
            <w:pPr>
              <w:adjustRightInd w:val="0"/>
              <w:snapToGrid w:val="0"/>
              <w:jc w:val="center"/>
              <w:rPr>
                <w:b/>
                <w:spacing w:val="-8"/>
                <w:szCs w:val="21"/>
              </w:rPr>
            </w:pPr>
            <w:r>
              <w:rPr>
                <w:b/>
                <w:spacing w:val="-8"/>
                <w:szCs w:val="21"/>
              </w:rPr>
              <w:t>其他环境</w:t>
            </w:r>
          </w:p>
          <w:p>
            <w:pPr>
              <w:adjustRightInd w:val="0"/>
              <w:snapToGrid w:val="0"/>
              <w:jc w:val="center"/>
              <w:rPr>
                <w:b/>
                <w:spacing w:val="-8"/>
                <w:szCs w:val="21"/>
              </w:rPr>
            </w:pPr>
            <w:r>
              <w:rPr>
                <w:b/>
                <w:spacing w:val="-8"/>
                <w:szCs w:val="21"/>
              </w:rPr>
              <w:t>管理要求</w:t>
            </w:r>
          </w:p>
        </w:tc>
        <w:tc>
          <w:tcPr>
            <w:tcW w:w="8803" w:type="dxa"/>
            <w:gridSpan w:val="4"/>
            <w:vAlign w:val="center"/>
          </w:tcPr>
          <w:p>
            <w:pPr>
              <w:pStyle w:val="2"/>
              <w:rPr>
                <w:rFonts w:ascii="Times New Roman" w:cs="Times New Roman"/>
                <w:color w:val="auto"/>
                <w:sz w:val="21"/>
                <w:szCs w:val="21"/>
              </w:rPr>
            </w:pPr>
            <w:r>
              <w:rPr>
                <w:rFonts w:hint="eastAsia" w:ascii="Times New Roman" w:cs="Times New Roman"/>
                <w:color w:val="auto"/>
                <w:sz w:val="21"/>
                <w:szCs w:val="21"/>
              </w:rPr>
              <w:t>（1）项目建成投产排污前，应办理排污许可证。并根据《排污单位自行监测技术指南 总则》（HJ819-2017）、《排污许可证申请与核发技术规范 专用化学产品制造工业》（HJ1103-2020）的要求，制定运营期环境自行监测计划；</w:t>
            </w:r>
          </w:p>
          <w:p>
            <w:pPr>
              <w:pStyle w:val="2"/>
              <w:rPr>
                <w:rFonts w:ascii="Times New Roman" w:cs="Times New Roman"/>
                <w:color w:val="auto"/>
                <w:sz w:val="21"/>
                <w:szCs w:val="21"/>
              </w:rPr>
            </w:pPr>
            <w:r>
              <w:rPr>
                <w:rFonts w:hint="eastAsia" w:ascii="Times New Roman" w:cs="Times New Roman"/>
                <w:color w:val="auto"/>
                <w:sz w:val="21"/>
                <w:szCs w:val="21"/>
              </w:rPr>
              <w:t>（2）项目建成试运行，及时进行自主环保竣工验收；</w:t>
            </w:r>
          </w:p>
          <w:p>
            <w:pPr>
              <w:pStyle w:val="2"/>
              <w:rPr>
                <w:rFonts w:ascii="Times New Roman" w:cs="Times New Roman"/>
                <w:color w:val="auto"/>
                <w:sz w:val="21"/>
                <w:szCs w:val="21"/>
              </w:rPr>
            </w:pPr>
            <w:r>
              <w:rPr>
                <w:rFonts w:hint="eastAsia" w:ascii="Times New Roman" w:cs="Times New Roman"/>
                <w:color w:val="auto"/>
                <w:sz w:val="21"/>
                <w:szCs w:val="21"/>
              </w:rPr>
              <w:t>（3）项目竣工环保验收合格后，企业应根据监测计划，定期对污染源进行监测，监测结果按排污许可相关管理要求进行公示公开。企业应将监测数据和报告存档，作为编制排污许可执行报告基础材料。监测数据应长期保存，并定期接受当地环保主管部门的考核。</w:t>
            </w:r>
          </w:p>
          <w:p>
            <w:pPr>
              <w:pStyle w:val="4"/>
            </w:pPr>
          </w:p>
          <w:p/>
          <w:p>
            <w:pPr>
              <w:pStyle w:val="2"/>
              <w:rPr>
                <w:color w:val="auto"/>
              </w:rPr>
            </w:pPr>
          </w:p>
          <w:p>
            <w:pPr>
              <w:pStyle w:val="4"/>
            </w:pPr>
          </w:p>
          <w:p/>
          <w:p>
            <w:pPr>
              <w:pStyle w:val="2"/>
              <w:rPr>
                <w:color w:val="auto"/>
              </w:rPr>
            </w:pPr>
          </w:p>
          <w:p>
            <w:pPr>
              <w:pStyle w:val="4"/>
            </w:pPr>
          </w:p>
          <w:p/>
          <w:p>
            <w:pPr>
              <w:pStyle w:val="2"/>
              <w:rPr>
                <w:color w:val="auto"/>
              </w:rPr>
            </w:pPr>
          </w:p>
          <w:p>
            <w:pPr>
              <w:pStyle w:val="4"/>
            </w:pPr>
          </w:p>
          <w:p/>
        </w:tc>
      </w:tr>
    </w:tbl>
    <w:p>
      <w:pPr>
        <w:pStyle w:val="28"/>
        <w:jc w:val="center"/>
        <w:outlineLvl w:val="0"/>
        <w:rPr>
          <w:rFonts w:ascii="黑体" w:hAnsi="黑体" w:eastAsia="黑体"/>
          <w:snapToGrid w:val="0"/>
          <w:sz w:val="30"/>
          <w:szCs w:val="30"/>
        </w:rPr>
      </w:pPr>
      <w:r>
        <w:rPr>
          <w:snapToGrid w:val="0"/>
        </w:rPr>
        <w:br w:type="page"/>
      </w:r>
      <w:bookmarkStart w:id="17" w:name="_Toc111712331"/>
      <w:r>
        <w:rPr>
          <w:rFonts w:hint="eastAsia" w:ascii="黑体" w:hAnsi="黑体" w:eastAsia="黑体"/>
          <w:snapToGrid w:val="0"/>
          <w:sz w:val="30"/>
          <w:szCs w:val="30"/>
        </w:rPr>
        <w:t>六、结论</w:t>
      </w:r>
      <w:bookmarkEnd w:id="17"/>
    </w:p>
    <w:tbl>
      <w:tblPr>
        <w:tblStyle w:val="31"/>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91" w:hRule="atLeast"/>
          <w:jc w:val="center"/>
        </w:trPr>
        <w:tc>
          <w:tcPr>
            <w:tcW w:w="8865" w:type="dxa"/>
            <w:vAlign w:val="center"/>
          </w:tcPr>
          <w:p>
            <w:pPr>
              <w:autoSpaceDE w:val="0"/>
              <w:autoSpaceDN w:val="0"/>
              <w:adjustRightInd w:val="0"/>
              <w:spacing w:line="360" w:lineRule="auto"/>
              <w:ind w:firstLine="480" w:firstLineChars="200"/>
              <w:rPr>
                <w:kern w:val="0"/>
                <w:sz w:val="24"/>
              </w:rPr>
            </w:pPr>
            <w:r>
              <w:rPr>
                <w:kern w:val="0"/>
                <w:sz w:val="24"/>
              </w:rPr>
              <w:t>本项目建设符合国家产业政策和区域环境功能区划，用地性质符合区域土地利用规划，项目选址合理。项目建设符</w:t>
            </w:r>
            <w:r>
              <w:rPr>
                <w:rFonts w:ascii="宋体" w:hAnsi="宋体"/>
                <w:kern w:val="0"/>
                <w:sz w:val="24"/>
              </w:rPr>
              <w:t>合“三线一单”</w:t>
            </w:r>
            <w:r>
              <w:rPr>
                <w:kern w:val="0"/>
                <w:sz w:val="24"/>
              </w:rPr>
              <w:t>要求，项目不属于《产业结构调整指导目录（</w:t>
            </w:r>
            <w:r>
              <w:rPr>
                <w:rFonts w:eastAsia="TimesNewRomanPSMT"/>
                <w:kern w:val="0"/>
                <w:sz w:val="24"/>
              </w:rPr>
              <w:t>20</w:t>
            </w:r>
            <w:r>
              <w:rPr>
                <w:rFonts w:hint="eastAsia" w:eastAsia="TimesNewRomanPSMT"/>
                <w:kern w:val="0"/>
                <w:sz w:val="24"/>
              </w:rPr>
              <w:t>24</w:t>
            </w:r>
            <w:r>
              <w:rPr>
                <w:kern w:val="0"/>
                <w:sz w:val="24"/>
              </w:rPr>
              <w:t>年本）》淘汰类和限制类项目，不属于《市场准入负面清单》（</w:t>
            </w:r>
            <w:r>
              <w:rPr>
                <w:rFonts w:eastAsia="TimesNewRomanPSMT"/>
                <w:kern w:val="0"/>
                <w:sz w:val="24"/>
              </w:rPr>
              <w:t>202</w:t>
            </w:r>
            <w:r>
              <w:rPr>
                <w:rFonts w:hint="eastAsia" w:eastAsia="TimesNewRomanPSMT"/>
                <w:kern w:val="0"/>
                <w:sz w:val="24"/>
              </w:rPr>
              <w:t>2</w:t>
            </w:r>
            <w:r>
              <w:rPr>
                <w:kern w:val="0"/>
                <w:sz w:val="24"/>
              </w:rPr>
              <w:t>年版）的负面清单禁止准入类项目。建设单位应严格落实报告中要求采取的污染防治措施，保证废气、废水、噪声达标排放，妥善处理各类固体废物。建设单位切实落实好本环境影响报告表中的环保措施，则本项目的建设不会对周围的环境产生明显的影响。</w:t>
            </w:r>
          </w:p>
          <w:p>
            <w:pPr>
              <w:autoSpaceDE w:val="0"/>
              <w:autoSpaceDN w:val="0"/>
              <w:adjustRightInd w:val="0"/>
              <w:spacing w:line="360" w:lineRule="auto"/>
              <w:ind w:firstLine="480" w:firstLineChars="200"/>
              <w:rPr>
                <w:rFonts w:ascii="宋体" w:cs="宋体"/>
                <w:sz w:val="24"/>
              </w:rPr>
            </w:pPr>
            <w:r>
              <w:rPr>
                <w:kern w:val="0"/>
                <w:sz w:val="24"/>
              </w:rPr>
              <w:t>从环境保护的角度分析，本项目建设可行。</w:t>
            </w:r>
          </w:p>
        </w:tc>
      </w:tr>
    </w:tbl>
    <w:p>
      <w:pPr>
        <w:rPr>
          <w:rFonts w:ascii="宋体"/>
        </w:rPr>
        <w:sectPr>
          <w:pgSz w:w="11906" w:h="16838"/>
          <w:pgMar w:top="1701" w:right="1531" w:bottom="1701" w:left="1531" w:header="851" w:footer="851" w:gutter="0"/>
          <w:cols w:space="720" w:num="1"/>
          <w:docGrid w:linePitch="312" w:charSpace="0"/>
        </w:sectPr>
      </w:pPr>
    </w:p>
    <w:p>
      <w:pPr>
        <w:pStyle w:val="28"/>
        <w:spacing w:before="0" w:beforeAutospacing="0" w:after="0" w:afterAutospacing="0"/>
        <w:outlineLvl w:val="0"/>
        <w:rPr>
          <w:rFonts w:ascii="黑体" w:hAnsi="黑体" w:eastAsia="黑体"/>
          <w:snapToGrid w:val="0"/>
          <w:sz w:val="30"/>
          <w:szCs w:val="30"/>
        </w:rPr>
      </w:pPr>
      <w:bookmarkStart w:id="18" w:name="_Toc111712332"/>
      <w:r>
        <w:rPr>
          <w:rFonts w:hint="eastAsia" w:ascii="黑体" w:hAnsi="黑体" w:eastAsia="黑体"/>
          <w:snapToGrid w:val="0"/>
          <w:sz w:val="32"/>
          <w:szCs w:val="32"/>
        </w:rPr>
        <w:t>附表</w:t>
      </w:r>
      <w:bookmarkEnd w:id="18"/>
    </w:p>
    <w:p>
      <w:pPr>
        <w:pStyle w:val="28"/>
        <w:spacing w:before="0" w:beforeAutospacing="0" w:after="0" w:afterAutospacing="0"/>
        <w:jc w:val="center"/>
        <w:outlineLvl w:val="0"/>
        <w:rPr>
          <w:rFonts w:ascii="黑体" w:hAnsi="黑体" w:eastAsia="黑体"/>
          <w:snapToGrid w:val="0"/>
          <w:sz w:val="30"/>
          <w:szCs w:val="30"/>
        </w:rPr>
      </w:pPr>
      <w:bookmarkStart w:id="19" w:name="_Toc111712333"/>
      <w:r>
        <w:rPr>
          <w:rFonts w:hint="eastAsia" w:ascii="黑体" w:hAnsi="黑体" w:eastAsia="黑体"/>
          <w:snapToGrid w:val="0"/>
          <w:sz w:val="30"/>
          <w:szCs w:val="30"/>
        </w:rPr>
        <w:t>建设项目污染物排放量汇总表</w:t>
      </w:r>
      <w:bookmarkEnd w:id="19"/>
    </w:p>
    <w:tbl>
      <w:tblPr>
        <w:tblStyle w:val="31"/>
        <w:tblW w:w="137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4"/>
        <w:gridCol w:w="1559"/>
        <w:gridCol w:w="1843"/>
        <w:gridCol w:w="1276"/>
        <w:gridCol w:w="1701"/>
        <w:gridCol w:w="1559"/>
        <w:gridCol w:w="1418"/>
        <w:gridCol w:w="1701"/>
        <w:gridCol w:w="14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304" w:type="dxa"/>
            <w:tcMar>
              <w:left w:w="28" w:type="dxa"/>
              <w:right w:w="28" w:type="dxa"/>
            </w:tcMar>
            <w:vAlign w:val="center"/>
          </w:tcPr>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项目</w:t>
            </w:r>
          </w:p>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分类</w:t>
            </w:r>
          </w:p>
        </w:tc>
        <w:tc>
          <w:tcPr>
            <w:tcW w:w="1559" w:type="dxa"/>
            <w:tcMar>
              <w:left w:w="28" w:type="dxa"/>
              <w:right w:w="28" w:type="dxa"/>
            </w:tcMar>
            <w:vAlign w:val="center"/>
          </w:tcPr>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污染物名称</w:t>
            </w:r>
          </w:p>
        </w:tc>
        <w:tc>
          <w:tcPr>
            <w:tcW w:w="1843" w:type="dxa"/>
            <w:tcMar>
              <w:left w:w="28" w:type="dxa"/>
              <w:right w:w="28" w:type="dxa"/>
            </w:tcMar>
            <w:vAlign w:val="center"/>
          </w:tcPr>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现有工程</w:t>
            </w:r>
          </w:p>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1 \* GB3 \* MERGEFORMAT </w:instrText>
            </w:r>
            <w:r>
              <w:rPr>
                <w:rFonts w:ascii="Times New Roman"/>
                <w:b/>
                <w:snapToGrid w:val="0"/>
                <w:spacing w:val="-6"/>
                <w:kern w:val="21"/>
                <w:szCs w:val="21"/>
              </w:rPr>
              <w:fldChar w:fldCharType="separate"/>
            </w:r>
            <w:r>
              <w:rPr>
                <w:rFonts w:ascii="Times New Roman" w:hAnsi="宋体"/>
                <w:b/>
                <w:kern w:val="2"/>
                <w:szCs w:val="21"/>
              </w:rPr>
              <w:t>①</w:t>
            </w:r>
            <w:r>
              <w:rPr>
                <w:rFonts w:ascii="Times New Roman"/>
                <w:b/>
                <w:snapToGrid w:val="0"/>
                <w:spacing w:val="-6"/>
                <w:kern w:val="21"/>
                <w:szCs w:val="21"/>
              </w:rPr>
              <w:fldChar w:fldCharType="end"/>
            </w:r>
          </w:p>
        </w:tc>
        <w:tc>
          <w:tcPr>
            <w:tcW w:w="1276" w:type="dxa"/>
            <w:tcMar>
              <w:left w:w="28" w:type="dxa"/>
              <w:right w:w="28" w:type="dxa"/>
            </w:tcMar>
            <w:vAlign w:val="center"/>
          </w:tcPr>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现有工程</w:t>
            </w:r>
          </w:p>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许可排放量</w:t>
            </w:r>
          </w:p>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fldChar w:fldCharType="begin"/>
            </w:r>
            <w:r>
              <w:rPr>
                <w:rFonts w:ascii="Times New Roman"/>
                <w:b/>
                <w:snapToGrid w:val="0"/>
                <w:spacing w:val="-6"/>
                <w:kern w:val="21"/>
                <w:szCs w:val="21"/>
              </w:rPr>
              <w:instrText xml:space="preserve"> = 2 \* GB3 \* MERGEFORMAT </w:instrText>
            </w:r>
            <w:r>
              <w:rPr>
                <w:rFonts w:ascii="Times New Roman"/>
                <w:b/>
                <w:snapToGrid w:val="0"/>
                <w:spacing w:val="-6"/>
                <w:kern w:val="21"/>
                <w:szCs w:val="21"/>
              </w:rPr>
              <w:fldChar w:fldCharType="separate"/>
            </w:r>
            <w:r>
              <w:rPr>
                <w:rFonts w:ascii="Times New Roman" w:hAnsi="宋体"/>
                <w:b/>
                <w:snapToGrid w:val="0"/>
                <w:spacing w:val="-6"/>
                <w:kern w:val="21"/>
                <w:szCs w:val="21"/>
              </w:rPr>
              <w:t>②</w:t>
            </w:r>
            <w:r>
              <w:rPr>
                <w:rFonts w:ascii="Times New Roman"/>
                <w:b/>
                <w:snapToGrid w:val="0"/>
                <w:spacing w:val="-6"/>
                <w:kern w:val="21"/>
                <w:szCs w:val="21"/>
              </w:rPr>
              <w:fldChar w:fldCharType="end"/>
            </w:r>
          </w:p>
        </w:tc>
        <w:tc>
          <w:tcPr>
            <w:tcW w:w="1701" w:type="dxa"/>
            <w:tcMar>
              <w:left w:w="28" w:type="dxa"/>
              <w:right w:w="28" w:type="dxa"/>
            </w:tcMar>
            <w:vAlign w:val="center"/>
          </w:tcPr>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在建工程</w:t>
            </w:r>
          </w:p>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3 \* GB3 \* MERGEFORMAT </w:instrText>
            </w:r>
            <w:r>
              <w:rPr>
                <w:rFonts w:ascii="Times New Roman"/>
                <w:b/>
                <w:snapToGrid w:val="0"/>
                <w:spacing w:val="-6"/>
                <w:kern w:val="21"/>
                <w:szCs w:val="21"/>
              </w:rPr>
              <w:fldChar w:fldCharType="separate"/>
            </w:r>
            <w:r>
              <w:rPr>
                <w:rFonts w:ascii="Times New Roman" w:hAnsi="宋体"/>
                <w:b/>
                <w:kern w:val="2"/>
                <w:szCs w:val="21"/>
              </w:rPr>
              <w:t>③</w:t>
            </w:r>
            <w:r>
              <w:rPr>
                <w:rFonts w:ascii="Times New Roman"/>
                <w:b/>
                <w:snapToGrid w:val="0"/>
                <w:spacing w:val="-6"/>
                <w:kern w:val="21"/>
                <w:szCs w:val="21"/>
              </w:rPr>
              <w:fldChar w:fldCharType="end"/>
            </w:r>
          </w:p>
        </w:tc>
        <w:tc>
          <w:tcPr>
            <w:tcW w:w="1559" w:type="dxa"/>
            <w:tcMar>
              <w:left w:w="28" w:type="dxa"/>
              <w:right w:w="28" w:type="dxa"/>
            </w:tcMar>
            <w:vAlign w:val="center"/>
          </w:tcPr>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本项目</w:t>
            </w:r>
          </w:p>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4 \* GB3 \* MERGEFORMAT </w:instrText>
            </w:r>
            <w:r>
              <w:rPr>
                <w:rFonts w:ascii="Times New Roman"/>
                <w:b/>
                <w:snapToGrid w:val="0"/>
                <w:spacing w:val="-6"/>
                <w:kern w:val="21"/>
                <w:szCs w:val="21"/>
              </w:rPr>
              <w:fldChar w:fldCharType="separate"/>
            </w:r>
            <w:r>
              <w:rPr>
                <w:rFonts w:ascii="Times New Roman" w:hAnsi="宋体"/>
                <w:b/>
                <w:kern w:val="2"/>
                <w:szCs w:val="21"/>
              </w:rPr>
              <w:t>④</w:t>
            </w:r>
            <w:r>
              <w:rPr>
                <w:rFonts w:ascii="Times New Roman"/>
                <w:b/>
                <w:snapToGrid w:val="0"/>
                <w:spacing w:val="-6"/>
                <w:kern w:val="21"/>
                <w:szCs w:val="21"/>
              </w:rPr>
              <w:fldChar w:fldCharType="end"/>
            </w:r>
          </w:p>
        </w:tc>
        <w:tc>
          <w:tcPr>
            <w:tcW w:w="1418" w:type="dxa"/>
            <w:tcMar>
              <w:left w:w="28" w:type="dxa"/>
              <w:right w:w="28" w:type="dxa"/>
            </w:tcMar>
            <w:vAlign w:val="center"/>
          </w:tcPr>
          <w:p>
            <w:pPr>
              <w:pStyle w:val="44"/>
              <w:spacing w:beforeLines="0" w:afterLines="0" w:line="240" w:lineRule="auto"/>
              <w:rPr>
                <w:rFonts w:ascii="Times New Roman"/>
                <w:b/>
                <w:snapToGrid w:val="0"/>
                <w:spacing w:val="-16"/>
                <w:kern w:val="21"/>
                <w:szCs w:val="21"/>
              </w:rPr>
            </w:pPr>
            <w:r>
              <w:rPr>
                <w:rFonts w:ascii="Times New Roman"/>
                <w:b/>
                <w:snapToGrid w:val="0"/>
                <w:spacing w:val="-16"/>
                <w:kern w:val="21"/>
                <w:szCs w:val="21"/>
              </w:rPr>
              <w:t>以新带老削减量</w:t>
            </w:r>
          </w:p>
          <w:p>
            <w:pPr>
              <w:pStyle w:val="44"/>
              <w:spacing w:beforeLines="0" w:afterLines="0" w:line="240" w:lineRule="auto"/>
              <w:rPr>
                <w:rFonts w:ascii="Times New Roman"/>
                <w:b/>
                <w:snapToGrid w:val="0"/>
                <w:spacing w:val="-16"/>
                <w:kern w:val="21"/>
                <w:szCs w:val="21"/>
              </w:rPr>
            </w:pPr>
            <w:r>
              <w:rPr>
                <w:rFonts w:ascii="Times New Roman"/>
                <w:b/>
                <w:snapToGrid w:val="0"/>
                <w:spacing w:val="-16"/>
                <w:kern w:val="21"/>
                <w:szCs w:val="21"/>
              </w:rPr>
              <w:t>（新建项目不填）</w:t>
            </w:r>
            <w:r>
              <w:rPr>
                <w:rFonts w:ascii="Times New Roman"/>
                <w:b/>
                <w:snapToGrid w:val="0"/>
                <w:spacing w:val="-16"/>
                <w:kern w:val="21"/>
                <w:szCs w:val="21"/>
              </w:rPr>
              <w:fldChar w:fldCharType="begin"/>
            </w:r>
            <w:r>
              <w:rPr>
                <w:rFonts w:ascii="Times New Roman"/>
                <w:b/>
                <w:snapToGrid w:val="0"/>
                <w:spacing w:val="-16"/>
                <w:kern w:val="21"/>
                <w:szCs w:val="21"/>
              </w:rPr>
              <w:instrText xml:space="preserve"> = 5 \* GB3 \* MERGEFORMAT </w:instrText>
            </w:r>
            <w:r>
              <w:rPr>
                <w:rFonts w:ascii="Times New Roman"/>
                <w:b/>
                <w:snapToGrid w:val="0"/>
                <w:spacing w:val="-16"/>
                <w:kern w:val="21"/>
                <w:szCs w:val="21"/>
              </w:rPr>
              <w:fldChar w:fldCharType="separate"/>
            </w:r>
            <w:r>
              <w:rPr>
                <w:rFonts w:ascii="Times New Roman" w:hAnsi="宋体"/>
                <w:b/>
                <w:kern w:val="2"/>
                <w:szCs w:val="21"/>
              </w:rPr>
              <w:t>⑤</w:t>
            </w:r>
            <w:r>
              <w:rPr>
                <w:rFonts w:ascii="Times New Roman"/>
                <w:b/>
                <w:snapToGrid w:val="0"/>
                <w:spacing w:val="-16"/>
                <w:kern w:val="21"/>
                <w:szCs w:val="21"/>
              </w:rPr>
              <w:fldChar w:fldCharType="end"/>
            </w:r>
          </w:p>
        </w:tc>
        <w:tc>
          <w:tcPr>
            <w:tcW w:w="1701" w:type="dxa"/>
            <w:tcMar>
              <w:left w:w="28" w:type="dxa"/>
              <w:right w:w="28" w:type="dxa"/>
            </w:tcMar>
            <w:vAlign w:val="center"/>
          </w:tcPr>
          <w:p>
            <w:pPr>
              <w:pStyle w:val="44"/>
              <w:spacing w:beforeLines="0" w:afterLines="0" w:line="240" w:lineRule="auto"/>
              <w:rPr>
                <w:rFonts w:ascii="Times New Roman"/>
                <w:b/>
                <w:snapToGrid w:val="0"/>
                <w:spacing w:val="-16"/>
                <w:kern w:val="21"/>
                <w:szCs w:val="21"/>
              </w:rPr>
            </w:pPr>
            <w:r>
              <w:rPr>
                <w:rFonts w:ascii="Times New Roman"/>
                <w:b/>
                <w:snapToGrid w:val="0"/>
                <w:spacing w:val="-16"/>
                <w:kern w:val="21"/>
                <w:szCs w:val="21"/>
              </w:rPr>
              <w:t>本项目建成后</w:t>
            </w:r>
          </w:p>
          <w:p>
            <w:pPr>
              <w:pStyle w:val="44"/>
              <w:spacing w:beforeLines="0" w:afterLines="0" w:line="240" w:lineRule="auto"/>
              <w:rPr>
                <w:rFonts w:ascii="Times New Roman"/>
                <w:b/>
                <w:snapToGrid w:val="0"/>
                <w:spacing w:val="-16"/>
                <w:kern w:val="21"/>
                <w:szCs w:val="21"/>
              </w:rPr>
            </w:pPr>
            <w:r>
              <w:rPr>
                <w:rFonts w:ascii="Times New Roman"/>
                <w:b/>
                <w:snapToGrid w:val="0"/>
                <w:spacing w:val="-16"/>
                <w:kern w:val="21"/>
                <w:szCs w:val="21"/>
              </w:rPr>
              <w:t>全厂排放量（固体废物产生量）</w:t>
            </w:r>
            <w:r>
              <w:rPr>
                <w:rFonts w:ascii="Times New Roman"/>
                <w:b/>
                <w:snapToGrid w:val="0"/>
                <w:spacing w:val="-16"/>
                <w:kern w:val="21"/>
                <w:szCs w:val="21"/>
              </w:rPr>
              <w:fldChar w:fldCharType="begin"/>
            </w:r>
            <w:r>
              <w:rPr>
                <w:rFonts w:ascii="Times New Roman"/>
                <w:b/>
                <w:snapToGrid w:val="0"/>
                <w:spacing w:val="-16"/>
                <w:kern w:val="21"/>
                <w:szCs w:val="21"/>
              </w:rPr>
              <w:instrText xml:space="preserve"> = 6 \* GB3 \* MERGEFORMAT </w:instrText>
            </w:r>
            <w:r>
              <w:rPr>
                <w:rFonts w:ascii="Times New Roman"/>
                <w:b/>
                <w:snapToGrid w:val="0"/>
                <w:spacing w:val="-16"/>
                <w:kern w:val="21"/>
                <w:szCs w:val="21"/>
              </w:rPr>
              <w:fldChar w:fldCharType="separate"/>
            </w:r>
            <w:r>
              <w:rPr>
                <w:rFonts w:ascii="Times New Roman" w:hAnsi="宋体"/>
                <w:b/>
                <w:kern w:val="2"/>
                <w:szCs w:val="21"/>
              </w:rPr>
              <w:t>⑥</w:t>
            </w:r>
            <w:r>
              <w:rPr>
                <w:rFonts w:ascii="Times New Roman"/>
                <w:b/>
                <w:snapToGrid w:val="0"/>
                <w:spacing w:val="-16"/>
                <w:kern w:val="21"/>
                <w:szCs w:val="21"/>
              </w:rPr>
              <w:fldChar w:fldCharType="end"/>
            </w:r>
          </w:p>
        </w:tc>
        <w:tc>
          <w:tcPr>
            <w:tcW w:w="1427" w:type="dxa"/>
            <w:tcMar>
              <w:left w:w="28" w:type="dxa"/>
              <w:right w:w="28" w:type="dxa"/>
            </w:tcMar>
            <w:vAlign w:val="center"/>
          </w:tcPr>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t>变化量</w:t>
            </w:r>
          </w:p>
          <w:p>
            <w:pPr>
              <w:pStyle w:val="44"/>
              <w:spacing w:beforeLines="0" w:afterLines="0" w:line="240" w:lineRule="auto"/>
              <w:rPr>
                <w:rFonts w:ascii="Times New Roman"/>
                <w:b/>
                <w:snapToGrid w:val="0"/>
                <w:spacing w:val="-6"/>
                <w:kern w:val="21"/>
                <w:szCs w:val="21"/>
              </w:rPr>
            </w:pPr>
            <w:r>
              <w:rPr>
                <w:rFonts w:ascii="Times New Roman"/>
                <w:b/>
                <w:snapToGrid w:val="0"/>
                <w:spacing w:val="-6"/>
                <w:kern w:val="21"/>
                <w:szCs w:val="21"/>
              </w:rPr>
              <w:fldChar w:fldCharType="begin"/>
            </w:r>
            <w:r>
              <w:rPr>
                <w:rFonts w:ascii="Times New Roman"/>
                <w:b/>
                <w:snapToGrid w:val="0"/>
                <w:spacing w:val="-6"/>
                <w:kern w:val="21"/>
                <w:szCs w:val="21"/>
              </w:rPr>
              <w:instrText xml:space="preserve"> = 7 \* GB3 \* MERGEFORMAT </w:instrText>
            </w:r>
            <w:r>
              <w:rPr>
                <w:rFonts w:ascii="Times New Roman"/>
                <w:b/>
                <w:snapToGrid w:val="0"/>
                <w:spacing w:val="-6"/>
                <w:kern w:val="21"/>
                <w:szCs w:val="21"/>
              </w:rPr>
              <w:fldChar w:fldCharType="separate"/>
            </w:r>
            <w:r>
              <w:rPr>
                <w:rFonts w:ascii="Times New Roman" w:hAnsi="宋体"/>
                <w:b/>
                <w:kern w:val="2"/>
                <w:szCs w:val="21"/>
              </w:rPr>
              <w:t>⑦</w:t>
            </w:r>
            <w:r>
              <w:rPr>
                <w:rFonts w:ascii="Times New Roman"/>
                <w:b/>
                <w:snapToGrid w:val="0"/>
                <w:spacing w:val="-6"/>
                <w:kern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pPr>
              <w:pStyle w:val="44"/>
              <w:spacing w:beforeLines="0" w:afterLines="0" w:line="240" w:lineRule="auto"/>
              <w:rPr>
                <w:rFonts w:ascii="Times New Roman"/>
                <w:b/>
                <w:snapToGrid w:val="0"/>
                <w:kern w:val="21"/>
                <w:szCs w:val="21"/>
              </w:rPr>
            </w:pPr>
            <w:r>
              <w:rPr>
                <w:rFonts w:ascii="Times New Roman"/>
                <w:b/>
                <w:snapToGrid w:val="0"/>
                <w:kern w:val="21"/>
                <w:szCs w:val="21"/>
              </w:rPr>
              <w:t>废气</w:t>
            </w:r>
          </w:p>
        </w:tc>
        <w:tc>
          <w:tcPr>
            <w:tcW w:w="1559" w:type="dxa"/>
            <w:vAlign w:val="center"/>
          </w:tcPr>
          <w:p>
            <w:pPr>
              <w:adjustRightInd w:val="0"/>
              <w:snapToGrid w:val="0"/>
              <w:jc w:val="center"/>
              <w:rPr>
                <w:szCs w:val="21"/>
              </w:rPr>
            </w:pPr>
            <w:r>
              <w:rPr>
                <w:szCs w:val="21"/>
              </w:rPr>
              <w:t>颗粒物（</w:t>
            </w:r>
            <w:r>
              <w:rPr>
                <w:rFonts w:hint="eastAsia"/>
                <w:szCs w:val="21"/>
              </w:rPr>
              <w:t>有</w:t>
            </w:r>
            <w:r>
              <w:rPr>
                <w:szCs w:val="21"/>
              </w:rPr>
              <w:t>组织）</w:t>
            </w:r>
          </w:p>
        </w:tc>
        <w:tc>
          <w:tcPr>
            <w:tcW w:w="1843"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pPr>
              <w:jc w:val="center"/>
              <w:rPr>
                <w:szCs w:val="21"/>
              </w:rPr>
            </w:pPr>
            <w:r>
              <w:rPr>
                <w:rFonts w:hint="eastAsia"/>
                <w:szCs w:val="21"/>
              </w:rPr>
              <w:t>0.021</w:t>
            </w:r>
          </w:p>
        </w:tc>
        <w:tc>
          <w:tcPr>
            <w:tcW w:w="1418" w:type="dxa"/>
            <w:vAlign w:val="center"/>
          </w:tcPr>
          <w:p>
            <w:pPr>
              <w:jc w:val="center"/>
              <w:rPr>
                <w:szCs w:val="21"/>
              </w:rPr>
            </w:pPr>
            <w:r>
              <w:rPr>
                <w:szCs w:val="21"/>
              </w:rPr>
              <w:t>0</w:t>
            </w:r>
          </w:p>
        </w:tc>
        <w:tc>
          <w:tcPr>
            <w:tcW w:w="1701" w:type="dxa"/>
            <w:vAlign w:val="center"/>
          </w:tcPr>
          <w:p>
            <w:pPr>
              <w:jc w:val="center"/>
              <w:rPr>
                <w:szCs w:val="21"/>
              </w:rPr>
            </w:pPr>
            <w:r>
              <w:rPr>
                <w:rFonts w:hint="eastAsia"/>
                <w:szCs w:val="21"/>
              </w:rPr>
              <w:t>0.021</w:t>
            </w:r>
          </w:p>
        </w:tc>
        <w:tc>
          <w:tcPr>
            <w:tcW w:w="1427" w:type="dxa"/>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adjustRightInd w:val="0"/>
              <w:snapToGrid w:val="0"/>
              <w:jc w:val="center"/>
              <w:rPr>
                <w:szCs w:val="21"/>
              </w:rPr>
            </w:pPr>
            <w:r>
              <w:rPr>
                <w:szCs w:val="21"/>
              </w:rPr>
              <w:t>颗粒物（</w:t>
            </w:r>
            <w:r>
              <w:rPr>
                <w:rFonts w:hint="eastAsia"/>
                <w:szCs w:val="21"/>
              </w:rPr>
              <w:t>无</w:t>
            </w:r>
            <w:r>
              <w:rPr>
                <w:szCs w:val="21"/>
              </w:rPr>
              <w:t>组织）</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0.234</w:t>
            </w:r>
          </w:p>
        </w:tc>
        <w:tc>
          <w:tcPr>
            <w:tcW w:w="1418" w:type="dxa"/>
            <w:vAlign w:val="center"/>
          </w:tcPr>
          <w:p>
            <w:pPr>
              <w:jc w:val="center"/>
              <w:rPr>
                <w:szCs w:val="21"/>
              </w:rPr>
            </w:pPr>
            <w:r>
              <w:rPr>
                <w:rFonts w:hint="eastAsia"/>
                <w:szCs w:val="21"/>
              </w:rPr>
              <w:t>0</w:t>
            </w:r>
          </w:p>
        </w:tc>
        <w:tc>
          <w:tcPr>
            <w:tcW w:w="1701" w:type="dxa"/>
            <w:vAlign w:val="center"/>
          </w:tcPr>
          <w:p>
            <w:pPr>
              <w:jc w:val="center"/>
              <w:rPr>
                <w:szCs w:val="21"/>
              </w:rPr>
            </w:pPr>
            <w:r>
              <w:rPr>
                <w:rFonts w:hint="eastAsia"/>
                <w:szCs w:val="21"/>
              </w:rPr>
              <w:t>0.234</w:t>
            </w:r>
          </w:p>
        </w:tc>
        <w:tc>
          <w:tcPr>
            <w:tcW w:w="1427" w:type="dxa"/>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adjustRightInd w:val="0"/>
              <w:snapToGrid w:val="0"/>
              <w:jc w:val="center"/>
              <w:rPr>
                <w:szCs w:val="21"/>
              </w:rPr>
            </w:pPr>
            <w:r>
              <w:rPr>
                <w:szCs w:val="21"/>
              </w:rPr>
              <w:t>有机废气（有组织）</w:t>
            </w:r>
          </w:p>
        </w:tc>
        <w:tc>
          <w:tcPr>
            <w:tcW w:w="1843"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pPr>
              <w:jc w:val="center"/>
              <w:rPr>
                <w:szCs w:val="21"/>
              </w:rPr>
            </w:pPr>
            <w:r>
              <w:rPr>
                <w:rFonts w:hint="eastAsia"/>
                <w:szCs w:val="21"/>
              </w:rPr>
              <w:t>0.189</w:t>
            </w:r>
          </w:p>
        </w:tc>
        <w:tc>
          <w:tcPr>
            <w:tcW w:w="1418" w:type="dxa"/>
            <w:vAlign w:val="center"/>
          </w:tcPr>
          <w:p>
            <w:pPr>
              <w:jc w:val="center"/>
              <w:rPr>
                <w:szCs w:val="21"/>
              </w:rPr>
            </w:pPr>
            <w:r>
              <w:rPr>
                <w:szCs w:val="21"/>
              </w:rPr>
              <w:t>0</w:t>
            </w:r>
          </w:p>
        </w:tc>
        <w:tc>
          <w:tcPr>
            <w:tcW w:w="1701" w:type="dxa"/>
            <w:vAlign w:val="center"/>
          </w:tcPr>
          <w:p>
            <w:pPr>
              <w:jc w:val="center"/>
              <w:rPr>
                <w:szCs w:val="21"/>
              </w:rPr>
            </w:pPr>
            <w:r>
              <w:rPr>
                <w:rFonts w:hint="eastAsia"/>
                <w:szCs w:val="21"/>
              </w:rPr>
              <w:t>0.189</w:t>
            </w:r>
          </w:p>
        </w:tc>
        <w:tc>
          <w:tcPr>
            <w:tcW w:w="1427" w:type="dxa"/>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adjustRightInd w:val="0"/>
              <w:snapToGrid w:val="0"/>
              <w:jc w:val="center"/>
              <w:rPr>
                <w:szCs w:val="21"/>
              </w:rPr>
            </w:pPr>
            <w:r>
              <w:rPr>
                <w:szCs w:val="21"/>
              </w:rPr>
              <w:t>有机废气（</w:t>
            </w:r>
            <w:r>
              <w:rPr>
                <w:rFonts w:hint="eastAsia"/>
                <w:szCs w:val="21"/>
              </w:rPr>
              <w:t>无</w:t>
            </w:r>
            <w:r>
              <w:rPr>
                <w:szCs w:val="21"/>
              </w:rPr>
              <w:t>组织）</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0.051</w:t>
            </w:r>
          </w:p>
        </w:tc>
        <w:tc>
          <w:tcPr>
            <w:tcW w:w="1418" w:type="dxa"/>
            <w:vAlign w:val="center"/>
          </w:tcPr>
          <w:p>
            <w:pPr>
              <w:jc w:val="center"/>
              <w:rPr>
                <w:szCs w:val="21"/>
              </w:rPr>
            </w:pPr>
            <w:r>
              <w:rPr>
                <w:rFonts w:hint="eastAsia"/>
                <w:szCs w:val="21"/>
              </w:rPr>
              <w:t>0</w:t>
            </w:r>
          </w:p>
        </w:tc>
        <w:tc>
          <w:tcPr>
            <w:tcW w:w="1701" w:type="dxa"/>
            <w:vAlign w:val="center"/>
          </w:tcPr>
          <w:p>
            <w:pPr>
              <w:jc w:val="center"/>
              <w:rPr>
                <w:szCs w:val="21"/>
              </w:rPr>
            </w:pPr>
            <w:r>
              <w:rPr>
                <w:rFonts w:hint="eastAsia"/>
                <w:szCs w:val="21"/>
              </w:rPr>
              <w:t>0.051</w:t>
            </w:r>
          </w:p>
        </w:tc>
        <w:tc>
          <w:tcPr>
            <w:tcW w:w="1427" w:type="dxa"/>
            <w:vAlign w:val="center"/>
          </w:tcPr>
          <w:p>
            <w:pPr>
              <w:jc w:val="center"/>
              <w:rPr>
                <w:szCs w:val="21"/>
              </w:rPr>
            </w:pP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adjustRightInd w:val="0"/>
              <w:snapToGrid w:val="0"/>
              <w:jc w:val="center"/>
              <w:rPr>
                <w:szCs w:val="21"/>
              </w:rPr>
            </w:pPr>
            <w:r>
              <w:rPr>
                <w:rFonts w:hint="eastAsia"/>
                <w:szCs w:val="21"/>
              </w:rPr>
              <w:t>食堂油烟</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0.006</w:t>
            </w:r>
          </w:p>
        </w:tc>
        <w:tc>
          <w:tcPr>
            <w:tcW w:w="1418" w:type="dxa"/>
            <w:vAlign w:val="center"/>
          </w:tcPr>
          <w:p>
            <w:pPr>
              <w:jc w:val="center"/>
              <w:rPr>
                <w:szCs w:val="21"/>
              </w:rPr>
            </w:pPr>
            <w:r>
              <w:rPr>
                <w:rFonts w:hint="eastAsia"/>
                <w:szCs w:val="21"/>
              </w:rPr>
              <w:t>0</w:t>
            </w:r>
          </w:p>
        </w:tc>
        <w:tc>
          <w:tcPr>
            <w:tcW w:w="1701" w:type="dxa"/>
            <w:vAlign w:val="center"/>
          </w:tcPr>
          <w:p>
            <w:pPr>
              <w:jc w:val="center"/>
              <w:rPr>
                <w:szCs w:val="21"/>
              </w:rPr>
            </w:pPr>
            <w:r>
              <w:rPr>
                <w:rFonts w:hint="eastAsia"/>
                <w:szCs w:val="21"/>
              </w:rPr>
              <w:t>0.006</w:t>
            </w:r>
          </w:p>
        </w:tc>
        <w:tc>
          <w:tcPr>
            <w:tcW w:w="1427" w:type="dxa"/>
            <w:vAlign w:val="center"/>
          </w:tcPr>
          <w:p>
            <w:pPr>
              <w:jc w:val="center"/>
              <w:rPr>
                <w:szCs w:val="21"/>
              </w:rPr>
            </w:pP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pPr>
              <w:pStyle w:val="44"/>
              <w:spacing w:beforeLines="0" w:afterLines="0" w:line="240" w:lineRule="auto"/>
              <w:rPr>
                <w:rFonts w:ascii="Times New Roman"/>
                <w:b/>
                <w:snapToGrid w:val="0"/>
                <w:kern w:val="21"/>
                <w:szCs w:val="21"/>
              </w:rPr>
            </w:pPr>
            <w:r>
              <w:rPr>
                <w:rFonts w:ascii="Times New Roman"/>
                <w:b/>
                <w:snapToGrid w:val="0"/>
                <w:kern w:val="21"/>
                <w:szCs w:val="21"/>
              </w:rPr>
              <w:t>废水</w:t>
            </w:r>
          </w:p>
        </w:tc>
        <w:tc>
          <w:tcPr>
            <w:tcW w:w="1559" w:type="dxa"/>
            <w:vAlign w:val="center"/>
          </w:tcPr>
          <w:p>
            <w:pPr>
              <w:adjustRightInd w:val="0"/>
              <w:snapToGrid w:val="0"/>
              <w:jc w:val="center"/>
              <w:rPr>
                <w:bCs/>
                <w:spacing w:val="-10"/>
                <w:szCs w:val="21"/>
              </w:rPr>
            </w:pPr>
            <w:r>
              <w:rPr>
                <w:bCs/>
                <w:spacing w:val="-10"/>
                <w:szCs w:val="21"/>
              </w:rPr>
              <w:t>排放量m</w:t>
            </w:r>
            <w:r>
              <w:rPr>
                <w:bCs/>
                <w:spacing w:val="-10"/>
                <w:szCs w:val="21"/>
                <w:vertAlign w:val="superscript"/>
              </w:rPr>
              <w:t>3</w:t>
            </w:r>
            <w:r>
              <w:rPr>
                <w:bCs/>
                <w:spacing w:val="-10"/>
                <w:szCs w:val="21"/>
              </w:rPr>
              <w:t>/a</w:t>
            </w:r>
          </w:p>
        </w:tc>
        <w:tc>
          <w:tcPr>
            <w:tcW w:w="1843"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pPr>
              <w:jc w:val="center"/>
              <w:rPr>
                <w:szCs w:val="21"/>
              </w:rPr>
            </w:pPr>
            <w:r>
              <w:rPr>
                <w:rFonts w:hint="eastAsia"/>
                <w:szCs w:val="21"/>
              </w:rPr>
              <w:t>5323.37</w:t>
            </w:r>
          </w:p>
        </w:tc>
        <w:tc>
          <w:tcPr>
            <w:tcW w:w="1418" w:type="dxa"/>
            <w:vAlign w:val="center"/>
          </w:tcPr>
          <w:p>
            <w:pPr>
              <w:jc w:val="center"/>
              <w:rPr>
                <w:szCs w:val="21"/>
              </w:rPr>
            </w:pPr>
            <w:r>
              <w:rPr>
                <w:szCs w:val="21"/>
              </w:rPr>
              <w:t>0</w:t>
            </w:r>
          </w:p>
        </w:tc>
        <w:tc>
          <w:tcPr>
            <w:tcW w:w="1701" w:type="dxa"/>
            <w:vAlign w:val="center"/>
          </w:tcPr>
          <w:p>
            <w:pPr>
              <w:jc w:val="center"/>
              <w:rPr>
                <w:szCs w:val="21"/>
              </w:rPr>
            </w:pPr>
            <w:r>
              <w:rPr>
                <w:rFonts w:hint="eastAsia"/>
                <w:szCs w:val="21"/>
              </w:rPr>
              <w:t>5323.37</w:t>
            </w:r>
          </w:p>
        </w:tc>
        <w:tc>
          <w:tcPr>
            <w:tcW w:w="1427" w:type="dxa"/>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COD</w:t>
            </w:r>
          </w:p>
        </w:tc>
        <w:tc>
          <w:tcPr>
            <w:tcW w:w="1843"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pPr>
              <w:adjustRightInd w:val="0"/>
              <w:snapToGrid w:val="0"/>
              <w:jc w:val="center"/>
              <w:rPr>
                <w:szCs w:val="21"/>
              </w:rPr>
            </w:pPr>
            <w:r>
              <w:rPr>
                <w:rFonts w:hint="eastAsia"/>
                <w:szCs w:val="21"/>
              </w:rPr>
              <w:t>0.213（0.266）</w:t>
            </w:r>
          </w:p>
        </w:tc>
        <w:tc>
          <w:tcPr>
            <w:tcW w:w="1418" w:type="dxa"/>
            <w:vAlign w:val="center"/>
          </w:tcPr>
          <w:p>
            <w:pPr>
              <w:jc w:val="center"/>
              <w:rPr>
                <w:szCs w:val="21"/>
              </w:rPr>
            </w:pPr>
            <w:r>
              <w:rPr>
                <w:szCs w:val="21"/>
              </w:rPr>
              <w:t>0</w:t>
            </w:r>
          </w:p>
        </w:tc>
        <w:tc>
          <w:tcPr>
            <w:tcW w:w="1701" w:type="dxa"/>
            <w:vAlign w:val="center"/>
          </w:tcPr>
          <w:p>
            <w:pPr>
              <w:adjustRightInd w:val="0"/>
              <w:snapToGrid w:val="0"/>
              <w:jc w:val="center"/>
              <w:rPr>
                <w:szCs w:val="21"/>
              </w:rPr>
            </w:pPr>
            <w:r>
              <w:rPr>
                <w:rFonts w:hint="eastAsia"/>
                <w:szCs w:val="21"/>
              </w:rPr>
              <w:t>0.213（0.266）</w:t>
            </w:r>
          </w:p>
        </w:tc>
        <w:tc>
          <w:tcPr>
            <w:tcW w:w="1427" w:type="dxa"/>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BOD</w:t>
            </w:r>
            <w:r>
              <w:rPr>
                <w:rFonts w:ascii="Times New Roman"/>
                <w:snapToGrid w:val="0"/>
                <w:kern w:val="21"/>
                <w:szCs w:val="21"/>
                <w:vertAlign w:val="subscript"/>
              </w:rPr>
              <w:t>5</w:t>
            </w:r>
          </w:p>
        </w:tc>
        <w:tc>
          <w:tcPr>
            <w:tcW w:w="1843"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pPr>
              <w:adjustRightInd w:val="0"/>
              <w:snapToGrid w:val="0"/>
              <w:jc w:val="center"/>
              <w:rPr>
                <w:szCs w:val="21"/>
              </w:rPr>
            </w:pPr>
            <w:r>
              <w:rPr>
                <w:rFonts w:hint="eastAsia"/>
                <w:szCs w:val="21"/>
              </w:rPr>
              <w:t>0.053</w:t>
            </w:r>
          </w:p>
        </w:tc>
        <w:tc>
          <w:tcPr>
            <w:tcW w:w="1418" w:type="dxa"/>
            <w:vAlign w:val="center"/>
          </w:tcPr>
          <w:p>
            <w:pPr>
              <w:jc w:val="center"/>
              <w:rPr>
                <w:szCs w:val="21"/>
              </w:rPr>
            </w:pPr>
            <w:r>
              <w:rPr>
                <w:szCs w:val="21"/>
              </w:rPr>
              <w:t>0</w:t>
            </w:r>
          </w:p>
        </w:tc>
        <w:tc>
          <w:tcPr>
            <w:tcW w:w="1701" w:type="dxa"/>
            <w:vAlign w:val="center"/>
          </w:tcPr>
          <w:p>
            <w:pPr>
              <w:adjustRightInd w:val="0"/>
              <w:snapToGrid w:val="0"/>
              <w:jc w:val="center"/>
              <w:rPr>
                <w:szCs w:val="21"/>
              </w:rPr>
            </w:pPr>
            <w:r>
              <w:rPr>
                <w:rFonts w:hint="eastAsia"/>
                <w:szCs w:val="21"/>
              </w:rPr>
              <w:t>0.053</w:t>
            </w:r>
          </w:p>
        </w:tc>
        <w:tc>
          <w:tcPr>
            <w:tcW w:w="1427" w:type="dxa"/>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NH</w:t>
            </w:r>
            <w:r>
              <w:rPr>
                <w:rFonts w:ascii="Times New Roman"/>
                <w:snapToGrid w:val="0"/>
                <w:kern w:val="21"/>
                <w:szCs w:val="21"/>
                <w:vertAlign w:val="subscript"/>
              </w:rPr>
              <w:t>3</w:t>
            </w:r>
            <w:r>
              <w:rPr>
                <w:rFonts w:ascii="Times New Roman"/>
                <w:snapToGrid w:val="0"/>
                <w:kern w:val="21"/>
                <w:szCs w:val="21"/>
              </w:rPr>
              <w:t>-N</w:t>
            </w:r>
          </w:p>
        </w:tc>
        <w:tc>
          <w:tcPr>
            <w:tcW w:w="1843"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pPr>
              <w:adjustRightInd w:val="0"/>
              <w:snapToGrid w:val="0"/>
              <w:jc w:val="center"/>
              <w:rPr>
                <w:szCs w:val="21"/>
              </w:rPr>
            </w:pPr>
            <w:r>
              <w:rPr>
                <w:rFonts w:hint="eastAsia"/>
                <w:szCs w:val="21"/>
              </w:rPr>
              <w:t>0.016（0.027）</w:t>
            </w:r>
          </w:p>
        </w:tc>
        <w:tc>
          <w:tcPr>
            <w:tcW w:w="1418" w:type="dxa"/>
            <w:vAlign w:val="center"/>
          </w:tcPr>
          <w:p>
            <w:pPr>
              <w:jc w:val="center"/>
              <w:rPr>
                <w:szCs w:val="21"/>
              </w:rPr>
            </w:pPr>
            <w:r>
              <w:rPr>
                <w:szCs w:val="21"/>
              </w:rPr>
              <w:t>0</w:t>
            </w:r>
          </w:p>
        </w:tc>
        <w:tc>
          <w:tcPr>
            <w:tcW w:w="1701" w:type="dxa"/>
            <w:vAlign w:val="center"/>
          </w:tcPr>
          <w:p>
            <w:pPr>
              <w:adjustRightInd w:val="0"/>
              <w:snapToGrid w:val="0"/>
              <w:jc w:val="center"/>
              <w:rPr>
                <w:szCs w:val="21"/>
              </w:rPr>
            </w:pPr>
            <w:r>
              <w:rPr>
                <w:rFonts w:hint="eastAsia"/>
                <w:szCs w:val="21"/>
              </w:rPr>
              <w:t>0.016（0.027）</w:t>
            </w:r>
          </w:p>
        </w:tc>
        <w:tc>
          <w:tcPr>
            <w:tcW w:w="1427" w:type="dxa"/>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SS</w:t>
            </w:r>
          </w:p>
        </w:tc>
        <w:tc>
          <w:tcPr>
            <w:tcW w:w="1843"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pPr>
              <w:adjustRightInd w:val="0"/>
              <w:snapToGrid w:val="0"/>
              <w:jc w:val="center"/>
              <w:rPr>
                <w:szCs w:val="21"/>
              </w:rPr>
            </w:pPr>
            <w:r>
              <w:rPr>
                <w:rFonts w:hint="eastAsia"/>
                <w:szCs w:val="21"/>
              </w:rPr>
              <w:t>0.053</w:t>
            </w:r>
          </w:p>
        </w:tc>
        <w:tc>
          <w:tcPr>
            <w:tcW w:w="1418" w:type="dxa"/>
            <w:vAlign w:val="center"/>
          </w:tcPr>
          <w:p>
            <w:pPr>
              <w:adjustRightInd w:val="0"/>
              <w:snapToGrid w:val="0"/>
              <w:jc w:val="center"/>
              <w:rPr>
                <w:bCs/>
                <w:spacing w:val="-10"/>
                <w:szCs w:val="21"/>
              </w:rPr>
            </w:pPr>
            <w:r>
              <w:rPr>
                <w:bCs/>
                <w:spacing w:val="-10"/>
                <w:szCs w:val="21"/>
              </w:rPr>
              <w:t>0</w:t>
            </w:r>
          </w:p>
        </w:tc>
        <w:tc>
          <w:tcPr>
            <w:tcW w:w="1701" w:type="dxa"/>
            <w:vAlign w:val="center"/>
          </w:tcPr>
          <w:p>
            <w:pPr>
              <w:adjustRightInd w:val="0"/>
              <w:snapToGrid w:val="0"/>
              <w:jc w:val="center"/>
              <w:rPr>
                <w:szCs w:val="21"/>
              </w:rPr>
            </w:pPr>
            <w:r>
              <w:rPr>
                <w:rFonts w:hint="eastAsia"/>
                <w:szCs w:val="21"/>
              </w:rPr>
              <w:t>0.053</w:t>
            </w:r>
          </w:p>
        </w:tc>
        <w:tc>
          <w:tcPr>
            <w:tcW w:w="1427" w:type="dxa"/>
            <w:vAlign w:val="center"/>
          </w:tcPr>
          <w:p>
            <w:pPr>
              <w:adjustRightInd w:val="0"/>
              <w:snapToGrid w:val="0"/>
              <w:jc w:val="center"/>
              <w:rPr>
                <w:bCs/>
                <w:spacing w:val="-10"/>
                <w:szCs w:val="21"/>
              </w:rPr>
            </w:pPr>
            <w:r>
              <w:rPr>
                <w:bCs/>
                <w:spacing w:val="-1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pPr>
              <w:pStyle w:val="44"/>
              <w:spacing w:beforeLines="0" w:afterLines="0" w:line="240" w:lineRule="auto"/>
              <w:rPr>
                <w:rFonts w:ascii="Times New Roman"/>
                <w:b/>
                <w:snapToGrid w:val="0"/>
                <w:kern w:val="21"/>
                <w:szCs w:val="21"/>
              </w:rPr>
            </w:pPr>
            <w:r>
              <w:rPr>
                <w:rFonts w:ascii="Times New Roman"/>
                <w:b/>
                <w:snapToGrid w:val="0"/>
                <w:kern w:val="21"/>
                <w:szCs w:val="21"/>
              </w:rPr>
              <w:t>一般工业</w:t>
            </w:r>
          </w:p>
          <w:p>
            <w:pPr>
              <w:pStyle w:val="44"/>
              <w:spacing w:beforeLines="0" w:afterLines="0" w:line="240" w:lineRule="auto"/>
              <w:rPr>
                <w:rFonts w:ascii="Times New Roman"/>
                <w:b/>
                <w:snapToGrid w:val="0"/>
                <w:kern w:val="21"/>
                <w:szCs w:val="21"/>
              </w:rPr>
            </w:pPr>
            <w:r>
              <w:rPr>
                <w:rFonts w:ascii="Times New Roman"/>
                <w:b/>
                <w:snapToGrid w:val="0"/>
                <w:kern w:val="21"/>
                <w:szCs w:val="21"/>
              </w:rPr>
              <w:t>固体废物</w:t>
            </w:r>
          </w:p>
        </w:tc>
        <w:tc>
          <w:tcPr>
            <w:tcW w:w="1559" w:type="dxa"/>
            <w:vAlign w:val="center"/>
          </w:tcPr>
          <w:p>
            <w:pPr>
              <w:jc w:val="center"/>
              <w:rPr>
                <w:szCs w:val="21"/>
              </w:rPr>
            </w:pPr>
            <w:r>
              <w:rPr>
                <w:szCs w:val="21"/>
              </w:rPr>
              <w:t>生活垃圾</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42</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13</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jc w:val="center"/>
              <w:rPr>
                <w:szCs w:val="21"/>
              </w:rPr>
            </w:pPr>
            <w:r>
              <w:rPr>
                <w:rFonts w:hint="eastAsia"/>
                <w:szCs w:val="21"/>
              </w:rPr>
              <w:t>废弃包装袋</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6.7</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0.5</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jc w:val="center"/>
              <w:rPr>
                <w:szCs w:val="21"/>
              </w:rPr>
            </w:pPr>
            <w:r>
              <w:rPr>
                <w:rFonts w:hint="eastAsia"/>
                <w:szCs w:val="21"/>
              </w:rPr>
              <w:t>纯水过滤材料</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0.1</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0.041</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jc w:val="center"/>
              <w:rPr>
                <w:szCs w:val="21"/>
              </w:rPr>
            </w:pPr>
            <w:r>
              <w:rPr>
                <w:rFonts w:hint="eastAsia"/>
                <w:szCs w:val="21"/>
              </w:rPr>
              <w:t>空中转破桶</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1.174</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0.02</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jc w:val="center"/>
              <w:rPr>
                <w:szCs w:val="21"/>
              </w:rPr>
            </w:pPr>
            <w:r>
              <w:rPr>
                <w:szCs w:val="21"/>
              </w:rPr>
              <w:t>回收粉尘</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2.088</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0.03</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jc w:val="center"/>
              <w:rPr>
                <w:szCs w:val="21"/>
              </w:rPr>
            </w:pPr>
            <w:r>
              <w:rPr>
                <w:szCs w:val="21"/>
              </w:rPr>
              <w:t>废活性炭</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napToGrid w:val="0"/>
                <w:kern w:val="21"/>
                <w:szCs w:val="21"/>
              </w:rPr>
              <w:t>3.775</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3.775</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jc w:val="center"/>
              <w:rPr>
                <w:kern w:val="0"/>
                <w:szCs w:val="21"/>
              </w:rPr>
            </w:pPr>
            <w:r>
              <w:rPr>
                <w:rFonts w:hint="eastAsia"/>
                <w:kern w:val="0"/>
                <w:szCs w:val="21"/>
              </w:rPr>
              <w:t>废棉纱及废手套</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0.1</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0.1</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jc w:val="center"/>
              <w:rPr>
                <w:kern w:val="0"/>
                <w:szCs w:val="21"/>
              </w:rPr>
            </w:pPr>
            <w:r>
              <w:rPr>
                <w:rFonts w:hint="eastAsia"/>
                <w:kern w:val="0"/>
                <w:szCs w:val="21"/>
              </w:rPr>
              <w:t>废机油</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0.1</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0.1</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pPr>
              <w:pStyle w:val="44"/>
              <w:spacing w:beforeLines="0" w:afterLines="0" w:line="240" w:lineRule="auto"/>
              <w:rPr>
                <w:rFonts w:ascii="Times New Roman"/>
                <w:b/>
                <w:snapToGrid w:val="0"/>
                <w:kern w:val="21"/>
                <w:szCs w:val="21"/>
              </w:rPr>
            </w:pPr>
          </w:p>
        </w:tc>
        <w:tc>
          <w:tcPr>
            <w:tcW w:w="1559" w:type="dxa"/>
            <w:vAlign w:val="center"/>
          </w:tcPr>
          <w:p>
            <w:pPr>
              <w:jc w:val="center"/>
              <w:rPr>
                <w:kern w:val="0"/>
                <w:szCs w:val="21"/>
              </w:rPr>
            </w:pPr>
            <w:r>
              <w:rPr>
                <w:rFonts w:hint="eastAsia"/>
                <w:kern w:val="0"/>
                <w:szCs w:val="21"/>
              </w:rPr>
              <w:t>废含油手套</w:t>
            </w:r>
          </w:p>
        </w:tc>
        <w:tc>
          <w:tcPr>
            <w:tcW w:w="1843"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pPr>
              <w:jc w:val="center"/>
              <w:rPr>
                <w:szCs w:val="21"/>
              </w:rPr>
            </w:pPr>
            <w:r>
              <w:rPr>
                <w:rFonts w:hint="eastAsia"/>
                <w:szCs w:val="21"/>
              </w:rPr>
              <w:t>0.1</w:t>
            </w:r>
          </w:p>
        </w:tc>
        <w:tc>
          <w:tcPr>
            <w:tcW w:w="1418"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pPr>
              <w:jc w:val="center"/>
              <w:rPr>
                <w:szCs w:val="21"/>
              </w:rPr>
            </w:pPr>
            <w:r>
              <w:rPr>
                <w:rFonts w:hint="eastAsia"/>
                <w:szCs w:val="21"/>
              </w:rPr>
              <w:t>0.1</w:t>
            </w:r>
          </w:p>
        </w:tc>
        <w:tc>
          <w:tcPr>
            <w:tcW w:w="1427" w:type="dxa"/>
            <w:vAlign w:val="center"/>
          </w:tcPr>
          <w:p>
            <w:pPr>
              <w:pStyle w:val="44"/>
              <w:spacing w:beforeLines="0" w:afterLines="0" w:line="240" w:lineRule="auto"/>
              <w:rPr>
                <w:rFonts w:ascii="Times New Roman"/>
                <w:snapToGrid w:val="0"/>
                <w:kern w:val="21"/>
                <w:szCs w:val="21"/>
              </w:rPr>
            </w:pPr>
            <w:r>
              <w:rPr>
                <w:rFonts w:hint="eastAsia" w:ascii="Times New Roman"/>
                <w:snapToGrid w:val="0"/>
                <w:kern w:val="21"/>
                <w:szCs w:val="21"/>
              </w:rPr>
              <w:t>0</w:t>
            </w:r>
          </w:p>
        </w:tc>
      </w:tr>
    </w:tbl>
    <w:p>
      <w:pPr>
        <w:pStyle w:val="44"/>
        <w:spacing w:beforeLines="80" w:after="24"/>
        <w:jc w:val="left"/>
        <w:rPr>
          <w:rFonts w:hAnsi="宋体"/>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int="eastAsia" w:hAnsi="宋体"/>
          <w:snapToGrid w:val="0"/>
          <w:spacing w:val="-6"/>
          <w:kern w:val="21"/>
          <w:szCs w:val="21"/>
        </w:rPr>
        <w:t>；废水中（）代表远期污染物排放量。</w:t>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00"/>
    <w:family w:val="roman"/>
    <w:pitch w:val="default"/>
    <w:sig w:usb0="00000000" w:usb1="00000000" w:usb2="00000010"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36"/>
      </w:rPr>
    </w:pPr>
    <w:r>
      <w:fldChar w:fldCharType="begin"/>
    </w:r>
    <w:r>
      <w:rPr>
        <w:rStyle w:val="36"/>
      </w:rPr>
      <w:instrText xml:space="preserve">PAGE  </w:instrText>
    </w:r>
    <w:r>
      <w:fldChar w:fldCharType="end"/>
    </w:r>
  </w:p>
  <w:p>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62</w:t>
    </w:r>
    <w:r>
      <w:rPr>
        <w:lang w:val="zh-CN"/>
      </w:rPr>
      <w:fldChar w:fldCharType="end"/>
    </w:r>
  </w:p>
  <w:p>
    <w:pPr>
      <w:pStyle w:val="2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4B1F78"/>
    <w:multiLevelType w:val="multilevel"/>
    <w:tmpl w:val="454B1F78"/>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1002"/>
        </w:tabs>
        <w:ind w:left="1002" w:hanging="576"/>
      </w:pPr>
    </w:lvl>
    <w:lvl w:ilvl="2" w:tentative="0">
      <w:start w:val="1"/>
      <w:numFmt w:val="decimal"/>
      <w:lvlText w:val="%1.%2.%3"/>
      <w:lvlJc w:val="left"/>
      <w:pPr>
        <w:tabs>
          <w:tab w:val="left" w:pos="1288"/>
        </w:tabs>
        <w:ind w:left="1288" w:hanging="720"/>
      </w:pPr>
      <w:rPr>
        <w:sz w:val="24"/>
        <w:szCs w:val="24"/>
      </w:rPr>
    </w:lvl>
    <w:lvl w:ilvl="3" w:tentative="0">
      <w:start w:val="1"/>
      <w:numFmt w:val="decimal"/>
      <w:pStyle w:val="11"/>
      <w:lvlText w:val="%1.%2.%3.%4"/>
      <w:lvlJc w:val="left"/>
      <w:pPr>
        <w:tabs>
          <w:tab w:val="left" w:pos="1574"/>
        </w:tabs>
        <w:ind w:left="1574" w:hanging="864"/>
      </w:pPr>
      <w:rPr>
        <w:rFonts w:hint="default" w:ascii="Times New Roman" w:hAnsi="Times New Roman" w:cs="Times New Roman"/>
        <w:sz w:val="24"/>
        <w:szCs w:val="24"/>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attachedTemplate r:id="rId1"/>
  <w:documentProtection w:edit="readOnly"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WYwNTEyODM1NDQxNjYzN2JhYjFlZjYyNTZjMzA2ZjkifQ=="/>
    <w:docVar w:name="KSO_WPS_MARK_KEY" w:val="8a8f3bf4-b6ea-4347-9a6f-edb846b16dab"/>
  </w:docVars>
  <w:rsids>
    <w:rsidRoot w:val="00A14947"/>
    <w:rsid w:val="000022F8"/>
    <w:rsid w:val="00004009"/>
    <w:rsid w:val="00004285"/>
    <w:rsid w:val="00005B7E"/>
    <w:rsid w:val="000060B3"/>
    <w:rsid w:val="000075E8"/>
    <w:rsid w:val="00007EAB"/>
    <w:rsid w:val="0001021C"/>
    <w:rsid w:val="00010480"/>
    <w:rsid w:val="00010611"/>
    <w:rsid w:val="0001217B"/>
    <w:rsid w:val="000127AA"/>
    <w:rsid w:val="00013F7F"/>
    <w:rsid w:val="00015646"/>
    <w:rsid w:val="00016AA9"/>
    <w:rsid w:val="0001725E"/>
    <w:rsid w:val="000172B8"/>
    <w:rsid w:val="00017F38"/>
    <w:rsid w:val="00021938"/>
    <w:rsid w:val="00022523"/>
    <w:rsid w:val="0002376C"/>
    <w:rsid w:val="000237ED"/>
    <w:rsid w:val="00024DE2"/>
    <w:rsid w:val="0002559C"/>
    <w:rsid w:val="00026C19"/>
    <w:rsid w:val="00031B73"/>
    <w:rsid w:val="00031D3B"/>
    <w:rsid w:val="000324D7"/>
    <w:rsid w:val="000345FB"/>
    <w:rsid w:val="00034C5A"/>
    <w:rsid w:val="000366F3"/>
    <w:rsid w:val="000367C8"/>
    <w:rsid w:val="00037D1E"/>
    <w:rsid w:val="00040322"/>
    <w:rsid w:val="00041BF1"/>
    <w:rsid w:val="00041E8B"/>
    <w:rsid w:val="0004364B"/>
    <w:rsid w:val="00043CB8"/>
    <w:rsid w:val="00043D37"/>
    <w:rsid w:val="00043E9B"/>
    <w:rsid w:val="00044261"/>
    <w:rsid w:val="00044877"/>
    <w:rsid w:val="000448CE"/>
    <w:rsid w:val="00045313"/>
    <w:rsid w:val="0004693D"/>
    <w:rsid w:val="000472EA"/>
    <w:rsid w:val="00047E05"/>
    <w:rsid w:val="00050589"/>
    <w:rsid w:val="00050B1B"/>
    <w:rsid w:val="00051423"/>
    <w:rsid w:val="0005461E"/>
    <w:rsid w:val="000560D6"/>
    <w:rsid w:val="0005746C"/>
    <w:rsid w:val="00061B1F"/>
    <w:rsid w:val="00062AB8"/>
    <w:rsid w:val="000653BC"/>
    <w:rsid w:val="0006558E"/>
    <w:rsid w:val="00065E2A"/>
    <w:rsid w:val="00067A61"/>
    <w:rsid w:val="0007111B"/>
    <w:rsid w:val="0007216A"/>
    <w:rsid w:val="00072371"/>
    <w:rsid w:val="00072D39"/>
    <w:rsid w:val="000733C4"/>
    <w:rsid w:val="00074060"/>
    <w:rsid w:val="00074783"/>
    <w:rsid w:val="00076B5F"/>
    <w:rsid w:val="00076F82"/>
    <w:rsid w:val="00077D6B"/>
    <w:rsid w:val="0008070B"/>
    <w:rsid w:val="000810AC"/>
    <w:rsid w:val="00081A02"/>
    <w:rsid w:val="00082231"/>
    <w:rsid w:val="00082ACC"/>
    <w:rsid w:val="00082BA6"/>
    <w:rsid w:val="00082BCE"/>
    <w:rsid w:val="00082E1F"/>
    <w:rsid w:val="0008313C"/>
    <w:rsid w:val="000836AF"/>
    <w:rsid w:val="00083BB2"/>
    <w:rsid w:val="00083D87"/>
    <w:rsid w:val="00084333"/>
    <w:rsid w:val="000858FB"/>
    <w:rsid w:val="000864AF"/>
    <w:rsid w:val="00086C4A"/>
    <w:rsid w:val="00086FAC"/>
    <w:rsid w:val="000879AB"/>
    <w:rsid w:val="00087B8A"/>
    <w:rsid w:val="00087CB1"/>
    <w:rsid w:val="00091853"/>
    <w:rsid w:val="00092BD9"/>
    <w:rsid w:val="00092D38"/>
    <w:rsid w:val="0009377B"/>
    <w:rsid w:val="00094B78"/>
    <w:rsid w:val="00095095"/>
    <w:rsid w:val="00095E10"/>
    <w:rsid w:val="00095FCF"/>
    <w:rsid w:val="000974B6"/>
    <w:rsid w:val="000A05E2"/>
    <w:rsid w:val="000A1B4F"/>
    <w:rsid w:val="000A20C9"/>
    <w:rsid w:val="000A2A98"/>
    <w:rsid w:val="000A40A9"/>
    <w:rsid w:val="000A50C7"/>
    <w:rsid w:val="000A514E"/>
    <w:rsid w:val="000A6291"/>
    <w:rsid w:val="000A7AE8"/>
    <w:rsid w:val="000B0574"/>
    <w:rsid w:val="000B058F"/>
    <w:rsid w:val="000B4147"/>
    <w:rsid w:val="000B4467"/>
    <w:rsid w:val="000B4DB9"/>
    <w:rsid w:val="000B6222"/>
    <w:rsid w:val="000B686B"/>
    <w:rsid w:val="000B6B81"/>
    <w:rsid w:val="000B6C91"/>
    <w:rsid w:val="000B7D76"/>
    <w:rsid w:val="000B7DDC"/>
    <w:rsid w:val="000B7FBB"/>
    <w:rsid w:val="000C09AC"/>
    <w:rsid w:val="000C0B78"/>
    <w:rsid w:val="000C21B2"/>
    <w:rsid w:val="000C317E"/>
    <w:rsid w:val="000C31AB"/>
    <w:rsid w:val="000C5000"/>
    <w:rsid w:val="000C5D1D"/>
    <w:rsid w:val="000C6F99"/>
    <w:rsid w:val="000C767F"/>
    <w:rsid w:val="000D02CB"/>
    <w:rsid w:val="000D0670"/>
    <w:rsid w:val="000D1AF2"/>
    <w:rsid w:val="000D2B71"/>
    <w:rsid w:val="000D2F5C"/>
    <w:rsid w:val="000D44C7"/>
    <w:rsid w:val="000D46B3"/>
    <w:rsid w:val="000D5A44"/>
    <w:rsid w:val="000D66B3"/>
    <w:rsid w:val="000D7D1C"/>
    <w:rsid w:val="000E0A2C"/>
    <w:rsid w:val="000E1D9A"/>
    <w:rsid w:val="000E1F37"/>
    <w:rsid w:val="000E30D7"/>
    <w:rsid w:val="000E361E"/>
    <w:rsid w:val="000E37EB"/>
    <w:rsid w:val="000E3E7A"/>
    <w:rsid w:val="000E3ED2"/>
    <w:rsid w:val="000E4612"/>
    <w:rsid w:val="000E56A9"/>
    <w:rsid w:val="000E5EA0"/>
    <w:rsid w:val="000E6188"/>
    <w:rsid w:val="000E69A1"/>
    <w:rsid w:val="000E6E81"/>
    <w:rsid w:val="000F014D"/>
    <w:rsid w:val="000F1832"/>
    <w:rsid w:val="000F1CB8"/>
    <w:rsid w:val="000F1CE6"/>
    <w:rsid w:val="000F2174"/>
    <w:rsid w:val="000F2ECB"/>
    <w:rsid w:val="000F45C2"/>
    <w:rsid w:val="000F680C"/>
    <w:rsid w:val="000F6EC3"/>
    <w:rsid w:val="000F7A96"/>
    <w:rsid w:val="00101731"/>
    <w:rsid w:val="00101B4A"/>
    <w:rsid w:val="0010248E"/>
    <w:rsid w:val="00102891"/>
    <w:rsid w:val="001035CB"/>
    <w:rsid w:val="00103A0A"/>
    <w:rsid w:val="00103B0A"/>
    <w:rsid w:val="00104CE8"/>
    <w:rsid w:val="00104E25"/>
    <w:rsid w:val="0010739F"/>
    <w:rsid w:val="00107558"/>
    <w:rsid w:val="00112BE9"/>
    <w:rsid w:val="00113DDA"/>
    <w:rsid w:val="001140C2"/>
    <w:rsid w:val="001145B1"/>
    <w:rsid w:val="0011492F"/>
    <w:rsid w:val="001155CA"/>
    <w:rsid w:val="00115659"/>
    <w:rsid w:val="001176BF"/>
    <w:rsid w:val="00117F0F"/>
    <w:rsid w:val="00122288"/>
    <w:rsid w:val="00123721"/>
    <w:rsid w:val="0012509B"/>
    <w:rsid w:val="00130FF5"/>
    <w:rsid w:val="00131204"/>
    <w:rsid w:val="00131528"/>
    <w:rsid w:val="00131F42"/>
    <w:rsid w:val="00131FF5"/>
    <w:rsid w:val="00132098"/>
    <w:rsid w:val="0013299B"/>
    <w:rsid w:val="001330EC"/>
    <w:rsid w:val="00133F7E"/>
    <w:rsid w:val="0013455E"/>
    <w:rsid w:val="001357F1"/>
    <w:rsid w:val="00135B07"/>
    <w:rsid w:val="00135E11"/>
    <w:rsid w:val="00136100"/>
    <w:rsid w:val="00140FA8"/>
    <w:rsid w:val="001410E8"/>
    <w:rsid w:val="0014141E"/>
    <w:rsid w:val="001422F3"/>
    <w:rsid w:val="00142FEB"/>
    <w:rsid w:val="00143A2D"/>
    <w:rsid w:val="00144800"/>
    <w:rsid w:val="00144D52"/>
    <w:rsid w:val="001451CF"/>
    <w:rsid w:val="00145A41"/>
    <w:rsid w:val="001468A2"/>
    <w:rsid w:val="00147AC0"/>
    <w:rsid w:val="00147C1C"/>
    <w:rsid w:val="00150180"/>
    <w:rsid w:val="0015158A"/>
    <w:rsid w:val="00151675"/>
    <w:rsid w:val="00151BAA"/>
    <w:rsid w:val="00152ED7"/>
    <w:rsid w:val="00153526"/>
    <w:rsid w:val="00154BE3"/>
    <w:rsid w:val="00155E75"/>
    <w:rsid w:val="0015709B"/>
    <w:rsid w:val="00157435"/>
    <w:rsid w:val="00157A4C"/>
    <w:rsid w:val="00157D93"/>
    <w:rsid w:val="001601AF"/>
    <w:rsid w:val="00160EB7"/>
    <w:rsid w:val="00161990"/>
    <w:rsid w:val="001623CC"/>
    <w:rsid w:val="00162ED9"/>
    <w:rsid w:val="00163051"/>
    <w:rsid w:val="001651E1"/>
    <w:rsid w:val="001706FB"/>
    <w:rsid w:val="00173C0A"/>
    <w:rsid w:val="00174A54"/>
    <w:rsid w:val="0017504D"/>
    <w:rsid w:val="00175182"/>
    <w:rsid w:val="0017523B"/>
    <w:rsid w:val="0017671A"/>
    <w:rsid w:val="0017723D"/>
    <w:rsid w:val="00177422"/>
    <w:rsid w:val="0018049A"/>
    <w:rsid w:val="00180AFB"/>
    <w:rsid w:val="001844E4"/>
    <w:rsid w:val="00184590"/>
    <w:rsid w:val="001851B1"/>
    <w:rsid w:val="00185C7D"/>
    <w:rsid w:val="00186269"/>
    <w:rsid w:val="001863EE"/>
    <w:rsid w:val="001870D1"/>
    <w:rsid w:val="0018781E"/>
    <w:rsid w:val="001900CC"/>
    <w:rsid w:val="0019262D"/>
    <w:rsid w:val="00193325"/>
    <w:rsid w:val="00195C9E"/>
    <w:rsid w:val="001A0243"/>
    <w:rsid w:val="001A0BC1"/>
    <w:rsid w:val="001A1B35"/>
    <w:rsid w:val="001A275B"/>
    <w:rsid w:val="001A3A93"/>
    <w:rsid w:val="001A48A2"/>
    <w:rsid w:val="001A4DBB"/>
    <w:rsid w:val="001A5D52"/>
    <w:rsid w:val="001A6385"/>
    <w:rsid w:val="001A6F61"/>
    <w:rsid w:val="001B0FFD"/>
    <w:rsid w:val="001B16D3"/>
    <w:rsid w:val="001B305C"/>
    <w:rsid w:val="001B5405"/>
    <w:rsid w:val="001B72B8"/>
    <w:rsid w:val="001C02CC"/>
    <w:rsid w:val="001C067F"/>
    <w:rsid w:val="001C21F1"/>
    <w:rsid w:val="001C27CF"/>
    <w:rsid w:val="001C33F5"/>
    <w:rsid w:val="001C3C55"/>
    <w:rsid w:val="001C5152"/>
    <w:rsid w:val="001C60F0"/>
    <w:rsid w:val="001C667C"/>
    <w:rsid w:val="001C69B3"/>
    <w:rsid w:val="001D0B2E"/>
    <w:rsid w:val="001D1468"/>
    <w:rsid w:val="001D3112"/>
    <w:rsid w:val="001D32DC"/>
    <w:rsid w:val="001D5595"/>
    <w:rsid w:val="001D6D7F"/>
    <w:rsid w:val="001D75E5"/>
    <w:rsid w:val="001D785D"/>
    <w:rsid w:val="001D7874"/>
    <w:rsid w:val="001D7F22"/>
    <w:rsid w:val="001E22BF"/>
    <w:rsid w:val="001E2638"/>
    <w:rsid w:val="001E2AD3"/>
    <w:rsid w:val="001E2CA5"/>
    <w:rsid w:val="001E3958"/>
    <w:rsid w:val="001E4155"/>
    <w:rsid w:val="001E44AB"/>
    <w:rsid w:val="001E71F9"/>
    <w:rsid w:val="001F0105"/>
    <w:rsid w:val="001F0D10"/>
    <w:rsid w:val="001F0F17"/>
    <w:rsid w:val="001F1058"/>
    <w:rsid w:val="001F2159"/>
    <w:rsid w:val="001F3347"/>
    <w:rsid w:val="001F4B01"/>
    <w:rsid w:val="001F4C2B"/>
    <w:rsid w:val="001F58B7"/>
    <w:rsid w:val="001F5E2D"/>
    <w:rsid w:val="001F69E4"/>
    <w:rsid w:val="001F6CD9"/>
    <w:rsid w:val="001F7229"/>
    <w:rsid w:val="00200EB4"/>
    <w:rsid w:val="00201B43"/>
    <w:rsid w:val="00202C40"/>
    <w:rsid w:val="00202E83"/>
    <w:rsid w:val="002031A1"/>
    <w:rsid w:val="002049CF"/>
    <w:rsid w:val="002052CB"/>
    <w:rsid w:val="00205C7B"/>
    <w:rsid w:val="00205FAF"/>
    <w:rsid w:val="0020692D"/>
    <w:rsid w:val="00206AF4"/>
    <w:rsid w:val="00211DCC"/>
    <w:rsid w:val="002125B4"/>
    <w:rsid w:val="00212C39"/>
    <w:rsid w:val="00213592"/>
    <w:rsid w:val="002147AB"/>
    <w:rsid w:val="00214A0C"/>
    <w:rsid w:val="002155B8"/>
    <w:rsid w:val="00215ACA"/>
    <w:rsid w:val="00216C3E"/>
    <w:rsid w:val="00220443"/>
    <w:rsid w:val="00221C5B"/>
    <w:rsid w:val="00221FD8"/>
    <w:rsid w:val="002224CA"/>
    <w:rsid w:val="00222FBC"/>
    <w:rsid w:val="00223ED3"/>
    <w:rsid w:val="00224839"/>
    <w:rsid w:val="002249B2"/>
    <w:rsid w:val="00226566"/>
    <w:rsid w:val="00226574"/>
    <w:rsid w:val="00226FD0"/>
    <w:rsid w:val="002278EC"/>
    <w:rsid w:val="00230253"/>
    <w:rsid w:val="00230697"/>
    <w:rsid w:val="00231DF0"/>
    <w:rsid w:val="00231F57"/>
    <w:rsid w:val="0023280E"/>
    <w:rsid w:val="00232BE6"/>
    <w:rsid w:val="00232C02"/>
    <w:rsid w:val="0023324B"/>
    <w:rsid w:val="002334BB"/>
    <w:rsid w:val="00235DF6"/>
    <w:rsid w:val="0023714D"/>
    <w:rsid w:val="002377D1"/>
    <w:rsid w:val="00237F89"/>
    <w:rsid w:val="00240D6C"/>
    <w:rsid w:val="00241CC9"/>
    <w:rsid w:val="002425AC"/>
    <w:rsid w:val="00242851"/>
    <w:rsid w:val="00242F4A"/>
    <w:rsid w:val="00246B28"/>
    <w:rsid w:val="00246C41"/>
    <w:rsid w:val="00246FAA"/>
    <w:rsid w:val="00247042"/>
    <w:rsid w:val="002479F7"/>
    <w:rsid w:val="00247EAD"/>
    <w:rsid w:val="00247ED6"/>
    <w:rsid w:val="00247F05"/>
    <w:rsid w:val="002506BC"/>
    <w:rsid w:val="002511E0"/>
    <w:rsid w:val="002514FC"/>
    <w:rsid w:val="0025254F"/>
    <w:rsid w:val="002526A4"/>
    <w:rsid w:val="00254345"/>
    <w:rsid w:val="00256E04"/>
    <w:rsid w:val="002571F7"/>
    <w:rsid w:val="002613D7"/>
    <w:rsid w:val="002624DF"/>
    <w:rsid w:val="00263005"/>
    <w:rsid w:val="00263573"/>
    <w:rsid w:val="00264522"/>
    <w:rsid w:val="00264557"/>
    <w:rsid w:val="002707B2"/>
    <w:rsid w:val="0027166C"/>
    <w:rsid w:val="00271ACA"/>
    <w:rsid w:val="00271B4D"/>
    <w:rsid w:val="00271FFC"/>
    <w:rsid w:val="00272DD9"/>
    <w:rsid w:val="00274C99"/>
    <w:rsid w:val="00277485"/>
    <w:rsid w:val="00277553"/>
    <w:rsid w:val="00277C1C"/>
    <w:rsid w:val="00280300"/>
    <w:rsid w:val="002805AB"/>
    <w:rsid w:val="00280CFF"/>
    <w:rsid w:val="00281C4A"/>
    <w:rsid w:val="0028232E"/>
    <w:rsid w:val="002826D3"/>
    <w:rsid w:val="00282F50"/>
    <w:rsid w:val="0028323D"/>
    <w:rsid w:val="00284204"/>
    <w:rsid w:val="002862B9"/>
    <w:rsid w:val="0028733C"/>
    <w:rsid w:val="0028757A"/>
    <w:rsid w:val="00290545"/>
    <w:rsid w:val="00291393"/>
    <w:rsid w:val="00291773"/>
    <w:rsid w:val="00291856"/>
    <w:rsid w:val="00292659"/>
    <w:rsid w:val="002939A2"/>
    <w:rsid w:val="00294941"/>
    <w:rsid w:val="00294A5F"/>
    <w:rsid w:val="00296318"/>
    <w:rsid w:val="002965FD"/>
    <w:rsid w:val="002A168C"/>
    <w:rsid w:val="002A1B1E"/>
    <w:rsid w:val="002A1D72"/>
    <w:rsid w:val="002A3DC7"/>
    <w:rsid w:val="002A4AAF"/>
    <w:rsid w:val="002A4FA5"/>
    <w:rsid w:val="002A5110"/>
    <w:rsid w:val="002A5EA6"/>
    <w:rsid w:val="002A6CAB"/>
    <w:rsid w:val="002A7C17"/>
    <w:rsid w:val="002B061C"/>
    <w:rsid w:val="002B0BF0"/>
    <w:rsid w:val="002B3793"/>
    <w:rsid w:val="002B40B4"/>
    <w:rsid w:val="002B4761"/>
    <w:rsid w:val="002B49E2"/>
    <w:rsid w:val="002B4BCD"/>
    <w:rsid w:val="002B5734"/>
    <w:rsid w:val="002B669D"/>
    <w:rsid w:val="002B672D"/>
    <w:rsid w:val="002B7861"/>
    <w:rsid w:val="002B7B00"/>
    <w:rsid w:val="002B7C44"/>
    <w:rsid w:val="002B7DF0"/>
    <w:rsid w:val="002C0D20"/>
    <w:rsid w:val="002C0EBD"/>
    <w:rsid w:val="002C1985"/>
    <w:rsid w:val="002C2B17"/>
    <w:rsid w:val="002C50C6"/>
    <w:rsid w:val="002C557E"/>
    <w:rsid w:val="002D088A"/>
    <w:rsid w:val="002D17A2"/>
    <w:rsid w:val="002D23D6"/>
    <w:rsid w:val="002D3DD0"/>
    <w:rsid w:val="002D3E9C"/>
    <w:rsid w:val="002D4980"/>
    <w:rsid w:val="002D4D3D"/>
    <w:rsid w:val="002D5027"/>
    <w:rsid w:val="002D65C9"/>
    <w:rsid w:val="002D6E83"/>
    <w:rsid w:val="002E1F3A"/>
    <w:rsid w:val="002E298A"/>
    <w:rsid w:val="002E3E2E"/>
    <w:rsid w:val="002E3F95"/>
    <w:rsid w:val="002E5961"/>
    <w:rsid w:val="002E70D3"/>
    <w:rsid w:val="002F04D9"/>
    <w:rsid w:val="002F0A09"/>
    <w:rsid w:val="002F0B5D"/>
    <w:rsid w:val="002F0C2A"/>
    <w:rsid w:val="002F1527"/>
    <w:rsid w:val="002F32E1"/>
    <w:rsid w:val="002F357D"/>
    <w:rsid w:val="002F4A0A"/>
    <w:rsid w:val="002F6DBF"/>
    <w:rsid w:val="00300168"/>
    <w:rsid w:val="00300625"/>
    <w:rsid w:val="0030173D"/>
    <w:rsid w:val="00301865"/>
    <w:rsid w:val="00301978"/>
    <w:rsid w:val="003020AF"/>
    <w:rsid w:val="0030332C"/>
    <w:rsid w:val="0030376C"/>
    <w:rsid w:val="00303C52"/>
    <w:rsid w:val="00303FD1"/>
    <w:rsid w:val="00304AAB"/>
    <w:rsid w:val="00304FF4"/>
    <w:rsid w:val="003051C2"/>
    <w:rsid w:val="00305657"/>
    <w:rsid w:val="00312296"/>
    <w:rsid w:val="00312C39"/>
    <w:rsid w:val="00312E67"/>
    <w:rsid w:val="00313198"/>
    <w:rsid w:val="00313695"/>
    <w:rsid w:val="0031402C"/>
    <w:rsid w:val="00314041"/>
    <w:rsid w:val="00314B6B"/>
    <w:rsid w:val="00314F0E"/>
    <w:rsid w:val="003157FF"/>
    <w:rsid w:val="00315C3A"/>
    <w:rsid w:val="00316EFA"/>
    <w:rsid w:val="0031769C"/>
    <w:rsid w:val="00317EB5"/>
    <w:rsid w:val="00320919"/>
    <w:rsid w:val="00320C20"/>
    <w:rsid w:val="00321D8E"/>
    <w:rsid w:val="00322697"/>
    <w:rsid w:val="00322777"/>
    <w:rsid w:val="003243C2"/>
    <w:rsid w:val="00324668"/>
    <w:rsid w:val="003248CC"/>
    <w:rsid w:val="0032506C"/>
    <w:rsid w:val="00325928"/>
    <w:rsid w:val="00325D9C"/>
    <w:rsid w:val="0032687F"/>
    <w:rsid w:val="00326C75"/>
    <w:rsid w:val="00326F97"/>
    <w:rsid w:val="00331564"/>
    <w:rsid w:val="00332863"/>
    <w:rsid w:val="0033371D"/>
    <w:rsid w:val="00334060"/>
    <w:rsid w:val="00334CE6"/>
    <w:rsid w:val="0033684D"/>
    <w:rsid w:val="00336BDE"/>
    <w:rsid w:val="00337B42"/>
    <w:rsid w:val="00341B42"/>
    <w:rsid w:val="00341B7D"/>
    <w:rsid w:val="00342DAE"/>
    <w:rsid w:val="0034348F"/>
    <w:rsid w:val="0034365E"/>
    <w:rsid w:val="0034397C"/>
    <w:rsid w:val="003448A2"/>
    <w:rsid w:val="0034688B"/>
    <w:rsid w:val="003478F7"/>
    <w:rsid w:val="00347BE4"/>
    <w:rsid w:val="00347EA6"/>
    <w:rsid w:val="00351730"/>
    <w:rsid w:val="00351F4C"/>
    <w:rsid w:val="00352805"/>
    <w:rsid w:val="0035344A"/>
    <w:rsid w:val="00354011"/>
    <w:rsid w:val="003540DE"/>
    <w:rsid w:val="003557F5"/>
    <w:rsid w:val="00355844"/>
    <w:rsid w:val="00355BC0"/>
    <w:rsid w:val="00356653"/>
    <w:rsid w:val="003567BA"/>
    <w:rsid w:val="003570FB"/>
    <w:rsid w:val="0035743F"/>
    <w:rsid w:val="00357BE2"/>
    <w:rsid w:val="00360614"/>
    <w:rsid w:val="00360650"/>
    <w:rsid w:val="003609DC"/>
    <w:rsid w:val="0036170C"/>
    <w:rsid w:val="003623C4"/>
    <w:rsid w:val="00362F31"/>
    <w:rsid w:val="00365C4A"/>
    <w:rsid w:val="00366587"/>
    <w:rsid w:val="00366E0F"/>
    <w:rsid w:val="00367983"/>
    <w:rsid w:val="00372DD3"/>
    <w:rsid w:val="0037475F"/>
    <w:rsid w:val="003761BA"/>
    <w:rsid w:val="003774A5"/>
    <w:rsid w:val="0037797C"/>
    <w:rsid w:val="00380AD7"/>
    <w:rsid w:val="00381A72"/>
    <w:rsid w:val="00381C94"/>
    <w:rsid w:val="003831A9"/>
    <w:rsid w:val="003834D3"/>
    <w:rsid w:val="0038453A"/>
    <w:rsid w:val="00384676"/>
    <w:rsid w:val="00385036"/>
    <w:rsid w:val="003861C4"/>
    <w:rsid w:val="00386552"/>
    <w:rsid w:val="00386778"/>
    <w:rsid w:val="00386C01"/>
    <w:rsid w:val="00386CB6"/>
    <w:rsid w:val="00387A42"/>
    <w:rsid w:val="00387E37"/>
    <w:rsid w:val="00390857"/>
    <w:rsid w:val="00391056"/>
    <w:rsid w:val="003919B6"/>
    <w:rsid w:val="0039319E"/>
    <w:rsid w:val="00395664"/>
    <w:rsid w:val="00395A5E"/>
    <w:rsid w:val="00396A78"/>
    <w:rsid w:val="003973D5"/>
    <w:rsid w:val="003A1938"/>
    <w:rsid w:val="003A1972"/>
    <w:rsid w:val="003A22E7"/>
    <w:rsid w:val="003A2C89"/>
    <w:rsid w:val="003A2DA4"/>
    <w:rsid w:val="003A2DF5"/>
    <w:rsid w:val="003A2E51"/>
    <w:rsid w:val="003A2FDE"/>
    <w:rsid w:val="003A32DB"/>
    <w:rsid w:val="003A36AE"/>
    <w:rsid w:val="003A4343"/>
    <w:rsid w:val="003A4B6F"/>
    <w:rsid w:val="003A4BF3"/>
    <w:rsid w:val="003A4EC9"/>
    <w:rsid w:val="003A663B"/>
    <w:rsid w:val="003A6760"/>
    <w:rsid w:val="003A7EC9"/>
    <w:rsid w:val="003B0218"/>
    <w:rsid w:val="003B2284"/>
    <w:rsid w:val="003B2DDF"/>
    <w:rsid w:val="003B32F6"/>
    <w:rsid w:val="003B39EC"/>
    <w:rsid w:val="003B420D"/>
    <w:rsid w:val="003B4FDB"/>
    <w:rsid w:val="003B5A19"/>
    <w:rsid w:val="003B5F95"/>
    <w:rsid w:val="003B6DE5"/>
    <w:rsid w:val="003B7793"/>
    <w:rsid w:val="003C1785"/>
    <w:rsid w:val="003C22B8"/>
    <w:rsid w:val="003C25C4"/>
    <w:rsid w:val="003C2D7F"/>
    <w:rsid w:val="003C2DFC"/>
    <w:rsid w:val="003C4B95"/>
    <w:rsid w:val="003C4C91"/>
    <w:rsid w:val="003C5E11"/>
    <w:rsid w:val="003C6C16"/>
    <w:rsid w:val="003D0E0A"/>
    <w:rsid w:val="003D1896"/>
    <w:rsid w:val="003D42F7"/>
    <w:rsid w:val="003D520F"/>
    <w:rsid w:val="003D5CA4"/>
    <w:rsid w:val="003D5DF9"/>
    <w:rsid w:val="003D794D"/>
    <w:rsid w:val="003E08A1"/>
    <w:rsid w:val="003E0A48"/>
    <w:rsid w:val="003E0DBA"/>
    <w:rsid w:val="003E1043"/>
    <w:rsid w:val="003E1D48"/>
    <w:rsid w:val="003E1F79"/>
    <w:rsid w:val="003E3058"/>
    <w:rsid w:val="003E393C"/>
    <w:rsid w:val="003E45EA"/>
    <w:rsid w:val="003E61E8"/>
    <w:rsid w:val="003E73F1"/>
    <w:rsid w:val="003E76A9"/>
    <w:rsid w:val="003E7EE9"/>
    <w:rsid w:val="003F02F9"/>
    <w:rsid w:val="003F0467"/>
    <w:rsid w:val="003F0809"/>
    <w:rsid w:val="003F1DD8"/>
    <w:rsid w:val="003F3013"/>
    <w:rsid w:val="003F4EC2"/>
    <w:rsid w:val="003F5270"/>
    <w:rsid w:val="003F5363"/>
    <w:rsid w:val="003F6291"/>
    <w:rsid w:val="003F6A8C"/>
    <w:rsid w:val="003F755C"/>
    <w:rsid w:val="003F7562"/>
    <w:rsid w:val="00400A40"/>
    <w:rsid w:val="0040228F"/>
    <w:rsid w:val="0040239D"/>
    <w:rsid w:val="0040498C"/>
    <w:rsid w:val="004053F9"/>
    <w:rsid w:val="004069CA"/>
    <w:rsid w:val="00406ABA"/>
    <w:rsid w:val="00406F01"/>
    <w:rsid w:val="004146E4"/>
    <w:rsid w:val="0041494E"/>
    <w:rsid w:val="00415A9C"/>
    <w:rsid w:val="00416D50"/>
    <w:rsid w:val="00416FD5"/>
    <w:rsid w:val="00417772"/>
    <w:rsid w:val="00417AC2"/>
    <w:rsid w:val="00420D68"/>
    <w:rsid w:val="00420E6A"/>
    <w:rsid w:val="00421014"/>
    <w:rsid w:val="00421043"/>
    <w:rsid w:val="00423301"/>
    <w:rsid w:val="00423AC2"/>
    <w:rsid w:val="00424C51"/>
    <w:rsid w:val="004255E6"/>
    <w:rsid w:val="00425A9E"/>
    <w:rsid w:val="00426D6B"/>
    <w:rsid w:val="00426FC2"/>
    <w:rsid w:val="00427115"/>
    <w:rsid w:val="00427C3A"/>
    <w:rsid w:val="004318EE"/>
    <w:rsid w:val="00431E6C"/>
    <w:rsid w:val="004331CB"/>
    <w:rsid w:val="004332B2"/>
    <w:rsid w:val="00433CE7"/>
    <w:rsid w:val="00434AD3"/>
    <w:rsid w:val="00440761"/>
    <w:rsid w:val="00441ECA"/>
    <w:rsid w:val="004422BC"/>
    <w:rsid w:val="004427B7"/>
    <w:rsid w:val="00443807"/>
    <w:rsid w:val="00444B06"/>
    <w:rsid w:val="00445EA2"/>
    <w:rsid w:val="0044744D"/>
    <w:rsid w:val="00447A29"/>
    <w:rsid w:val="004517AD"/>
    <w:rsid w:val="00452523"/>
    <w:rsid w:val="00452738"/>
    <w:rsid w:val="00452EEA"/>
    <w:rsid w:val="004547EC"/>
    <w:rsid w:val="00454916"/>
    <w:rsid w:val="00454CEF"/>
    <w:rsid w:val="004557D9"/>
    <w:rsid w:val="00456091"/>
    <w:rsid w:val="00456736"/>
    <w:rsid w:val="00456C71"/>
    <w:rsid w:val="0045702C"/>
    <w:rsid w:val="0045758E"/>
    <w:rsid w:val="00461CD4"/>
    <w:rsid w:val="0046383D"/>
    <w:rsid w:val="00463A4C"/>
    <w:rsid w:val="00463A53"/>
    <w:rsid w:val="0046410A"/>
    <w:rsid w:val="0046532D"/>
    <w:rsid w:val="00465746"/>
    <w:rsid w:val="00466321"/>
    <w:rsid w:val="00467847"/>
    <w:rsid w:val="004678C0"/>
    <w:rsid w:val="00470342"/>
    <w:rsid w:val="00470A1F"/>
    <w:rsid w:val="00472004"/>
    <w:rsid w:val="00472BD5"/>
    <w:rsid w:val="00474743"/>
    <w:rsid w:val="00476A8B"/>
    <w:rsid w:val="00476E28"/>
    <w:rsid w:val="004802CD"/>
    <w:rsid w:val="00480E83"/>
    <w:rsid w:val="00481780"/>
    <w:rsid w:val="00482557"/>
    <w:rsid w:val="00484B9B"/>
    <w:rsid w:val="004855F6"/>
    <w:rsid w:val="00485B53"/>
    <w:rsid w:val="00485DAB"/>
    <w:rsid w:val="00485F23"/>
    <w:rsid w:val="0048661E"/>
    <w:rsid w:val="00486D4B"/>
    <w:rsid w:val="00486FB8"/>
    <w:rsid w:val="00486FFC"/>
    <w:rsid w:val="004915CA"/>
    <w:rsid w:val="00491BB0"/>
    <w:rsid w:val="00491CA7"/>
    <w:rsid w:val="00491CFD"/>
    <w:rsid w:val="0049302F"/>
    <w:rsid w:val="00494670"/>
    <w:rsid w:val="00496A76"/>
    <w:rsid w:val="004A08B3"/>
    <w:rsid w:val="004A2649"/>
    <w:rsid w:val="004A2BB4"/>
    <w:rsid w:val="004A3094"/>
    <w:rsid w:val="004A3466"/>
    <w:rsid w:val="004A3823"/>
    <w:rsid w:val="004A40AF"/>
    <w:rsid w:val="004A67B2"/>
    <w:rsid w:val="004A7D10"/>
    <w:rsid w:val="004B288B"/>
    <w:rsid w:val="004B3E38"/>
    <w:rsid w:val="004B3EB4"/>
    <w:rsid w:val="004B4CAC"/>
    <w:rsid w:val="004B5E8D"/>
    <w:rsid w:val="004B6659"/>
    <w:rsid w:val="004B6965"/>
    <w:rsid w:val="004B7665"/>
    <w:rsid w:val="004B76D4"/>
    <w:rsid w:val="004B7D23"/>
    <w:rsid w:val="004C0081"/>
    <w:rsid w:val="004C0575"/>
    <w:rsid w:val="004C0893"/>
    <w:rsid w:val="004C0906"/>
    <w:rsid w:val="004C0F02"/>
    <w:rsid w:val="004C2067"/>
    <w:rsid w:val="004C2331"/>
    <w:rsid w:val="004C6376"/>
    <w:rsid w:val="004C6CFE"/>
    <w:rsid w:val="004D1D82"/>
    <w:rsid w:val="004D2B05"/>
    <w:rsid w:val="004D3D55"/>
    <w:rsid w:val="004D4236"/>
    <w:rsid w:val="004D43F1"/>
    <w:rsid w:val="004D5746"/>
    <w:rsid w:val="004D5958"/>
    <w:rsid w:val="004D650C"/>
    <w:rsid w:val="004D65C3"/>
    <w:rsid w:val="004D7324"/>
    <w:rsid w:val="004D7521"/>
    <w:rsid w:val="004E2AB6"/>
    <w:rsid w:val="004E3232"/>
    <w:rsid w:val="004E3B98"/>
    <w:rsid w:val="004E47AA"/>
    <w:rsid w:val="004E5BB0"/>
    <w:rsid w:val="004E629B"/>
    <w:rsid w:val="004E6946"/>
    <w:rsid w:val="004E74C5"/>
    <w:rsid w:val="004E76EC"/>
    <w:rsid w:val="004F108E"/>
    <w:rsid w:val="004F158F"/>
    <w:rsid w:val="004F1AD8"/>
    <w:rsid w:val="004F33E6"/>
    <w:rsid w:val="004F3663"/>
    <w:rsid w:val="004F54DA"/>
    <w:rsid w:val="004F60D1"/>
    <w:rsid w:val="004F6AAD"/>
    <w:rsid w:val="0050015B"/>
    <w:rsid w:val="005017D6"/>
    <w:rsid w:val="005039CB"/>
    <w:rsid w:val="00504C04"/>
    <w:rsid w:val="0050558F"/>
    <w:rsid w:val="00505DD7"/>
    <w:rsid w:val="00505DEA"/>
    <w:rsid w:val="00506286"/>
    <w:rsid w:val="005077A4"/>
    <w:rsid w:val="00507C21"/>
    <w:rsid w:val="00507FA9"/>
    <w:rsid w:val="005106D9"/>
    <w:rsid w:val="00510813"/>
    <w:rsid w:val="00511990"/>
    <w:rsid w:val="00511DE0"/>
    <w:rsid w:val="0051212C"/>
    <w:rsid w:val="0051285B"/>
    <w:rsid w:val="005128F5"/>
    <w:rsid w:val="00512F47"/>
    <w:rsid w:val="005133F1"/>
    <w:rsid w:val="00513F12"/>
    <w:rsid w:val="00514870"/>
    <w:rsid w:val="00514B9B"/>
    <w:rsid w:val="00515357"/>
    <w:rsid w:val="005159BF"/>
    <w:rsid w:val="0051682F"/>
    <w:rsid w:val="00517589"/>
    <w:rsid w:val="00517F02"/>
    <w:rsid w:val="00520BAC"/>
    <w:rsid w:val="00524303"/>
    <w:rsid w:val="005246F9"/>
    <w:rsid w:val="005258A2"/>
    <w:rsid w:val="00527654"/>
    <w:rsid w:val="00527BA9"/>
    <w:rsid w:val="0053001B"/>
    <w:rsid w:val="005304F6"/>
    <w:rsid w:val="00530CE1"/>
    <w:rsid w:val="00531D1B"/>
    <w:rsid w:val="00533C67"/>
    <w:rsid w:val="005356D1"/>
    <w:rsid w:val="005371F1"/>
    <w:rsid w:val="00537DB0"/>
    <w:rsid w:val="005401AE"/>
    <w:rsid w:val="005406B3"/>
    <w:rsid w:val="00541A4C"/>
    <w:rsid w:val="00541CE0"/>
    <w:rsid w:val="00542602"/>
    <w:rsid w:val="00542D72"/>
    <w:rsid w:val="00542E07"/>
    <w:rsid w:val="00542F2F"/>
    <w:rsid w:val="00545424"/>
    <w:rsid w:val="00545504"/>
    <w:rsid w:val="0054574E"/>
    <w:rsid w:val="00547272"/>
    <w:rsid w:val="00550B1F"/>
    <w:rsid w:val="00553FBC"/>
    <w:rsid w:val="0055441C"/>
    <w:rsid w:val="00554A7B"/>
    <w:rsid w:val="0055572C"/>
    <w:rsid w:val="0055618D"/>
    <w:rsid w:val="005564E7"/>
    <w:rsid w:val="0055685A"/>
    <w:rsid w:val="00557178"/>
    <w:rsid w:val="00557383"/>
    <w:rsid w:val="0056106A"/>
    <w:rsid w:val="0056458E"/>
    <w:rsid w:val="00564669"/>
    <w:rsid w:val="005652AF"/>
    <w:rsid w:val="00566069"/>
    <w:rsid w:val="00566A91"/>
    <w:rsid w:val="0056742C"/>
    <w:rsid w:val="0056754F"/>
    <w:rsid w:val="005677B9"/>
    <w:rsid w:val="00570299"/>
    <w:rsid w:val="005720AE"/>
    <w:rsid w:val="005729EB"/>
    <w:rsid w:val="00572A06"/>
    <w:rsid w:val="00574645"/>
    <w:rsid w:val="00575256"/>
    <w:rsid w:val="00575FB4"/>
    <w:rsid w:val="00576CAB"/>
    <w:rsid w:val="00576F16"/>
    <w:rsid w:val="00577208"/>
    <w:rsid w:val="0057776A"/>
    <w:rsid w:val="0058173E"/>
    <w:rsid w:val="00582EE0"/>
    <w:rsid w:val="00582FB5"/>
    <w:rsid w:val="0058308E"/>
    <w:rsid w:val="00583269"/>
    <w:rsid w:val="00583338"/>
    <w:rsid w:val="0058338A"/>
    <w:rsid w:val="00583AEF"/>
    <w:rsid w:val="005844E8"/>
    <w:rsid w:val="005846C9"/>
    <w:rsid w:val="00587565"/>
    <w:rsid w:val="00590122"/>
    <w:rsid w:val="005903EA"/>
    <w:rsid w:val="005907FE"/>
    <w:rsid w:val="00590F19"/>
    <w:rsid w:val="0059223F"/>
    <w:rsid w:val="005922E8"/>
    <w:rsid w:val="00592CC0"/>
    <w:rsid w:val="00592FA5"/>
    <w:rsid w:val="00594D77"/>
    <w:rsid w:val="00595600"/>
    <w:rsid w:val="005969E4"/>
    <w:rsid w:val="005979E2"/>
    <w:rsid w:val="00597CC4"/>
    <w:rsid w:val="005A06B7"/>
    <w:rsid w:val="005A08C2"/>
    <w:rsid w:val="005A0DC2"/>
    <w:rsid w:val="005A1759"/>
    <w:rsid w:val="005A1F72"/>
    <w:rsid w:val="005A2232"/>
    <w:rsid w:val="005A2605"/>
    <w:rsid w:val="005A2FEB"/>
    <w:rsid w:val="005A4046"/>
    <w:rsid w:val="005A4F2C"/>
    <w:rsid w:val="005A5678"/>
    <w:rsid w:val="005A68A7"/>
    <w:rsid w:val="005A7017"/>
    <w:rsid w:val="005A74EC"/>
    <w:rsid w:val="005A78BB"/>
    <w:rsid w:val="005A7B94"/>
    <w:rsid w:val="005B0171"/>
    <w:rsid w:val="005B037B"/>
    <w:rsid w:val="005B0469"/>
    <w:rsid w:val="005B1BEC"/>
    <w:rsid w:val="005B1D52"/>
    <w:rsid w:val="005B3B37"/>
    <w:rsid w:val="005B3BE5"/>
    <w:rsid w:val="005B4014"/>
    <w:rsid w:val="005B6103"/>
    <w:rsid w:val="005B641E"/>
    <w:rsid w:val="005B70C6"/>
    <w:rsid w:val="005C00FF"/>
    <w:rsid w:val="005C0758"/>
    <w:rsid w:val="005C0834"/>
    <w:rsid w:val="005C1298"/>
    <w:rsid w:val="005C2A41"/>
    <w:rsid w:val="005C383A"/>
    <w:rsid w:val="005C412B"/>
    <w:rsid w:val="005C5DF7"/>
    <w:rsid w:val="005C60EA"/>
    <w:rsid w:val="005C7EE1"/>
    <w:rsid w:val="005D2B0C"/>
    <w:rsid w:val="005D36AB"/>
    <w:rsid w:val="005D3D41"/>
    <w:rsid w:val="005D5CC6"/>
    <w:rsid w:val="005D7D78"/>
    <w:rsid w:val="005E1434"/>
    <w:rsid w:val="005E16F1"/>
    <w:rsid w:val="005E1C55"/>
    <w:rsid w:val="005E2996"/>
    <w:rsid w:val="005E412D"/>
    <w:rsid w:val="005E6BE3"/>
    <w:rsid w:val="005E7318"/>
    <w:rsid w:val="005E7AB6"/>
    <w:rsid w:val="005F08EB"/>
    <w:rsid w:val="005F0F73"/>
    <w:rsid w:val="005F2293"/>
    <w:rsid w:val="005F23C9"/>
    <w:rsid w:val="005F3322"/>
    <w:rsid w:val="005F386C"/>
    <w:rsid w:val="005F3FD8"/>
    <w:rsid w:val="005F41CC"/>
    <w:rsid w:val="005F5AEB"/>
    <w:rsid w:val="005F6A51"/>
    <w:rsid w:val="005F6FDC"/>
    <w:rsid w:val="00602550"/>
    <w:rsid w:val="006035D5"/>
    <w:rsid w:val="006060E9"/>
    <w:rsid w:val="006071F6"/>
    <w:rsid w:val="006105FE"/>
    <w:rsid w:val="006109C9"/>
    <w:rsid w:val="00611290"/>
    <w:rsid w:val="00612927"/>
    <w:rsid w:val="00612A3F"/>
    <w:rsid w:val="006134C7"/>
    <w:rsid w:val="0061353B"/>
    <w:rsid w:val="0061452E"/>
    <w:rsid w:val="00614CFD"/>
    <w:rsid w:val="00616873"/>
    <w:rsid w:val="00617CC3"/>
    <w:rsid w:val="00617D2D"/>
    <w:rsid w:val="0062108C"/>
    <w:rsid w:val="006216B7"/>
    <w:rsid w:val="00621AC8"/>
    <w:rsid w:val="00622544"/>
    <w:rsid w:val="006233E8"/>
    <w:rsid w:val="006243F4"/>
    <w:rsid w:val="00625983"/>
    <w:rsid w:val="00627498"/>
    <w:rsid w:val="006300D2"/>
    <w:rsid w:val="00630764"/>
    <w:rsid w:val="00630A9A"/>
    <w:rsid w:val="0063508D"/>
    <w:rsid w:val="006377A6"/>
    <w:rsid w:val="00637A3D"/>
    <w:rsid w:val="006405EC"/>
    <w:rsid w:val="006411EF"/>
    <w:rsid w:val="00643AC8"/>
    <w:rsid w:val="00643E59"/>
    <w:rsid w:val="00643E89"/>
    <w:rsid w:val="006443AE"/>
    <w:rsid w:val="00645470"/>
    <w:rsid w:val="00647316"/>
    <w:rsid w:val="006478DB"/>
    <w:rsid w:val="00650CEE"/>
    <w:rsid w:val="00650FDD"/>
    <w:rsid w:val="00652B7D"/>
    <w:rsid w:val="00652E03"/>
    <w:rsid w:val="00653548"/>
    <w:rsid w:val="00654AD6"/>
    <w:rsid w:val="0065683D"/>
    <w:rsid w:val="00656B7B"/>
    <w:rsid w:val="00656EF3"/>
    <w:rsid w:val="0066008E"/>
    <w:rsid w:val="006606FA"/>
    <w:rsid w:val="00662939"/>
    <w:rsid w:val="00663878"/>
    <w:rsid w:val="00664075"/>
    <w:rsid w:val="006643A3"/>
    <w:rsid w:val="006646A2"/>
    <w:rsid w:val="006651D6"/>
    <w:rsid w:val="006654B6"/>
    <w:rsid w:val="00665FE4"/>
    <w:rsid w:val="0066612D"/>
    <w:rsid w:val="006664B2"/>
    <w:rsid w:val="0066790D"/>
    <w:rsid w:val="00667BB9"/>
    <w:rsid w:val="0067038F"/>
    <w:rsid w:val="006707B6"/>
    <w:rsid w:val="0067084A"/>
    <w:rsid w:val="006708C9"/>
    <w:rsid w:val="0067127E"/>
    <w:rsid w:val="006714DC"/>
    <w:rsid w:val="006732F2"/>
    <w:rsid w:val="0067425C"/>
    <w:rsid w:val="006748B8"/>
    <w:rsid w:val="00675183"/>
    <w:rsid w:val="0067597C"/>
    <w:rsid w:val="006775C3"/>
    <w:rsid w:val="00680CD4"/>
    <w:rsid w:val="00682036"/>
    <w:rsid w:val="006830F3"/>
    <w:rsid w:val="0068497E"/>
    <w:rsid w:val="00685812"/>
    <w:rsid w:val="00686E6B"/>
    <w:rsid w:val="006900FA"/>
    <w:rsid w:val="006904A4"/>
    <w:rsid w:val="0069070A"/>
    <w:rsid w:val="00691233"/>
    <w:rsid w:val="0069264D"/>
    <w:rsid w:val="0069290A"/>
    <w:rsid w:val="0069471A"/>
    <w:rsid w:val="00694D4D"/>
    <w:rsid w:val="00696C08"/>
    <w:rsid w:val="0069775A"/>
    <w:rsid w:val="00697813"/>
    <w:rsid w:val="00697952"/>
    <w:rsid w:val="00697BCB"/>
    <w:rsid w:val="006A052D"/>
    <w:rsid w:val="006A2916"/>
    <w:rsid w:val="006A29E5"/>
    <w:rsid w:val="006A3977"/>
    <w:rsid w:val="006A3EE8"/>
    <w:rsid w:val="006A5865"/>
    <w:rsid w:val="006A6967"/>
    <w:rsid w:val="006A72BF"/>
    <w:rsid w:val="006B021B"/>
    <w:rsid w:val="006B03F2"/>
    <w:rsid w:val="006B0537"/>
    <w:rsid w:val="006B0819"/>
    <w:rsid w:val="006B0F50"/>
    <w:rsid w:val="006B17A2"/>
    <w:rsid w:val="006B37DC"/>
    <w:rsid w:val="006B38B1"/>
    <w:rsid w:val="006B3D4F"/>
    <w:rsid w:val="006B4490"/>
    <w:rsid w:val="006B4F68"/>
    <w:rsid w:val="006B5AB6"/>
    <w:rsid w:val="006B72A5"/>
    <w:rsid w:val="006C032E"/>
    <w:rsid w:val="006C0592"/>
    <w:rsid w:val="006C09EE"/>
    <w:rsid w:val="006C2138"/>
    <w:rsid w:val="006C272E"/>
    <w:rsid w:val="006C2B16"/>
    <w:rsid w:val="006C2B56"/>
    <w:rsid w:val="006C43A3"/>
    <w:rsid w:val="006C46C8"/>
    <w:rsid w:val="006C5450"/>
    <w:rsid w:val="006C5479"/>
    <w:rsid w:val="006C5D4C"/>
    <w:rsid w:val="006C75C8"/>
    <w:rsid w:val="006C7C78"/>
    <w:rsid w:val="006D13B5"/>
    <w:rsid w:val="006D1E8E"/>
    <w:rsid w:val="006D239E"/>
    <w:rsid w:val="006D2C1D"/>
    <w:rsid w:val="006D37F3"/>
    <w:rsid w:val="006D38B4"/>
    <w:rsid w:val="006D3BA7"/>
    <w:rsid w:val="006D42A4"/>
    <w:rsid w:val="006D4625"/>
    <w:rsid w:val="006D4D4F"/>
    <w:rsid w:val="006D4E75"/>
    <w:rsid w:val="006D57C8"/>
    <w:rsid w:val="006D5D62"/>
    <w:rsid w:val="006D631D"/>
    <w:rsid w:val="006D7932"/>
    <w:rsid w:val="006E02E8"/>
    <w:rsid w:val="006E05D3"/>
    <w:rsid w:val="006E12FF"/>
    <w:rsid w:val="006E13C4"/>
    <w:rsid w:val="006E1509"/>
    <w:rsid w:val="006E298D"/>
    <w:rsid w:val="006E2E3D"/>
    <w:rsid w:val="006E2F76"/>
    <w:rsid w:val="006E5B7C"/>
    <w:rsid w:val="006E607E"/>
    <w:rsid w:val="006E66AE"/>
    <w:rsid w:val="006E6A92"/>
    <w:rsid w:val="006E6E8C"/>
    <w:rsid w:val="006E70AE"/>
    <w:rsid w:val="006F0C2C"/>
    <w:rsid w:val="006F0DC1"/>
    <w:rsid w:val="006F0F5D"/>
    <w:rsid w:val="006F1572"/>
    <w:rsid w:val="006F3042"/>
    <w:rsid w:val="006F3E42"/>
    <w:rsid w:val="006F5D5E"/>
    <w:rsid w:val="006F671D"/>
    <w:rsid w:val="006F6C60"/>
    <w:rsid w:val="006F752E"/>
    <w:rsid w:val="006F7AA5"/>
    <w:rsid w:val="007000DB"/>
    <w:rsid w:val="007015E2"/>
    <w:rsid w:val="00703101"/>
    <w:rsid w:val="00704E65"/>
    <w:rsid w:val="0070602D"/>
    <w:rsid w:val="00706C5D"/>
    <w:rsid w:val="007112A1"/>
    <w:rsid w:val="007114FF"/>
    <w:rsid w:val="007131FE"/>
    <w:rsid w:val="007132DB"/>
    <w:rsid w:val="00714687"/>
    <w:rsid w:val="007157CB"/>
    <w:rsid w:val="00716361"/>
    <w:rsid w:val="007169B8"/>
    <w:rsid w:val="00716BAF"/>
    <w:rsid w:val="00721ABD"/>
    <w:rsid w:val="00721AEE"/>
    <w:rsid w:val="00722CE3"/>
    <w:rsid w:val="007241DA"/>
    <w:rsid w:val="007256C5"/>
    <w:rsid w:val="0072639E"/>
    <w:rsid w:val="0072694C"/>
    <w:rsid w:val="00726C32"/>
    <w:rsid w:val="00727106"/>
    <w:rsid w:val="007271FE"/>
    <w:rsid w:val="00727BAF"/>
    <w:rsid w:val="00732922"/>
    <w:rsid w:val="007335AF"/>
    <w:rsid w:val="00733783"/>
    <w:rsid w:val="00734724"/>
    <w:rsid w:val="0073553B"/>
    <w:rsid w:val="0074052B"/>
    <w:rsid w:val="0074061F"/>
    <w:rsid w:val="00740AAA"/>
    <w:rsid w:val="00741280"/>
    <w:rsid w:val="00741880"/>
    <w:rsid w:val="00742065"/>
    <w:rsid w:val="00742443"/>
    <w:rsid w:val="00742E9B"/>
    <w:rsid w:val="00744FFA"/>
    <w:rsid w:val="0074561E"/>
    <w:rsid w:val="0074799D"/>
    <w:rsid w:val="0075162E"/>
    <w:rsid w:val="007516CC"/>
    <w:rsid w:val="00751D41"/>
    <w:rsid w:val="00752939"/>
    <w:rsid w:val="00752E84"/>
    <w:rsid w:val="00753E7F"/>
    <w:rsid w:val="00754034"/>
    <w:rsid w:val="007549D6"/>
    <w:rsid w:val="00754BD8"/>
    <w:rsid w:val="007558ED"/>
    <w:rsid w:val="00756556"/>
    <w:rsid w:val="00757190"/>
    <w:rsid w:val="00757E29"/>
    <w:rsid w:val="007600DB"/>
    <w:rsid w:val="00761162"/>
    <w:rsid w:val="007616D6"/>
    <w:rsid w:val="007618C4"/>
    <w:rsid w:val="00761F6F"/>
    <w:rsid w:val="007633CC"/>
    <w:rsid w:val="00766111"/>
    <w:rsid w:val="00766AF7"/>
    <w:rsid w:val="00766C57"/>
    <w:rsid w:val="0076704F"/>
    <w:rsid w:val="0076705E"/>
    <w:rsid w:val="007675DD"/>
    <w:rsid w:val="00767980"/>
    <w:rsid w:val="00767EA3"/>
    <w:rsid w:val="00770B19"/>
    <w:rsid w:val="007712AB"/>
    <w:rsid w:val="00771A14"/>
    <w:rsid w:val="00773B13"/>
    <w:rsid w:val="00773CB8"/>
    <w:rsid w:val="0077463F"/>
    <w:rsid w:val="007750ED"/>
    <w:rsid w:val="007754F5"/>
    <w:rsid w:val="00775A69"/>
    <w:rsid w:val="00777F39"/>
    <w:rsid w:val="00781277"/>
    <w:rsid w:val="00781B16"/>
    <w:rsid w:val="00781D13"/>
    <w:rsid w:val="007824B9"/>
    <w:rsid w:val="00782569"/>
    <w:rsid w:val="00783108"/>
    <w:rsid w:val="007836EA"/>
    <w:rsid w:val="00783A95"/>
    <w:rsid w:val="00783BFC"/>
    <w:rsid w:val="00784CDA"/>
    <w:rsid w:val="00784D9D"/>
    <w:rsid w:val="007853B0"/>
    <w:rsid w:val="00787B85"/>
    <w:rsid w:val="007906C4"/>
    <w:rsid w:val="00791585"/>
    <w:rsid w:val="00793802"/>
    <w:rsid w:val="00793984"/>
    <w:rsid w:val="007940EA"/>
    <w:rsid w:val="007943FE"/>
    <w:rsid w:val="00794525"/>
    <w:rsid w:val="007967E8"/>
    <w:rsid w:val="00796AF6"/>
    <w:rsid w:val="007A0790"/>
    <w:rsid w:val="007A12B7"/>
    <w:rsid w:val="007A1FCE"/>
    <w:rsid w:val="007A2170"/>
    <w:rsid w:val="007A22BF"/>
    <w:rsid w:val="007A2B43"/>
    <w:rsid w:val="007A3323"/>
    <w:rsid w:val="007A4AA4"/>
    <w:rsid w:val="007A555C"/>
    <w:rsid w:val="007A5D19"/>
    <w:rsid w:val="007A6026"/>
    <w:rsid w:val="007A6346"/>
    <w:rsid w:val="007A766C"/>
    <w:rsid w:val="007A7CC9"/>
    <w:rsid w:val="007B0A31"/>
    <w:rsid w:val="007B1348"/>
    <w:rsid w:val="007B36BE"/>
    <w:rsid w:val="007B48AB"/>
    <w:rsid w:val="007B4E87"/>
    <w:rsid w:val="007B60EA"/>
    <w:rsid w:val="007B69D8"/>
    <w:rsid w:val="007B72B8"/>
    <w:rsid w:val="007B7650"/>
    <w:rsid w:val="007B7A58"/>
    <w:rsid w:val="007B7C58"/>
    <w:rsid w:val="007C09A0"/>
    <w:rsid w:val="007C1324"/>
    <w:rsid w:val="007C17AC"/>
    <w:rsid w:val="007C21B5"/>
    <w:rsid w:val="007C34A4"/>
    <w:rsid w:val="007C38EF"/>
    <w:rsid w:val="007C5181"/>
    <w:rsid w:val="007D206F"/>
    <w:rsid w:val="007D2AFE"/>
    <w:rsid w:val="007D3464"/>
    <w:rsid w:val="007D3D65"/>
    <w:rsid w:val="007D4C0C"/>
    <w:rsid w:val="007D4DFD"/>
    <w:rsid w:val="007D4FF7"/>
    <w:rsid w:val="007D6441"/>
    <w:rsid w:val="007D6A99"/>
    <w:rsid w:val="007D787F"/>
    <w:rsid w:val="007D7B6A"/>
    <w:rsid w:val="007E002A"/>
    <w:rsid w:val="007E0E09"/>
    <w:rsid w:val="007E2F39"/>
    <w:rsid w:val="007E4349"/>
    <w:rsid w:val="007E4BD2"/>
    <w:rsid w:val="007E7624"/>
    <w:rsid w:val="007E77CC"/>
    <w:rsid w:val="007F06A6"/>
    <w:rsid w:val="007F19A3"/>
    <w:rsid w:val="007F1EC5"/>
    <w:rsid w:val="007F4B32"/>
    <w:rsid w:val="007F69F5"/>
    <w:rsid w:val="007F6BC2"/>
    <w:rsid w:val="007F73AA"/>
    <w:rsid w:val="007F7544"/>
    <w:rsid w:val="007F7B66"/>
    <w:rsid w:val="00800D9D"/>
    <w:rsid w:val="00801393"/>
    <w:rsid w:val="00801874"/>
    <w:rsid w:val="008018F0"/>
    <w:rsid w:val="00802397"/>
    <w:rsid w:val="00802A4F"/>
    <w:rsid w:val="00802F88"/>
    <w:rsid w:val="008038CD"/>
    <w:rsid w:val="0080426F"/>
    <w:rsid w:val="008051C1"/>
    <w:rsid w:val="00805CA0"/>
    <w:rsid w:val="008111C6"/>
    <w:rsid w:val="008113DF"/>
    <w:rsid w:val="00811B06"/>
    <w:rsid w:val="0081293E"/>
    <w:rsid w:val="0081383E"/>
    <w:rsid w:val="008149CB"/>
    <w:rsid w:val="00814BB6"/>
    <w:rsid w:val="00815465"/>
    <w:rsid w:val="00815F02"/>
    <w:rsid w:val="00816299"/>
    <w:rsid w:val="00817A6D"/>
    <w:rsid w:val="00817E9A"/>
    <w:rsid w:val="00820673"/>
    <w:rsid w:val="00820713"/>
    <w:rsid w:val="00821572"/>
    <w:rsid w:val="00823620"/>
    <w:rsid w:val="008237AC"/>
    <w:rsid w:val="00824CD9"/>
    <w:rsid w:val="00826751"/>
    <w:rsid w:val="00826943"/>
    <w:rsid w:val="00826CA6"/>
    <w:rsid w:val="00826ED0"/>
    <w:rsid w:val="00827643"/>
    <w:rsid w:val="00830539"/>
    <w:rsid w:val="008306BD"/>
    <w:rsid w:val="00830808"/>
    <w:rsid w:val="00830F52"/>
    <w:rsid w:val="00831A80"/>
    <w:rsid w:val="00832224"/>
    <w:rsid w:val="008322C1"/>
    <w:rsid w:val="00832A9F"/>
    <w:rsid w:val="00833512"/>
    <w:rsid w:val="00833743"/>
    <w:rsid w:val="00833DCA"/>
    <w:rsid w:val="008340A4"/>
    <w:rsid w:val="00835513"/>
    <w:rsid w:val="00836205"/>
    <w:rsid w:val="0084434E"/>
    <w:rsid w:val="008453CF"/>
    <w:rsid w:val="00845CA0"/>
    <w:rsid w:val="008463BB"/>
    <w:rsid w:val="008470AD"/>
    <w:rsid w:val="008472A5"/>
    <w:rsid w:val="008501D9"/>
    <w:rsid w:val="0085097C"/>
    <w:rsid w:val="00850C05"/>
    <w:rsid w:val="008522F9"/>
    <w:rsid w:val="00852D41"/>
    <w:rsid w:val="00852EE0"/>
    <w:rsid w:val="00854978"/>
    <w:rsid w:val="0085511D"/>
    <w:rsid w:val="008564D6"/>
    <w:rsid w:val="00856D8A"/>
    <w:rsid w:val="00857089"/>
    <w:rsid w:val="0085738A"/>
    <w:rsid w:val="008606EC"/>
    <w:rsid w:val="00860A99"/>
    <w:rsid w:val="008648BC"/>
    <w:rsid w:val="008657EA"/>
    <w:rsid w:val="0087135F"/>
    <w:rsid w:val="008717E3"/>
    <w:rsid w:val="008717EB"/>
    <w:rsid w:val="0087187C"/>
    <w:rsid w:val="00872D94"/>
    <w:rsid w:val="00872DB3"/>
    <w:rsid w:val="00873895"/>
    <w:rsid w:val="00875AB3"/>
    <w:rsid w:val="0087690E"/>
    <w:rsid w:val="00877D99"/>
    <w:rsid w:val="00880230"/>
    <w:rsid w:val="00880364"/>
    <w:rsid w:val="00881503"/>
    <w:rsid w:val="0088233A"/>
    <w:rsid w:val="00882435"/>
    <w:rsid w:val="00884439"/>
    <w:rsid w:val="00884ABF"/>
    <w:rsid w:val="00884FC5"/>
    <w:rsid w:val="008863D0"/>
    <w:rsid w:val="00886AD8"/>
    <w:rsid w:val="0088702A"/>
    <w:rsid w:val="00887034"/>
    <w:rsid w:val="008900C6"/>
    <w:rsid w:val="00890772"/>
    <w:rsid w:val="00890894"/>
    <w:rsid w:val="00891592"/>
    <w:rsid w:val="00891A24"/>
    <w:rsid w:val="00891A81"/>
    <w:rsid w:val="00891E9E"/>
    <w:rsid w:val="008949B0"/>
    <w:rsid w:val="00894E9F"/>
    <w:rsid w:val="00896A78"/>
    <w:rsid w:val="008973BE"/>
    <w:rsid w:val="00897AB2"/>
    <w:rsid w:val="00897B43"/>
    <w:rsid w:val="00897E33"/>
    <w:rsid w:val="008A0B78"/>
    <w:rsid w:val="008A1343"/>
    <w:rsid w:val="008A2F68"/>
    <w:rsid w:val="008A30D9"/>
    <w:rsid w:val="008A46E9"/>
    <w:rsid w:val="008A47B3"/>
    <w:rsid w:val="008A5E2A"/>
    <w:rsid w:val="008A7FFC"/>
    <w:rsid w:val="008B0256"/>
    <w:rsid w:val="008B1909"/>
    <w:rsid w:val="008B1A79"/>
    <w:rsid w:val="008B22E4"/>
    <w:rsid w:val="008B354A"/>
    <w:rsid w:val="008B4FA6"/>
    <w:rsid w:val="008B5282"/>
    <w:rsid w:val="008B565E"/>
    <w:rsid w:val="008B5F50"/>
    <w:rsid w:val="008B7C17"/>
    <w:rsid w:val="008B7D62"/>
    <w:rsid w:val="008C2D01"/>
    <w:rsid w:val="008C3258"/>
    <w:rsid w:val="008C40E6"/>
    <w:rsid w:val="008C661D"/>
    <w:rsid w:val="008C7384"/>
    <w:rsid w:val="008C7460"/>
    <w:rsid w:val="008D0F7A"/>
    <w:rsid w:val="008D1F00"/>
    <w:rsid w:val="008D2FBE"/>
    <w:rsid w:val="008D3279"/>
    <w:rsid w:val="008D3F75"/>
    <w:rsid w:val="008D47E1"/>
    <w:rsid w:val="008D5450"/>
    <w:rsid w:val="008D552E"/>
    <w:rsid w:val="008D68E4"/>
    <w:rsid w:val="008D7F96"/>
    <w:rsid w:val="008E0506"/>
    <w:rsid w:val="008E0CFF"/>
    <w:rsid w:val="008E0F3F"/>
    <w:rsid w:val="008E1CF4"/>
    <w:rsid w:val="008E3CF5"/>
    <w:rsid w:val="008E48E0"/>
    <w:rsid w:val="008E48F9"/>
    <w:rsid w:val="008E5538"/>
    <w:rsid w:val="008E5541"/>
    <w:rsid w:val="008E570C"/>
    <w:rsid w:val="008E584B"/>
    <w:rsid w:val="008E5CD6"/>
    <w:rsid w:val="008E5D6B"/>
    <w:rsid w:val="008E727B"/>
    <w:rsid w:val="008E76F0"/>
    <w:rsid w:val="008E7BC0"/>
    <w:rsid w:val="008F04E5"/>
    <w:rsid w:val="008F0A23"/>
    <w:rsid w:val="008F0E8A"/>
    <w:rsid w:val="008F15FE"/>
    <w:rsid w:val="008F210C"/>
    <w:rsid w:val="008F2D29"/>
    <w:rsid w:val="008F3BAE"/>
    <w:rsid w:val="008F46A2"/>
    <w:rsid w:val="008F4D82"/>
    <w:rsid w:val="008F5187"/>
    <w:rsid w:val="008F5B64"/>
    <w:rsid w:val="008F5E2C"/>
    <w:rsid w:val="008F60D8"/>
    <w:rsid w:val="008F6CB0"/>
    <w:rsid w:val="009009E8"/>
    <w:rsid w:val="00901980"/>
    <w:rsid w:val="00902727"/>
    <w:rsid w:val="0090312B"/>
    <w:rsid w:val="009035DF"/>
    <w:rsid w:val="00903751"/>
    <w:rsid w:val="00903783"/>
    <w:rsid w:val="009048B9"/>
    <w:rsid w:val="009064B6"/>
    <w:rsid w:val="00906A90"/>
    <w:rsid w:val="00910104"/>
    <w:rsid w:val="00911B85"/>
    <w:rsid w:val="00912390"/>
    <w:rsid w:val="0091369F"/>
    <w:rsid w:val="009143C0"/>
    <w:rsid w:val="00915E5F"/>
    <w:rsid w:val="00915ED6"/>
    <w:rsid w:val="0091736D"/>
    <w:rsid w:val="009204CE"/>
    <w:rsid w:val="00921E7B"/>
    <w:rsid w:val="00923326"/>
    <w:rsid w:val="009245BD"/>
    <w:rsid w:val="00925465"/>
    <w:rsid w:val="00926958"/>
    <w:rsid w:val="009279AD"/>
    <w:rsid w:val="0093037A"/>
    <w:rsid w:val="00930620"/>
    <w:rsid w:val="00932647"/>
    <w:rsid w:val="009332BE"/>
    <w:rsid w:val="00933DA7"/>
    <w:rsid w:val="00933DCD"/>
    <w:rsid w:val="00935A6A"/>
    <w:rsid w:val="00935E45"/>
    <w:rsid w:val="00940136"/>
    <w:rsid w:val="009406DA"/>
    <w:rsid w:val="0094154D"/>
    <w:rsid w:val="00941664"/>
    <w:rsid w:val="00941A1C"/>
    <w:rsid w:val="009441E4"/>
    <w:rsid w:val="0094444C"/>
    <w:rsid w:val="009503C6"/>
    <w:rsid w:val="00950942"/>
    <w:rsid w:val="0095098D"/>
    <w:rsid w:val="00950AFF"/>
    <w:rsid w:val="0095155F"/>
    <w:rsid w:val="00952CB4"/>
    <w:rsid w:val="00952CD0"/>
    <w:rsid w:val="0095352F"/>
    <w:rsid w:val="00954429"/>
    <w:rsid w:val="00954F91"/>
    <w:rsid w:val="009563CE"/>
    <w:rsid w:val="009565E8"/>
    <w:rsid w:val="00957289"/>
    <w:rsid w:val="00957F56"/>
    <w:rsid w:val="00961645"/>
    <w:rsid w:val="0096248F"/>
    <w:rsid w:val="00962AF4"/>
    <w:rsid w:val="00962B7E"/>
    <w:rsid w:val="009639EA"/>
    <w:rsid w:val="00964A3C"/>
    <w:rsid w:val="009658F6"/>
    <w:rsid w:val="0096602C"/>
    <w:rsid w:val="009662F3"/>
    <w:rsid w:val="009711D2"/>
    <w:rsid w:val="00971245"/>
    <w:rsid w:val="00971B31"/>
    <w:rsid w:val="00972118"/>
    <w:rsid w:val="00974360"/>
    <w:rsid w:val="00976328"/>
    <w:rsid w:val="0097680D"/>
    <w:rsid w:val="00976849"/>
    <w:rsid w:val="00976D55"/>
    <w:rsid w:val="00977237"/>
    <w:rsid w:val="00977273"/>
    <w:rsid w:val="00980AB4"/>
    <w:rsid w:val="00981309"/>
    <w:rsid w:val="00981D04"/>
    <w:rsid w:val="00982438"/>
    <w:rsid w:val="0098404C"/>
    <w:rsid w:val="009842CD"/>
    <w:rsid w:val="00984BEB"/>
    <w:rsid w:val="00984D2C"/>
    <w:rsid w:val="00985283"/>
    <w:rsid w:val="00985DA4"/>
    <w:rsid w:val="00986C4A"/>
    <w:rsid w:val="009872E4"/>
    <w:rsid w:val="0098781B"/>
    <w:rsid w:val="00990CBD"/>
    <w:rsid w:val="0099214F"/>
    <w:rsid w:val="009931BD"/>
    <w:rsid w:val="009942CE"/>
    <w:rsid w:val="00994F98"/>
    <w:rsid w:val="0099564C"/>
    <w:rsid w:val="00995992"/>
    <w:rsid w:val="009A0010"/>
    <w:rsid w:val="009A023C"/>
    <w:rsid w:val="009A03E5"/>
    <w:rsid w:val="009A0AC0"/>
    <w:rsid w:val="009A0B4F"/>
    <w:rsid w:val="009A0F3B"/>
    <w:rsid w:val="009A167A"/>
    <w:rsid w:val="009A1BB4"/>
    <w:rsid w:val="009A258C"/>
    <w:rsid w:val="009A2628"/>
    <w:rsid w:val="009A2833"/>
    <w:rsid w:val="009A3200"/>
    <w:rsid w:val="009A3F4B"/>
    <w:rsid w:val="009A404E"/>
    <w:rsid w:val="009A45E8"/>
    <w:rsid w:val="009A469C"/>
    <w:rsid w:val="009A46EA"/>
    <w:rsid w:val="009A4AA0"/>
    <w:rsid w:val="009B07F6"/>
    <w:rsid w:val="009B0897"/>
    <w:rsid w:val="009B12D9"/>
    <w:rsid w:val="009B1C1B"/>
    <w:rsid w:val="009B293A"/>
    <w:rsid w:val="009B3639"/>
    <w:rsid w:val="009B3E7F"/>
    <w:rsid w:val="009B4BC2"/>
    <w:rsid w:val="009B56A7"/>
    <w:rsid w:val="009B5AAA"/>
    <w:rsid w:val="009B5B69"/>
    <w:rsid w:val="009B7BD9"/>
    <w:rsid w:val="009C157C"/>
    <w:rsid w:val="009C19A7"/>
    <w:rsid w:val="009C3788"/>
    <w:rsid w:val="009C546A"/>
    <w:rsid w:val="009C5705"/>
    <w:rsid w:val="009C7DD5"/>
    <w:rsid w:val="009D02D3"/>
    <w:rsid w:val="009D259B"/>
    <w:rsid w:val="009D2CC1"/>
    <w:rsid w:val="009D31BE"/>
    <w:rsid w:val="009D48B3"/>
    <w:rsid w:val="009D6D0E"/>
    <w:rsid w:val="009E0552"/>
    <w:rsid w:val="009E0E37"/>
    <w:rsid w:val="009E12B9"/>
    <w:rsid w:val="009E227D"/>
    <w:rsid w:val="009E3585"/>
    <w:rsid w:val="009E4F87"/>
    <w:rsid w:val="009E5019"/>
    <w:rsid w:val="009E74BB"/>
    <w:rsid w:val="009F0144"/>
    <w:rsid w:val="009F037F"/>
    <w:rsid w:val="009F335B"/>
    <w:rsid w:val="009F4C1E"/>
    <w:rsid w:val="009F5D0E"/>
    <w:rsid w:val="009F5D71"/>
    <w:rsid w:val="009F654A"/>
    <w:rsid w:val="009F676F"/>
    <w:rsid w:val="009F7F71"/>
    <w:rsid w:val="00A020F7"/>
    <w:rsid w:val="00A02B42"/>
    <w:rsid w:val="00A02E48"/>
    <w:rsid w:val="00A03E4A"/>
    <w:rsid w:val="00A04184"/>
    <w:rsid w:val="00A04E72"/>
    <w:rsid w:val="00A04F1B"/>
    <w:rsid w:val="00A0501B"/>
    <w:rsid w:val="00A05053"/>
    <w:rsid w:val="00A05168"/>
    <w:rsid w:val="00A052CB"/>
    <w:rsid w:val="00A0533A"/>
    <w:rsid w:val="00A05768"/>
    <w:rsid w:val="00A061C2"/>
    <w:rsid w:val="00A065A1"/>
    <w:rsid w:val="00A069E7"/>
    <w:rsid w:val="00A072C0"/>
    <w:rsid w:val="00A11084"/>
    <w:rsid w:val="00A125AA"/>
    <w:rsid w:val="00A1284C"/>
    <w:rsid w:val="00A130F0"/>
    <w:rsid w:val="00A1339C"/>
    <w:rsid w:val="00A1469F"/>
    <w:rsid w:val="00A14947"/>
    <w:rsid w:val="00A150F0"/>
    <w:rsid w:val="00A15264"/>
    <w:rsid w:val="00A1555F"/>
    <w:rsid w:val="00A16BA2"/>
    <w:rsid w:val="00A17550"/>
    <w:rsid w:val="00A17EC3"/>
    <w:rsid w:val="00A20992"/>
    <w:rsid w:val="00A21A50"/>
    <w:rsid w:val="00A22BAE"/>
    <w:rsid w:val="00A26363"/>
    <w:rsid w:val="00A2789B"/>
    <w:rsid w:val="00A30A23"/>
    <w:rsid w:val="00A32A83"/>
    <w:rsid w:val="00A33895"/>
    <w:rsid w:val="00A34E07"/>
    <w:rsid w:val="00A3512B"/>
    <w:rsid w:val="00A368DB"/>
    <w:rsid w:val="00A36DBF"/>
    <w:rsid w:val="00A402EB"/>
    <w:rsid w:val="00A40511"/>
    <w:rsid w:val="00A41177"/>
    <w:rsid w:val="00A418C2"/>
    <w:rsid w:val="00A41AB6"/>
    <w:rsid w:val="00A41B9F"/>
    <w:rsid w:val="00A423AA"/>
    <w:rsid w:val="00A42A72"/>
    <w:rsid w:val="00A42D9F"/>
    <w:rsid w:val="00A43816"/>
    <w:rsid w:val="00A4424D"/>
    <w:rsid w:val="00A4437A"/>
    <w:rsid w:val="00A45CFE"/>
    <w:rsid w:val="00A45EE1"/>
    <w:rsid w:val="00A4629E"/>
    <w:rsid w:val="00A4656C"/>
    <w:rsid w:val="00A508BC"/>
    <w:rsid w:val="00A50B93"/>
    <w:rsid w:val="00A51100"/>
    <w:rsid w:val="00A51464"/>
    <w:rsid w:val="00A5189F"/>
    <w:rsid w:val="00A519C9"/>
    <w:rsid w:val="00A529CA"/>
    <w:rsid w:val="00A53EC6"/>
    <w:rsid w:val="00A53FF5"/>
    <w:rsid w:val="00A542D6"/>
    <w:rsid w:val="00A54349"/>
    <w:rsid w:val="00A54F15"/>
    <w:rsid w:val="00A55C0F"/>
    <w:rsid w:val="00A5694B"/>
    <w:rsid w:val="00A602C2"/>
    <w:rsid w:val="00A605F3"/>
    <w:rsid w:val="00A6134C"/>
    <w:rsid w:val="00A62167"/>
    <w:rsid w:val="00A62292"/>
    <w:rsid w:val="00A62758"/>
    <w:rsid w:val="00A631BB"/>
    <w:rsid w:val="00A63A5F"/>
    <w:rsid w:val="00A63CC0"/>
    <w:rsid w:val="00A64B7E"/>
    <w:rsid w:val="00A6522B"/>
    <w:rsid w:val="00A65486"/>
    <w:rsid w:val="00A659CA"/>
    <w:rsid w:val="00A67E54"/>
    <w:rsid w:val="00A71055"/>
    <w:rsid w:val="00A71162"/>
    <w:rsid w:val="00A715C1"/>
    <w:rsid w:val="00A719B2"/>
    <w:rsid w:val="00A726F6"/>
    <w:rsid w:val="00A72BCA"/>
    <w:rsid w:val="00A72BF5"/>
    <w:rsid w:val="00A741CC"/>
    <w:rsid w:val="00A76335"/>
    <w:rsid w:val="00A77E7C"/>
    <w:rsid w:val="00A801F1"/>
    <w:rsid w:val="00A803D9"/>
    <w:rsid w:val="00A8046A"/>
    <w:rsid w:val="00A80CC8"/>
    <w:rsid w:val="00A82170"/>
    <w:rsid w:val="00A85D8E"/>
    <w:rsid w:val="00A86FDF"/>
    <w:rsid w:val="00A8713F"/>
    <w:rsid w:val="00A9080C"/>
    <w:rsid w:val="00A90847"/>
    <w:rsid w:val="00A90BA1"/>
    <w:rsid w:val="00A9158A"/>
    <w:rsid w:val="00A92037"/>
    <w:rsid w:val="00A92BD3"/>
    <w:rsid w:val="00A93460"/>
    <w:rsid w:val="00A97519"/>
    <w:rsid w:val="00A976F9"/>
    <w:rsid w:val="00A97A9A"/>
    <w:rsid w:val="00AA0397"/>
    <w:rsid w:val="00AA0671"/>
    <w:rsid w:val="00AA2160"/>
    <w:rsid w:val="00AA2531"/>
    <w:rsid w:val="00AA3B8D"/>
    <w:rsid w:val="00AA3CF1"/>
    <w:rsid w:val="00AA66EF"/>
    <w:rsid w:val="00AB03A4"/>
    <w:rsid w:val="00AB1E09"/>
    <w:rsid w:val="00AB1E2C"/>
    <w:rsid w:val="00AB2530"/>
    <w:rsid w:val="00AB350A"/>
    <w:rsid w:val="00AB3A66"/>
    <w:rsid w:val="00AB4462"/>
    <w:rsid w:val="00AB45C3"/>
    <w:rsid w:val="00AB529C"/>
    <w:rsid w:val="00AB5330"/>
    <w:rsid w:val="00AB6314"/>
    <w:rsid w:val="00AB7747"/>
    <w:rsid w:val="00AC0B36"/>
    <w:rsid w:val="00AC0ED5"/>
    <w:rsid w:val="00AC14CE"/>
    <w:rsid w:val="00AC24C7"/>
    <w:rsid w:val="00AC2A56"/>
    <w:rsid w:val="00AC2D26"/>
    <w:rsid w:val="00AC459A"/>
    <w:rsid w:val="00AC59B5"/>
    <w:rsid w:val="00AC5C6B"/>
    <w:rsid w:val="00AC699B"/>
    <w:rsid w:val="00AD002E"/>
    <w:rsid w:val="00AD055E"/>
    <w:rsid w:val="00AD07B3"/>
    <w:rsid w:val="00AD409D"/>
    <w:rsid w:val="00AD47A7"/>
    <w:rsid w:val="00AD708D"/>
    <w:rsid w:val="00AD74A4"/>
    <w:rsid w:val="00AD7AC4"/>
    <w:rsid w:val="00AE0672"/>
    <w:rsid w:val="00AE09C4"/>
    <w:rsid w:val="00AE11CA"/>
    <w:rsid w:val="00AE1461"/>
    <w:rsid w:val="00AE2057"/>
    <w:rsid w:val="00AE2AF1"/>
    <w:rsid w:val="00AE310F"/>
    <w:rsid w:val="00AE39F0"/>
    <w:rsid w:val="00AE5CEA"/>
    <w:rsid w:val="00AF007B"/>
    <w:rsid w:val="00AF0CBF"/>
    <w:rsid w:val="00AF0D43"/>
    <w:rsid w:val="00AF249A"/>
    <w:rsid w:val="00AF257F"/>
    <w:rsid w:val="00AF33CF"/>
    <w:rsid w:val="00AF3947"/>
    <w:rsid w:val="00AF3DDF"/>
    <w:rsid w:val="00AF411B"/>
    <w:rsid w:val="00AF4D50"/>
    <w:rsid w:val="00AF52B0"/>
    <w:rsid w:val="00AF5826"/>
    <w:rsid w:val="00AF611C"/>
    <w:rsid w:val="00AF6152"/>
    <w:rsid w:val="00AF6179"/>
    <w:rsid w:val="00B0193C"/>
    <w:rsid w:val="00B02CA5"/>
    <w:rsid w:val="00B03F1F"/>
    <w:rsid w:val="00B045D4"/>
    <w:rsid w:val="00B05164"/>
    <w:rsid w:val="00B065B0"/>
    <w:rsid w:val="00B075A0"/>
    <w:rsid w:val="00B12338"/>
    <w:rsid w:val="00B12375"/>
    <w:rsid w:val="00B1295A"/>
    <w:rsid w:val="00B169A7"/>
    <w:rsid w:val="00B1731A"/>
    <w:rsid w:val="00B17975"/>
    <w:rsid w:val="00B20725"/>
    <w:rsid w:val="00B209B6"/>
    <w:rsid w:val="00B20A45"/>
    <w:rsid w:val="00B2175A"/>
    <w:rsid w:val="00B22032"/>
    <w:rsid w:val="00B22C5C"/>
    <w:rsid w:val="00B24C1A"/>
    <w:rsid w:val="00B24F30"/>
    <w:rsid w:val="00B26C2C"/>
    <w:rsid w:val="00B30805"/>
    <w:rsid w:val="00B30949"/>
    <w:rsid w:val="00B31ABF"/>
    <w:rsid w:val="00B3328C"/>
    <w:rsid w:val="00B3344E"/>
    <w:rsid w:val="00B33BE3"/>
    <w:rsid w:val="00B35B50"/>
    <w:rsid w:val="00B36E87"/>
    <w:rsid w:val="00B37CBB"/>
    <w:rsid w:val="00B37DC8"/>
    <w:rsid w:val="00B42372"/>
    <w:rsid w:val="00B427B5"/>
    <w:rsid w:val="00B4313E"/>
    <w:rsid w:val="00B43B7C"/>
    <w:rsid w:val="00B45E57"/>
    <w:rsid w:val="00B47061"/>
    <w:rsid w:val="00B47D8F"/>
    <w:rsid w:val="00B509BA"/>
    <w:rsid w:val="00B513C2"/>
    <w:rsid w:val="00B53B5D"/>
    <w:rsid w:val="00B54862"/>
    <w:rsid w:val="00B550CC"/>
    <w:rsid w:val="00B557AA"/>
    <w:rsid w:val="00B5647A"/>
    <w:rsid w:val="00B57379"/>
    <w:rsid w:val="00B6055E"/>
    <w:rsid w:val="00B616CA"/>
    <w:rsid w:val="00B6317D"/>
    <w:rsid w:val="00B63C05"/>
    <w:rsid w:val="00B64832"/>
    <w:rsid w:val="00B655E3"/>
    <w:rsid w:val="00B65CF5"/>
    <w:rsid w:val="00B6627B"/>
    <w:rsid w:val="00B675DD"/>
    <w:rsid w:val="00B71550"/>
    <w:rsid w:val="00B72F65"/>
    <w:rsid w:val="00B73874"/>
    <w:rsid w:val="00B74B2B"/>
    <w:rsid w:val="00B74D1B"/>
    <w:rsid w:val="00B7723F"/>
    <w:rsid w:val="00B80534"/>
    <w:rsid w:val="00B824C3"/>
    <w:rsid w:val="00B82DCE"/>
    <w:rsid w:val="00B83039"/>
    <w:rsid w:val="00B830BC"/>
    <w:rsid w:val="00B835E8"/>
    <w:rsid w:val="00B83681"/>
    <w:rsid w:val="00B83A6D"/>
    <w:rsid w:val="00B8433C"/>
    <w:rsid w:val="00B84997"/>
    <w:rsid w:val="00B8521F"/>
    <w:rsid w:val="00B85943"/>
    <w:rsid w:val="00B85AB9"/>
    <w:rsid w:val="00B87491"/>
    <w:rsid w:val="00B87C4E"/>
    <w:rsid w:val="00B90062"/>
    <w:rsid w:val="00B90549"/>
    <w:rsid w:val="00B92B4A"/>
    <w:rsid w:val="00B94F37"/>
    <w:rsid w:val="00B964EC"/>
    <w:rsid w:val="00B97235"/>
    <w:rsid w:val="00BA00C7"/>
    <w:rsid w:val="00BA061B"/>
    <w:rsid w:val="00BA0EF7"/>
    <w:rsid w:val="00BA13A8"/>
    <w:rsid w:val="00BA1958"/>
    <w:rsid w:val="00BA29E9"/>
    <w:rsid w:val="00BA2A85"/>
    <w:rsid w:val="00BA2E0D"/>
    <w:rsid w:val="00BA3916"/>
    <w:rsid w:val="00BA607D"/>
    <w:rsid w:val="00BA7142"/>
    <w:rsid w:val="00BA7487"/>
    <w:rsid w:val="00BA7FE4"/>
    <w:rsid w:val="00BB1101"/>
    <w:rsid w:val="00BB15B2"/>
    <w:rsid w:val="00BB1A15"/>
    <w:rsid w:val="00BB1C7A"/>
    <w:rsid w:val="00BB2116"/>
    <w:rsid w:val="00BB21D2"/>
    <w:rsid w:val="00BB237C"/>
    <w:rsid w:val="00BB41A3"/>
    <w:rsid w:val="00BB4E44"/>
    <w:rsid w:val="00BB5FE0"/>
    <w:rsid w:val="00BB62F0"/>
    <w:rsid w:val="00BB75A4"/>
    <w:rsid w:val="00BB77C0"/>
    <w:rsid w:val="00BB7C9B"/>
    <w:rsid w:val="00BC0CA4"/>
    <w:rsid w:val="00BC1E62"/>
    <w:rsid w:val="00BC257C"/>
    <w:rsid w:val="00BC32DC"/>
    <w:rsid w:val="00BC332D"/>
    <w:rsid w:val="00BC35B6"/>
    <w:rsid w:val="00BC3870"/>
    <w:rsid w:val="00BC3BBD"/>
    <w:rsid w:val="00BC3D1D"/>
    <w:rsid w:val="00BC4BD9"/>
    <w:rsid w:val="00BC5669"/>
    <w:rsid w:val="00BC5FD9"/>
    <w:rsid w:val="00BC62DA"/>
    <w:rsid w:val="00BD1B51"/>
    <w:rsid w:val="00BD2360"/>
    <w:rsid w:val="00BD253C"/>
    <w:rsid w:val="00BD2F20"/>
    <w:rsid w:val="00BD2FD6"/>
    <w:rsid w:val="00BD4596"/>
    <w:rsid w:val="00BD486C"/>
    <w:rsid w:val="00BD5051"/>
    <w:rsid w:val="00BD574B"/>
    <w:rsid w:val="00BD64A5"/>
    <w:rsid w:val="00BD6D3F"/>
    <w:rsid w:val="00BD744E"/>
    <w:rsid w:val="00BE096A"/>
    <w:rsid w:val="00BE1405"/>
    <w:rsid w:val="00BE292E"/>
    <w:rsid w:val="00BE312D"/>
    <w:rsid w:val="00BE3582"/>
    <w:rsid w:val="00BE4DD4"/>
    <w:rsid w:val="00BE696F"/>
    <w:rsid w:val="00BF0E63"/>
    <w:rsid w:val="00BF1C20"/>
    <w:rsid w:val="00BF2E15"/>
    <w:rsid w:val="00BF569E"/>
    <w:rsid w:val="00BF6E97"/>
    <w:rsid w:val="00BF7A9C"/>
    <w:rsid w:val="00BF7B3E"/>
    <w:rsid w:val="00BF7EDA"/>
    <w:rsid w:val="00C00373"/>
    <w:rsid w:val="00C006E1"/>
    <w:rsid w:val="00C01AB3"/>
    <w:rsid w:val="00C022F3"/>
    <w:rsid w:val="00C03065"/>
    <w:rsid w:val="00C03543"/>
    <w:rsid w:val="00C03A7B"/>
    <w:rsid w:val="00C05125"/>
    <w:rsid w:val="00C0534F"/>
    <w:rsid w:val="00C0573D"/>
    <w:rsid w:val="00C05BB2"/>
    <w:rsid w:val="00C06149"/>
    <w:rsid w:val="00C065D0"/>
    <w:rsid w:val="00C06AF2"/>
    <w:rsid w:val="00C06D31"/>
    <w:rsid w:val="00C07BF5"/>
    <w:rsid w:val="00C07D43"/>
    <w:rsid w:val="00C07E93"/>
    <w:rsid w:val="00C10578"/>
    <w:rsid w:val="00C12117"/>
    <w:rsid w:val="00C12872"/>
    <w:rsid w:val="00C12AA9"/>
    <w:rsid w:val="00C131DB"/>
    <w:rsid w:val="00C135BC"/>
    <w:rsid w:val="00C13BEF"/>
    <w:rsid w:val="00C1503A"/>
    <w:rsid w:val="00C15C95"/>
    <w:rsid w:val="00C2107B"/>
    <w:rsid w:val="00C2170B"/>
    <w:rsid w:val="00C21BC3"/>
    <w:rsid w:val="00C22E25"/>
    <w:rsid w:val="00C23DF1"/>
    <w:rsid w:val="00C2596A"/>
    <w:rsid w:val="00C25A7D"/>
    <w:rsid w:val="00C26863"/>
    <w:rsid w:val="00C27537"/>
    <w:rsid w:val="00C2769A"/>
    <w:rsid w:val="00C31223"/>
    <w:rsid w:val="00C3133F"/>
    <w:rsid w:val="00C31E6E"/>
    <w:rsid w:val="00C320E0"/>
    <w:rsid w:val="00C328FE"/>
    <w:rsid w:val="00C33159"/>
    <w:rsid w:val="00C33507"/>
    <w:rsid w:val="00C3387B"/>
    <w:rsid w:val="00C33D96"/>
    <w:rsid w:val="00C3702D"/>
    <w:rsid w:val="00C37367"/>
    <w:rsid w:val="00C37AA0"/>
    <w:rsid w:val="00C416E9"/>
    <w:rsid w:val="00C417B4"/>
    <w:rsid w:val="00C41801"/>
    <w:rsid w:val="00C41D0B"/>
    <w:rsid w:val="00C4270A"/>
    <w:rsid w:val="00C4335E"/>
    <w:rsid w:val="00C4409D"/>
    <w:rsid w:val="00C448C9"/>
    <w:rsid w:val="00C44A06"/>
    <w:rsid w:val="00C44E72"/>
    <w:rsid w:val="00C45A06"/>
    <w:rsid w:val="00C45B35"/>
    <w:rsid w:val="00C47371"/>
    <w:rsid w:val="00C47E5B"/>
    <w:rsid w:val="00C50C7C"/>
    <w:rsid w:val="00C550FD"/>
    <w:rsid w:val="00C5558A"/>
    <w:rsid w:val="00C5608B"/>
    <w:rsid w:val="00C56B39"/>
    <w:rsid w:val="00C56D34"/>
    <w:rsid w:val="00C57076"/>
    <w:rsid w:val="00C5792E"/>
    <w:rsid w:val="00C601AC"/>
    <w:rsid w:val="00C6030F"/>
    <w:rsid w:val="00C60EB9"/>
    <w:rsid w:val="00C61E4B"/>
    <w:rsid w:val="00C62B8D"/>
    <w:rsid w:val="00C6337C"/>
    <w:rsid w:val="00C640F4"/>
    <w:rsid w:val="00C64BFF"/>
    <w:rsid w:val="00C654D8"/>
    <w:rsid w:val="00C704E9"/>
    <w:rsid w:val="00C70865"/>
    <w:rsid w:val="00C70C73"/>
    <w:rsid w:val="00C711A6"/>
    <w:rsid w:val="00C718D9"/>
    <w:rsid w:val="00C728C0"/>
    <w:rsid w:val="00C73EE3"/>
    <w:rsid w:val="00C74435"/>
    <w:rsid w:val="00C7573A"/>
    <w:rsid w:val="00C758D7"/>
    <w:rsid w:val="00C763C9"/>
    <w:rsid w:val="00C76695"/>
    <w:rsid w:val="00C77F27"/>
    <w:rsid w:val="00C80057"/>
    <w:rsid w:val="00C80DA0"/>
    <w:rsid w:val="00C82232"/>
    <w:rsid w:val="00C82582"/>
    <w:rsid w:val="00C82913"/>
    <w:rsid w:val="00C82BCD"/>
    <w:rsid w:val="00C8359C"/>
    <w:rsid w:val="00C835E8"/>
    <w:rsid w:val="00C86AD5"/>
    <w:rsid w:val="00C87690"/>
    <w:rsid w:val="00C87966"/>
    <w:rsid w:val="00C907D9"/>
    <w:rsid w:val="00C912EA"/>
    <w:rsid w:val="00C93500"/>
    <w:rsid w:val="00C972B1"/>
    <w:rsid w:val="00C97E68"/>
    <w:rsid w:val="00CA02D2"/>
    <w:rsid w:val="00CA040E"/>
    <w:rsid w:val="00CA0D10"/>
    <w:rsid w:val="00CA1A59"/>
    <w:rsid w:val="00CA2A76"/>
    <w:rsid w:val="00CA2CCE"/>
    <w:rsid w:val="00CA3B03"/>
    <w:rsid w:val="00CA3C26"/>
    <w:rsid w:val="00CA43FD"/>
    <w:rsid w:val="00CA4947"/>
    <w:rsid w:val="00CA4962"/>
    <w:rsid w:val="00CA4EE5"/>
    <w:rsid w:val="00CA619F"/>
    <w:rsid w:val="00CA70D8"/>
    <w:rsid w:val="00CA7EF8"/>
    <w:rsid w:val="00CB0025"/>
    <w:rsid w:val="00CB033E"/>
    <w:rsid w:val="00CB0AAE"/>
    <w:rsid w:val="00CB1C85"/>
    <w:rsid w:val="00CB372E"/>
    <w:rsid w:val="00CB41CD"/>
    <w:rsid w:val="00CB47B1"/>
    <w:rsid w:val="00CB4D2F"/>
    <w:rsid w:val="00CB55C5"/>
    <w:rsid w:val="00CB6951"/>
    <w:rsid w:val="00CC2039"/>
    <w:rsid w:val="00CC26DD"/>
    <w:rsid w:val="00CC2B17"/>
    <w:rsid w:val="00CC4478"/>
    <w:rsid w:val="00CC489B"/>
    <w:rsid w:val="00CC4A57"/>
    <w:rsid w:val="00CC5763"/>
    <w:rsid w:val="00CC5963"/>
    <w:rsid w:val="00CC63B9"/>
    <w:rsid w:val="00CC7691"/>
    <w:rsid w:val="00CD0600"/>
    <w:rsid w:val="00CD1ADE"/>
    <w:rsid w:val="00CD231C"/>
    <w:rsid w:val="00CD2BCD"/>
    <w:rsid w:val="00CD2D37"/>
    <w:rsid w:val="00CD3A4C"/>
    <w:rsid w:val="00CD45BF"/>
    <w:rsid w:val="00CD5944"/>
    <w:rsid w:val="00CD6564"/>
    <w:rsid w:val="00CD7CB3"/>
    <w:rsid w:val="00CE0449"/>
    <w:rsid w:val="00CE0747"/>
    <w:rsid w:val="00CE10E9"/>
    <w:rsid w:val="00CE240D"/>
    <w:rsid w:val="00CE2910"/>
    <w:rsid w:val="00CE3B28"/>
    <w:rsid w:val="00CE3D3B"/>
    <w:rsid w:val="00CE5393"/>
    <w:rsid w:val="00CE6085"/>
    <w:rsid w:val="00CE615B"/>
    <w:rsid w:val="00CE7382"/>
    <w:rsid w:val="00CF22F2"/>
    <w:rsid w:val="00CF2C82"/>
    <w:rsid w:val="00CF36BE"/>
    <w:rsid w:val="00CF6000"/>
    <w:rsid w:val="00CF7A27"/>
    <w:rsid w:val="00D003F3"/>
    <w:rsid w:val="00D01586"/>
    <w:rsid w:val="00D0341E"/>
    <w:rsid w:val="00D0364F"/>
    <w:rsid w:val="00D04903"/>
    <w:rsid w:val="00D04BAE"/>
    <w:rsid w:val="00D04F78"/>
    <w:rsid w:val="00D06834"/>
    <w:rsid w:val="00D074EB"/>
    <w:rsid w:val="00D104B1"/>
    <w:rsid w:val="00D13964"/>
    <w:rsid w:val="00D1532A"/>
    <w:rsid w:val="00D15963"/>
    <w:rsid w:val="00D15E64"/>
    <w:rsid w:val="00D16073"/>
    <w:rsid w:val="00D16F10"/>
    <w:rsid w:val="00D20DE0"/>
    <w:rsid w:val="00D21538"/>
    <w:rsid w:val="00D21694"/>
    <w:rsid w:val="00D22F2F"/>
    <w:rsid w:val="00D24D8E"/>
    <w:rsid w:val="00D25209"/>
    <w:rsid w:val="00D25FF4"/>
    <w:rsid w:val="00D26981"/>
    <w:rsid w:val="00D274E2"/>
    <w:rsid w:val="00D27566"/>
    <w:rsid w:val="00D301A8"/>
    <w:rsid w:val="00D3046D"/>
    <w:rsid w:val="00D308ED"/>
    <w:rsid w:val="00D30A88"/>
    <w:rsid w:val="00D328CB"/>
    <w:rsid w:val="00D32F72"/>
    <w:rsid w:val="00D33EA0"/>
    <w:rsid w:val="00D35DD9"/>
    <w:rsid w:val="00D36D86"/>
    <w:rsid w:val="00D36E66"/>
    <w:rsid w:val="00D37536"/>
    <w:rsid w:val="00D401D1"/>
    <w:rsid w:val="00D4121E"/>
    <w:rsid w:val="00D412BB"/>
    <w:rsid w:val="00D42379"/>
    <w:rsid w:val="00D428AA"/>
    <w:rsid w:val="00D42A73"/>
    <w:rsid w:val="00D456E4"/>
    <w:rsid w:val="00D50A34"/>
    <w:rsid w:val="00D50A38"/>
    <w:rsid w:val="00D50A78"/>
    <w:rsid w:val="00D51029"/>
    <w:rsid w:val="00D51DDE"/>
    <w:rsid w:val="00D53D0B"/>
    <w:rsid w:val="00D53EFA"/>
    <w:rsid w:val="00D53F2D"/>
    <w:rsid w:val="00D542FB"/>
    <w:rsid w:val="00D55456"/>
    <w:rsid w:val="00D56A60"/>
    <w:rsid w:val="00D5744C"/>
    <w:rsid w:val="00D604B9"/>
    <w:rsid w:val="00D60772"/>
    <w:rsid w:val="00D60E1A"/>
    <w:rsid w:val="00D60F71"/>
    <w:rsid w:val="00D62063"/>
    <w:rsid w:val="00D623E4"/>
    <w:rsid w:val="00D62D9E"/>
    <w:rsid w:val="00D6334E"/>
    <w:rsid w:val="00D64BFA"/>
    <w:rsid w:val="00D64DFE"/>
    <w:rsid w:val="00D64E89"/>
    <w:rsid w:val="00D658C2"/>
    <w:rsid w:val="00D65966"/>
    <w:rsid w:val="00D65D2E"/>
    <w:rsid w:val="00D65E9E"/>
    <w:rsid w:val="00D66B1A"/>
    <w:rsid w:val="00D67957"/>
    <w:rsid w:val="00D70245"/>
    <w:rsid w:val="00D7042E"/>
    <w:rsid w:val="00D72118"/>
    <w:rsid w:val="00D7255C"/>
    <w:rsid w:val="00D7274A"/>
    <w:rsid w:val="00D73461"/>
    <w:rsid w:val="00D7493D"/>
    <w:rsid w:val="00D761A7"/>
    <w:rsid w:val="00D800B2"/>
    <w:rsid w:val="00D81555"/>
    <w:rsid w:val="00D81F9D"/>
    <w:rsid w:val="00D82F17"/>
    <w:rsid w:val="00D835A2"/>
    <w:rsid w:val="00D83A21"/>
    <w:rsid w:val="00D83D1E"/>
    <w:rsid w:val="00D848B8"/>
    <w:rsid w:val="00D84C1E"/>
    <w:rsid w:val="00D85C43"/>
    <w:rsid w:val="00D87A38"/>
    <w:rsid w:val="00D87C3F"/>
    <w:rsid w:val="00D90C92"/>
    <w:rsid w:val="00D9304D"/>
    <w:rsid w:val="00D93A74"/>
    <w:rsid w:val="00D94A7C"/>
    <w:rsid w:val="00D95779"/>
    <w:rsid w:val="00D95896"/>
    <w:rsid w:val="00D972FE"/>
    <w:rsid w:val="00D973CE"/>
    <w:rsid w:val="00DA0234"/>
    <w:rsid w:val="00DA24B8"/>
    <w:rsid w:val="00DA26D9"/>
    <w:rsid w:val="00DA270E"/>
    <w:rsid w:val="00DA3E93"/>
    <w:rsid w:val="00DA428E"/>
    <w:rsid w:val="00DA4F0E"/>
    <w:rsid w:val="00DA680D"/>
    <w:rsid w:val="00DA6946"/>
    <w:rsid w:val="00DA7707"/>
    <w:rsid w:val="00DB0965"/>
    <w:rsid w:val="00DB0D42"/>
    <w:rsid w:val="00DB1C43"/>
    <w:rsid w:val="00DB2983"/>
    <w:rsid w:val="00DB3F4E"/>
    <w:rsid w:val="00DB5982"/>
    <w:rsid w:val="00DB5E0A"/>
    <w:rsid w:val="00DB69AC"/>
    <w:rsid w:val="00DC1257"/>
    <w:rsid w:val="00DC379C"/>
    <w:rsid w:val="00DC3DC0"/>
    <w:rsid w:val="00DC40AE"/>
    <w:rsid w:val="00DC5B2B"/>
    <w:rsid w:val="00DC6CF1"/>
    <w:rsid w:val="00DC6DA2"/>
    <w:rsid w:val="00DC6E82"/>
    <w:rsid w:val="00DC7118"/>
    <w:rsid w:val="00DC7367"/>
    <w:rsid w:val="00DD00C6"/>
    <w:rsid w:val="00DD05D7"/>
    <w:rsid w:val="00DD1F7F"/>
    <w:rsid w:val="00DD2823"/>
    <w:rsid w:val="00DD318D"/>
    <w:rsid w:val="00DD3202"/>
    <w:rsid w:val="00DD426A"/>
    <w:rsid w:val="00DD454D"/>
    <w:rsid w:val="00DD47F2"/>
    <w:rsid w:val="00DD5169"/>
    <w:rsid w:val="00DD516F"/>
    <w:rsid w:val="00DD6755"/>
    <w:rsid w:val="00DD7256"/>
    <w:rsid w:val="00DD7847"/>
    <w:rsid w:val="00DD7982"/>
    <w:rsid w:val="00DD7C00"/>
    <w:rsid w:val="00DE019D"/>
    <w:rsid w:val="00DE03AA"/>
    <w:rsid w:val="00DE0837"/>
    <w:rsid w:val="00DE0918"/>
    <w:rsid w:val="00DE1125"/>
    <w:rsid w:val="00DE3B4E"/>
    <w:rsid w:val="00DE4A1A"/>
    <w:rsid w:val="00DE4F8A"/>
    <w:rsid w:val="00DE53E1"/>
    <w:rsid w:val="00DE5E72"/>
    <w:rsid w:val="00DE5E76"/>
    <w:rsid w:val="00DE72E7"/>
    <w:rsid w:val="00DF1196"/>
    <w:rsid w:val="00DF192C"/>
    <w:rsid w:val="00DF21D3"/>
    <w:rsid w:val="00DF2E12"/>
    <w:rsid w:val="00DF300A"/>
    <w:rsid w:val="00DF3300"/>
    <w:rsid w:val="00DF3524"/>
    <w:rsid w:val="00DF4045"/>
    <w:rsid w:val="00DF4F28"/>
    <w:rsid w:val="00DF514A"/>
    <w:rsid w:val="00DF52CC"/>
    <w:rsid w:val="00DF59BF"/>
    <w:rsid w:val="00DF5C1D"/>
    <w:rsid w:val="00DF6690"/>
    <w:rsid w:val="00DF6804"/>
    <w:rsid w:val="00E00285"/>
    <w:rsid w:val="00E00696"/>
    <w:rsid w:val="00E0192F"/>
    <w:rsid w:val="00E0358D"/>
    <w:rsid w:val="00E04323"/>
    <w:rsid w:val="00E05131"/>
    <w:rsid w:val="00E070A2"/>
    <w:rsid w:val="00E074EA"/>
    <w:rsid w:val="00E07649"/>
    <w:rsid w:val="00E11651"/>
    <w:rsid w:val="00E11DD3"/>
    <w:rsid w:val="00E12E62"/>
    <w:rsid w:val="00E14388"/>
    <w:rsid w:val="00E1479B"/>
    <w:rsid w:val="00E14A9E"/>
    <w:rsid w:val="00E14C39"/>
    <w:rsid w:val="00E14C8C"/>
    <w:rsid w:val="00E157D3"/>
    <w:rsid w:val="00E17BEF"/>
    <w:rsid w:val="00E22313"/>
    <w:rsid w:val="00E22491"/>
    <w:rsid w:val="00E24D03"/>
    <w:rsid w:val="00E24DA2"/>
    <w:rsid w:val="00E2656A"/>
    <w:rsid w:val="00E26D2E"/>
    <w:rsid w:val="00E271A2"/>
    <w:rsid w:val="00E3002A"/>
    <w:rsid w:val="00E30044"/>
    <w:rsid w:val="00E32C6F"/>
    <w:rsid w:val="00E337B8"/>
    <w:rsid w:val="00E3395E"/>
    <w:rsid w:val="00E3409A"/>
    <w:rsid w:val="00E35010"/>
    <w:rsid w:val="00E3558E"/>
    <w:rsid w:val="00E36009"/>
    <w:rsid w:val="00E37150"/>
    <w:rsid w:val="00E407E8"/>
    <w:rsid w:val="00E40886"/>
    <w:rsid w:val="00E408EE"/>
    <w:rsid w:val="00E412D0"/>
    <w:rsid w:val="00E4195A"/>
    <w:rsid w:val="00E43058"/>
    <w:rsid w:val="00E4387C"/>
    <w:rsid w:val="00E475B3"/>
    <w:rsid w:val="00E47E20"/>
    <w:rsid w:val="00E50C95"/>
    <w:rsid w:val="00E50CEF"/>
    <w:rsid w:val="00E52265"/>
    <w:rsid w:val="00E5266A"/>
    <w:rsid w:val="00E52F03"/>
    <w:rsid w:val="00E530EB"/>
    <w:rsid w:val="00E53860"/>
    <w:rsid w:val="00E5386B"/>
    <w:rsid w:val="00E539DC"/>
    <w:rsid w:val="00E56322"/>
    <w:rsid w:val="00E56E8C"/>
    <w:rsid w:val="00E6013F"/>
    <w:rsid w:val="00E60381"/>
    <w:rsid w:val="00E60770"/>
    <w:rsid w:val="00E60772"/>
    <w:rsid w:val="00E60982"/>
    <w:rsid w:val="00E612BD"/>
    <w:rsid w:val="00E62813"/>
    <w:rsid w:val="00E62C62"/>
    <w:rsid w:val="00E63944"/>
    <w:rsid w:val="00E63B48"/>
    <w:rsid w:val="00E64E1D"/>
    <w:rsid w:val="00E654C1"/>
    <w:rsid w:val="00E65D97"/>
    <w:rsid w:val="00E67B34"/>
    <w:rsid w:val="00E7002C"/>
    <w:rsid w:val="00E70380"/>
    <w:rsid w:val="00E70AFD"/>
    <w:rsid w:val="00E726A5"/>
    <w:rsid w:val="00E72A5A"/>
    <w:rsid w:val="00E72D1B"/>
    <w:rsid w:val="00E73354"/>
    <w:rsid w:val="00E743BE"/>
    <w:rsid w:val="00E750AD"/>
    <w:rsid w:val="00E75782"/>
    <w:rsid w:val="00E75DC5"/>
    <w:rsid w:val="00E7607F"/>
    <w:rsid w:val="00E7629E"/>
    <w:rsid w:val="00E762E5"/>
    <w:rsid w:val="00E77992"/>
    <w:rsid w:val="00E77C1B"/>
    <w:rsid w:val="00E77EC9"/>
    <w:rsid w:val="00E809FE"/>
    <w:rsid w:val="00E80EC2"/>
    <w:rsid w:val="00E8129D"/>
    <w:rsid w:val="00E82BBA"/>
    <w:rsid w:val="00E83B16"/>
    <w:rsid w:val="00E850B3"/>
    <w:rsid w:val="00E855B7"/>
    <w:rsid w:val="00E858EE"/>
    <w:rsid w:val="00E87317"/>
    <w:rsid w:val="00E874B5"/>
    <w:rsid w:val="00E87B80"/>
    <w:rsid w:val="00E87EF0"/>
    <w:rsid w:val="00E9106B"/>
    <w:rsid w:val="00E9242D"/>
    <w:rsid w:val="00E95DD9"/>
    <w:rsid w:val="00EA0855"/>
    <w:rsid w:val="00EA1078"/>
    <w:rsid w:val="00EA1F93"/>
    <w:rsid w:val="00EA26AF"/>
    <w:rsid w:val="00EA3CEB"/>
    <w:rsid w:val="00EA77BE"/>
    <w:rsid w:val="00EB00EB"/>
    <w:rsid w:val="00EB02F5"/>
    <w:rsid w:val="00EB2CB1"/>
    <w:rsid w:val="00EB2FFC"/>
    <w:rsid w:val="00EB3DB1"/>
    <w:rsid w:val="00EB4705"/>
    <w:rsid w:val="00EB4D74"/>
    <w:rsid w:val="00EB5255"/>
    <w:rsid w:val="00EB5C47"/>
    <w:rsid w:val="00EB66B1"/>
    <w:rsid w:val="00EB66F6"/>
    <w:rsid w:val="00EB69B1"/>
    <w:rsid w:val="00EB6E66"/>
    <w:rsid w:val="00EB7B75"/>
    <w:rsid w:val="00EB7BF5"/>
    <w:rsid w:val="00EB7DD4"/>
    <w:rsid w:val="00EC049E"/>
    <w:rsid w:val="00EC0879"/>
    <w:rsid w:val="00EC0E75"/>
    <w:rsid w:val="00EC3999"/>
    <w:rsid w:val="00EC7023"/>
    <w:rsid w:val="00ED010C"/>
    <w:rsid w:val="00ED0639"/>
    <w:rsid w:val="00ED0A85"/>
    <w:rsid w:val="00ED1031"/>
    <w:rsid w:val="00ED113C"/>
    <w:rsid w:val="00ED1F8C"/>
    <w:rsid w:val="00ED44F9"/>
    <w:rsid w:val="00ED56E1"/>
    <w:rsid w:val="00ED5A30"/>
    <w:rsid w:val="00ED691C"/>
    <w:rsid w:val="00EE1358"/>
    <w:rsid w:val="00EE2412"/>
    <w:rsid w:val="00EE29D9"/>
    <w:rsid w:val="00EE2C7B"/>
    <w:rsid w:val="00EE4B1D"/>
    <w:rsid w:val="00EE69F5"/>
    <w:rsid w:val="00EF0B3F"/>
    <w:rsid w:val="00EF293C"/>
    <w:rsid w:val="00EF2B9C"/>
    <w:rsid w:val="00EF45C6"/>
    <w:rsid w:val="00EF4755"/>
    <w:rsid w:val="00EF4909"/>
    <w:rsid w:val="00EF4DE7"/>
    <w:rsid w:val="00EF5004"/>
    <w:rsid w:val="00EF632A"/>
    <w:rsid w:val="00EF63E6"/>
    <w:rsid w:val="00EF69A9"/>
    <w:rsid w:val="00EF7135"/>
    <w:rsid w:val="00F01193"/>
    <w:rsid w:val="00F01E9F"/>
    <w:rsid w:val="00F027DB"/>
    <w:rsid w:val="00F02F78"/>
    <w:rsid w:val="00F03F45"/>
    <w:rsid w:val="00F045C5"/>
    <w:rsid w:val="00F04635"/>
    <w:rsid w:val="00F04CC1"/>
    <w:rsid w:val="00F04F3F"/>
    <w:rsid w:val="00F051BC"/>
    <w:rsid w:val="00F05763"/>
    <w:rsid w:val="00F05815"/>
    <w:rsid w:val="00F06D25"/>
    <w:rsid w:val="00F079E9"/>
    <w:rsid w:val="00F10502"/>
    <w:rsid w:val="00F1216C"/>
    <w:rsid w:val="00F12866"/>
    <w:rsid w:val="00F13E6B"/>
    <w:rsid w:val="00F14A7A"/>
    <w:rsid w:val="00F1549F"/>
    <w:rsid w:val="00F166CE"/>
    <w:rsid w:val="00F20497"/>
    <w:rsid w:val="00F209B4"/>
    <w:rsid w:val="00F220E5"/>
    <w:rsid w:val="00F22985"/>
    <w:rsid w:val="00F2475A"/>
    <w:rsid w:val="00F263B2"/>
    <w:rsid w:val="00F26AD1"/>
    <w:rsid w:val="00F30F11"/>
    <w:rsid w:val="00F32709"/>
    <w:rsid w:val="00F3383E"/>
    <w:rsid w:val="00F339D8"/>
    <w:rsid w:val="00F33E01"/>
    <w:rsid w:val="00F351E3"/>
    <w:rsid w:val="00F36950"/>
    <w:rsid w:val="00F36A13"/>
    <w:rsid w:val="00F4064A"/>
    <w:rsid w:val="00F40F20"/>
    <w:rsid w:val="00F4194E"/>
    <w:rsid w:val="00F425E5"/>
    <w:rsid w:val="00F431D7"/>
    <w:rsid w:val="00F43314"/>
    <w:rsid w:val="00F43D51"/>
    <w:rsid w:val="00F4445F"/>
    <w:rsid w:val="00F46123"/>
    <w:rsid w:val="00F4620B"/>
    <w:rsid w:val="00F465A7"/>
    <w:rsid w:val="00F46868"/>
    <w:rsid w:val="00F46EAC"/>
    <w:rsid w:val="00F50B7C"/>
    <w:rsid w:val="00F50EF7"/>
    <w:rsid w:val="00F51AD6"/>
    <w:rsid w:val="00F5498A"/>
    <w:rsid w:val="00F550E6"/>
    <w:rsid w:val="00F56595"/>
    <w:rsid w:val="00F56DC4"/>
    <w:rsid w:val="00F579D9"/>
    <w:rsid w:val="00F61231"/>
    <w:rsid w:val="00F61C24"/>
    <w:rsid w:val="00F61EA7"/>
    <w:rsid w:val="00F62382"/>
    <w:rsid w:val="00F632DB"/>
    <w:rsid w:val="00F63E88"/>
    <w:rsid w:val="00F656FE"/>
    <w:rsid w:val="00F65800"/>
    <w:rsid w:val="00F66684"/>
    <w:rsid w:val="00F678F7"/>
    <w:rsid w:val="00F679A0"/>
    <w:rsid w:val="00F72EAA"/>
    <w:rsid w:val="00F73537"/>
    <w:rsid w:val="00F74345"/>
    <w:rsid w:val="00F74657"/>
    <w:rsid w:val="00F74A8A"/>
    <w:rsid w:val="00F74AEE"/>
    <w:rsid w:val="00F75CEC"/>
    <w:rsid w:val="00F76473"/>
    <w:rsid w:val="00F76BD8"/>
    <w:rsid w:val="00F76C4B"/>
    <w:rsid w:val="00F8004F"/>
    <w:rsid w:val="00F8011C"/>
    <w:rsid w:val="00F80A0A"/>
    <w:rsid w:val="00F812D8"/>
    <w:rsid w:val="00F81D30"/>
    <w:rsid w:val="00F828FB"/>
    <w:rsid w:val="00F82B19"/>
    <w:rsid w:val="00F82B3E"/>
    <w:rsid w:val="00F83D00"/>
    <w:rsid w:val="00F846E9"/>
    <w:rsid w:val="00F85F3B"/>
    <w:rsid w:val="00F87E80"/>
    <w:rsid w:val="00F91CF7"/>
    <w:rsid w:val="00F9212D"/>
    <w:rsid w:val="00F92480"/>
    <w:rsid w:val="00F925D3"/>
    <w:rsid w:val="00F936CA"/>
    <w:rsid w:val="00F93948"/>
    <w:rsid w:val="00F94576"/>
    <w:rsid w:val="00F948EF"/>
    <w:rsid w:val="00F95045"/>
    <w:rsid w:val="00F95EA0"/>
    <w:rsid w:val="00F96278"/>
    <w:rsid w:val="00F96420"/>
    <w:rsid w:val="00F965DA"/>
    <w:rsid w:val="00F979D5"/>
    <w:rsid w:val="00F97D13"/>
    <w:rsid w:val="00FA0320"/>
    <w:rsid w:val="00FA0A48"/>
    <w:rsid w:val="00FA0ADE"/>
    <w:rsid w:val="00FA1DF0"/>
    <w:rsid w:val="00FA22EC"/>
    <w:rsid w:val="00FA2D01"/>
    <w:rsid w:val="00FA3B47"/>
    <w:rsid w:val="00FA3D3D"/>
    <w:rsid w:val="00FA406A"/>
    <w:rsid w:val="00FA4986"/>
    <w:rsid w:val="00FA59A3"/>
    <w:rsid w:val="00FA75E3"/>
    <w:rsid w:val="00FA76D0"/>
    <w:rsid w:val="00FA797E"/>
    <w:rsid w:val="00FB0134"/>
    <w:rsid w:val="00FB05C4"/>
    <w:rsid w:val="00FB06B1"/>
    <w:rsid w:val="00FB07FF"/>
    <w:rsid w:val="00FB0B38"/>
    <w:rsid w:val="00FB187E"/>
    <w:rsid w:val="00FB245D"/>
    <w:rsid w:val="00FB2DD2"/>
    <w:rsid w:val="00FB3050"/>
    <w:rsid w:val="00FB503A"/>
    <w:rsid w:val="00FB516C"/>
    <w:rsid w:val="00FB5A71"/>
    <w:rsid w:val="00FB6018"/>
    <w:rsid w:val="00FB6877"/>
    <w:rsid w:val="00FB68A9"/>
    <w:rsid w:val="00FB760B"/>
    <w:rsid w:val="00FB78CB"/>
    <w:rsid w:val="00FB7A4A"/>
    <w:rsid w:val="00FC0EFC"/>
    <w:rsid w:val="00FC1C39"/>
    <w:rsid w:val="00FC1CED"/>
    <w:rsid w:val="00FC1FA9"/>
    <w:rsid w:val="00FC2313"/>
    <w:rsid w:val="00FC328B"/>
    <w:rsid w:val="00FC407D"/>
    <w:rsid w:val="00FC44A8"/>
    <w:rsid w:val="00FC4853"/>
    <w:rsid w:val="00FC5A84"/>
    <w:rsid w:val="00FC5F05"/>
    <w:rsid w:val="00FC5F5C"/>
    <w:rsid w:val="00FC67D4"/>
    <w:rsid w:val="00FC758E"/>
    <w:rsid w:val="00FD0236"/>
    <w:rsid w:val="00FD0994"/>
    <w:rsid w:val="00FD0FD1"/>
    <w:rsid w:val="00FD1316"/>
    <w:rsid w:val="00FD18F4"/>
    <w:rsid w:val="00FD355E"/>
    <w:rsid w:val="00FD4249"/>
    <w:rsid w:val="00FD54DB"/>
    <w:rsid w:val="00FD619F"/>
    <w:rsid w:val="00FD6EDB"/>
    <w:rsid w:val="00FE1EF5"/>
    <w:rsid w:val="00FE1F93"/>
    <w:rsid w:val="00FE2303"/>
    <w:rsid w:val="00FE274A"/>
    <w:rsid w:val="00FE2C62"/>
    <w:rsid w:val="00FE339D"/>
    <w:rsid w:val="00FE3471"/>
    <w:rsid w:val="00FE4286"/>
    <w:rsid w:val="00FE43A7"/>
    <w:rsid w:val="00FE56CD"/>
    <w:rsid w:val="00FE5DAD"/>
    <w:rsid w:val="00FE6DB9"/>
    <w:rsid w:val="00FE70AE"/>
    <w:rsid w:val="00FE70BF"/>
    <w:rsid w:val="00FE71F0"/>
    <w:rsid w:val="00FE72A2"/>
    <w:rsid w:val="00FF0351"/>
    <w:rsid w:val="00FF26E4"/>
    <w:rsid w:val="00FF3738"/>
    <w:rsid w:val="00FF4AF2"/>
    <w:rsid w:val="00FF5263"/>
    <w:rsid w:val="00FF7CA6"/>
    <w:rsid w:val="01290F7E"/>
    <w:rsid w:val="015D1E09"/>
    <w:rsid w:val="02697903"/>
    <w:rsid w:val="02F96569"/>
    <w:rsid w:val="030C0927"/>
    <w:rsid w:val="03EA7B21"/>
    <w:rsid w:val="05F83EAE"/>
    <w:rsid w:val="063E7D85"/>
    <w:rsid w:val="06E62795"/>
    <w:rsid w:val="07293586"/>
    <w:rsid w:val="07295285"/>
    <w:rsid w:val="07382DFF"/>
    <w:rsid w:val="07636392"/>
    <w:rsid w:val="07770C56"/>
    <w:rsid w:val="08B413A5"/>
    <w:rsid w:val="092217DD"/>
    <w:rsid w:val="093A7294"/>
    <w:rsid w:val="0A263993"/>
    <w:rsid w:val="0A2D3AC2"/>
    <w:rsid w:val="0AA755DF"/>
    <w:rsid w:val="0B120D44"/>
    <w:rsid w:val="0BD27BF6"/>
    <w:rsid w:val="0C3B3C7D"/>
    <w:rsid w:val="0CAB2EAE"/>
    <w:rsid w:val="0CDC6FDF"/>
    <w:rsid w:val="0D5663AB"/>
    <w:rsid w:val="0D621C7D"/>
    <w:rsid w:val="0D75300E"/>
    <w:rsid w:val="0E2864C0"/>
    <w:rsid w:val="0E73034D"/>
    <w:rsid w:val="0F13775A"/>
    <w:rsid w:val="0F5F45FE"/>
    <w:rsid w:val="0F9A112B"/>
    <w:rsid w:val="106D2F64"/>
    <w:rsid w:val="10B63710"/>
    <w:rsid w:val="10F10820"/>
    <w:rsid w:val="111C2F7A"/>
    <w:rsid w:val="11665CA1"/>
    <w:rsid w:val="11CB2A8D"/>
    <w:rsid w:val="124008DF"/>
    <w:rsid w:val="12FD7AAD"/>
    <w:rsid w:val="13951726"/>
    <w:rsid w:val="14396509"/>
    <w:rsid w:val="14DD2C3C"/>
    <w:rsid w:val="152E01EC"/>
    <w:rsid w:val="15AC7AB9"/>
    <w:rsid w:val="16087E1D"/>
    <w:rsid w:val="17701D14"/>
    <w:rsid w:val="17735226"/>
    <w:rsid w:val="18172185"/>
    <w:rsid w:val="189F624C"/>
    <w:rsid w:val="1A1C66C0"/>
    <w:rsid w:val="1A42393B"/>
    <w:rsid w:val="1AAD45DE"/>
    <w:rsid w:val="1B046F80"/>
    <w:rsid w:val="1B3267B5"/>
    <w:rsid w:val="1B40161D"/>
    <w:rsid w:val="1B441859"/>
    <w:rsid w:val="1B6606B1"/>
    <w:rsid w:val="1C5E7925"/>
    <w:rsid w:val="1CFD070F"/>
    <w:rsid w:val="1D5F6196"/>
    <w:rsid w:val="1D6132A5"/>
    <w:rsid w:val="1D76676B"/>
    <w:rsid w:val="1D8E56D5"/>
    <w:rsid w:val="1E7A43DA"/>
    <w:rsid w:val="1F251C74"/>
    <w:rsid w:val="1FE7539E"/>
    <w:rsid w:val="20671BE0"/>
    <w:rsid w:val="20963CB8"/>
    <w:rsid w:val="20A81A1B"/>
    <w:rsid w:val="20B07FB6"/>
    <w:rsid w:val="20B646FB"/>
    <w:rsid w:val="213B74B1"/>
    <w:rsid w:val="215A2310"/>
    <w:rsid w:val="21DE318A"/>
    <w:rsid w:val="21EF5B80"/>
    <w:rsid w:val="22576990"/>
    <w:rsid w:val="22F47480"/>
    <w:rsid w:val="23DE1C48"/>
    <w:rsid w:val="240210CD"/>
    <w:rsid w:val="242D7AED"/>
    <w:rsid w:val="24BF09F7"/>
    <w:rsid w:val="252D53FE"/>
    <w:rsid w:val="25553252"/>
    <w:rsid w:val="25EC2D81"/>
    <w:rsid w:val="277057A2"/>
    <w:rsid w:val="29206EB8"/>
    <w:rsid w:val="29595666"/>
    <w:rsid w:val="29874881"/>
    <w:rsid w:val="29E325E0"/>
    <w:rsid w:val="2A452503"/>
    <w:rsid w:val="2B4C0E5F"/>
    <w:rsid w:val="2BA936A8"/>
    <w:rsid w:val="2C315A5A"/>
    <w:rsid w:val="2C4B1C25"/>
    <w:rsid w:val="2D9E56F5"/>
    <w:rsid w:val="2E667F96"/>
    <w:rsid w:val="2E8226AB"/>
    <w:rsid w:val="2FD065E6"/>
    <w:rsid w:val="2FD96870"/>
    <w:rsid w:val="2FEB3DE3"/>
    <w:rsid w:val="30580BC9"/>
    <w:rsid w:val="307559FB"/>
    <w:rsid w:val="311E2ED7"/>
    <w:rsid w:val="315619EE"/>
    <w:rsid w:val="315C449C"/>
    <w:rsid w:val="31B82709"/>
    <w:rsid w:val="31D05482"/>
    <w:rsid w:val="32400B34"/>
    <w:rsid w:val="329E6876"/>
    <w:rsid w:val="333015F2"/>
    <w:rsid w:val="334B6320"/>
    <w:rsid w:val="33D934D4"/>
    <w:rsid w:val="33FE2F6A"/>
    <w:rsid w:val="340E07E5"/>
    <w:rsid w:val="34235BF7"/>
    <w:rsid w:val="34AB1BB7"/>
    <w:rsid w:val="357F234A"/>
    <w:rsid w:val="358C5FA8"/>
    <w:rsid w:val="35C15DF1"/>
    <w:rsid w:val="36074A7F"/>
    <w:rsid w:val="36923549"/>
    <w:rsid w:val="36B75FBF"/>
    <w:rsid w:val="36BD0C45"/>
    <w:rsid w:val="37E00298"/>
    <w:rsid w:val="386D459A"/>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456151"/>
    <w:rsid w:val="46577FD6"/>
    <w:rsid w:val="46D955A7"/>
    <w:rsid w:val="47133957"/>
    <w:rsid w:val="47A07E0C"/>
    <w:rsid w:val="4870272E"/>
    <w:rsid w:val="492D02ED"/>
    <w:rsid w:val="497A3921"/>
    <w:rsid w:val="49DC7715"/>
    <w:rsid w:val="4A023139"/>
    <w:rsid w:val="4A7B576F"/>
    <w:rsid w:val="4AF561A9"/>
    <w:rsid w:val="4C4A0649"/>
    <w:rsid w:val="4C7E5ECA"/>
    <w:rsid w:val="4C876AA5"/>
    <w:rsid w:val="4CC171B2"/>
    <w:rsid w:val="4D0E00FB"/>
    <w:rsid w:val="4D176606"/>
    <w:rsid w:val="4DE65E10"/>
    <w:rsid w:val="4DEC4FB0"/>
    <w:rsid w:val="4E075D8A"/>
    <w:rsid w:val="4EC00FAD"/>
    <w:rsid w:val="4ECB59F8"/>
    <w:rsid w:val="4EEC7D97"/>
    <w:rsid w:val="4F382932"/>
    <w:rsid w:val="4F9843DC"/>
    <w:rsid w:val="4FC62A8C"/>
    <w:rsid w:val="4FE20F0D"/>
    <w:rsid w:val="4FE51552"/>
    <w:rsid w:val="502C6418"/>
    <w:rsid w:val="50504C4B"/>
    <w:rsid w:val="506E63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406816"/>
    <w:rsid w:val="588743D1"/>
    <w:rsid w:val="5887701A"/>
    <w:rsid w:val="59812893"/>
    <w:rsid w:val="598C77DF"/>
    <w:rsid w:val="59C0439F"/>
    <w:rsid w:val="5ABE2233"/>
    <w:rsid w:val="5BDF5D95"/>
    <w:rsid w:val="5BFE7528"/>
    <w:rsid w:val="5D5253FD"/>
    <w:rsid w:val="5E2467F1"/>
    <w:rsid w:val="5EF3178A"/>
    <w:rsid w:val="5F1A2B43"/>
    <w:rsid w:val="5FB837BB"/>
    <w:rsid w:val="60CC405A"/>
    <w:rsid w:val="61E215D8"/>
    <w:rsid w:val="621B3775"/>
    <w:rsid w:val="62364782"/>
    <w:rsid w:val="6394356A"/>
    <w:rsid w:val="63C61B2C"/>
    <w:rsid w:val="63D40BE9"/>
    <w:rsid w:val="64102431"/>
    <w:rsid w:val="64A5243A"/>
    <w:rsid w:val="64F531DE"/>
    <w:rsid w:val="65325463"/>
    <w:rsid w:val="65373578"/>
    <w:rsid w:val="67144B33"/>
    <w:rsid w:val="671F124A"/>
    <w:rsid w:val="677A33C6"/>
    <w:rsid w:val="681F6961"/>
    <w:rsid w:val="68610A2F"/>
    <w:rsid w:val="68805514"/>
    <w:rsid w:val="69316E2F"/>
    <w:rsid w:val="694E2071"/>
    <w:rsid w:val="69766163"/>
    <w:rsid w:val="697A3B33"/>
    <w:rsid w:val="69CF3D8B"/>
    <w:rsid w:val="69D44760"/>
    <w:rsid w:val="6A2C20EF"/>
    <w:rsid w:val="6A520EC7"/>
    <w:rsid w:val="6AF87E20"/>
    <w:rsid w:val="6B322639"/>
    <w:rsid w:val="6C636C38"/>
    <w:rsid w:val="6C9553F6"/>
    <w:rsid w:val="6DB34098"/>
    <w:rsid w:val="6DB545B6"/>
    <w:rsid w:val="6DE02FB4"/>
    <w:rsid w:val="6E514CED"/>
    <w:rsid w:val="6E7C7C1F"/>
    <w:rsid w:val="6EB563D5"/>
    <w:rsid w:val="6ED92677"/>
    <w:rsid w:val="6EFA4214"/>
    <w:rsid w:val="6F225983"/>
    <w:rsid w:val="6FB026F5"/>
    <w:rsid w:val="6FFC5590"/>
    <w:rsid w:val="706D1DD0"/>
    <w:rsid w:val="70856B87"/>
    <w:rsid w:val="70D527EE"/>
    <w:rsid w:val="715B5300"/>
    <w:rsid w:val="716D6151"/>
    <w:rsid w:val="71D27F8A"/>
    <w:rsid w:val="72553024"/>
    <w:rsid w:val="728F45B2"/>
    <w:rsid w:val="73122968"/>
    <w:rsid w:val="731F5D5E"/>
    <w:rsid w:val="73C51AD5"/>
    <w:rsid w:val="741E793C"/>
    <w:rsid w:val="745E3944"/>
    <w:rsid w:val="7635099D"/>
    <w:rsid w:val="77057DE8"/>
    <w:rsid w:val="77762421"/>
    <w:rsid w:val="77B56B1F"/>
    <w:rsid w:val="780F09F4"/>
    <w:rsid w:val="78A90480"/>
    <w:rsid w:val="7A364017"/>
    <w:rsid w:val="7A8265E1"/>
    <w:rsid w:val="7B686D42"/>
    <w:rsid w:val="7B841746"/>
    <w:rsid w:val="7C6C5AC7"/>
    <w:rsid w:val="7CC6544B"/>
    <w:rsid w:val="7CE57296"/>
    <w:rsid w:val="7D0239FF"/>
    <w:rsid w:val="7D5E40CD"/>
    <w:rsid w:val="7DCD56F2"/>
    <w:rsid w:val="7F001CE7"/>
    <w:rsid w:val="7F346DC0"/>
    <w:rsid w:val="7FB12AF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qFormat="1" w:uiPriority="39"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qFormat="1"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link w:val="71"/>
    <w:semiHidden/>
    <w:unhideWhenUsed/>
    <w:qFormat/>
    <w:locked/>
    <w:uiPriority w:val="0"/>
    <w:pPr>
      <w:keepNext/>
      <w:keepLines/>
      <w:spacing w:before="260" w:after="260" w:line="416" w:lineRule="auto"/>
      <w:outlineLvl w:val="1"/>
    </w:pPr>
    <w:rPr>
      <w:rFonts w:ascii="Cambria" w:hAnsi="Cambria"/>
      <w:b/>
      <w:bCs/>
      <w:sz w:val="32"/>
      <w:szCs w:val="32"/>
    </w:rPr>
  </w:style>
  <w:style w:type="paragraph" w:styleId="10">
    <w:name w:val="heading 3"/>
    <w:basedOn w:val="1"/>
    <w:next w:val="1"/>
    <w:qFormat/>
    <w:locked/>
    <w:uiPriority w:val="9"/>
    <w:pPr>
      <w:keepNext/>
      <w:keepLines/>
      <w:spacing w:before="260" w:after="260" w:line="416" w:lineRule="auto"/>
      <w:outlineLvl w:val="2"/>
    </w:pPr>
    <w:rPr>
      <w:b/>
      <w:bCs/>
      <w:kern w:val="0"/>
      <w:sz w:val="32"/>
      <w:szCs w:val="32"/>
    </w:rPr>
  </w:style>
  <w:style w:type="paragraph" w:styleId="11">
    <w:name w:val="heading 4"/>
    <w:basedOn w:val="1"/>
    <w:next w:val="12"/>
    <w:qFormat/>
    <w:locked/>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34">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link w:val="63"/>
    <w:qFormat/>
    <w:uiPriority w:val="0"/>
    <w:pPr>
      <w:autoSpaceDE w:val="0"/>
      <w:autoSpaceDN w:val="0"/>
      <w:adjustRightInd w:val="0"/>
    </w:pPr>
    <w:rPr>
      <w:rFonts w:ascii="宋体" w:cs="宋体"/>
      <w:sz w:val="24"/>
    </w:rPr>
  </w:style>
  <w:style w:type="paragraph" w:customStyle="1" w:styleId="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5"/>
    <w:next w:val="1"/>
    <w:link w:val="72"/>
    <w:qFormat/>
    <w:locked/>
    <w:uiPriority w:val="0"/>
    <w:pPr>
      <w:ind w:firstLine="420" w:firstLineChars="200"/>
    </w:pPr>
    <w:rPr>
      <w:kern w:val="2"/>
      <w:sz w:val="21"/>
      <w:szCs w:val="24"/>
    </w:rPr>
  </w:style>
  <w:style w:type="paragraph" w:styleId="5">
    <w:name w:val="Body Text Indent"/>
    <w:basedOn w:val="1"/>
    <w:next w:val="6"/>
    <w:link w:val="41"/>
    <w:qFormat/>
    <w:uiPriority w:val="0"/>
    <w:pPr>
      <w:spacing w:after="120"/>
      <w:ind w:left="420" w:leftChars="200"/>
    </w:pPr>
    <w:rPr>
      <w:kern w:val="0"/>
      <w:sz w:val="24"/>
      <w:szCs w:val="20"/>
    </w:rPr>
  </w:style>
  <w:style w:type="paragraph" w:styleId="6">
    <w:name w:val="header"/>
    <w:basedOn w:val="1"/>
    <w:next w:val="7"/>
    <w:link w:val="46"/>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7">
    <w:name w:val="样式5"/>
    <w:basedOn w:val="1"/>
    <w:qFormat/>
    <w:uiPriority w:val="0"/>
    <w:pPr>
      <w:snapToGrid w:val="0"/>
      <w:spacing w:line="360" w:lineRule="auto"/>
      <w:ind w:firstLine="510"/>
    </w:pPr>
    <w:rPr>
      <w:sz w:val="24"/>
    </w:rPr>
  </w:style>
  <w:style w:type="paragraph" w:styleId="12">
    <w:name w:val="Normal Indent"/>
    <w:basedOn w:val="1"/>
    <w:next w:val="11"/>
    <w:link w:val="74"/>
    <w:qFormat/>
    <w:locked/>
    <w:uiPriority w:val="0"/>
    <w:pPr>
      <w:ind w:firstLine="420"/>
    </w:pPr>
    <w:rPr>
      <w:szCs w:val="20"/>
    </w:rPr>
  </w:style>
  <w:style w:type="paragraph" w:styleId="13">
    <w:name w:val="Note Heading"/>
    <w:basedOn w:val="1"/>
    <w:next w:val="1"/>
    <w:link w:val="89"/>
    <w:qFormat/>
    <w:locked/>
    <w:uiPriority w:val="99"/>
    <w:pPr>
      <w:jc w:val="center"/>
    </w:pPr>
  </w:style>
  <w:style w:type="paragraph" w:styleId="14">
    <w:name w:val="caption"/>
    <w:basedOn w:val="1"/>
    <w:next w:val="1"/>
    <w:link w:val="59"/>
    <w:qFormat/>
    <w:locked/>
    <w:uiPriority w:val="0"/>
    <w:pPr>
      <w:adjustRightInd w:val="0"/>
      <w:snapToGrid w:val="0"/>
      <w:jc w:val="center"/>
    </w:pPr>
    <w:rPr>
      <w:rFonts w:ascii="Calibri" w:hAnsi="Calibri"/>
      <w:b/>
      <w:color w:val="000000"/>
      <w:sz w:val="24"/>
      <w:szCs w:val="21"/>
    </w:rPr>
  </w:style>
  <w:style w:type="paragraph" w:styleId="15">
    <w:name w:val="Document Map"/>
    <w:basedOn w:val="1"/>
    <w:link w:val="73"/>
    <w:qFormat/>
    <w:locked/>
    <w:uiPriority w:val="0"/>
    <w:rPr>
      <w:rFonts w:ascii="宋体"/>
      <w:sz w:val="18"/>
      <w:szCs w:val="18"/>
    </w:rPr>
  </w:style>
  <w:style w:type="paragraph" w:styleId="16">
    <w:name w:val="annotation text"/>
    <w:basedOn w:val="1"/>
    <w:link w:val="51"/>
    <w:semiHidden/>
    <w:qFormat/>
    <w:uiPriority w:val="0"/>
    <w:pPr>
      <w:jc w:val="left"/>
    </w:pPr>
    <w:rPr>
      <w:kern w:val="0"/>
      <w:sz w:val="24"/>
      <w:szCs w:val="20"/>
    </w:rPr>
  </w:style>
  <w:style w:type="paragraph" w:styleId="17">
    <w:name w:val="Body Text"/>
    <w:basedOn w:val="1"/>
    <w:next w:val="1"/>
    <w:link w:val="53"/>
    <w:qFormat/>
    <w:uiPriority w:val="0"/>
    <w:pPr>
      <w:widowControl/>
      <w:snapToGrid w:val="0"/>
      <w:spacing w:before="60" w:after="160" w:line="259" w:lineRule="auto"/>
      <w:ind w:right="113"/>
    </w:pPr>
    <w:rPr>
      <w:kern w:val="0"/>
      <w:sz w:val="18"/>
      <w:szCs w:val="20"/>
    </w:rPr>
  </w:style>
  <w:style w:type="paragraph" w:styleId="18">
    <w:name w:val="toc 5"/>
    <w:basedOn w:val="1"/>
    <w:next w:val="1"/>
    <w:unhideWhenUsed/>
    <w:qFormat/>
    <w:locked/>
    <w:uiPriority w:val="39"/>
    <w:pPr>
      <w:ind w:left="1680" w:leftChars="800"/>
    </w:pPr>
  </w:style>
  <w:style w:type="paragraph" w:styleId="19">
    <w:name w:val="Plain Text"/>
    <w:basedOn w:val="1"/>
    <w:next w:val="20"/>
    <w:qFormat/>
    <w:locked/>
    <w:uiPriority w:val="99"/>
    <w:rPr>
      <w:rFonts w:ascii="宋体" w:hAnsi="Courier New" w:cs="Courier New" w:eastAsiaTheme="minorEastAsia"/>
      <w:szCs w:val="21"/>
    </w:rPr>
  </w:style>
  <w:style w:type="paragraph" w:styleId="20">
    <w:name w:val="toc 1"/>
    <w:basedOn w:val="1"/>
    <w:next w:val="1"/>
    <w:qFormat/>
    <w:locked/>
    <w:uiPriority w:val="39"/>
  </w:style>
  <w:style w:type="paragraph" w:styleId="21">
    <w:name w:val="Date"/>
    <w:basedOn w:val="1"/>
    <w:next w:val="1"/>
    <w:link w:val="39"/>
    <w:qFormat/>
    <w:uiPriority w:val="0"/>
    <w:pPr>
      <w:ind w:left="100" w:leftChars="2500"/>
    </w:pPr>
    <w:rPr>
      <w:kern w:val="0"/>
      <w:sz w:val="24"/>
      <w:szCs w:val="20"/>
    </w:rPr>
  </w:style>
  <w:style w:type="paragraph" w:styleId="22">
    <w:name w:val="Body Text Indent 2"/>
    <w:basedOn w:val="1"/>
    <w:next w:val="23"/>
    <w:link w:val="68"/>
    <w:qFormat/>
    <w:locked/>
    <w:uiPriority w:val="0"/>
    <w:pPr>
      <w:spacing w:after="120" w:line="480" w:lineRule="auto"/>
      <w:ind w:left="420" w:leftChars="200"/>
    </w:pPr>
  </w:style>
  <w:style w:type="paragraph" w:customStyle="1" w:styleId="23">
    <w:name w:val="reader-word-layer reader-word-s46-2"/>
    <w:basedOn w:val="1"/>
    <w:next w:val="24"/>
    <w:qFormat/>
    <w:uiPriority w:val="0"/>
    <w:pPr>
      <w:widowControl/>
      <w:spacing w:before="280" w:after="280"/>
    </w:pPr>
    <w:rPr>
      <w:rFonts w:ascii="宋体"/>
      <w:sz w:val="24"/>
    </w:rPr>
  </w:style>
  <w:style w:type="paragraph" w:customStyle="1" w:styleId="24">
    <w:name w:val="xl35"/>
    <w:basedOn w:val="1"/>
    <w:next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rFonts w:ascii="宋体" w:hAnsi="宋体" w:cs="宋体"/>
      <w:kern w:val="0"/>
      <w:sz w:val="24"/>
    </w:rPr>
  </w:style>
  <w:style w:type="paragraph" w:styleId="25">
    <w:name w:val="Balloon Text"/>
    <w:basedOn w:val="1"/>
    <w:link w:val="47"/>
    <w:semiHidden/>
    <w:qFormat/>
    <w:uiPriority w:val="0"/>
    <w:rPr>
      <w:kern w:val="0"/>
      <w:sz w:val="18"/>
      <w:szCs w:val="20"/>
    </w:rPr>
  </w:style>
  <w:style w:type="paragraph" w:styleId="26">
    <w:name w:val="footer"/>
    <w:basedOn w:val="1"/>
    <w:link w:val="40"/>
    <w:qFormat/>
    <w:uiPriority w:val="99"/>
    <w:pPr>
      <w:tabs>
        <w:tab w:val="center" w:pos="4153"/>
        <w:tab w:val="right" w:pos="8306"/>
      </w:tabs>
      <w:snapToGrid w:val="0"/>
      <w:jc w:val="left"/>
    </w:pPr>
    <w:rPr>
      <w:kern w:val="0"/>
      <w:sz w:val="18"/>
      <w:szCs w:val="20"/>
    </w:rPr>
  </w:style>
  <w:style w:type="paragraph" w:styleId="27">
    <w:name w:val="Body Text 2"/>
    <w:basedOn w:val="1"/>
    <w:link w:val="86"/>
    <w:qFormat/>
    <w:locked/>
    <w:uiPriority w:val="0"/>
    <w:pPr>
      <w:spacing w:after="120" w:line="480" w:lineRule="auto"/>
    </w:pPr>
  </w:style>
  <w:style w:type="paragraph" w:styleId="28">
    <w:name w:val="Normal (Web)"/>
    <w:basedOn w:val="1"/>
    <w:link w:val="42"/>
    <w:qFormat/>
    <w:uiPriority w:val="99"/>
    <w:pPr>
      <w:widowControl/>
      <w:spacing w:before="100" w:beforeAutospacing="1" w:after="100" w:afterAutospacing="1"/>
      <w:jc w:val="left"/>
    </w:pPr>
    <w:rPr>
      <w:rFonts w:ascii="宋体" w:hAnsi="宋体"/>
      <w:kern w:val="0"/>
      <w:sz w:val="24"/>
      <w:szCs w:val="20"/>
    </w:rPr>
  </w:style>
  <w:style w:type="paragraph" w:styleId="29">
    <w:name w:val="annotation subject"/>
    <w:basedOn w:val="16"/>
    <w:next w:val="16"/>
    <w:link w:val="52"/>
    <w:semiHidden/>
    <w:qFormat/>
    <w:uiPriority w:val="0"/>
    <w:rPr>
      <w:b/>
    </w:rPr>
  </w:style>
  <w:style w:type="paragraph" w:styleId="30">
    <w:name w:val="Body Text First Indent"/>
    <w:basedOn w:val="17"/>
    <w:next w:val="1"/>
    <w:link w:val="61"/>
    <w:qFormat/>
    <w:locked/>
    <w:uiPriority w:val="0"/>
    <w:pPr>
      <w:widowControl w:val="0"/>
      <w:snapToGrid/>
      <w:spacing w:before="0" w:after="120" w:line="240" w:lineRule="auto"/>
      <w:ind w:right="0" w:firstLine="420" w:firstLineChars="100"/>
    </w:pPr>
    <w:rPr>
      <w:rFonts w:ascii="Calibri" w:hAnsi="Calibri"/>
      <w:kern w:val="2"/>
      <w:sz w:val="21"/>
      <w:szCs w:val="2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3">
    <w:name w:val="Table Grid 5"/>
    <w:basedOn w:val="31"/>
    <w:qFormat/>
    <w:locked/>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5">
    <w:name w:val="Strong"/>
    <w:qFormat/>
    <w:locked/>
    <w:uiPriority w:val="0"/>
    <w:rPr>
      <w:b/>
      <w:bCs/>
    </w:rPr>
  </w:style>
  <w:style w:type="character" w:styleId="36">
    <w:name w:val="page number"/>
    <w:basedOn w:val="34"/>
    <w:qFormat/>
    <w:locked/>
    <w:uiPriority w:val="0"/>
  </w:style>
  <w:style w:type="character" w:styleId="37">
    <w:name w:val="Hyperlink"/>
    <w:basedOn w:val="34"/>
    <w:unhideWhenUsed/>
    <w:qFormat/>
    <w:locked/>
    <w:uiPriority w:val="99"/>
    <w:rPr>
      <w:color w:val="0000FF"/>
      <w:u w:val="single"/>
    </w:rPr>
  </w:style>
  <w:style w:type="character" w:styleId="38">
    <w:name w:val="annotation reference"/>
    <w:qFormat/>
    <w:uiPriority w:val="0"/>
    <w:rPr>
      <w:sz w:val="21"/>
    </w:rPr>
  </w:style>
  <w:style w:type="character" w:customStyle="1" w:styleId="39">
    <w:name w:val="日期 Char"/>
    <w:link w:val="21"/>
    <w:qFormat/>
    <w:locked/>
    <w:uiPriority w:val="0"/>
    <w:rPr>
      <w:rFonts w:ascii="Times New Roman" w:hAnsi="Times New Roman" w:eastAsia="宋体"/>
      <w:sz w:val="24"/>
    </w:rPr>
  </w:style>
  <w:style w:type="character" w:customStyle="1" w:styleId="40">
    <w:name w:val="页脚 Char"/>
    <w:link w:val="26"/>
    <w:qFormat/>
    <w:locked/>
    <w:uiPriority w:val="99"/>
    <w:rPr>
      <w:sz w:val="18"/>
    </w:rPr>
  </w:style>
  <w:style w:type="character" w:customStyle="1" w:styleId="41">
    <w:name w:val="正文文本缩进 Char"/>
    <w:link w:val="5"/>
    <w:semiHidden/>
    <w:qFormat/>
    <w:locked/>
    <w:uiPriority w:val="0"/>
    <w:rPr>
      <w:rFonts w:ascii="Times New Roman" w:hAnsi="Times New Roman" w:eastAsia="宋体"/>
      <w:sz w:val="24"/>
    </w:rPr>
  </w:style>
  <w:style w:type="character" w:customStyle="1" w:styleId="42">
    <w:name w:val="普通(网站) Char"/>
    <w:link w:val="28"/>
    <w:qFormat/>
    <w:locked/>
    <w:uiPriority w:val="0"/>
    <w:rPr>
      <w:rFonts w:ascii="宋体" w:hAnsi="宋体" w:eastAsia="宋体"/>
      <w:sz w:val="24"/>
    </w:rPr>
  </w:style>
  <w:style w:type="character" w:customStyle="1" w:styleId="43">
    <w:name w:val="表格 Char"/>
    <w:link w:val="44"/>
    <w:qFormat/>
    <w:locked/>
    <w:uiPriority w:val="0"/>
    <w:rPr>
      <w:rFonts w:ascii="宋体"/>
      <w:sz w:val="21"/>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kern w:val="0"/>
      <w:szCs w:val="20"/>
    </w:rPr>
  </w:style>
  <w:style w:type="character" w:customStyle="1" w:styleId="45">
    <w:name w:val="正文文本 字符1"/>
    <w:semiHidden/>
    <w:qFormat/>
    <w:uiPriority w:val="0"/>
    <w:rPr>
      <w:rFonts w:ascii="Times New Roman" w:hAnsi="Times New Roman" w:eastAsia="宋体"/>
      <w:sz w:val="24"/>
    </w:rPr>
  </w:style>
  <w:style w:type="character" w:customStyle="1" w:styleId="46">
    <w:name w:val="页眉 Char"/>
    <w:link w:val="6"/>
    <w:qFormat/>
    <w:locked/>
    <w:uiPriority w:val="0"/>
    <w:rPr>
      <w:sz w:val="18"/>
    </w:rPr>
  </w:style>
  <w:style w:type="character" w:customStyle="1" w:styleId="47">
    <w:name w:val="批注框文本 Char"/>
    <w:link w:val="25"/>
    <w:semiHidden/>
    <w:qFormat/>
    <w:locked/>
    <w:uiPriority w:val="0"/>
    <w:rPr>
      <w:rFonts w:ascii="Times New Roman" w:hAnsi="Times New Roman" w:eastAsia="宋体"/>
      <w:sz w:val="18"/>
    </w:rPr>
  </w:style>
  <w:style w:type="character" w:customStyle="1" w:styleId="48">
    <w:name w:val="日期 字符"/>
    <w:semiHidden/>
    <w:qFormat/>
    <w:uiPriority w:val="0"/>
    <w:rPr>
      <w:rFonts w:ascii="Times New Roman" w:hAnsi="Times New Roman" w:eastAsia="宋体"/>
      <w:sz w:val="24"/>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页脚 字符"/>
    <w:basedOn w:val="34"/>
    <w:qFormat/>
    <w:uiPriority w:val="99"/>
  </w:style>
  <w:style w:type="character" w:customStyle="1" w:styleId="51">
    <w:name w:val="批注文字 Char"/>
    <w:link w:val="16"/>
    <w:qFormat/>
    <w:locked/>
    <w:uiPriority w:val="0"/>
    <w:rPr>
      <w:rFonts w:ascii="Times New Roman" w:hAnsi="Times New Roman" w:eastAsia="宋体"/>
      <w:sz w:val="24"/>
    </w:rPr>
  </w:style>
  <w:style w:type="character" w:customStyle="1" w:styleId="52">
    <w:name w:val="批注主题 Char"/>
    <w:link w:val="29"/>
    <w:semiHidden/>
    <w:qFormat/>
    <w:locked/>
    <w:uiPriority w:val="0"/>
    <w:rPr>
      <w:rFonts w:ascii="Times New Roman" w:hAnsi="Times New Roman" w:eastAsia="宋体"/>
      <w:b/>
      <w:kern w:val="2"/>
      <w:sz w:val="24"/>
    </w:rPr>
  </w:style>
  <w:style w:type="character" w:customStyle="1" w:styleId="53">
    <w:name w:val="正文文本 Char"/>
    <w:link w:val="17"/>
    <w:qFormat/>
    <w:locked/>
    <w:uiPriority w:val="0"/>
    <w:rPr>
      <w:sz w:val="18"/>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ENFI正文"/>
    <w:basedOn w:val="1"/>
    <w:link w:val="103"/>
    <w:qFormat/>
    <w:uiPriority w:val="0"/>
    <w:pPr>
      <w:adjustRightInd w:val="0"/>
      <w:snapToGrid w:val="0"/>
      <w:spacing w:line="400" w:lineRule="exact"/>
      <w:ind w:firstLine="567"/>
    </w:pPr>
    <w:rPr>
      <w:rFonts w:eastAsia="仿宋_GB2312"/>
      <w:color w:val="000000"/>
      <w:sz w:val="24"/>
      <w:szCs w:val="22"/>
    </w:rPr>
  </w:style>
  <w:style w:type="character" w:customStyle="1" w:styleId="57">
    <w:name w:val="正文首行缩进 2 + Times New Roman Char"/>
    <w:link w:val="58"/>
    <w:qFormat/>
    <w:uiPriority w:val="0"/>
    <w:rPr>
      <w:sz w:val="24"/>
    </w:rPr>
  </w:style>
  <w:style w:type="paragraph" w:customStyle="1" w:styleId="58">
    <w:name w:val="正文首行缩进 2 + Times New Roman"/>
    <w:basedOn w:val="1"/>
    <w:link w:val="57"/>
    <w:qFormat/>
    <w:uiPriority w:val="0"/>
    <w:pPr>
      <w:tabs>
        <w:tab w:val="left" w:pos="0"/>
        <w:tab w:val="left" w:pos="870"/>
        <w:tab w:val="left" w:pos="3150"/>
      </w:tabs>
      <w:autoSpaceDE w:val="0"/>
      <w:autoSpaceDN w:val="0"/>
      <w:spacing w:line="360" w:lineRule="auto"/>
      <w:ind w:firstLine="480" w:firstLineChars="200"/>
    </w:pPr>
    <w:rPr>
      <w:kern w:val="0"/>
      <w:sz w:val="24"/>
      <w:szCs w:val="20"/>
    </w:rPr>
  </w:style>
  <w:style w:type="character" w:customStyle="1" w:styleId="59">
    <w:name w:val="题注 Char"/>
    <w:link w:val="14"/>
    <w:qFormat/>
    <w:uiPriority w:val="0"/>
    <w:rPr>
      <w:rFonts w:ascii="Calibri" w:hAnsi="Calibri"/>
      <w:b/>
      <w:color w:val="000000"/>
      <w:kern w:val="2"/>
      <w:sz w:val="24"/>
      <w:szCs w:val="21"/>
    </w:rPr>
  </w:style>
  <w:style w:type="paragraph" w:customStyle="1" w:styleId="60">
    <w:name w:val="Char Char Char Char Char Char Char Char Char Char Char Char"/>
    <w:basedOn w:val="1"/>
    <w:qFormat/>
    <w:uiPriority w:val="0"/>
  </w:style>
  <w:style w:type="character" w:customStyle="1" w:styleId="61">
    <w:name w:val="正文首行缩进 Char"/>
    <w:link w:val="30"/>
    <w:qFormat/>
    <w:uiPriority w:val="0"/>
    <w:rPr>
      <w:rFonts w:ascii="Calibri" w:hAnsi="Calibri"/>
      <w:kern w:val="2"/>
      <w:sz w:val="21"/>
      <w:szCs w:val="24"/>
    </w:rPr>
  </w:style>
  <w:style w:type="paragraph" w:customStyle="1" w:styleId="62">
    <w:name w:val="特殊标题３"/>
    <w:basedOn w:val="1"/>
    <w:qFormat/>
    <w:uiPriority w:val="0"/>
    <w:pPr>
      <w:overflowPunct w:val="0"/>
      <w:autoSpaceDE w:val="0"/>
      <w:autoSpaceDN w:val="0"/>
      <w:spacing w:line="360" w:lineRule="auto"/>
    </w:pPr>
    <w:rPr>
      <w:rFonts w:eastAsia="仿宋_GB2312"/>
      <w:sz w:val="28"/>
    </w:rPr>
  </w:style>
  <w:style w:type="character" w:customStyle="1" w:styleId="63">
    <w:name w:val="Default Char"/>
    <w:link w:val="2"/>
    <w:qFormat/>
    <w:uiPriority w:val="0"/>
    <w:rPr>
      <w:rFonts w:ascii="宋体" w:cs="宋体"/>
      <w:color w:val="000000"/>
      <w:sz w:val="24"/>
      <w:szCs w:val="24"/>
    </w:rPr>
  </w:style>
  <w:style w:type="character" w:customStyle="1" w:styleId="64">
    <w:name w:val="表格的字 Char"/>
    <w:link w:val="65"/>
    <w:qFormat/>
    <w:uiPriority w:val="0"/>
    <w:rPr>
      <w:szCs w:val="21"/>
    </w:rPr>
  </w:style>
  <w:style w:type="paragraph" w:customStyle="1" w:styleId="65">
    <w:name w:val="表格的字"/>
    <w:next w:val="1"/>
    <w:link w:val="64"/>
    <w:qFormat/>
    <w:uiPriority w:val="0"/>
    <w:pPr>
      <w:jc w:val="center"/>
    </w:pPr>
    <w:rPr>
      <w:rFonts w:ascii="Times New Roman" w:hAnsi="Times New Roman" w:eastAsia="宋体" w:cs="Times New Roman"/>
      <w:szCs w:val="21"/>
      <w:lang w:val="en-US" w:eastAsia="zh-CN" w:bidi="ar-SA"/>
    </w:rPr>
  </w:style>
  <w:style w:type="table" w:customStyle="1" w:styleId="66">
    <w:name w:val="(环评报告表）1"/>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7">
    <w:name w:val="List Paragraph"/>
    <w:basedOn w:val="1"/>
    <w:qFormat/>
    <w:uiPriority w:val="34"/>
    <w:pPr>
      <w:ind w:firstLine="420" w:firstLineChars="200"/>
    </w:pPr>
    <w:rPr>
      <w:rFonts w:ascii="Calibri" w:hAnsi="Calibri" w:eastAsia="等线"/>
    </w:rPr>
  </w:style>
  <w:style w:type="character" w:customStyle="1" w:styleId="68">
    <w:name w:val="正文文本缩进 2 Char"/>
    <w:link w:val="22"/>
    <w:qFormat/>
    <w:uiPriority w:val="0"/>
    <w:rPr>
      <w:kern w:val="2"/>
      <w:sz w:val="21"/>
      <w:szCs w:val="24"/>
    </w:rPr>
  </w:style>
  <w:style w:type="paragraph" w:customStyle="1" w:styleId="69">
    <w:name w:val="表格文字"/>
    <w:basedOn w:val="1"/>
    <w:link w:val="70"/>
    <w:qFormat/>
    <w:uiPriority w:val="0"/>
    <w:pPr>
      <w:widowControl/>
      <w:adjustRightInd w:val="0"/>
      <w:snapToGrid w:val="0"/>
      <w:jc w:val="center"/>
    </w:pPr>
    <w:rPr>
      <w:kern w:val="0"/>
      <w:sz w:val="20"/>
      <w:szCs w:val="20"/>
    </w:rPr>
  </w:style>
  <w:style w:type="character" w:customStyle="1" w:styleId="70">
    <w:name w:val="表格文字 Char"/>
    <w:link w:val="69"/>
    <w:qFormat/>
    <w:uiPriority w:val="0"/>
  </w:style>
  <w:style w:type="character" w:customStyle="1" w:styleId="71">
    <w:name w:val="标题 2 Char"/>
    <w:link w:val="9"/>
    <w:semiHidden/>
    <w:qFormat/>
    <w:uiPriority w:val="0"/>
    <w:rPr>
      <w:rFonts w:ascii="Cambria" w:hAnsi="Cambria" w:eastAsia="宋体" w:cs="Times New Roman"/>
      <w:b/>
      <w:bCs/>
      <w:kern w:val="2"/>
      <w:sz w:val="32"/>
      <w:szCs w:val="32"/>
    </w:rPr>
  </w:style>
  <w:style w:type="character" w:customStyle="1" w:styleId="72">
    <w:name w:val="正文首行缩进 2 Char"/>
    <w:link w:val="4"/>
    <w:qFormat/>
    <w:uiPriority w:val="0"/>
    <w:rPr>
      <w:rFonts w:ascii="Times New Roman" w:hAnsi="Times New Roman" w:eastAsia="宋体"/>
      <w:kern w:val="2"/>
      <w:sz w:val="21"/>
      <w:szCs w:val="24"/>
    </w:rPr>
  </w:style>
  <w:style w:type="character" w:customStyle="1" w:styleId="73">
    <w:name w:val="文档结构图 Char"/>
    <w:basedOn w:val="34"/>
    <w:link w:val="15"/>
    <w:qFormat/>
    <w:uiPriority w:val="0"/>
    <w:rPr>
      <w:rFonts w:ascii="宋体"/>
      <w:kern w:val="2"/>
      <w:sz w:val="18"/>
      <w:szCs w:val="18"/>
    </w:rPr>
  </w:style>
  <w:style w:type="character" w:customStyle="1" w:styleId="74">
    <w:name w:val="正文缩进 Char"/>
    <w:link w:val="12"/>
    <w:qFormat/>
    <w:locked/>
    <w:uiPriority w:val="0"/>
    <w:rPr>
      <w:kern w:val="2"/>
      <w:sz w:val="21"/>
    </w:rPr>
  </w:style>
  <w:style w:type="paragraph" w:customStyle="1" w:styleId="75">
    <w:name w:val="Char"/>
    <w:basedOn w:val="1"/>
    <w:qFormat/>
    <w:uiPriority w:val="0"/>
    <w:pPr>
      <w:spacing w:line="360" w:lineRule="auto"/>
    </w:pPr>
    <w:rPr>
      <w:rFonts w:ascii="宋体" w:hAnsi="宋体" w:cs="宋体"/>
      <w:spacing w:val="-10"/>
      <w:sz w:val="24"/>
      <w:szCs w:val="21"/>
    </w:rPr>
  </w:style>
  <w:style w:type="paragraph" w:customStyle="1" w:styleId="76">
    <w:name w:val="Table Paragraph"/>
    <w:basedOn w:val="1"/>
    <w:qFormat/>
    <w:uiPriority w:val="1"/>
    <w:pPr>
      <w:spacing w:line="360" w:lineRule="auto"/>
    </w:pPr>
    <w:rPr>
      <w:rFonts w:ascii="宋体" w:hAnsi="宋体" w:cs="宋体"/>
      <w:sz w:val="24"/>
      <w:szCs w:val="20"/>
    </w:rPr>
  </w:style>
  <w:style w:type="character" w:customStyle="1" w:styleId="77">
    <w:name w:val="题注 Char1"/>
    <w:qFormat/>
    <w:uiPriority w:val="0"/>
    <w:rPr>
      <w:rFonts w:ascii="Calibri" w:hAnsi="Calibri"/>
      <w:b/>
      <w:color w:val="000000"/>
      <w:kern w:val="2"/>
      <w:sz w:val="24"/>
      <w:szCs w:val="21"/>
    </w:rPr>
  </w:style>
  <w:style w:type="paragraph" w:customStyle="1" w:styleId="78">
    <w:name w:val="表文"/>
    <w:basedOn w:val="1"/>
    <w:qFormat/>
    <w:uiPriority w:val="0"/>
    <w:pPr>
      <w:tabs>
        <w:tab w:val="left" w:pos="1021"/>
      </w:tabs>
      <w:jc w:val="center"/>
    </w:pPr>
    <w:rPr>
      <w:kern w:val="0"/>
      <w:position w:val="-23"/>
      <w:szCs w:val="21"/>
    </w:rPr>
  </w:style>
  <w:style w:type="character" w:styleId="79">
    <w:name w:val="Placeholder Text"/>
    <w:basedOn w:val="34"/>
    <w:unhideWhenUsed/>
    <w:qFormat/>
    <w:uiPriority w:val="99"/>
    <w:rPr>
      <w:color w:val="808080"/>
    </w:rPr>
  </w:style>
  <w:style w:type="paragraph" w:customStyle="1" w:styleId="80">
    <w:name w:val="环评正文"/>
    <w:basedOn w:val="1"/>
    <w:qFormat/>
    <w:uiPriority w:val="0"/>
    <w:pPr>
      <w:spacing w:beforeLines="30" w:line="360" w:lineRule="auto"/>
      <w:ind w:firstLine="480" w:firstLineChars="200"/>
    </w:pPr>
    <w:rPr>
      <w:kern w:val="0"/>
      <w:sz w:val="24"/>
      <w:szCs w:val="20"/>
    </w:rPr>
  </w:style>
  <w:style w:type="paragraph" w:customStyle="1" w:styleId="81">
    <w:name w:val="B-表头"/>
    <w:basedOn w:val="1"/>
    <w:qFormat/>
    <w:uiPriority w:val="0"/>
    <w:pPr>
      <w:keepNext/>
      <w:spacing w:beforeLines="25" w:afterLines="25"/>
      <w:jc w:val="center"/>
    </w:pPr>
    <w:rPr>
      <w:b/>
      <w:sz w:val="24"/>
    </w:rPr>
  </w:style>
  <w:style w:type="paragraph" w:customStyle="1" w:styleId="82">
    <w:name w:val="表头2"/>
    <w:basedOn w:val="1"/>
    <w:qFormat/>
    <w:uiPriority w:val="0"/>
    <w:pPr>
      <w:spacing w:beforeLines="50" w:afterLines="50"/>
      <w:jc w:val="center"/>
    </w:pPr>
    <w:rPr>
      <w:b/>
      <w:bCs/>
      <w:szCs w:val="21"/>
    </w:rPr>
  </w:style>
  <w:style w:type="paragraph" w:customStyle="1" w:styleId="83">
    <w:name w:val="样式9"/>
    <w:basedOn w:val="1"/>
    <w:qFormat/>
    <w:uiPriority w:val="0"/>
    <w:pPr>
      <w:adjustRightInd w:val="0"/>
      <w:snapToGrid w:val="0"/>
      <w:spacing w:line="460" w:lineRule="exact"/>
      <w:ind w:firstLine="520"/>
    </w:pPr>
    <w:rPr>
      <w:sz w:val="26"/>
      <w:szCs w:val="26"/>
    </w:rPr>
  </w:style>
  <w:style w:type="character" w:customStyle="1" w:styleId="84">
    <w:name w:val="NormalCharacter"/>
    <w:qFormat/>
    <w:uiPriority w:val="0"/>
  </w:style>
  <w:style w:type="character" w:customStyle="1" w:styleId="85">
    <w:name w:val="ref"/>
    <w:basedOn w:val="34"/>
    <w:qFormat/>
    <w:uiPriority w:val="0"/>
  </w:style>
  <w:style w:type="character" w:customStyle="1" w:styleId="86">
    <w:name w:val="正文文本 2 Char"/>
    <w:basedOn w:val="34"/>
    <w:link w:val="27"/>
    <w:qFormat/>
    <w:uiPriority w:val="0"/>
    <w:rPr>
      <w:kern w:val="2"/>
      <w:sz w:val="21"/>
      <w:szCs w:val="24"/>
    </w:rPr>
  </w:style>
  <w:style w:type="paragraph" w:customStyle="1" w:styleId="87">
    <w:name w:val="表文字"/>
    <w:basedOn w:val="1"/>
    <w:qFormat/>
    <w:uiPriority w:val="0"/>
    <w:pPr>
      <w:overflowPunct w:val="0"/>
      <w:autoSpaceDE w:val="0"/>
      <w:autoSpaceDN w:val="0"/>
      <w:adjustRightInd w:val="0"/>
      <w:spacing w:line="240" w:lineRule="atLeast"/>
      <w:textAlignment w:val="baseline"/>
    </w:pPr>
    <w:rPr>
      <w:sz w:val="24"/>
      <w:szCs w:val="20"/>
    </w:rPr>
  </w:style>
  <w:style w:type="paragraph" w:customStyle="1" w:styleId="88">
    <w:name w:val="表图标题"/>
    <w:basedOn w:val="1"/>
    <w:next w:val="1"/>
    <w:qFormat/>
    <w:uiPriority w:val="0"/>
    <w:pPr>
      <w:spacing w:line="360" w:lineRule="auto"/>
      <w:jc w:val="center"/>
    </w:pPr>
    <w:rPr>
      <w:rFonts w:eastAsia="黑体"/>
      <w:b/>
      <w:bCs/>
      <w:kern w:val="0"/>
      <w:sz w:val="24"/>
    </w:rPr>
  </w:style>
  <w:style w:type="character" w:customStyle="1" w:styleId="89">
    <w:name w:val="注释标题 Char"/>
    <w:basedOn w:val="34"/>
    <w:link w:val="13"/>
    <w:qFormat/>
    <w:uiPriority w:val="99"/>
    <w:rPr>
      <w:kern w:val="2"/>
      <w:sz w:val="21"/>
      <w:szCs w:val="24"/>
    </w:rPr>
  </w:style>
  <w:style w:type="character" w:customStyle="1" w:styleId="90">
    <w:name w:val="fontstyle01"/>
    <w:basedOn w:val="34"/>
    <w:qFormat/>
    <w:uiPriority w:val="0"/>
    <w:rPr>
      <w:rFonts w:hint="eastAsia" w:ascii="宋体" w:hAnsi="宋体" w:eastAsia="宋体"/>
      <w:color w:val="000000"/>
      <w:sz w:val="24"/>
      <w:szCs w:val="24"/>
    </w:rPr>
  </w:style>
  <w:style w:type="character" w:customStyle="1" w:styleId="91">
    <w:name w:val="fontstyle11"/>
    <w:basedOn w:val="34"/>
    <w:qFormat/>
    <w:uiPriority w:val="0"/>
    <w:rPr>
      <w:rFonts w:hint="eastAsia" w:ascii="TimesNewRomanPSMT" w:hAnsi="TimesNewRomanPSMT" w:eastAsia="TimesNewRomanPSMT"/>
      <w:color w:val="000000"/>
      <w:sz w:val="24"/>
      <w:szCs w:val="24"/>
    </w:rPr>
  </w:style>
  <w:style w:type="character" w:customStyle="1" w:styleId="92">
    <w:name w:val="fontstyle21"/>
    <w:basedOn w:val="34"/>
    <w:qFormat/>
    <w:uiPriority w:val="0"/>
    <w:rPr>
      <w:rFonts w:hint="eastAsia" w:ascii="TimesNewRomanPSMT" w:hAnsi="TimesNewRomanPSMT" w:eastAsia="TimesNewRomanPSMT"/>
      <w:color w:val="000000"/>
      <w:sz w:val="24"/>
      <w:szCs w:val="24"/>
    </w:rPr>
  </w:style>
  <w:style w:type="paragraph" w:customStyle="1" w:styleId="93">
    <w:name w:val="四级条标题"/>
    <w:basedOn w:val="1"/>
    <w:next w:val="1"/>
    <w:qFormat/>
    <w:uiPriority w:val="0"/>
    <w:pPr>
      <w:widowControl/>
      <w:tabs>
        <w:tab w:val="left" w:pos="360"/>
      </w:tabs>
      <w:outlineLvl w:val="5"/>
    </w:pPr>
    <w:rPr>
      <w:rFonts w:ascii="黑体" w:eastAsia="黑体"/>
      <w:b/>
      <w:bCs/>
      <w:kern w:val="0"/>
      <w:sz w:val="32"/>
      <w:szCs w:val="20"/>
    </w:rPr>
  </w:style>
  <w:style w:type="paragraph" w:customStyle="1" w:styleId="94">
    <w:name w:val="样式6565656"/>
    <w:basedOn w:val="1"/>
    <w:link w:val="95"/>
    <w:qFormat/>
    <w:uiPriority w:val="0"/>
    <w:pPr>
      <w:adjustRightInd w:val="0"/>
      <w:snapToGrid w:val="0"/>
      <w:spacing w:line="460" w:lineRule="atLeast"/>
      <w:ind w:firstLine="480" w:firstLineChars="200"/>
      <w:jc w:val="left"/>
    </w:pPr>
    <w:rPr>
      <w:rFonts w:hAnsi="宋体"/>
      <w:bCs/>
      <w:sz w:val="24"/>
    </w:rPr>
  </w:style>
  <w:style w:type="character" w:customStyle="1" w:styleId="95">
    <w:name w:val="样式6565656 Char"/>
    <w:link w:val="94"/>
    <w:qFormat/>
    <w:uiPriority w:val="0"/>
    <w:rPr>
      <w:rFonts w:hAnsi="宋体"/>
      <w:bCs/>
      <w:kern w:val="2"/>
      <w:sz w:val="24"/>
      <w:szCs w:val="24"/>
    </w:rPr>
  </w:style>
  <w:style w:type="paragraph" w:customStyle="1" w:styleId="96">
    <w:name w:val="正本文字"/>
    <w:basedOn w:val="1"/>
    <w:qFormat/>
    <w:uiPriority w:val="0"/>
    <w:pPr>
      <w:adjustRightInd w:val="0"/>
      <w:snapToGrid w:val="0"/>
      <w:spacing w:line="360" w:lineRule="auto"/>
      <w:ind w:firstLine="480" w:firstLineChars="200"/>
      <w:jc w:val="left"/>
    </w:pPr>
    <w:rPr>
      <w:kern w:val="18"/>
      <w:sz w:val="24"/>
      <w:szCs w:val="20"/>
    </w:rPr>
  </w:style>
  <w:style w:type="character" w:customStyle="1" w:styleId="97">
    <w:name w:val="content1"/>
    <w:qFormat/>
    <w:uiPriority w:val="0"/>
    <w:rPr>
      <w:color w:val="000000"/>
      <w:sz w:val="20"/>
      <w:szCs w:val="20"/>
    </w:rPr>
  </w:style>
  <w:style w:type="paragraph" w:customStyle="1" w:styleId="98">
    <w:name w:val="YH正文"/>
    <w:basedOn w:val="1"/>
    <w:qFormat/>
    <w:uiPriority w:val="0"/>
    <w:pPr>
      <w:snapToGrid w:val="0"/>
      <w:spacing w:line="360" w:lineRule="auto"/>
      <w:ind w:firstLine="1044" w:firstLineChars="200"/>
    </w:pPr>
    <w:rPr>
      <w:sz w:val="24"/>
    </w:rPr>
  </w:style>
  <w:style w:type="paragraph" w:customStyle="1" w:styleId="99">
    <w:name w:val="BG"/>
    <w:basedOn w:val="1"/>
    <w:unhideWhenUsed/>
    <w:qFormat/>
    <w:uiPriority w:val="99"/>
    <w:pPr>
      <w:snapToGrid w:val="0"/>
      <w:jc w:val="center"/>
    </w:pPr>
  </w:style>
  <w:style w:type="paragraph" w:customStyle="1" w:styleId="100">
    <w:name w:val="报告正文"/>
    <w:basedOn w:val="1"/>
    <w:qFormat/>
    <w:uiPriority w:val="0"/>
    <w:pPr>
      <w:spacing w:line="480" w:lineRule="exact"/>
      <w:ind w:firstLine="200" w:firstLineChars="200"/>
    </w:pPr>
    <w:rPr>
      <w:sz w:val="24"/>
    </w:rPr>
  </w:style>
  <w:style w:type="paragraph" w:customStyle="1" w:styleId="101">
    <w:name w:val="ENFI图表标题"/>
    <w:basedOn w:val="1"/>
    <w:qFormat/>
    <w:uiPriority w:val="0"/>
    <w:pPr>
      <w:widowControl/>
      <w:adjustRightInd w:val="0"/>
      <w:snapToGrid w:val="0"/>
      <w:spacing w:before="120" w:line="240" w:lineRule="atLeast"/>
      <w:jc w:val="center"/>
    </w:pPr>
    <w:rPr>
      <w:rFonts w:eastAsia="仿宋_GB2312"/>
      <w:b/>
      <w:kern w:val="0"/>
      <w:sz w:val="28"/>
    </w:rPr>
  </w:style>
  <w:style w:type="paragraph" w:customStyle="1" w:styleId="102">
    <w:name w:val="表格文字小五"/>
    <w:basedOn w:val="87"/>
    <w:qFormat/>
    <w:uiPriority w:val="0"/>
    <w:pPr>
      <w:jc w:val="center"/>
    </w:pPr>
    <w:rPr>
      <w:rFonts w:asciiTheme="minorHAnsi" w:hAnsiTheme="minorHAnsi" w:eastAsiaTheme="minorEastAsia" w:cstheme="minorBidi"/>
      <w:sz w:val="18"/>
      <w:szCs w:val="18"/>
    </w:rPr>
  </w:style>
  <w:style w:type="character" w:customStyle="1" w:styleId="103">
    <w:name w:val="ENFI正文 Char Char"/>
    <w:link w:val="56"/>
    <w:qFormat/>
    <w:uiPriority w:val="0"/>
    <w:rPr>
      <w:rFonts w:eastAsia="仿宋_GB2312"/>
      <w:color w:val="000000"/>
      <w:kern w:val="2"/>
      <w:sz w:val="24"/>
      <w:szCs w:val="22"/>
    </w:rPr>
  </w:style>
  <w:style w:type="paragraph" w:customStyle="1" w:styleId="104">
    <w:name w:val="环评正文文字"/>
    <w:basedOn w:val="1"/>
    <w:link w:val="105"/>
    <w:qFormat/>
    <w:uiPriority w:val="0"/>
    <w:pPr>
      <w:spacing w:line="360" w:lineRule="auto"/>
      <w:ind w:firstLine="480" w:firstLineChars="200"/>
    </w:pPr>
    <w:rPr>
      <w:kern w:val="0"/>
      <w:sz w:val="24"/>
      <w:szCs w:val="20"/>
    </w:rPr>
  </w:style>
  <w:style w:type="character" w:customStyle="1" w:styleId="105">
    <w:name w:val="环评正文文字 Char"/>
    <w:basedOn w:val="34"/>
    <w:link w:val="104"/>
    <w:qFormat/>
    <w:uiPriority w:val="0"/>
    <w:rPr>
      <w:sz w:val="24"/>
    </w:rPr>
  </w:style>
  <w:style w:type="paragraph" w:customStyle="1" w:styleId="106">
    <w:name w:val="正文 首行缩进:  2 字符"/>
    <w:basedOn w:val="1"/>
    <w:qFormat/>
    <w:uiPriority w:val="0"/>
    <w:pPr>
      <w:suppressAutoHyphens/>
      <w:ind w:firstLine="579" w:firstLineChars="200"/>
    </w:pPr>
    <w:rPr>
      <w:rFonts w:cs="宋体"/>
      <w:kern w:val="1"/>
      <w:lang w:eastAsia="ar-SA"/>
    </w:rPr>
  </w:style>
  <w:style w:type="paragraph" w:customStyle="1" w:styleId="107">
    <w:name w:val="7表格文字"/>
    <w:basedOn w:val="1"/>
    <w:link w:val="114"/>
    <w:qFormat/>
    <w:uiPriority w:val="0"/>
    <w:pPr>
      <w:jc w:val="center"/>
    </w:pPr>
    <w:rPr>
      <w:color w:val="000000"/>
    </w:rPr>
  </w:style>
  <w:style w:type="character" w:customStyle="1" w:styleId="108">
    <w:name w:val="keyword"/>
    <w:basedOn w:val="34"/>
    <w:qFormat/>
    <w:uiPriority w:val="0"/>
  </w:style>
  <w:style w:type="paragraph" w:customStyle="1" w:styleId="109">
    <w:name w:val="HJ-正文"/>
    <w:basedOn w:val="1"/>
    <w:qFormat/>
    <w:uiPriority w:val="0"/>
    <w:pPr>
      <w:spacing w:line="360" w:lineRule="auto"/>
      <w:ind w:firstLine="480" w:firstLineChars="200"/>
    </w:pPr>
    <w:rPr>
      <w:sz w:val="24"/>
    </w:rPr>
  </w:style>
  <w:style w:type="paragraph" w:customStyle="1" w:styleId="110">
    <w:name w:val="ZH表格内字体"/>
    <w:basedOn w:val="1"/>
    <w:qFormat/>
    <w:uiPriority w:val="0"/>
    <w:pPr>
      <w:jc w:val="center"/>
    </w:pPr>
    <w:rPr>
      <w:rFonts w:eastAsia="Times New Roman"/>
      <w:szCs w:val="21"/>
    </w:rPr>
  </w:style>
  <w:style w:type="paragraph" w:customStyle="1" w:styleId="111">
    <w:name w:val="ZH表头"/>
    <w:basedOn w:val="1"/>
    <w:qFormat/>
    <w:uiPriority w:val="0"/>
    <w:pPr>
      <w:spacing w:beforeLines="50" w:line="360" w:lineRule="auto"/>
      <w:jc w:val="center"/>
    </w:pPr>
    <w:rPr>
      <w:b/>
    </w:rPr>
  </w:style>
  <w:style w:type="character" w:customStyle="1" w:styleId="112">
    <w:name w:val="font31"/>
    <w:basedOn w:val="34"/>
    <w:qFormat/>
    <w:uiPriority w:val="0"/>
    <w:rPr>
      <w:rFonts w:hint="eastAsia" w:ascii="宋体" w:hAnsi="宋体" w:eastAsia="宋体" w:cs="宋体"/>
      <w:color w:val="000000"/>
      <w:sz w:val="21"/>
      <w:szCs w:val="21"/>
      <w:u w:val="none"/>
    </w:rPr>
  </w:style>
  <w:style w:type="character" w:customStyle="1" w:styleId="113">
    <w:name w:val="font01"/>
    <w:basedOn w:val="34"/>
    <w:qFormat/>
    <w:uiPriority w:val="0"/>
    <w:rPr>
      <w:rFonts w:hint="eastAsia" w:ascii="宋体" w:hAnsi="宋体" w:eastAsia="宋体"/>
      <w:color w:val="000000"/>
      <w:sz w:val="24"/>
      <w:szCs w:val="24"/>
      <w:u w:val="none"/>
    </w:rPr>
  </w:style>
  <w:style w:type="character" w:customStyle="1" w:styleId="114">
    <w:name w:val="7表格文字 Char"/>
    <w:link w:val="107"/>
    <w:qFormat/>
    <w:uiPriority w:val="0"/>
    <w:rPr>
      <w:color w:val="000000"/>
      <w:kern w:val="2"/>
      <w:sz w:val="21"/>
      <w:szCs w:val="24"/>
    </w:rPr>
  </w:style>
  <w:style w:type="character" w:customStyle="1" w:styleId="115">
    <w:name w:val="font11"/>
    <w:basedOn w:val="34"/>
    <w:qFormat/>
    <w:uiPriority w:val="0"/>
    <w:rPr>
      <w:rFonts w:hint="eastAsia" w:ascii="宋体" w:hAnsi="宋体" w:eastAsia="宋体"/>
      <w:color w:val="000000"/>
      <w:sz w:val="24"/>
      <w:szCs w:val="24"/>
      <w:u w:val="none"/>
    </w:rPr>
  </w:style>
  <w:style w:type="character" w:customStyle="1" w:styleId="116">
    <w:name w:val="font21"/>
    <w:basedOn w:val="34"/>
    <w:qFormat/>
    <w:uiPriority w:val="0"/>
    <w:rPr>
      <w:rFonts w:hint="default" w:ascii="Times New Roman" w:hAnsi="Times New Roman" w:cs="Times New Roman"/>
      <w:color w:val="000000"/>
      <w:sz w:val="24"/>
      <w:szCs w:val="24"/>
      <w:u w:val="none"/>
    </w:rPr>
  </w:style>
  <w:style w:type="paragraph" w:customStyle="1" w:styleId="117">
    <w:name w:val="默认段落字体 Para Char Char Char Char"/>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wmf"/><Relationship Id="rId22" Type="http://schemas.openxmlformats.org/officeDocument/2006/relationships/oleObject" Target="embeddings/Microsoft_Visio_2003-2010___6.vsd"/><Relationship Id="rId21" Type="http://schemas.openxmlformats.org/officeDocument/2006/relationships/image" Target="media/image9.emf"/><Relationship Id="rId20" Type="http://schemas.openxmlformats.org/officeDocument/2006/relationships/package" Target="embeddings/Microsoft_Visio___5.vsdx"/><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emf"/><Relationship Id="rId16" Type="http://schemas.openxmlformats.org/officeDocument/2006/relationships/package" Target="embeddings/Microsoft_Visio___4.vsdx"/><Relationship Id="rId15" Type="http://schemas.openxmlformats.org/officeDocument/2006/relationships/image" Target="media/image5.emf"/><Relationship Id="rId14" Type="http://schemas.openxmlformats.org/officeDocument/2006/relationships/package" Target="embeddings/Microsoft_Visio___3.vsdx"/><Relationship Id="rId13" Type="http://schemas.openxmlformats.org/officeDocument/2006/relationships/image" Target="media/image4.emf"/><Relationship Id="rId12" Type="http://schemas.openxmlformats.org/officeDocument/2006/relationships/oleObject" Target="embeddings/Microsoft_Visio_2003-2010___2.vsd"/><Relationship Id="rId11" Type="http://schemas.openxmlformats.org/officeDocument/2006/relationships/image" Target="media/image3.emf"/><Relationship Id="rId10" Type="http://schemas.openxmlformats.org/officeDocument/2006/relationships/package" Target="embeddings/Microsoft_Visio___1.vsd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0"/>
    <customShpInfo spid="_x0000_s1031"/>
    <customShpInfo spid="_x0000_s104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A58937-4BBD-4A88-8075-1343E174C0C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96</Pages>
  <Words>66195</Words>
  <Characters>74988</Characters>
  <Lines>576</Lines>
  <Paragraphs>162</Paragraphs>
  <TotalTime>2073</TotalTime>
  <ScaleCrop>false</ScaleCrop>
  <LinksUpToDate>false</LinksUpToDate>
  <CharactersWithSpaces>75442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2024-09-11T07:07:00Z</dcterms:created>
  <dc:creator>lhj</dc:creator>
  <cp:lastModifiedBy>蒋阔</cp:lastModifiedBy>
  <cp:lastPrinted>2024-09-20T03:15:00Z</cp:lastPrinted>
  <dcterms:modified xsi:type="dcterms:W3CDTF">2024-10-08T00:50:31Z</dcterms:modified>
  <dc:title>附件2</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56C475006FD34439954493A6C251FF9F_12</vt:lpwstr>
  </property>
</Properties>
</file>