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A0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衡山县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年秋冬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生产工作方案</w:t>
      </w:r>
    </w:p>
    <w:p w14:paraId="4F1C3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草案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 w14:paraId="5BABBB4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为切实抓好今年秋冬季农业产业发展，推进农业产业结构调整，加快现代农业发展步伐，促进农民持续稳定增收，结合我县实际，特制</w:t>
      </w:r>
      <w:r>
        <w:rPr>
          <w:rFonts w:hint="eastAsia" w:ascii="仿宋_GB2312" w:hAnsi="仿宋_GB2312" w:eastAsia="仿宋_GB2312" w:cs="仿宋_GB2312"/>
          <w:sz w:val="32"/>
          <w:szCs w:val="32"/>
        </w:rPr>
        <w:t>定本工作方案。</w:t>
      </w:r>
    </w:p>
    <w:p w14:paraId="15C4946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一、目标任务</w:t>
      </w:r>
    </w:p>
    <w:p w14:paraId="2FA0636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2024年，全县秋冬农业生产要以油菜保护区建设为主攻目标，大力发展油菜规模化生产及菜籽油加工企业，扩大绿肥生产，减少化肥使用量，扶持蔬菜生产，实现农民增产增收</w:t>
      </w:r>
      <w:r>
        <w:rPr>
          <w:rFonts w:hint="eastAsia" w:ascii="仿宋_GB2312" w:hAnsi="仿宋_GB2312" w:eastAsia="仿宋_GB2312" w:cs="仿宋_GB2312"/>
          <w:sz w:val="32"/>
          <w:szCs w:val="32"/>
        </w:rPr>
        <w:t>。通过采取引进优质高产品种，加强技术推广，强化组织管理，注重辐射带动等措施，全面提升我县秋冬农业生产的种植水平。</w:t>
      </w:r>
    </w:p>
    <w:p w14:paraId="2A24B4B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全年秋冬种计划面积25.2万亩，其中油菜16.9万亩、绿肥4万亩、蔬菜2万亩，其他作物2.3万亩。</w:t>
      </w:r>
    </w:p>
    <w:p w14:paraId="2C53A70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二、重点工作</w:t>
      </w:r>
    </w:p>
    <w:p w14:paraId="02E7176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做好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工作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布局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将种植任务进行层层分解，落实到乡（镇）、村、组。根据全县各乡镇区域优势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种植习惯等因素，实行区域化布局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强化办点示范，推进秋冬农业生产增产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484191E"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油菜种植：在以油菜生产保护区为主的萱洲镇、永和乡、店门镇、开云镇、长江镇、福田铺乡、东湖镇和岭坡乡8个乡镇实施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“稻油”水旱轮作示范试点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，在以水稻生产功能区为主的白果镇、江东乡、贯塘乡、新桥镇4个乡镇实施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“稻稻油”水旱轮作示范试点。</w:t>
      </w:r>
    </w:p>
    <w:p w14:paraId="1AB68F0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2、绿肥生产。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重点在以水稻生产功能区为主的白果镇、江东乡、贯塘乡、新桥镇创建4个千亩示范片。</w:t>
      </w:r>
    </w:p>
    <w:p w14:paraId="4781122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3、蔬菜生产。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在县城周边乡（镇）创办好蔬菜示范基地，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重点在长江、开云、永和、贯塘等乡镇实施蔬菜新品种、新技术推广示范带动全县蔬菜产业的发展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 w14:paraId="750AC05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）落实好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应用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高产栽培技术措施</w:t>
      </w:r>
    </w:p>
    <w:p w14:paraId="1DD240B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1、选用良种。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油菜重点推广高产、优质、抗病、适合机械化生产的品种；绿肥生产推广产量高、熟期早的紫云英、肥用油菜及适合“三花混播”的绿肥品种。</w:t>
      </w:r>
    </w:p>
    <w:p w14:paraId="0347572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2、抓好关键技术落实。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油菜生产大力推广适时早播，机耕机收，开沟作畦排渍，湿润播种，合理密植，增施硼肥和病虫草害综合防治技术；绿肥生产大力推广晚稻留高桩收割与绿肥适度延期播种技术、“三沟配套”技术、“三花混播”技术以及补磷增氮技术。</w:t>
      </w:r>
    </w:p>
    <w:p w14:paraId="0014F11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3、保证种植密度。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油菜育苗移栽每亩大田0.8万至1万株，提倡一穴双株，直播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用种量</w:t>
      </w:r>
      <w:r>
        <w:rPr>
          <w:rFonts w:hint="eastAsia" w:ascii="仿宋_GB2312" w:hAnsi="仿宋_GB2312" w:eastAsia="仿宋_GB2312" w:cs="仿宋_GB2312"/>
          <w:sz w:val="32"/>
          <w:szCs w:val="32"/>
        </w:rPr>
        <w:t>每亩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200-300克，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大田留苗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万株左右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；紫云英用种量亩用2-2.5千克。</w:t>
      </w:r>
    </w:p>
    <w:p w14:paraId="1D4F1CF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4、精准播种时间。</w:t>
      </w:r>
      <w:r>
        <w:rPr>
          <w:rFonts w:hint="eastAsia" w:ascii="仿宋_GB2312" w:hAnsi="仿宋_GB2312" w:eastAsia="仿宋_GB2312" w:cs="仿宋_GB2312"/>
          <w:sz w:val="32"/>
          <w:szCs w:val="32"/>
        </w:rPr>
        <w:t>油菜育苗移栽在9月中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旬，直播在10月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中旬至11月上旬；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紫云英在9月下旬至10月上旬</w:t>
      </w:r>
      <w:r>
        <w:rPr>
          <w:rFonts w:hint="eastAsia" w:ascii="仿宋_GB2312" w:hAnsi="仿宋_GB2312" w:eastAsia="仿宋_GB2312" w:cs="仿宋_GB2312"/>
          <w:sz w:val="32"/>
          <w:szCs w:val="32"/>
        </w:rPr>
        <w:t>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41EF9B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5、抓好田间管理。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油菜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基肥亩施土杂肥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1000公斤，油菜专用复混肥60公斤（或40%</w:t>
      </w:r>
      <w:r>
        <w:rPr>
          <w:rFonts w:hint="eastAsia" w:ascii="仿宋_GB2312" w:hAnsi="仿宋_GB2312" w:eastAsia="仿宋_GB2312" w:cs="仿宋_GB2312"/>
          <w:sz w:val="32"/>
          <w:szCs w:val="32"/>
        </w:rPr>
        <w:t>三元复合肥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、硼肥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1-2包），做</w:t>
      </w:r>
      <w:r>
        <w:rPr>
          <w:rFonts w:hint="eastAsia" w:ascii="仿宋_GB2312" w:hAnsi="仿宋_GB2312" w:eastAsia="仿宋_GB2312" w:cs="仿宋_GB2312"/>
          <w:sz w:val="32"/>
          <w:szCs w:val="32"/>
        </w:rPr>
        <w:t>好中耕除草和防治好蚜虫和菜青虫等病虫害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蕾苔前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（元旦前后）</w:t>
      </w:r>
      <w:r>
        <w:rPr>
          <w:rFonts w:hint="eastAsia" w:ascii="仿宋_GB2312" w:hAnsi="仿宋_GB2312" w:eastAsia="仿宋_GB2312" w:cs="仿宋_GB2312"/>
          <w:sz w:val="32"/>
          <w:szCs w:val="32"/>
        </w:rPr>
        <w:t>每亩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施尿素8-10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盛花期前抓好菌核病和霜霉病的防治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油菜籽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成熟时收获，收获时间选择在阴天或晴天清早进行。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紫云英重点是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“三沟配套”技术，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要开好三沟做好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排水排渍，抑制病虫害发生，促进冬季壮苗。</w:t>
      </w:r>
    </w:p>
    <w:p w14:paraId="1262DE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6、推广应用农机农艺融合技术。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大力推广轻简、高效、实用性强的农机具，加速品种、种植和农机具的优化组合，发挥农机服务组织在农业机械化应用的示范带动作用，提高秋冬种机械化生产水平。</w:t>
      </w:r>
    </w:p>
    <w:p w14:paraId="5BA60AE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三、保障措施</w:t>
      </w:r>
    </w:p>
    <w:p w14:paraId="21AA1C7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加强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衡山县秋冬农业生产领导小组，分管副县长为组长，县农业农村局、县财政局等相关部门负责人为成员，领导小组办公室设农业农村局，由县农业农村局局长兼办公室主任，各乡镇要组织专门班子，形成领导分工明确，责任到人，上下联动的高效工作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要把秋冬农业生产作为下半年农业工作的中心任务，坚持早规划，早部署，早落实，做到责任到人和落实到田。</w:t>
      </w:r>
    </w:p>
    <w:p w14:paraId="26491C0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（二）强化资金保障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财政支持秋冬农业生产专项资金200万元，结合产油大县项目资金，合力推进秋冬农业生产。主要用于示范办点、种子等农用物资采购和支持社会化服务组织生产补贴，确保工作顺利推进，同时，加强对项目资金管理，确保专款专用，提高资金使用效果。</w:t>
      </w:r>
    </w:p>
    <w:p w14:paraId="0E22CD5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（三）加大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宣传发动力度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召开会议、组织座谈、广播电视、黑板报等形式进行广泛宣传发动，提高干部和群众对秋冬农业生产的认识，动员广大干部深入基层，做好农户的思想工作，认真推介技术与经验，给农户算好经济收入账，使农民自觉地、主动地进行秋冬种生产。通过推介示范经验，组织有关人员参观示范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板</w:t>
      </w:r>
      <w:r>
        <w:rPr>
          <w:rFonts w:hint="eastAsia" w:ascii="仿宋_GB2312" w:hAnsi="仿宋_GB2312" w:eastAsia="仿宋_GB2312" w:cs="仿宋_GB2312"/>
          <w:sz w:val="32"/>
          <w:szCs w:val="32"/>
        </w:rPr>
        <w:t>等形式，增强辐射带动作用。</w:t>
      </w:r>
    </w:p>
    <w:p w14:paraId="4B5D272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做好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开展多形式的技术培训和指导，在关键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季节开展蹲点服务，提供面对面的技术指导，做到技术到户、服务到点和指导到田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，特别要加强对示范片的技术指导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14152B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1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</w:t>
      </w:r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加强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督促检查。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建立严格的督查考核制度，定期不定期地深入乡(镇)、村开展督查，对工作中好的作法和典型，及时进行总结推广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对工作措施不力、责任不够到位、工作成效不好的，要及时通报并限期整改，确保秋冬农业生产任务的全面完成。</w:t>
      </w:r>
    </w:p>
    <w:p w14:paraId="6519F79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E2525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859EF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73B87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8D755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05809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54817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A3FAE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DCE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210" w:rightChars="-100" w:firstLine="300" w:firstLineChars="1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7152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210" w:rightChars="-100" w:firstLine="300" w:firstLineChars="1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F1F7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210" w:rightChars="-100" w:firstLine="300" w:firstLineChars="1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2BFB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210" w:rightChars="-100" w:firstLine="320" w:firstLineChars="1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tbl>
      <w:tblPr>
        <w:tblStyle w:val="6"/>
        <w:tblW w:w="88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1711"/>
        <w:gridCol w:w="1950"/>
        <w:gridCol w:w="1581"/>
        <w:gridCol w:w="1863"/>
      </w:tblGrid>
      <w:tr w14:paraId="57B3D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F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 w:bidi="ar-SA"/>
              </w:rPr>
              <w:t>衡山县2024年秋冬种生产计划任务表</w:t>
            </w:r>
          </w:p>
        </w:tc>
      </w:tr>
      <w:tr w14:paraId="08944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7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乡 </w:t>
            </w:r>
            <w:r>
              <w:rPr>
                <w:rStyle w:val="8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 xml:space="preserve"> 镇</w:t>
            </w:r>
          </w:p>
        </w:tc>
        <w:tc>
          <w:tcPr>
            <w:tcW w:w="17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EC305">
            <w:pPr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耕地面积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8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水田面积</w:t>
            </w:r>
          </w:p>
        </w:tc>
        <w:tc>
          <w:tcPr>
            <w:tcW w:w="15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8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油菜面积</w:t>
            </w:r>
          </w:p>
        </w:tc>
        <w:tc>
          <w:tcPr>
            <w:tcW w:w="1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B5A3D">
            <w:pPr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绿肥面积</w:t>
            </w:r>
          </w:p>
        </w:tc>
      </w:tr>
      <w:tr w14:paraId="1E796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E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白果镇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D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42056.83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B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40215.96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5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15000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A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10000</w:t>
            </w:r>
          </w:p>
        </w:tc>
      </w:tr>
      <w:tr w14:paraId="0B393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E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江东乡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C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14546.61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9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13909.89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F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7000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5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6000</w:t>
            </w:r>
          </w:p>
        </w:tc>
      </w:tr>
      <w:tr w14:paraId="085A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2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贯塘乡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5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14984.53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9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14328.64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E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7000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C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6000</w:t>
            </w:r>
          </w:p>
        </w:tc>
      </w:tr>
      <w:tr w14:paraId="0976F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5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4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18394.16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1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17589.03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B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9000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5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8000</w:t>
            </w:r>
          </w:p>
        </w:tc>
      </w:tr>
      <w:tr w14:paraId="123E8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0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东湖镇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0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26634.17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7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25468.37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1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17500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F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1500</w:t>
            </w:r>
          </w:p>
        </w:tc>
      </w:tr>
      <w:tr w14:paraId="5C17A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2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岭坡乡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4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20703.37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B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19797.16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5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13000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C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1000</w:t>
            </w:r>
          </w:p>
        </w:tc>
      </w:tr>
      <w:tr w14:paraId="03F36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A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福田铺乡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6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13595.61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5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13000.52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B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8900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6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1000</w:t>
            </w:r>
          </w:p>
        </w:tc>
      </w:tr>
      <w:tr w14:paraId="373EE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0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长江镇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7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25932.09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8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24797.02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E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17000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A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1000</w:t>
            </w:r>
          </w:p>
        </w:tc>
      </w:tr>
      <w:tr w14:paraId="4DE5C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5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开云镇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5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36077.97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E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34498.8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3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23500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7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1500</w:t>
            </w:r>
          </w:p>
        </w:tc>
      </w:tr>
      <w:tr w14:paraId="4B449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6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店门镇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D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24160.54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9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23103.01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A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16200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5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1500</w:t>
            </w:r>
          </w:p>
        </w:tc>
      </w:tr>
      <w:tr w14:paraId="44E38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9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永和乡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2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20359.39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E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19468.24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7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13500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6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1000</w:t>
            </w:r>
          </w:p>
        </w:tc>
      </w:tr>
      <w:tr w14:paraId="6918B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93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萱洲镇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6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31218.78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D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29852.3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B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21400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0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1500</w:t>
            </w:r>
          </w:p>
        </w:tc>
      </w:tr>
      <w:tr w14:paraId="3F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0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合 </w:t>
            </w:r>
            <w:r>
              <w:rPr>
                <w:rStyle w:val="8"/>
                <w:rFonts w:hint="eastAsia" w:ascii="宋体" w:hAnsi="宋体" w:eastAsia="宋体" w:cs="宋体"/>
                <w:sz w:val="30"/>
                <w:szCs w:val="30"/>
                <w:lang w:val="en-US" w:eastAsia="zh-CN" w:bidi="ar"/>
              </w:rPr>
              <w:t xml:space="preserve"> 计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4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288664.04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D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276028.94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A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instrText xml:space="preserve"> = sum(D2:D13) \* MERGEFORMAT </w:instrTex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169000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fldChar w:fldCharType="end"/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F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instrText xml:space="preserve"> = sum(E3:E14) \* MERGEFORMAT </w:instrTex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t>40000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-SA"/>
              </w:rPr>
              <w:fldChar w:fldCharType="end"/>
            </w:r>
          </w:p>
        </w:tc>
      </w:tr>
    </w:tbl>
    <w:p w14:paraId="4CF29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4E6AB4F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386B8B-328C-4E2D-BAAE-98A56443DD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1231B0EA-B3D7-476C-807D-D55DA162658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697ABDC-E280-4BCA-BF06-4E1FA17D5BD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9553056-87C5-4980-8787-60E918CF5DF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DB16669B-61AC-455B-B64E-07F563A8DE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978BA43-EDA7-4E82-AF47-7B4862CF3C47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7" w:fontKey="{B6A255D2-9BC4-4AFD-98C5-C372B656D14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FBF9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0FA3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jdiODZhNzY2MWE0YmZkZDEwZTY0MGNkYTU4MmYifQ=="/>
  </w:docVars>
  <w:rsids>
    <w:rsidRoot w:val="31761707"/>
    <w:rsid w:val="3176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2024-11-04T03:30:00Z</dcterms:created>
  <dc:creator>伟</dc:creator>
  <cp:lastModifiedBy>伟</cp:lastModifiedBy>
  <dcterms:modified xsi:type="dcterms:W3CDTF">2024-11-04T03:32:05Z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D00E4B5DF74745BE9228EC655654C5B7_11</vt:lpwstr>
  </property>
</Properties>
</file>