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ascii="方正小标宋简体" w:eastAsia="方正小标宋简体"/>
          <w:sz w:val="44"/>
          <w:szCs w:val="44"/>
        </w:rPr>
      </w:pPr>
    </w:p>
    <w:p>
      <w:pPr>
        <w:ind w:firstLine="0" w:firstLineChars="0"/>
        <w:jc w:val="center"/>
        <w:rPr>
          <w:rFonts w:ascii="方正小标宋简体" w:eastAsia="方正小标宋简体"/>
          <w:sz w:val="52"/>
          <w:szCs w:val="52"/>
        </w:rPr>
      </w:pPr>
      <w:r>
        <w:rPr>
          <w:rFonts w:hint="eastAsia" w:ascii="方正小标宋简体" w:eastAsia="方正小标宋简体"/>
          <w:sz w:val="52"/>
          <w:szCs w:val="52"/>
        </w:rPr>
        <w:t>绩效评价报告</w:t>
      </w:r>
    </w:p>
    <w:p>
      <w:pPr>
        <w:ind w:firstLine="0" w:firstLineChars="0"/>
        <w:jc w:val="center"/>
        <w:rPr>
          <w:rFonts w:ascii="方正小标宋简体" w:eastAsia="方正小标宋简体"/>
          <w:sz w:val="52"/>
          <w:szCs w:val="52"/>
        </w:rPr>
      </w:pPr>
      <w:r>
        <w:rPr>
          <w:rFonts w:hint="eastAsia" w:ascii="楷体_GB2312" w:eastAsia="楷体_GB2312"/>
          <w:b/>
          <w:bCs/>
          <w:sz w:val="44"/>
          <w:szCs w:val="44"/>
        </w:rPr>
        <w:t>（征求意见稿）</w:t>
      </w:r>
    </w:p>
    <w:p>
      <w:pPr>
        <w:ind w:firstLine="640"/>
        <w:rPr>
          <w:rFonts w:ascii="楷体_GB2312" w:eastAsia="楷体_GB2312"/>
          <w:szCs w:val="32"/>
        </w:rPr>
      </w:pPr>
    </w:p>
    <w:p>
      <w:pPr>
        <w:ind w:firstLine="640"/>
        <w:rPr>
          <w:rFonts w:ascii="楷体_GB2312" w:eastAsia="楷体_GB2312"/>
          <w:szCs w:val="32"/>
        </w:rPr>
      </w:pPr>
    </w:p>
    <w:p>
      <w:pPr>
        <w:ind w:firstLine="640"/>
        <w:rPr>
          <w:rFonts w:ascii="楷体_GB2312" w:eastAsia="楷体_GB2312"/>
          <w:szCs w:val="32"/>
        </w:rPr>
      </w:pPr>
    </w:p>
    <w:p>
      <w:pPr>
        <w:ind w:firstLine="640"/>
        <w:rPr>
          <w:rFonts w:ascii="楷体_GB2312" w:eastAsia="楷体_GB2312"/>
          <w:szCs w:val="32"/>
        </w:rPr>
      </w:pPr>
    </w:p>
    <w:p>
      <w:pPr>
        <w:ind w:firstLine="640"/>
        <w:rPr>
          <w:rFonts w:ascii="楷体_GB2312" w:eastAsia="楷体_GB2312"/>
          <w:szCs w:val="32"/>
        </w:rPr>
      </w:pPr>
    </w:p>
    <w:p>
      <w:pPr>
        <w:ind w:firstLine="640"/>
        <w:rPr>
          <w:rFonts w:ascii="楷体_GB2312" w:eastAsia="楷体_GB2312"/>
          <w:szCs w:val="32"/>
        </w:rPr>
      </w:pPr>
    </w:p>
    <w:p>
      <w:pPr>
        <w:ind w:firstLine="640"/>
        <w:rPr>
          <w:rFonts w:ascii="仿宋_GB2312" w:hAnsi="仿宋_GB2312" w:eastAsia="仿宋_GB2312"/>
          <w:szCs w:val="32"/>
          <w:u w:val="single"/>
        </w:rPr>
      </w:pPr>
    </w:p>
    <w:p>
      <w:pPr>
        <w:ind w:firstLine="640"/>
        <w:rPr>
          <w:rFonts w:ascii="仿宋_GB2312" w:hAnsi="仿宋_GB2312" w:eastAsia="仿宋_GB2312"/>
          <w:szCs w:val="32"/>
          <w:u w:val="single"/>
        </w:rPr>
      </w:pPr>
    </w:p>
    <w:p>
      <w:pPr>
        <w:ind w:firstLine="640"/>
        <w:rPr>
          <w:rFonts w:ascii="仿宋_GB2312" w:hAnsi="仿宋_GB2312" w:eastAsia="仿宋_GB2312"/>
          <w:szCs w:val="32"/>
          <w:u w:val="single"/>
        </w:rPr>
      </w:pPr>
    </w:p>
    <w:p>
      <w:pPr>
        <w:spacing w:line="600" w:lineRule="exact"/>
        <w:ind w:left="1920" w:leftChars="100" w:hanging="1600" w:hangingChars="500"/>
        <w:rPr>
          <w:rFonts w:ascii="仿宋_GB2312" w:hAnsi="仿宋_GB2312" w:eastAsia="仿宋_GB2312"/>
          <w:szCs w:val="32"/>
          <w:u w:val="single"/>
        </w:rPr>
      </w:pPr>
      <w:r>
        <w:rPr>
          <w:rFonts w:hint="eastAsia" w:ascii="方正小标宋_GBK" w:eastAsia="方正小标宋_GBK"/>
          <w:szCs w:val="32"/>
        </w:rPr>
        <w:t xml:space="preserve">项目名称： </w:t>
      </w:r>
      <w:r>
        <w:rPr>
          <w:rFonts w:ascii="仿宋_GB2312" w:hAnsi="仿宋_GB2312" w:eastAsia="仿宋_GB2312"/>
          <w:szCs w:val="32"/>
          <w:u w:val="single"/>
        </w:rPr>
        <w:t>201</w:t>
      </w:r>
      <w:r>
        <w:rPr>
          <w:rFonts w:hint="eastAsia" w:ascii="仿宋_GB2312" w:hAnsi="仿宋_GB2312" w:eastAsia="仿宋_GB2312"/>
          <w:szCs w:val="32"/>
          <w:u w:val="single"/>
        </w:rPr>
        <w:t>9年度衡山县统计局项目支出资金项目</w:t>
      </w:r>
    </w:p>
    <w:p>
      <w:pPr>
        <w:ind w:firstLine="320" w:firstLineChars="100"/>
        <w:rPr>
          <w:rFonts w:ascii="方正小标宋_GBK" w:eastAsia="方正小标宋_GBK"/>
          <w:szCs w:val="32"/>
          <w:u w:val="single"/>
        </w:rPr>
      </w:pPr>
      <w:r>
        <w:rPr>
          <w:rFonts w:hint="eastAsia" w:ascii="方正小标宋_GBK" w:eastAsia="方正小标宋_GBK"/>
          <w:szCs w:val="32"/>
        </w:rPr>
        <w:t>主管部门：</w:t>
      </w:r>
      <w:r>
        <w:rPr>
          <w:rFonts w:hint="eastAsia" w:ascii="仿宋_GB2312" w:hAnsi="仿宋_GB2312" w:eastAsia="仿宋_GB2312"/>
          <w:szCs w:val="32"/>
          <w:u w:val="single"/>
        </w:rPr>
        <w:t>衡山县统计局</w:t>
      </w:r>
    </w:p>
    <w:p>
      <w:pPr>
        <w:ind w:firstLine="320" w:firstLineChars="100"/>
        <w:rPr>
          <w:rFonts w:ascii="方正小标宋_GBK" w:eastAsia="方正小标宋_GBK"/>
          <w:szCs w:val="32"/>
          <w:u w:val="single"/>
        </w:rPr>
      </w:pPr>
      <w:r>
        <w:rPr>
          <w:rFonts w:hint="eastAsia" w:ascii="方正小标宋_GBK" w:eastAsia="方正小标宋_GBK"/>
          <w:szCs w:val="32"/>
        </w:rPr>
        <w:t>组织单位：</w:t>
      </w:r>
      <w:r>
        <w:rPr>
          <w:rFonts w:hint="eastAsia" w:ascii="仿宋_GB2312" w:hAnsi="仿宋_GB2312" w:eastAsia="仿宋_GB2312"/>
          <w:szCs w:val="32"/>
          <w:u w:val="single"/>
        </w:rPr>
        <w:t>衡山县财政局</w:t>
      </w:r>
    </w:p>
    <w:p>
      <w:pPr>
        <w:ind w:firstLine="320" w:firstLineChars="100"/>
        <w:rPr>
          <w:rFonts w:ascii="方正小标宋_GBK" w:eastAsia="方正小标宋_GBK"/>
          <w:szCs w:val="32"/>
          <w:u w:val="single"/>
        </w:rPr>
      </w:pPr>
      <w:r>
        <w:rPr>
          <w:rFonts w:hint="eastAsia" w:ascii="方正小标宋_GBK" w:eastAsia="方正小标宋_GBK"/>
          <w:szCs w:val="32"/>
        </w:rPr>
        <w:t>实施机构：</w:t>
      </w:r>
      <w:r>
        <w:rPr>
          <w:rFonts w:hint="eastAsia" w:ascii="仿宋_GB2312" w:hAnsi="仿宋_GB2312" w:eastAsia="仿宋_GB2312"/>
          <w:szCs w:val="32"/>
          <w:u w:val="single"/>
        </w:rPr>
        <w:t>湖南宏丰益联合会计师事务所</w:t>
      </w:r>
    </w:p>
    <w:p>
      <w:pPr>
        <w:ind w:firstLine="320" w:firstLineChars="100"/>
        <w:rPr>
          <w:rFonts w:ascii="方正小标宋_GBK" w:eastAsia="方正小标宋_GBK"/>
          <w:szCs w:val="32"/>
          <w:u w:val="single"/>
        </w:rPr>
      </w:pPr>
    </w:p>
    <w:p>
      <w:pPr>
        <w:ind w:firstLine="0" w:firstLineChars="0"/>
        <w:rPr>
          <w:rFonts w:ascii="方正小标宋_GBK" w:eastAsia="方正小标宋_GBK"/>
          <w:szCs w:val="32"/>
          <w:u w:val="single"/>
        </w:rPr>
      </w:pPr>
    </w:p>
    <w:p>
      <w:pPr>
        <w:ind w:firstLine="0" w:firstLineChars="0"/>
        <w:rPr>
          <w:rFonts w:ascii="方正小标宋_GBK" w:eastAsia="方正小标宋_GBK"/>
          <w:szCs w:val="32"/>
          <w:u w:val="single"/>
        </w:rPr>
      </w:pPr>
    </w:p>
    <w:p>
      <w:pPr>
        <w:ind w:firstLine="0" w:firstLineChars="0"/>
        <w:rPr>
          <w:rFonts w:ascii="方正小标宋_GBK" w:eastAsia="方正小标宋_GBK"/>
          <w:szCs w:val="32"/>
          <w:u w:val="single"/>
        </w:rPr>
      </w:pPr>
    </w:p>
    <w:p>
      <w:pPr>
        <w:ind w:firstLine="0" w:firstLineChars="0"/>
        <w:jc w:val="center"/>
        <w:rPr>
          <w:rFonts w:ascii="楷体_GB2312" w:eastAsia="楷体_GB2312"/>
          <w:b/>
          <w:szCs w:val="32"/>
        </w:rPr>
      </w:pPr>
      <w:r>
        <w:rPr>
          <w:rFonts w:ascii="楷体_GB2312" w:eastAsia="楷体_GB2312"/>
          <w:b/>
          <w:szCs w:val="32"/>
        </w:rPr>
        <w:t>20</w:t>
      </w:r>
      <w:r>
        <w:rPr>
          <w:rFonts w:hint="eastAsia" w:ascii="楷体_GB2312" w:eastAsia="楷体_GB2312"/>
          <w:b/>
          <w:szCs w:val="32"/>
        </w:rPr>
        <w:t>20年</w:t>
      </w:r>
      <w:r>
        <w:rPr>
          <w:rFonts w:ascii="楷体_GB2312" w:eastAsia="楷体_GB2312"/>
          <w:b/>
          <w:szCs w:val="32"/>
        </w:rPr>
        <w:t>11</w:t>
      </w:r>
      <w:r>
        <w:rPr>
          <w:rFonts w:hint="eastAsia" w:ascii="楷体_GB2312" w:eastAsia="楷体_GB2312"/>
          <w:b/>
          <w:szCs w:val="32"/>
        </w:rPr>
        <w:t>月</w:t>
      </w:r>
      <w:r>
        <w:rPr>
          <w:rFonts w:ascii="楷体_GB2312" w:eastAsia="楷体_GB2312"/>
          <w:b/>
          <w:szCs w:val="32"/>
        </w:rPr>
        <w:t>2</w:t>
      </w:r>
      <w:r>
        <w:rPr>
          <w:rFonts w:hint="eastAsia" w:ascii="楷体_GB2312" w:eastAsia="楷体_GB2312"/>
          <w:b/>
          <w:szCs w:val="32"/>
        </w:rPr>
        <w:t>日</w:t>
      </w:r>
    </w:p>
    <w:p>
      <w:pPr>
        <w:pStyle w:val="3"/>
        <w:ind w:firstLine="0" w:firstLineChars="0"/>
        <w:sectPr>
          <w:headerReference r:id="rId5" w:type="first"/>
          <w:footerReference r:id="rId8" w:type="first"/>
          <w:headerReference r:id="rId3" w:type="default"/>
          <w:footerReference r:id="rId6" w:type="default"/>
          <w:headerReference r:id="rId4" w:type="even"/>
          <w:footerReference r:id="rId7" w:type="even"/>
          <w:pgSz w:w="11905" w:h="16838"/>
          <w:pgMar w:top="1440" w:right="1803" w:bottom="1440" w:left="1803" w:header="851" w:footer="992" w:gutter="0"/>
          <w:cols w:space="0" w:num="1"/>
          <w:docGrid w:type="lines" w:linePitch="319" w:charSpace="0"/>
        </w:sectPr>
      </w:pPr>
    </w:p>
    <w:p>
      <w:pPr>
        <w:spacing w:line="700" w:lineRule="exact"/>
        <w:ind w:firstLine="0" w:firstLineChars="0"/>
        <w:jc w:val="center"/>
        <w:rPr>
          <w:rFonts w:ascii="黑体" w:hAnsi="黑体" w:eastAsia="黑体"/>
          <w:sz w:val="44"/>
          <w:szCs w:val="44"/>
        </w:rPr>
      </w:pPr>
      <w:r>
        <w:rPr>
          <w:rFonts w:ascii="黑体" w:hAnsi="黑体" w:eastAsia="黑体"/>
          <w:sz w:val="44"/>
          <w:szCs w:val="44"/>
        </w:rPr>
        <w:t>201</w:t>
      </w:r>
      <w:r>
        <w:rPr>
          <w:rFonts w:hint="eastAsia" w:ascii="黑体" w:hAnsi="黑体" w:eastAsia="黑体"/>
          <w:sz w:val="44"/>
          <w:szCs w:val="44"/>
        </w:rPr>
        <w:t>9年度衡山县统计局项目支出绩效评价表</w:t>
      </w:r>
    </w:p>
    <w:p>
      <w:pPr>
        <w:wordWrap w:val="0"/>
        <w:ind w:firstLine="129" w:firstLineChars="50"/>
        <w:jc w:val="right"/>
        <w:rPr>
          <w:rFonts w:ascii="??_GB2312" w:eastAsia="Times New Roman"/>
          <w:sz w:val="28"/>
          <w:szCs w:val="28"/>
        </w:rPr>
      </w:pPr>
      <w:r>
        <w:rPr>
          <w:rFonts w:hint="eastAsia" w:ascii="仿宋" w:hAnsi="仿宋" w:cs="仿宋"/>
          <w:sz w:val="28"/>
          <w:szCs w:val="28"/>
        </w:rPr>
        <w:t>填报日期：</w:t>
      </w:r>
      <w:r>
        <w:rPr>
          <w:rFonts w:ascii="仿宋" w:hAnsi="仿宋" w:cs="仿宋"/>
          <w:sz w:val="28"/>
          <w:szCs w:val="28"/>
        </w:rPr>
        <w:t>20</w:t>
      </w:r>
      <w:r>
        <w:rPr>
          <w:rFonts w:hint="eastAsia" w:ascii="仿宋" w:hAnsi="仿宋" w:cs="仿宋"/>
          <w:sz w:val="28"/>
          <w:szCs w:val="28"/>
        </w:rPr>
        <w:t>20年1</w:t>
      </w:r>
      <w:r>
        <w:rPr>
          <w:rFonts w:ascii="仿宋" w:hAnsi="仿宋" w:cs="仿宋"/>
          <w:sz w:val="28"/>
          <w:szCs w:val="28"/>
        </w:rPr>
        <w:t>1</w:t>
      </w:r>
      <w:r>
        <w:rPr>
          <w:rFonts w:hint="eastAsia" w:ascii="仿宋" w:hAnsi="仿宋" w:cs="仿宋"/>
          <w:sz w:val="28"/>
          <w:szCs w:val="28"/>
        </w:rPr>
        <w:t>月</w:t>
      </w:r>
      <w:r>
        <w:rPr>
          <w:rFonts w:ascii="仿宋" w:hAnsi="仿宋" w:cs="仿宋"/>
          <w:sz w:val="28"/>
          <w:szCs w:val="28"/>
        </w:rPr>
        <w:t>2</w:t>
      </w:r>
      <w:r>
        <w:rPr>
          <w:rFonts w:hint="eastAsia" w:ascii="仿宋" w:hAnsi="仿宋" w:cs="仿宋"/>
          <w:sz w:val="28"/>
          <w:szCs w:val="28"/>
        </w:rPr>
        <w:t>日</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1776"/>
        <w:gridCol w:w="1213"/>
        <w:gridCol w:w="1793"/>
        <w:gridCol w:w="2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122" w:type="dxa"/>
            <w:vMerge w:val="restart"/>
            <w:vAlign w:val="center"/>
          </w:tcPr>
          <w:p>
            <w:pPr>
              <w:spacing w:line="400" w:lineRule="exact"/>
              <w:ind w:firstLine="0" w:firstLineChars="0"/>
              <w:jc w:val="center"/>
              <w:rPr>
                <w:b/>
                <w:bCs/>
                <w:color w:val="000000"/>
                <w:sz w:val="24"/>
              </w:rPr>
            </w:pPr>
            <w:r>
              <w:rPr>
                <w:rFonts w:hint="eastAsia" w:hAnsi="仿宋"/>
                <w:b/>
                <w:bCs/>
                <w:color w:val="000000"/>
                <w:sz w:val="24"/>
              </w:rPr>
              <w:t>项</w:t>
            </w:r>
          </w:p>
          <w:p>
            <w:pPr>
              <w:spacing w:line="400" w:lineRule="exact"/>
              <w:ind w:firstLine="0" w:firstLineChars="0"/>
              <w:jc w:val="center"/>
              <w:rPr>
                <w:b/>
                <w:bCs/>
                <w:color w:val="000000"/>
                <w:sz w:val="24"/>
              </w:rPr>
            </w:pPr>
            <w:r>
              <w:rPr>
                <w:rFonts w:hint="eastAsia" w:hAnsi="仿宋"/>
                <w:b/>
                <w:bCs/>
                <w:color w:val="000000"/>
                <w:sz w:val="24"/>
              </w:rPr>
              <w:t>目</w:t>
            </w:r>
          </w:p>
          <w:p>
            <w:pPr>
              <w:spacing w:line="400" w:lineRule="exact"/>
              <w:ind w:firstLine="0" w:firstLineChars="0"/>
              <w:jc w:val="center"/>
              <w:rPr>
                <w:b/>
                <w:bCs/>
                <w:color w:val="000000"/>
                <w:sz w:val="24"/>
              </w:rPr>
            </w:pPr>
            <w:r>
              <w:rPr>
                <w:rFonts w:hint="eastAsia" w:hAnsi="仿宋"/>
                <w:b/>
                <w:bCs/>
                <w:color w:val="000000"/>
                <w:sz w:val="24"/>
              </w:rPr>
              <w:t>基</w:t>
            </w:r>
          </w:p>
          <w:p>
            <w:pPr>
              <w:spacing w:line="400" w:lineRule="exact"/>
              <w:ind w:firstLine="0" w:firstLineChars="0"/>
              <w:jc w:val="center"/>
              <w:rPr>
                <w:b/>
                <w:bCs/>
                <w:color w:val="000000"/>
                <w:sz w:val="24"/>
              </w:rPr>
            </w:pPr>
            <w:r>
              <w:rPr>
                <w:rFonts w:hint="eastAsia" w:hAnsi="仿宋"/>
                <w:b/>
                <w:bCs/>
                <w:color w:val="000000"/>
                <w:sz w:val="24"/>
              </w:rPr>
              <w:t>本</w:t>
            </w:r>
          </w:p>
          <w:p>
            <w:pPr>
              <w:spacing w:line="400" w:lineRule="exact"/>
              <w:ind w:firstLine="0" w:firstLineChars="0"/>
              <w:jc w:val="center"/>
              <w:rPr>
                <w:b/>
                <w:bCs/>
                <w:color w:val="000000"/>
                <w:sz w:val="24"/>
              </w:rPr>
            </w:pPr>
            <w:r>
              <w:rPr>
                <w:rFonts w:hint="eastAsia" w:hAnsi="仿宋"/>
                <w:b/>
                <w:bCs/>
                <w:color w:val="000000"/>
                <w:sz w:val="24"/>
              </w:rPr>
              <w:t>情</w:t>
            </w:r>
          </w:p>
          <w:p>
            <w:pPr>
              <w:spacing w:line="400" w:lineRule="exact"/>
              <w:ind w:firstLine="0" w:firstLineChars="0"/>
              <w:jc w:val="center"/>
              <w:rPr>
                <w:b/>
                <w:bCs/>
                <w:color w:val="000000"/>
                <w:sz w:val="24"/>
              </w:rPr>
            </w:pPr>
            <w:r>
              <w:rPr>
                <w:rFonts w:hint="eastAsia" w:hAnsi="仿宋"/>
                <w:b/>
                <w:bCs/>
                <w:color w:val="000000"/>
                <w:sz w:val="24"/>
              </w:rPr>
              <w:t>况</w:t>
            </w:r>
          </w:p>
          <w:p>
            <w:pPr>
              <w:spacing w:line="400" w:lineRule="exact"/>
              <w:ind w:firstLine="0" w:firstLineChars="0"/>
              <w:rPr>
                <w:sz w:val="24"/>
              </w:rPr>
            </w:pPr>
          </w:p>
        </w:tc>
        <w:tc>
          <w:tcPr>
            <w:tcW w:w="1776" w:type="dxa"/>
            <w:vAlign w:val="center"/>
          </w:tcPr>
          <w:p>
            <w:pPr>
              <w:spacing w:line="400" w:lineRule="exact"/>
              <w:ind w:firstLine="0" w:firstLineChars="0"/>
              <w:jc w:val="center"/>
              <w:rPr>
                <w:sz w:val="24"/>
              </w:rPr>
            </w:pPr>
            <w:r>
              <w:rPr>
                <w:rFonts w:hint="eastAsia" w:hAnsi="仿宋"/>
                <w:sz w:val="24"/>
              </w:rPr>
              <w:t>项目名称</w:t>
            </w:r>
          </w:p>
        </w:tc>
        <w:tc>
          <w:tcPr>
            <w:tcW w:w="5617" w:type="dxa"/>
            <w:gridSpan w:val="3"/>
            <w:vAlign w:val="center"/>
          </w:tcPr>
          <w:p>
            <w:pPr>
              <w:snapToGrid w:val="0"/>
              <w:spacing w:line="400" w:lineRule="exact"/>
              <w:ind w:firstLine="0" w:firstLineChars="0"/>
              <w:rPr>
                <w:sz w:val="24"/>
              </w:rPr>
            </w:pPr>
            <w:bookmarkStart w:id="0" w:name="_Hlk57923673"/>
            <w:r>
              <w:rPr>
                <w:sz w:val="24"/>
              </w:rPr>
              <w:t>201</w:t>
            </w:r>
            <w:r>
              <w:rPr>
                <w:rFonts w:hint="eastAsia"/>
                <w:sz w:val="24"/>
              </w:rPr>
              <w:t>9年</w:t>
            </w:r>
            <w:r>
              <w:rPr>
                <w:rFonts w:hint="eastAsia" w:hAnsi="仿宋"/>
                <w:sz w:val="24"/>
              </w:rPr>
              <w:t>城乡住户一体化</w:t>
            </w:r>
          </w:p>
          <w:p>
            <w:pPr>
              <w:snapToGrid w:val="0"/>
              <w:spacing w:line="400" w:lineRule="exact"/>
              <w:ind w:firstLine="0" w:firstLineChars="0"/>
              <w:rPr>
                <w:sz w:val="24"/>
              </w:rPr>
            </w:pPr>
            <w:r>
              <w:rPr>
                <w:rFonts w:hint="eastAsia"/>
                <w:sz w:val="24"/>
              </w:rPr>
              <w:t>第四次经济普查工作经费</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exact"/>
          <w:jc w:val="center"/>
        </w:trPr>
        <w:tc>
          <w:tcPr>
            <w:tcW w:w="1122" w:type="dxa"/>
            <w:vMerge w:val="continue"/>
          </w:tcPr>
          <w:p>
            <w:pPr>
              <w:spacing w:line="400" w:lineRule="exact"/>
              <w:ind w:firstLine="0" w:firstLineChars="0"/>
              <w:rPr>
                <w:sz w:val="24"/>
              </w:rPr>
            </w:pPr>
          </w:p>
        </w:tc>
        <w:tc>
          <w:tcPr>
            <w:tcW w:w="1776" w:type="dxa"/>
            <w:vAlign w:val="center"/>
          </w:tcPr>
          <w:p>
            <w:pPr>
              <w:spacing w:line="400" w:lineRule="exact"/>
              <w:ind w:firstLine="0" w:firstLineChars="0"/>
              <w:jc w:val="center"/>
              <w:rPr>
                <w:sz w:val="24"/>
              </w:rPr>
            </w:pPr>
            <w:r>
              <w:rPr>
                <w:rFonts w:hint="eastAsia" w:hAnsi="仿宋"/>
                <w:sz w:val="24"/>
              </w:rPr>
              <w:t>项目内容</w:t>
            </w:r>
          </w:p>
        </w:tc>
        <w:tc>
          <w:tcPr>
            <w:tcW w:w="5617" w:type="dxa"/>
            <w:gridSpan w:val="3"/>
            <w:vAlign w:val="center"/>
          </w:tcPr>
          <w:p>
            <w:pPr>
              <w:tabs>
                <w:tab w:val="left" w:pos="5300"/>
              </w:tabs>
              <w:snapToGrid w:val="0"/>
              <w:spacing w:line="400" w:lineRule="exact"/>
              <w:ind w:left="-103" w:firstLine="0" w:firstLineChars="0"/>
              <w:rPr>
                <w:sz w:val="24"/>
              </w:rPr>
            </w:pPr>
            <w:r>
              <w:rPr>
                <w:sz w:val="24"/>
              </w:rPr>
              <w:t>1</w:t>
            </w:r>
            <w:r>
              <w:rPr>
                <w:rFonts w:hint="eastAsia" w:hAnsi="仿宋"/>
                <w:sz w:val="24"/>
              </w:rPr>
              <w:t>、</w:t>
            </w:r>
            <w:r>
              <w:rPr>
                <w:rFonts w:hint="eastAsia"/>
                <w:sz w:val="24"/>
              </w:rPr>
              <w:t>对衡山县内住户的收支与生活状况进行调查。</w:t>
            </w:r>
          </w:p>
          <w:p>
            <w:pPr>
              <w:tabs>
                <w:tab w:val="left" w:pos="5300"/>
              </w:tabs>
              <w:snapToGrid w:val="0"/>
              <w:spacing w:line="400" w:lineRule="exact"/>
              <w:ind w:left="-103" w:firstLine="0" w:firstLineChars="0"/>
              <w:rPr>
                <w:sz w:val="24"/>
              </w:rPr>
            </w:pPr>
            <w:r>
              <w:rPr>
                <w:rFonts w:hint="eastAsia"/>
                <w:sz w:val="24"/>
              </w:rPr>
              <w:t>2、全面调查衡山县辖区内从事第二产业和第三产业的发展规模、布局和效益，了解各产业组织、结构、技术、形态的线状以及各生产要素的构成，进一步查实各单位的基本情况和主要生产服务活动状况，全面准确反映衡山县在供给侧结构性改革、新动能培育壮大、经济结构优化升级等方面的新进展。</w:t>
            </w:r>
          </w:p>
          <w:p>
            <w:pPr>
              <w:tabs>
                <w:tab w:val="left" w:pos="5300"/>
              </w:tabs>
              <w:snapToGrid w:val="0"/>
              <w:spacing w:line="400" w:lineRule="exact"/>
              <w:ind w:left="-103" w:firstLine="0" w:firstLineChars="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122" w:type="dxa"/>
            <w:vMerge w:val="continue"/>
          </w:tcPr>
          <w:p>
            <w:pPr>
              <w:spacing w:line="400" w:lineRule="exact"/>
              <w:ind w:firstLine="0" w:firstLineChars="0"/>
              <w:rPr>
                <w:sz w:val="24"/>
              </w:rPr>
            </w:pPr>
          </w:p>
        </w:tc>
        <w:tc>
          <w:tcPr>
            <w:tcW w:w="1776" w:type="dxa"/>
            <w:vAlign w:val="center"/>
          </w:tcPr>
          <w:p>
            <w:pPr>
              <w:spacing w:line="400" w:lineRule="exact"/>
              <w:ind w:firstLine="0" w:firstLineChars="0"/>
              <w:jc w:val="center"/>
              <w:rPr>
                <w:sz w:val="24"/>
              </w:rPr>
            </w:pPr>
            <w:r>
              <w:rPr>
                <w:rFonts w:hint="eastAsia" w:hAnsi="仿宋"/>
                <w:sz w:val="24"/>
              </w:rPr>
              <w:t>项目单位</w:t>
            </w:r>
          </w:p>
        </w:tc>
        <w:tc>
          <w:tcPr>
            <w:tcW w:w="1213" w:type="dxa"/>
            <w:vAlign w:val="center"/>
          </w:tcPr>
          <w:p>
            <w:pPr>
              <w:spacing w:line="400" w:lineRule="exact"/>
              <w:ind w:firstLine="0" w:firstLineChars="0"/>
              <w:jc w:val="center"/>
              <w:rPr>
                <w:rFonts w:hAnsi="仿宋"/>
                <w:sz w:val="24"/>
              </w:rPr>
            </w:pPr>
            <w:r>
              <w:rPr>
                <w:rFonts w:hint="eastAsia" w:hAnsi="仿宋"/>
                <w:sz w:val="24"/>
              </w:rPr>
              <w:t>衡山县统计局</w:t>
            </w:r>
          </w:p>
        </w:tc>
        <w:tc>
          <w:tcPr>
            <w:tcW w:w="1793" w:type="dxa"/>
            <w:vAlign w:val="center"/>
          </w:tcPr>
          <w:p>
            <w:pPr>
              <w:spacing w:line="400" w:lineRule="exact"/>
              <w:ind w:firstLine="0" w:firstLineChars="0"/>
              <w:jc w:val="center"/>
              <w:rPr>
                <w:sz w:val="24"/>
              </w:rPr>
            </w:pPr>
            <w:r>
              <w:rPr>
                <w:rFonts w:hint="eastAsia" w:hAnsi="仿宋"/>
                <w:sz w:val="24"/>
              </w:rPr>
              <w:t>项目主管部门</w:t>
            </w:r>
          </w:p>
        </w:tc>
        <w:tc>
          <w:tcPr>
            <w:tcW w:w="2611" w:type="dxa"/>
            <w:vAlign w:val="center"/>
          </w:tcPr>
          <w:p>
            <w:pPr>
              <w:spacing w:line="400" w:lineRule="exact"/>
              <w:ind w:firstLine="0" w:firstLineChars="0"/>
              <w:jc w:val="center"/>
              <w:rPr>
                <w:rFonts w:hint="default" w:eastAsia="仿宋"/>
                <w:sz w:val="24"/>
                <w:lang w:val="en-US" w:eastAsia="zh-CN"/>
              </w:rPr>
            </w:pPr>
            <w:r>
              <w:rPr>
                <w:rFonts w:hint="eastAsia"/>
                <w:sz w:val="24"/>
                <w:lang w:val="en-US" w:eastAsia="zh-CN"/>
              </w:rPr>
              <w:t>衡山县人民政府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122" w:type="dxa"/>
            <w:vMerge w:val="continue"/>
          </w:tcPr>
          <w:p>
            <w:pPr>
              <w:spacing w:line="400" w:lineRule="exact"/>
              <w:ind w:firstLine="0" w:firstLineChars="0"/>
              <w:rPr>
                <w:sz w:val="24"/>
              </w:rPr>
            </w:pPr>
          </w:p>
        </w:tc>
        <w:tc>
          <w:tcPr>
            <w:tcW w:w="1776" w:type="dxa"/>
            <w:vAlign w:val="center"/>
          </w:tcPr>
          <w:p>
            <w:pPr>
              <w:spacing w:line="400" w:lineRule="exact"/>
              <w:ind w:firstLine="0" w:firstLineChars="0"/>
              <w:jc w:val="center"/>
              <w:rPr>
                <w:sz w:val="24"/>
              </w:rPr>
            </w:pPr>
            <w:r>
              <w:rPr>
                <w:rFonts w:hint="eastAsia" w:hAnsi="仿宋"/>
                <w:sz w:val="24"/>
              </w:rPr>
              <w:t>项目属性</w:t>
            </w:r>
          </w:p>
        </w:tc>
        <w:tc>
          <w:tcPr>
            <w:tcW w:w="5617" w:type="dxa"/>
            <w:gridSpan w:val="3"/>
            <w:vAlign w:val="center"/>
          </w:tcPr>
          <w:p>
            <w:pPr>
              <w:spacing w:line="400" w:lineRule="exact"/>
              <w:ind w:firstLine="0" w:firstLineChars="0"/>
              <w:jc w:val="center"/>
              <w:rPr>
                <w:sz w:val="24"/>
              </w:rPr>
            </w:pPr>
            <w:r>
              <w:rPr>
                <w:sz w:val="24"/>
              </w:rPr>
              <w:t>√</w:t>
            </w:r>
            <w:r>
              <w:rPr>
                <w:rFonts w:hint="eastAsia" w:hAnsi="仿宋"/>
                <w:sz w:val="24"/>
              </w:rPr>
              <w:t>经常性</w:t>
            </w:r>
            <w:r>
              <w:rPr>
                <w:sz w:val="24"/>
              </w:rPr>
              <w:t>□</w:t>
            </w:r>
            <w:r>
              <w:rPr>
                <w:rFonts w:hint="eastAsia" w:hAnsi="仿宋"/>
                <w:sz w:val="24"/>
              </w:rPr>
              <w:t>一次性</w:t>
            </w:r>
            <w:r>
              <w:rPr>
                <w:sz w:val="24"/>
              </w:rPr>
              <w:t>□</w:t>
            </w:r>
            <w:r>
              <w:rPr>
                <w:rFonts w:hint="eastAsia" w:hAnsi="仿宋"/>
                <w:sz w:val="24"/>
              </w:rPr>
              <w:t>新增</w:t>
            </w:r>
            <w:r>
              <w:rPr>
                <w:sz w:val="24"/>
              </w:rPr>
              <w:t>√</w:t>
            </w:r>
            <w:r>
              <w:rPr>
                <w:rFonts w:hint="eastAsia" w:hAnsi="仿宋"/>
                <w:sz w:val="24"/>
              </w:rPr>
              <w:t>延续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1122" w:type="dxa"/>
            <w:vMerge w:val="continue"/>
          </w:tcPr>
          <w:p>
            <w:pPr>
              <w:spacing w:line="400" w:lineRule="exact"/>
              <w:ind w:firstLine="0" w:firstLineChars="0"/>
              <w:rPr>
                <w:sz w:val="24"/>
              </w:rPr>
            </w:pPr>
          </w:p>
        </w:tc>
        <w:tc>
          <w:tcPr>
            <w:tcW w:w="1776" w:type="dxa"/>
            <w:vAlign w:val="center"/>
          </w:tcPr>
          <w:p>
            <w:pPr>
              <w:spacing w:line="400" w:lineRule="exact"/>
              <w:ind w:firstLine="0" w:firstLineChars="0"/>
              <w:jc w:val="center"/>
              <w:rPr>
                <w:sz w:val="24"/>
              </w:rPr>
            </w:pPr>
            <w:r>
              <w:rPr>
                <w:rFonts w:hint="eastAsia" w:hAnsi="仿宋"/>
                <w:sz w:val="24"/>
              </w:rPr>
              <w:t>立项依据</w:t>
            </w:r>
          </w:p>
        </w:tc>
        <w:tc>
          <w:tcPr>
            <w:tcW w:w="5617" w:type="dxa"/>
            <w:gridSpan w:val="3"/>
            <w:vAlign w:val="center"/>
          </w:tcPr>
          <w:p>
            <w:pPr>
              <w:snapToGrid w:val="0"/>
              <w:spacing w:line="400" w:lineRule="exact"/>
              <w:ind w:left="433" w:hanging="434" w:hangingChars="200"/>
              <w:rPr>
                <w:rFonts w:hAnsi="仿宋"/>
                <w:sz w:val="24"/>
              </w:rPr>
            </w:pPr>
            <w:r>
              <w:rPr>
                <w:rFonts w:hAnsi="仿宋"/>
                <w:sz w:val="24"/>
              </w:rPr>
              <w:t>1</w:t>
            </w:r>
            <w:r>
              <w:rPr>
                <w:rFonts w:hint="eastAsia" w:hAnsi="仿宋"/>
                <w:sz w:val="24"/>
              </w:rPr>
              <w:t>、《关于切实解决住户一体化调查辅助调查员、记账员补贴及调查工作经费的通知》（衡调字〔201</w:t>
            </w:r>
            <w:r>
              <w:rPr>
                <w:rFonts w:hAnsi="仿宋"/>
                <w:sz w:val="24"/>
              </w:rPr>
              <w:t>2</w:t>
            </w:r>
            <w:r>
              <w:rPr>
                <w:rFonts w:hint="eastAsia" w:hAnsi="仿宋"/>
                <w:sz w:val="24"/>
              </w:rPr>
              <w:t>〕3</w:t>
            </w:r>
            <w:r>
              <w:rPr>
                <w:rFonts w:hAnsi="仿宋"/>
                <w:sz w:val="24"/>
              </w:rPr>
              <w:t>8</w:t>
            </w:r>
            <w:r>
              <w:rPr>
                <w:rFonts w:hint="eastAsia" w:hAnsi="仿宋"/>
                <w:sz w:val="24"/>
              </w:rPr>
              <w:t>号）</w:t>
            </w:r>
          </w:p>
          <w:p>
            <w:pPr>
              <w:snapToGrid w:val="0"/>
              <w:spacing w:line="400" w:lineRule="exact"/>
              <w:ind w:left="433" w:hanging="434" w:hangingChars="200"/>
              <w:rPr>
                <w:rFonts w:hAnsi="仿宋"/>
                <w:sz w:val="24"/>
              </w:rPr>
            </w:pPr>
            <w:r>
              <w:rPr>
                <w:rFonts w:hint="eastAsia" w:hAnsi="仿宋"/>
                <w:sz w:val="24"/>
              </w:rPr>
              <w:t>2、《关于认真做好第四次全国经济普查工作的通知》（山政发〔201</w:t>
            </w:r>
            <w:r>
              <w:rPr>
                <w:rFonts w:hAnsi="仿宋"/>
                <w:sz w:val="24"/>
              </w:rPr>
              <w:t>8</w:t>
            </w:r>
            <w:r>
              <w:rPr>
                <w:rFonts w:hint="eastAsia" w:hAnsi="仿宋"/>
                <w:sz w:val="24"/>
              </w:rPr>
              <w:t>〕</w:t>
            </w:r>
            <w:r>
              <w:rPr>
                <w:rFonts w:hAnsi="仿宋"/>
                <w:sz w:val="24"/>
              </w:rPr>
              <w:t>11</w:t>
            </w:r>
            <w:r>
              <w:rPr>
                <w:rFonts w:hint="eastAsia" w:hAnsi="仿宋"/>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jc w:val="center"/>
        </w:trPr>
        <w:tc>
          <w:tcPr>
            <w:tcW w:w="1122" w:type="dxa"/>
            <w:vMerge w:val="continue"/>
          </w:tcPr>
          <w:p>
            <w:pPr>
              <w:spacing w:line="400" w:lineRule="exact"/>
              <w:ind w:firstLine="0" w:firstLineChars="0"/>
              <w:rPr>
                <w:sz w:val="24"/>
              </w:rPr>
            </w:pPr>
          </w:p>
        </w:tc>
        <w:tc>
          <w:tcPr>
            <w:tcW w:w="1776" w:type="dxa"/>
            <w:vAlign w:val="center"/>
          </w:tcPr>
          <w:p>
            <w:pPr>
              <w:spacing w:line="400" w:lineRule="exact"/>
              <w:ind w:firstLine="0" w:firstLineChars="0"/>
              <w:jc w:val="center"/>
              <w:rPr>
                <w:sz w:val="24"/>
              </w:rPr>
            </w:pPr>
            <w:r>
              <w:rPr>
                <w:rFonts w:hint="eastAsia" w:hAnsi="仿宋"/>
                <w:sz w:val="24"/>
              </w:rPr>
              <w:t>资金总额</w:t>
            </w:r>
          </w:p>
          <w:p>
            <w:pPr>
              <w:spacing w:line="400" w:lineRule="exact"/>
              <w:ind w:firstLine="0" w:firstLineChars="0"/>
              <w:jc w:val="center"/>
              <w:rPr>
                <w:sz w:val="24"/>
              </w:rPr>
            </w:pPr>
            <w:r>
              <w:rPr>
                <w:rFonts w:hint="eastAsia" w:hAnsi="仿宋"/>
                <w:sz w:val="24"/>
              </w:rPr>
              <w:t>及构成</w:t>
            </w:r>
          </w:p>
        </w:tc>
        <w:tc>
          <w:tcPr>
            <w:tcW w:w="5617" w:type="dxa"/>
            <w:gridSpan w:val="3"/>
            <w:vAlign w:val="center"/>
          </w:tcPr>
          <w:p>
            <w:pPr>
              <w:tabs>
                <w:tab w:val="left" w:pos="5300"/>
              </w:tabs>
              <w:snapToGrid w:val="0"/>
              <w:spacing w:line="400" w:lineRule="exact"/>
              <w:ind w:left="-103" w:firstLine="0" w:firstLineChars="0"/>
              <w:rPr>
                <w:rFonts w:hint="eastAsia"/>
                <w:sz w:val="24"/>
                <w:lang w:val="en-US" w:eastAsia="zh-CN"/>
              </w:rPr>
            </w:pPr>
            <w:r>
              <w:rPr>
                <w:rFonts w:hint="eastAsia"/>
                <w:sz w:val="24"/>
                <w:lang w:val="en-US" w:eastAsia="zh-CN"/>
              </w:rPr>
              <w:t>2019年城乡住户一体化：投入资金40万元，实际使用18.62万元。</w:t>
            </w:r>
          </w:p>
          <w:p>
            <w:pPr>
              <w:tabs>
                <w:tab w:val="left" w:pos="5300"/>
              </w:tabs>
              <w:snapToGrid w:val="0"/>
              <w:spacing w:line="400" w:lineRule="exact"/>
              <w:ind w:left="-103" w:firstLine="0" w:firstLineChars="0"/>
              <w:rPr>
                <w:rFonts w:hint="eastAsia" w:hAnsi="仿宋"/>
                <w:sz w:val="24"/>
                <w:highlight w:val="yellow"/>
              </w:rPr>
            </w:pPr>
            <w:r>
              <w:rPr>
                <w:rFonts w:hint="eastAsia"/>
                <w:sz w:val="24"/>
                <w:lang w:val="en-US" w:eastAsia="zh-CN"/>
              </w:rPr>
              <w:t>第四次经济普查工作经费：投入资金60万元，实际使用27.59万元。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122" w:type="dxa"/>
            <w:vMerge w:val="continue"/>
          </w:tcPr>
          <w:p>
            <w:pPr>
              <w:spacing w:line="400" w:lineRule="exact"/>
              <w:ind w:firstLine="0" w:firstLineChars="0"/>
              <w:rPr>
                <w:sz w:val="24"/>
              </w:rPr>
            </w:pPr>
          </w:p>
        </w:tc>
        <w:tc>
          <w:tcPr>
            <w:tcW w:w="1776" w:type="dxa"/>
            <w:vAlign w:val="center"/>
          </w:tcPr>
          <w:p>
            <w:pPr>
              <w:snapToGrid w:val="0"/>
              <w:spacing w:line="400" w:lineRule="exact"/>
              <w:ind w:left="-103" w:firstLine="0" w:firstLineChars="0"/>
              <w:jc w:val="center"/>
              <w:rPr>
                <w:sz w:val="24"/>
              </w:rPr>
            </w:pPr>
            <w:r>
              <w:rPr>
                <w:rFonts w:hint="eastAsia" w:hAnsi="仿宋"/>
                <w:color w:val="000000"/>
                <w:sz w:val="24"/>
              </w:rPr>
              <w:t>项目必要性和可行性论证结论</w:t>
            </w:r>
          </w:p>
        </w:tc>
        <w:tc>
          <w:tcPr>
            <w:tcW w:w="5617" w:type="dxa"/>
            <w:gridSpan w:val="3"/>
            <w:vAlign w:val="center"/>
          </w:tcPr>
          <w:p>
            <w:pPr>
              <w:tabs>
                <w:tab w:val="left" w:pos="5300"/>
              </w:tabs>
              <w:snapToGrid w:val="0"/>
              <w:spacing w:line="400" w:lineRule="exact"/>
              <w:ind w:left="-103" w:firstLine="0" w:firstLineChars="0"/>
              <w:rPr>
                <w:rFonts w:hint="eastAsia"/>
                <w:sz w:val="24"/>
                <w:lang w:val="en-US" w:eastAsia="zh-CN"/>
              </w:rPr>
            </w:pPr>
            <w:r>
              <w:rPr>
                <w:rFonts w:hint="eastAsia"/>
                <w:sz w:val="24"/>
                <w:lang w:val="en-US" w:eastAsia="zh-CN"/>
              </w:rPr>
              <w:t>1、规范基层基础工作，提高城乡住户调查质量</w:t>
            </w:r>
          </w:p>
          <w:p>
            <w:pPr>
              <w:tabs>
                <w:tab w:val="left" w:pos="5300"/>
              </w:tabs>
              <w:snapToGrid w:val="0"/>
              <w:spacing w:line="400" w:lineRule="exact"/>
              <w:ind w:left="-103" w:firstLine="0" w:firstLineChars="0"/>
              <w:rPr>
                <w:rFonts w:hAnsi="仿宋"/>
                <w:sz w:val="24"/>
              </w:rPr>
            </w:pPr>
            <w:r>
              <w:rPr>
                <w:rFonts w:hint="eastAsia"/>
                <w:sz w:val="24"/>
                <w:lang w:val="en-US" w:eastAsia="zh-CN"/>
              </w:rPr>
              <w:t>2、</w:t>
            </w:r>
            <w:r>
              <w:rPr>
                <w:rFonts w:hint="eastAsia"/>
                <w:sz w:val="24"/>
              </w:rPr>
              <w:t>摸清家底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1122" w:type="dxa"/>
            <w:vMerge w:val="continue"/>
          </w:tcPr>
          <w:p>
            <w:pPr>
              <w:spacing w:line="400" w:lineRule="exact"/>
              <w:ind w:firstLine="0" w:firstLineChars="0"/>
              <w:rPr>
                <w:sz w:val="24"/>
              </w:rPr>
            </w:pPr>
          </w:p>
        </w:tc>
        <w:tc>
          <w:tcPr>
            <w:tcW w:w="1776" w:type="dxa"/>
            <w:vAlign w:val="center"/>
          </w:tcPr>
          <w:p>
            <w:pPr>
              <w:spacing w:line="400" w:lineRule="exact"/>
              <w:ind w:firstLine="0" w:firstLineChars="0"/>
              <w:jc w:val="center"/>
              <w:rPr>
                <w:sz w:val="24"/>
              </w:rPr>
            </w:pPr>
            <w:r>
              <w:rPr>
                <w:rFonts w:hint="eastAsia" w:hAnsi="仿宋"/>
                <w:sz w:val="24"/>
              </w:rPr>
              <w:t>项目起止时间</w:t>
            </w:r>
          </w:p>
        </w:tc>
        <w:tc>
          <w:tcPr>
            <w:tcW w:w="5617" w:type="dxa"/>
            <w:gridSpan w:val="3"/>
            <w:vAlign w:val="center"/>
          </w:tcPr>
          <w:p>
            <w:pPr>
              <w:snapToGrid w:val="0"/>
              <w:spacing w:line="400" w:lineRule="exact"/>
              <w:ind w:firstLine="0" w:firstLineChars="0"/>
              <w:rPr>
                <w:rFonts w:hAnsi="仿宋"/>
                <w:sz w:val="24"/>
              </w:rPr>
            </w:pPr>
            <w:r>
              <w:rPr>
                <w:sz w:val="24"/>
              </w:rPr>
              <w:t>201</w:t>
            </w:r>
            <w:r>
              <w:rPr>
                <w:rFonts w:hint="eastAsia"/>
                <w:sz w:val="24"/>
              </w:rPr>
              <w:t>9年</w:t>
            </w:r>
            <w:r>
              <w:rPr>
                <w:rFonts w:hint="eastAsia" w:hAnsi="仿宋"/>
                <w:sz w:val="24"/>
              </w:rPr>
              <w:t>城乡住户一体化：2019年1月1日至2019年12月31日。</w:t>
            </w:r>
          </w:p>
          <w:p>
            <w:pPr>
              <w:snapToGrid w:val="0"/>
              <w:spacing w:line="400" w:lineRule="exact"/>
              <w:ind w:firstLine="0" w:firstLineChars="0"/>
              <w:rPr>
                <w:sz w:val="24"/>
              </w:rPr>
            </w:pPr>
            <w:r>
              <w:rPr>
                <w:rFonts w:hint="eastAsia"/>
                <w:sz w:val="24"/>
              </w:rPr>
              <w:t>第四次经济普查工作经费</w:t>
            </w:r>
            <w:r>
              <w:rPr>
                <w:rFonts w:hint="eastAsia" w:hAnsi="仿宋"/>
                <w:sz w:val="24"/>
              </w:rPr>
              <w:t>：：2019年1月1日至2019年12月31日。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22" w:type="dxa"/>
            <w:vAlign w:val="center"/>
          </w:tcPr>
          <w:p>
            <w:pPr>
              <w:widowControl/>
              <w:spacing w:line="400" w:lineRule="exact"/>
              <w:ind w:firstLine="0" w:firstLineChars="0"/>
              <w:jc w:val="center"/>
              <w:rPr>
                <w:b/>
                <w:bCs/>
                <w:color w:val="000000"/>
                <w:kern w:val="0"/>
                <w:sz w:val="24"/>
              </w:rPr>
            </w:pPr>
            <w:r>
              <w:rPr>
                <w:rFonts w:hint="eastAsia" w:hAnsi="仿宋"/>
                <w:b/>
                <w:bCs/>
                <w:color w:val="000000"/>
                <w:kern w:val="0"/>
                <w:sz w:val="24"/>
              </w:rPr>
              <w:t>总得分</w:t>
            </w:r>
          </w:p>
        </w:tc>
        <w:tc>
          <w:tcPr>
            <w:tcW w:w="7393" w:type="dxa"/>
            <w:gridSpan w:val="4"/>
            <w:vAlign w:val="center"/>
          </w:tcPr>
          <w:p>
            <w:pPr>
              <w:widowControl/>
              <w:spacing w:line="400" w:lineRule="exact"/>
              <w:ind w:firstLine="0" w:firstLineChars="0"/>
              <w:jc w:val="center"/>
              <w:rPr>
                <w:color w:val="000000"/>
                <w:kern w:val="0"/>
                <w:sz w:val="24"/>
                <w:highlight w:val="none"/>
              </w:rPr>
            </w:pPr>
            <w:r>
              <w:rPr>
                <w:rFonts w:hint="eastAsia"/>
                <w:color w:val="000000"/>
                <w:kern w:val="0"/>
                <w:sz w:val="24"/>
                <w:highlight w:val="none"/>
              </w:rPr>
              <w:t>8</w:t>
            </w:r>
            <w:r>
              <w:rPr>
                <w:rFonts w:hint="eastAsia"/>
                <w:color w:val="000000"/>
                <w:kern w:val="0"/>
                <w:sz w:val="24"/>
                <w:highlight w:val="none"/>
                <w:lang w:val="en-US" w:eastAsia="zh-CN"/>
              </w:rPr>
              <w:t>3</w:t>
            </w:r>
            <w:r>
              <w:rPr>
                <w:rFonts w:hint="eastAsia"/>
                <w:color w:val="000000"/>
                <w:kern w:val="0"/>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22" w:type="dxa"/>
            <w:vMerge w:val="restart"/>
            <w:vAlign w:val="center"/>
          </w:tcPr>
          <w:p>
            <w:pPr>
              <w:widowControl/>
              <w:spacing w:line="400" w:lineRule="exact"/>
              <w:ind w:firstLine="0" w:firstLineChars="0"/>
              <w:jc w:val="center"/>
              <w:rPr>
                <w:b/>
                <w:bCs/>
                <w:color w:val="000000"/>
                <w:kern w:val="0"/>
                <w:sz w:val="24"/>
              </w:rPr>
            </w:pPr>
            <w:r>
              <w:rPr>
                <w:rFonts w:hint="eastAsia" w:hAnsi="仿宋"/>
                <w:b/>
                <w:bCs/>
                <w:color w:val="000000"/>
                <w:kern w:val="0"/>
                <w:sz w:val="24"/>
              </w:rPr>
              <w:t>评价等次</w:t>
            </w:r>
          </w:p>
        </w:tc>
        <w:tc>
          <w:tcPr>
            <w:tcW w:w="7393" w:type="dxa"/>
            <w:gridSpan w:val="4"/>
            <w:vAlign w:val="bottom"/>
          </w:tcPr>
          <w:p>
            <w:pPr>
              <w:widowControl/>
              <w:spacing w:line="400" w:lineRule="exact"/>
              <w:ind w:firstLine="0" w:firstLineChars="0"/>
              <w:jc w:val="center"/>
              <w:rPr>
                <w:color w:val="000000"/>
                <w:kern w:val="0"/>
                <w:sz w:val="24"/>
                <w:highlight w:val="none"/>
              </w:rPr>
            </w:pPr>
            <w:r>
              <w:rPr>
                <w:color w:val="000000"/>
                <w:kern w:val="0"/>
                <w:sz w:val="24"/>
                <w:highlight w:val="none"/>
              </w:rPr>
              <w:t>□</w:t>
            </w:r>
            <w:r>
              <w:rPr>
                <w:rFonts w:hint="eastAsia" w:hAnsi="仿宋"/>
                <w:color w:val="000000"/>
                <w:kern w:val="0"/>
                <w:sz w:val="24"/>
                <w:highlight w:val="none"/>
              </w:rPr>
              <w:t>优（</w:t>
            </w:r>
            <w:r>
              <w:rPr>
                <w:color w:val="000000"/>
                <w:kern w:val="0"/>
                <w:sz w:val="24"/>
                <w:highlight w:val="none"/>
              </w:rPr>
              <w:t>90</w:t>
            </w:r>
            <w:r>
              <w:rPr>
                <w:rFonts w:hint="eastAsia" w:hAnsi="仿宋"/>
                <w:color w:val="000000"/>
                <w:kern w:val="0"/>
                <w:sz w:val="24"/>
                <w:highlight w:val="none"/>
              </w:rPr>
              <w:t>分以上）</w:t>
            </w:r>
            <w:r>
              <w:rPr>
                <w:rFonts w:hint="eastAsia" w:ascii="MS Gothic" w:hAnsi="MS Gothic" w:eastAsia="MS Gothic" w:cs="MS Gothic"/>
                <w:color w:val="000000"/>
                <w:kern w:val="0"/>
                <w:sz w:val="24"/>
                <w:highlight w:val="none"/>
              </w:rPr>
              <w:t>☑</w:t>
            </w:r>
            <w:r>
              <w:rPr>
                <w:rFonts w:hint="eastAsia" w:hAnsi="仿宋"/>
                <w:color w:val="000000"/>
                <w:kern w:val="0"/>
                <w:sz w:val="24"/>
                <w:highlight w:val="none"/>
              </w:rPr>
              <w:t>良（</w:t>
            </w:r>
            <w:r>
              <w:rPr>
                <w:color w:val="000000"/>
                <w:kern w:val="0"/>
                <w:sz w:val="24"/>
                <w:highlight w:val="none"/>
              </w:rPr>
              <w:t>80</w:t>
            </w:r>
            <w:r>
              <w:rPr>
                <w:rFonts w:hint="eastAsia" w:hAnsi="仿宋"/>
                <w:color w:val="000000"/>
                <w:kern w:val="0"/>
                <w:sz w:val="24"/>
                <w:highlight w:val="none"/>
              </w:rPr>
              <w:t>分</w:t>
            </w:r>
            <w:r>
              <w:rPr>
                <w:color w:val="000000"/>
                <w:kern w:val="0"/>
                <w:sz w:val="24"/>
                <w:highlight w:val="none"/>
              </w:rPr>
              <w:t>-90</w:t>
            </w:r>
            <w:r>
              <w:rPr>
                <w:rFonts w:hint="eastAsia" w:hAnsi="仿宋"/>
                <w:color w:val="000000"/>
                <w:kern w:val="0"/>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22" w:type="dxa"/>
            <w:vMerge w:val="continue"/>
            <w:vAlign w:val="center"/>
          </w:tcPr>
          <w:p>
            <w:pPr>
              <w:widowControl/>
              <w:spacing w:line="400" w:lineRule="exact"/>
              <w:ind w:firstLine="0" w:firstLineChars="0"/>
              <w:jc w:val="center"/>
              <w:rPr>
                <w:color w:val="000000"/>
                <w:kern w:val="0"/>
                <w:sz w:val="24"/>
              </w:rPr>
            </w:pPr>
          </w:p>
        </w:tc>
        <w:tc>
          <w:tcPr>
            <w:tcW w:w="7393" w:type="dxa"/>
            <w:gridSpan w:val="4"/>
            <w:vAlign w:val="bottom"/>
          </w:tcPr>
          <w:p>
            <w:pPr>
              <w:widowControl/>
              <w:spacing w:line="400" w:lineRule="exact"/>
              <w:ind w:firstLine="0" w:firstLineChars="0"/>
              <w:jc w:val="center"/>
              <w:rPr>
                <w:color w:val="000000"/>
                <w:kern w:val="0"/>
                <w:sz w:val="24"/>
              </w:rPr>
            </w:pPr>
            <w:r>
              <w:rPr>
                <w:color w:val="000000"/>
                <w:kern w:val="0"/>
                <w:sz w:val="24"/>
              </w:rPr>
              <w:t>□</w:t>
            </w:r>
            <w:r>
              <w:rPr>
                <w:rFonts w:hint="eastAsia" w:hAnsi="仿宋"/>
                <w:color w:val="000000"/>
                <w:kern w:val="0"/>
                <w:sz w:val="24"/>
              </w:rPr>
              <w:t>中（</w:t>
            </w:r>
            <w:r>
              <w:rPr>
                <w:color w:val="000000"/>
                <w:kern w:val="0"/>
                <w:sz w:val="24"/>
              </w:rPr>
              <w:t>80</w:t>
            </w:r>
            <w:r>
              <w:rPr>
                <w:rFonts w:hint="eastAsia" w:hAnsi="仿宋"/>
                <w:color w:val="000000"/>
                <w:kern w:val="0"/>
                <w:sz w:val="24"/>
              </w:rPr>
              <w:t>分</w:t>
            </w:r>
            <w:r>
              <w:rPr>
                <w:color w:val="000000"/>
                <w:kern w:val="0"/>
                <w:sz w:val="24"/>
              </w:rPr>
              <w:t>-70</w:t>
            </w:r>
            <w:r>
              <w:rPr>
                <w:rFonts w:hint="eastAsia" w:hAnsi="仿宋"/>
                <w:color w:val="000000"/>
                <w:kern w:val="0"/>
                <w:sz w:val="24"/>
              </w:rPr>
              <w:t>分）</w:t>
            </w:r>
            <w:r>
              <w:rPr>
                <w:color w:val="000000"/>
                <w:kern w:val="0"/>
                <w:sz w:val="24"/>
              </w:rPr>
              <w:t>□</w:t>
            </w:r>
            <w:r>
              <w:rPr>
                <w:rFonts w:hint="eastAsia" w:hAnsi="仿宋"/>
                <w:color w:val="000000"/>
                <w:kern w:val="0"/>
                <w:sz w:val="24"/>
              </w:rPr>
              <w:t>低（</w:t>
            </w:r>
            <w:r>
              <w:rPr>
                <w:color w:val="000000"/>
                <w:kern w:val="0"/>
                <w:sz w:val="24"/>
              </w:rPr>
              <w:t>70</w:t>
            </w:r>
            <w:r>
              <w:rPr>
                <w:rFonts w:hint="eastAsia" w:hAnsi="仿宋"/>
                <w:color w:val="000000"/>
                <w:kern w:val="0"/>
                <w:sz w:val="24"/>
              </w:rPr>
              <w:t>分以下）</w:t>
            </w:r>
          </w:p>
        </w:tc>
      </w:tr>
    </w:tbl>
    <w:p>
      <w:pPr>
        <w:spacing w:line="600" w:lineRule="exact"/>
        <w:ind w:firstLine="0" w:firstLineChars="0"/>
        <w:jc w:val="center"/>
        <w:rPr>
          <w:rFonts w:ascii="黑体" w:hAnsi="黑体" w:eastAsia="黑体"/>
          <w:b/>
          <w:color w:val="000000"/>
          <w:spacing w:val="-4"/>
          <w:sz w:val="44"/>
          <w:szCs w:val="44"/>
        </w:rPr>
        <w:sectPr>
          <w:headerReference r:id="rId9" w:type="default"/>
          <w:pgSz w:w="11905" w:h="16838"/>
          <w:pgMar w:top="1440" w:right="1803" w:bottom="1440" w:left="1803" w:header="851" w:footer="992" w:gutter="0"/>
          <w:cols w:space="0" w:num="1"/>
          <w:docGrid w:type="linesAndChars" w:linePitch="634" w:charSpace="-4835"/>
        </w:sectPr>
      </w:pPr>
    </w:p>
    <w:p>
      <w:pPr>
        <w:spacing w:line="600" w:lineRule="exact"/>
        <w:ind w:firstLine="0" w:firstLineChars="0"/>
        <w:jc w:val="center"/>
        <w:rPr>
          <w:rFonts w:ascii="黑体" w:hAnsi="黑体" w:eastAsia="黑体"/>
          <w:b/>
          <w:color w:val="000000"/>
          <w:spacing w:val="-4"/>
          <w:sz w:val="44"/>
          <w:szCs w:val="44"/>
        </w:rPr>
      </w:pPr>
    </w:p>
    <w:p>
      <w:pPr>
        <w:spacing w:line="600" w:lineRule="exact"/>
        <w:ind w:firstLine="0" w:firstLineChars="0"/>
        <w:jc w:val="center"/>
        <w:rPr>
          <w:rFonts w:ascii="黑体" w:hAnsi="黑体" w:eastAsia="黑体"/>
          <w:b/>
          <w:color w:val="000000"/>
          <w:spacing w:val="-4"/>
          <w:sz w:val="44"/>
          <w:szCs w:val="44"/>
        </w:rPr>
      </w:pPr>
      <w:r>
        <w:rPr>
          <w:rFonts w:hint="eastAsia" w:ascii="黑体" w:hAnsi="黑体" w:eastAsia="黑体"/>
          <w:b/>
          <w:color w:val="000000"/>
          <w:spacing w:val="-4"/>
          <w:sz w:val="44"/>
          <w:szCs w:val="44"/>
        </w:rPr>
        <w:t>2019年度衡山县统计局项目支出绩效评价报告</w:t>
      </w:r>
    </w:p>
    <w:p>
      <w:pPr>
        <w:spacing w:line="600" w:lineRule="exact"/>
        <w:ind w:firstLine="0" w:firstLineChars="0"/>
        <w:jc w:val="right"/>
        <w:rPr>
          <w:rFonts w:ascii="黑体" w:hAnsi="黑体" w:eastAsia="黑体"/>
          <w:b/>
          <w:color w:val="000000"/>
          <w:spacing w:val="-4"/>
          <w:sz w:val="44"/>
          <w:szCs w:val="44"/>
        </w:rPr>
      </w:pPr>
      <w:r>
        <w:rPr>
          <w:rFonts w:hint="eastAsia" w:ascii="黑体" w:hAnsi="黑体" w:eastAsia="黑体"/>
          <w:b/>
          <w:kern w:val="0"/>
          <w:sz w:val="21"/>
          <w:szCs w:val="21"/>
        </w:rPr>
        <w:t>湘宏丰益专审</w:t>
      </w:r>
      <w:r>
        <w:rPr>
          <w:rFonts w:ascii="黑体" w:hAnsi="黑体" w:eastAsia="黑体"/>
          <w:b/>
          <w:kern w:val="0"/>
          <w:sz w:val="21"/>
          <w:szCs w:val="21"/>
        </w:rPr>
        <w:t>[20</w:t>
      </w:r>
      <w:r>
        <w:rPr>
          <w:rFonts w:hint="eastAsia" w:ascii="黑体" w:hAnsi="黑体" w:eastAsia="黑体"/>
          <w:b/>
          <w:kern w:val="0"/>
          <w:sz w:val="21"/>
          <w:szCs w:val="21"/>
        </w:rPr>
        <w:t>20</w:t>
      </w:r>
      <w:r>
        <w:rPr>
          <w:rFonts w:ascii="黑体" w:hAnsi="黑体" w:eastAsia="黑体"/>
          <w:b/>
          <w:kern w:val="0"/>
          <w:sz w:val="21"/>
          <w:szCs w:val="21"/>
        </w:rPr>
        <w:t>]00</w:t>
      </w:r>
      <w:r>
        <w:rPr>
          <w:rFonts w:hint="eastAsia" w:ascii="黑体" w:hAnsi="黑体" w:eastAsia="黑体"/>
          <w:b/>
          <w:kern w:val="0"/>
          <w:sz w:val="21"/>
          <w:szCs w:val="21"/>
        </w:rPr>
        <w:t>号</w:t>
      </w:r>
    </w:p>
    <w:p>
      <w:pPr>
        <w:spacing w:line="600" w:lineRule="exact"/>
        <w:ind w:firstLine="0" w:firstLineChars="0"/>
        <w:jc w:val="center"/>
        <w:rPr>
          <w:rFonts w:ascii="黑体" w:hAnsi="黑体" w:eastAsia="黑体"/>
          <w:b/>
          <w:color w:val="000000"/>
          <w:sz w:val="44"/>
          <w:szCs w:val="44"/>
        </w:rPr>
      </w:pPr>
    </w:p>
    <w:p>
      <w:pPr>
        <w:widowControl/>
        <w:adjustRightInd w:val="0"/>
        <w:snapToGrid w:val="0"/>
        <w:spacing w:line="600" w:lineRule="exact"/>
        <w:ind w:firstLine="0" w:firstLineChars="0"/>
        <w:jc w:val="center"/>
        <w:rPr>
          <w:rFonts w:ascii="黑体" w:hAnsi="黑体" w:eastAsia="黑体"/>
          <w:b/>
          <w:kern w:val="0"/>
          <w:sz w:val="36"/>
          <w:szCs w:val="36"/>
        </w:rPr>
      </w:pPr>
    </w:p>
    <w:p>
      <w:pPr>
        <w:widowControl/>
        <w:adjustRightInd w:val="0"/>
        <w:snapToGrid w:val="0"/>
        <w:spacing w:line="600" w:lineRule="exact"/>
        <w:ind w:firstLine="0" w:firstLineChars="0"/>
        <w:rPr>
          <w:rFonts w:ascii="黑体" w:hAnsi="黑体" w:eastAsia="黑体"/>
          <w:b/>
          <w:kern w:val="0"/>
          <w:szCs w:val="32"/>
        </w:rPr>
      </w:pPr>
      <w:r>
        <w:rPr>
          <w:rFonts w:hint="eastAsia" w:ascii="黑体" w:hAnsi="黑体" w:eastAsia="黑体"/>
          <w:b/>
          <w:kern w:val="0"/>
          <w:szCs w:val="32"/>
        </w:rPr>
        <w:t>衡山县财政局：</w:t>
      </w:r>
    </w:p>
    <w:p>
      <w:pPr>
        <w:ind w:firstLine="593"/>
        <w:rPr>
          <w:kern w:val="0"/>
        </w:rPr>
      </w:pPr>
      <w:r>
        <w:rPr>
          <w:rFonts w:hint="eastAsia"/>
          <w:kern w:val="0"/>
        </w:rPr>
        <w:t>为贯彻落实党的十九大“全面实施绩效管理”的要求，强化部门支出责任，提高财政资金使用效益，促进部门更好地履行职责，按照《预算法》、《国务院关于深化预算管理制度改革的决定》（国发〔</w:t>
      </w:r>
      <w:r>
        <w:rPr>
          <w:kern w:val="0"/>
        </w:rPr>
        <w:t>2014</w:t>
      </w:r>
      <w:r>
        <w:rPr>
          <w:rFonts w:hint="eastAsia"/>
          <w:kern w:val="0"/>
        </w:rPr>
        <w:t>〕</w:t>
      </w:r>
      <w:r>
        <w:rPr>
          <w:kern w:val="0"/>
        </w:rPr>
        <w:t>45</w:t>
      </w:r>
      <w:r>
        <w:rPr>
          <w:rFonts w:hint="eastAsia"/>
          <w:kern w:val="0"/>
        </w:rPr>
        <w:t>号）、《财政部</w:t>
      </w:r>
      <w:r>
        <w:rPr>
          <w:kern w:val="0"/>
        </w:rPr>
        <w:t>&lt;</w:t>
      </w:r>
      <w:r>
        <w:rPr>
          <w:rFonts w:hint="eastAsia"/>
          <w:kern w:val="0"/>
        </w:rPr>
        <w:t>财政支出绩效评价管理暂行办法</w:t>
      </w:r>
      <w:r>
        <w:rPr>
          <w:kern w:val="0"/>
        </w:rPr>
        <w:t>&gt;</w:t>
      </w:r>
      <w:r>
        <w:rPr>
          <w:rFonts w:hint="eastAsia"/>
          <w:kern w:val="0"/>
        </w:rPr>
        <w:t>》（财预〔</w:t>
      </w:r>
      <w:r>
        <w:rPr>
          <w:kern w:val="0"/>
        </w:rPr>
        <w:t>2011</w:t>
      </w:r>
      <w:r>
        <w:rPr>
          <w:rFonts w:hint="eastAsia"/>
          <w:kern w:val="0"/>
        </w:rPr>
        <w:t>〕</w:t>
      </w:r>
      <w:r>
        <w:rPr>
          <w:kern w:val="0"/>
        </w:rPr>
        <w:t>285</w:t>
      </w:r>
      <w:r>
        <w:rPr>
          <w:rFonts w:hint="eastAsia"/>
          <w:kern w:val="0"/>
        </w:rPr>
        <w:t>号）、《中华人民共和国预算法》《中共中央</w:t>
      </w:r>
      <w:r>
        <w:rPr>
          <w:kern w:val="0"/>
        </w:rPr>
        <w:t xml:space="preserve"> </w:t>
      </w:r>
      <w:r>
        <w:rPr>
          <w:rFonts w:hint="eastAsia"/>
          <w:kern w:val="0"/>
        </w:rPr>
        <w:t>国务院关于全面实施预算绩效管理的意见》（中发〔</w:t>
      </w:r>
      <w:r>
        <w:rPr>
          <w:kern w:val="0"/>
        </w:rPr>
        <w:t>2018</w:t>
      </w:r>
      <w:r>
        <w:rPr>
          <w:rFonts w:hint="eastAsia"/>
          <w:kern w:val="0"/>
        </w:rPr>
        <w:t>〕</w:t>
      </w:r>
      <w:r>
        <w:rPr>
          <w:kern w:val="0"/>
        </w:rPr>
        <w:t>34</w:t>
      </w:r>
      <w:r>
        <w:rPr>
          <w:rFonts w:hint="eastAsia"/>
          <w:kern w:val="0"/>
        </w:rPr>
        <w:t>号）精神、《中共湖南省委办公厅、省人民政府办公厅关于全面实施预算绩效管理的实施意见》（湘办发〔</w:t>
      </w:r>
      <w:r>
        <w:rPr>
          <w:kern w:val="0"/>
        </w:rPr>
        <w:t>2019</w:t>
      </w:r>
      <w:r>
        <w:rPr>
          <w:rFonts w:hint="eastAsia"/>
          <w:kern w:val="0"/>
        </w:rPr>
        <w:t>〕</w:t>
      </w:r>
      <w:r>
        <w:rPr>
          <w:kern w:val="0"/>
        </w:rPr>
        <w:t>10</w:t>
      </w:r>
      <w:r>
        <w:rPr>
          <w:rFonts w:hint="eastAsia"/>
          <w:kern w:val="0"/>
        </w:rPr>
        <w:t>号）和《衡山县财政局关于对</w:t>
      </w:r>
      <w:r>
        <w:rPr>
          <w:kern w:val="0"/>
        </w:rPr>
        <w:t>201</w:t>
      </w:r>
      <w:r>
        <w:rPr>
          <w:rFonts w:hint="eastAsia"/>
          <w:kern w:val="0"/>
        </w:rPr>
        <w:t>9年度部分县级财政支出项目及部门整体支出开展现场绩效评价的通知》（山绩发〔</w:t>
      </w:r>
      <w:r>
        <w:rPr>
          <w:kern w:val="0"/>
        </w:rPr>
        <w:t>2020</w:t>
      </w:r>
      <w:r>
        <w:rPr>
          <w:rFonts w:hint="eastAsia"/>
          <w:kern w:val="0"/>
        </w:rPr>
        <w:t>〕</w:t>
      </w:r>
      <w:r>
        <w:rPr>
          <w:kern w:val="0"/>
        </w:rPr>
        <w:t>180</w:t>
      </w:r>
      <w:r>
        <w:rPr>
          <w:rFonts w:hint="eastAsia"/>
          <w:kern w:val="0"/>
        </w:rPr>
        <w:t>号）等有关要求，绩效评价工作组于</w:t>
      </w:r>
      <w:r>
        <w:rPr>
          <w:kern w:val="0"/>
        </w:rPr>
        <w:t>20</w:t>
      </w:r>
      <w:r>
        <w:rPr>
          <w:rFonts w:hint="eastAsia"/>
          <w:kern w:val="0"/>
        </w:rPr>
        <w:t>20年</w:t>
      </w:r>
      <w:r>
        <w:rPr>
          <w:kern w:val="0"/>
        </w:rPr>
        <w:t>1</w:t>
      </w:r>
      <w:r>
        <w:rPr>
          <w:rFonts w:hint="eastAsia"/>
          <w:kern w:val="0"/>
        </w:rPr>
        <w:t>0月</w:t>
      </w:r>
      <w:r>
        <w:rPr>
          <w:kern w:val="0"/>
        </w:rPr>
        <w:t>29</w:t>
      </w:r>
      <w:r>
        <w:rPr>
          <w:rFonts w:hint="eastAsia"/>
          <w:kern w:val="0"/>
        </w:rPr>
        <w:t>日至</w:t>
      </w:r>
      <w:r>
        <w:rPr>
          <w:kern w:val="0"/>
        </w:rPr>
        <w:t>2019</w:t>
      </w:r>
      <w:r>
        <w:rPr>
          <w:rFonts w:hint="eastAsia"/>
          <w:kern w:val="0"/>
        </w:rPr>
        <w:t>年10月</w:t>
      </w:r>
      <w:r>
        <w:rPr>
          <w:kern w:val="0"/>
        </w:rPr>
        <w:t>30</w:t>
      </w:r>
      <w:r>
        <w:rPr>
          <w:rFonts w:hint="eastAsia"/>
          <w:kern w:val="0"/>
        </w:rPr>
        <w:t>日对衡山县统计局</w:t>
      </w:r>
      <w:r>
        <w:rPr>
          <w:kern w:val="0"/>
        </w:rPr>
        <w:t>201</w:t>
      </w:r>
      <w:r>
        <w:rPr>
          <w:rFonts w:hint="eastAsia"/>
          <w:kern w:val="0"/>
        </w:rPr>
        <w:t>9年度项目支出资金实施了绩效评价。评价以定量分析为主，定性分析为辅，从项目决策、项目管理、项目产出和项目效益四个方面进行了综合评价。现将项目绩效评价情况报告如下：</w:t>
      </w:r>
    </w:p>
    <w:p>
      <w:pPr>
        <w:pStyle w:val="2"/>
      </w:pPr>
      <w:bookmarkStart w:id="1" w:name="_Toc55233650"/>
      <w:bookmarkStart w:id="2" w:name="_Toc55233696"/>
      <w:bookmarkStart w:id="3" w:name="_Toc30111636"/>
      <w:bookmarkStart w:id="4" w:name="_Toc55233006"/>
      <w:r>
        <w:rPr>
          <w:rFonts w:hint="eastAsia"/>
        </w:rPr>
        <w:t>一、评价情况</w:t>
      </w:r>
      <w:bookmarkEnd w:id="1"/>
      <w:bookmarkEnd w:id="2"/>
      <w:bookmarkEnd w:id="3"/>
      <w:bookmarkEnd w:id="4"/>
    </w:p>
    <w:p>
      <w:pPr>
        <w:pStyle w:val="3"/>
        <w:ind w:firstLine="595"/>
      </w:pPr>
      <w:bookmarkStart w:id="5" w:name="_Toc55233697"/>
      <w:bookmarkStart w:id="6" w:name="_Toc55233651"/>
      <w:bookmarkStart w:id="7" w:name="_Toc30111637"/>
      <w:r>
        <w:rPr>
          <w:rFonts w:hint="eastAsia"/>
        </w:rPr>
        <w:t>（一）评价目的</w:t>
      </w:r>
      <w:bookmarkEnd w:id="5"/>
      <w:bookmarkEnd w:id="6"/>
      <w:bookmarkEnd w:id="7"/>
    </w:p>
    <w:p>
      <w:pPr>
        <w:ind w:firstLine="593"/>
        <w:rPr>
          <w:kern w:val="0"/>
        </w:rPr>
      </w:pPr>
      <w:r>
        <w:rPr>
          <w:rFonts w:hint="eastAsia"/>
          <w:kern w:val="0"/>
        </w:rPr>
        <w:t>通过对</w:t>
      </w:r>
      <w:r>
        <w:rPr>
          <w:kern w:val="0"/>
        </w:rPr>
        <w:t>201</w:t>
      </w:r>
      <w:r>
        <w:rPr>
          <w:rFonts w:hint="eastAsia"/>
          <w:kern w:val="0"/>
        </w:rPr>
        <w:t>9年衡山县统计局</w:t>
      </w:r>
      <w:r>
        <w:rPr>
          <w:rFonts w:hint="eastAsia" w:ascii="仿宋" w:hAnsi="仿宋" w:cs="FangSong_GB2312-Identity-H"/>
          <w:kern w:val="0"/>
        </w:rPr>
        <w:t>项目</w:t>
      </w:r>
      <w:r>
        <w:rPr>
          <w:rFonts w:hint="eastAsia"/>
          <w:kern w:val="0"/>
        </w:rPr>
        <w:t>资金绩效评价，客观公正的核查财政专项资金预期目标实现程度，考评资金支出效率和综合效果。</w:t>
      </w:r>
    </w:p>
    <w:p>
      <w:pPr>
        <w:pStyle w:val="3"/>
        <w:ind w:firstLine="595"/>
      </w:pPr>
      <w:bookmarkStart w:id="8" w:name="_Toc55233652"/>
      <w:bookmarkStart w:id="9" w:name="_Toc55233698"/>
      <w:bookmarkStart w:id="10" w:name="_Toc30111638"/>
      <w:r>
        <w:rPr>
          <w:rFonts w:hint="eastAsia"/>
        </w:rPr>
        <w:t>（二）评价实施情况</w:t>
      </w:r>
      <w:bookmarkEnd w:id="8"/>
      <w:bookmarkEnd w:id="9"/>
      <w:bookmarkEnd w:id="10"/>
    </w:p>
    <w:p>
      <w:pPr>
        <w:ind w:firstLine="593"/>
        <w:rPr>
          <w:kern w:val="0"/>
        </w:rPr>
      </w:pPr>
      <w:r>
        <w:rPr>
          <w:rFonts w:hint="eastAsia"/>
          <w:kern w:val="0"/>
        </w:rPr>
        <w:t>评价工作组对</w:t>
      </w:r>
      <w:r>
        <w:rPr>
          <w:kern w:val="0"/>
        </w:rPr>
        <w:t>201</w:t>
      </w:r>
      <w:r>
        <w:rPr>
          <w:rFonts w:hint="eastAsia"/>
          <w:kern w:val="0"/>
        </w:rPr>
        <w:t>9年度衡山县统计局项目支出进行了现场检查评价工作，听取主管部门情况汇报，检查、核对项目资料、明细账及原始凭证，对</w:t>
      </w:r>
      <w:r>
        <w:rPr>
          <w:kern w:val="0"/>
        </w:rPr>
        <w:t>201</w:t>
      </w:r>
      <w:r>
        <w:rPr>
          <w:rFonts w:hint="eastAsia"/>
          <w:kern w:val="0"/>
        </w:rPr>
        <w:t>9年度衡山县统计局项目采取现场抽查方式，收集、整理、分析评价基础资料和数据等方法，本次绩效评价选取了包括衡山县统计局2019年城乡住户一体化、第四次经济普查工作经费等项目管理及资金使用情况进行了检查。在整个评价过程中，主管部门积极配合，基本能及时、完整、准确的提供相关资料。</w:t>
      </w:r>
    </w:p>
    <w:p>
      <w:pPr>
        <w:pStyle w:val="2"/>
      </w:pPr>
      <w:bookmarkStart w:id="11" w:name="_Toc55233653"/>
      <w:bookmarkStart w:id="12" w:name="_Toc55233007"/>
      <w:bookmarkStart w:id="13" w:name="_Toc55233699"/>
      <w:bookmarkStart w:id="14" w:name="_Toc30111639"/>
      <w:r>
        <w:rPr>
          <w:rFonts w:hint="eastAsia"/>
        </w:rPr>
        <w:t>二、项目基本情况</w:t>
      </w:r>
      <w:bookmarkEnd w:id="11"/>
      <w:bookmarkEnd w:id="12"/>
      <w:bookmarkEnd w:id="13"/>
      <w:bookmarkEnd w:id="14"/>
    </w:p>
    <w:p>
      <w:pPr>
        <w:pStyle w:val="3"/>
        <w:ind w:firstLine="595"/>
      </w:pPr>
      <w:bookmarkStart w:id="15" w:name="_Toc55233700"/>
      <w:bookmarkStart w:id="16" w:name="_Toc55233654"/>
      <w:bookmarkStart w:id="17" w:name="_Toc30111640"/>
      <w:r>
        <w:rPr>
          <w:rFonts w:hint="eastAsia"/>
        </w:rPr>
        <w:t>（一）项目立项依据</w:t>
      </w:r>
      <w:bookmarkEnd w:id="15"/>
      <w:bookmarkEnd w:id="16"/>
      <w:bookmarkEnd w:id="17"/>
    </w:p>
    <w:p>
      <w:pPr>
        <w:pStyle w:val="4"/>
        <w:ind w:firstLine="595"/>
      </w:pPr>
      <w:bookmarkStart w:id="18" w:name="_Toc55233701"/>
      <w:bookmarkStart w:id="19" w:name="_Toc55233655"/>
      <w:bookmarkStart w:id="20" w:name="_Toc30111641"/>
      <w:bookmarkStart w:id="21" w:name="_Hlk57924605"/>
      <w:r>
        <w:t>1</w:t>
      </w:r>
      <w:r>
        <w:rPr>
          <w:rFonts w:hint="eastAsia"/>
        </w:rPr>
        <w:t>、</w:t>
      </w:r>
      <w:bookmarkEnd w:id="18"/>
      <w:bookmarkEnd w:id="19"/>
      <w:bookmarkEnd w:id="20"/>
      <w:r>
        <w:rPr>
          <w:rFonts w:hint="eastAsia"/>
        </w:rPr>
        <w:t>2019年城乡住户一体化</w:t>
      </w:r>
    </w:p>
    <w:p>
      <w:pPr>
        <w:ind w:firstLine="593"/>
      </w:pPr>
      <w:r>
        <w:rPr>
          <w:rFonts w:hint="eastAsia"/>
        </w:rPr>
        <w:t>立项依据：国家统计局湖南调查总队</w:t>
      </w:r>
      <w:r>
        <w:rPr>
          <w:rFonts w:hint="eastAsia"/>
          <w:kern w:val="0"/>
        </w:rPr>
        <w:t>《关于进一步加强和规范住户收支类调查工作》的意见（湘调字〔</w:t>
      </w:r>
      <w:r>
        <w:rPr>
          <w:kern w:val="0"/>
        </w:rPr>
        <w:t>2017</w:t>
      </w:r>
      <w:r>
        <w:rPr>
          <w:rFonts w:hint="eastAsia"/>
          <w:kern w:val="0"/>
        </w:rPr>
        <w:t>〕</w:t>
      </w:r>
      <w:r>
        <w:rPr>
          <w:kern w:val="0"/>
        </w:rPr>
        <w:t>18</w:t>
      </w:r>
      <w:r>
        <w:rPr>
          <w:rFonts w:hint="eastAsia"/>
          <w:kern w:val="0"/>
        </w:rPr>
        <w:t>号）</w:t>
      </w:r>
      <w:r>
        <w:rPr>
          <w:rFonts w:hint="eastAsia"/>
        </w:rPr>
        <w:t>。</w:t>
      </w:r>
    </w:p>
    <w:p>
      <w:pPr>
        <w:pStyle w:val="4"/>
        <w:ind w:firstLine="595"/>
      </w:pPr>
      <w:r>
        <w:rPr>
          <w:rFonts w:hint="eastAsia"/>
        </w:rPr>
        <w:t>2、第四次经济普查工作经费</w:t>
      </w:r>
    </w:p>
    <w:p>
      <w:pPr>
        <w:ind w:firstLine="593"/>
      </w:pPr>
      <w:r>
        <w:rPr>
          <w:rFonts w:hint="eastAsia"/>
        </w:rPr>
        <w:t>立项依据：衡山县人民政府</w:t>
      </w:r>
      <w:r>
        <w:rPr>
          <w:rFonts w:hint="eastAsia"/>
          <w:kern w:val="0"/>
        </w:rPr>
        <w:t>《关于认真做好第四次全国经济普查工作》的通知（山政发〔</w:t>
      </w:r>
      <w:r>
        <w:rPr>
          <w:kern w:val="0"/>
        </w:rPr>
        <w:t>2018</w:t>
      </w:r>
      <w:r>
        <w:rPr>
          <w:rFonts w:hint="eastAsia"/>
          <w:kern w:val="0"/>
        </w:rPr>
        <w:t>〕</w:t>
      </w:r>
      <w:r>
        <w:rPr>
          <w:kern w:val="0"/>
        </w:rPr>
        <w:t>11</w:t>
      </w:r>
      <w:r>
        <w:rPr>
          <w:rFonts w:hint="eastAsia"/>
          <w:kern w:val="0"/>
        </w:rPr>
        <w:t>号）</w:t>
      </w:r>
      <w:r>
        <w:rPr>
          <w:rFonts w:hint="eastAsia"/>
        </w:rPr>
        <w:t>。</w:t>
      </w:r>
    </w:p>
    <w:bookmarkEnd w:id="21"/>
    <w:p>
      <w:pPr>
        <w:pStyle w:val="3"/>
        <w:ind w:firstLine="595"/>
      </w:pPr>
      <w:bookmarkStart w:id="22" w:name="_Toc30111647"/>
      <w:bookmarkStart w:id="23" w:name="_Toc55233659"/>
      <w:bookmarkStart w:id="24" w:name="_Toc55233705"/>
      <w:r>
        <w:rPr>
          <w:rFonts w:hint="eastAsia"/>
        </w:rPr>
        <w:t>（二）项目主要内容</w:t>
      </w:r>
      <w:bookmarkEnd w:id="22"/>
      <w:bookmarkEnd w:id="23"/>
      <w:bookmarkEnd w:id="24"/>
    </w:p>
    <w:p>
      <w:pPr>
        <w:pStyle w:val="4"/>
        <w:ind w:firstLine="595"/>
      </w:pPr>
      <w:bookmarkStart w:id="25" w:name="_Toc55233660"/>
      <w:bookmarkStart w:id="26" w:name="_Toc55233706"/>
      <w:bookmarkStart w:id="27" w:name="_Toc30111648"/>
      <w:r>
        <w:rPr>
          <w:rFonts w:hint="eastAsia"/>
        </w:rPr>
        <w:t>1、2019年城乡住户一体化</w:t>
      </w:r>
    </w:p>
    <w:p>
      <w:pPr>
        <w:pStyle w:val="4"/>
        <w:ind w:firstLine="593"/>
        <w:rPr>
          <w:b w:val="0"/>
          <w:bCs/>
        </w:rPr>
      </w:pPr>
      <w:bookmarkStart w:id="28" w:name="_Hlk57926421"/>
      <w:r>
        <w:rPr>
          <w:rFonts w:hint="eastAsia"/>
          <w:b w:val="0"/>
          <w:bCs/>
        </w:rPr>
        <w:t>对城乡居民的收支与生活状况进行调查、农村贫困人员检测调查。</w:t>
      </w:r>
    </w:p>
    <w:bookmarkEnd w:id="28"/>
    <w:p>
      <w:pPr>
        <w:pStyle w:val="4"/>
        <w:ind w:firstLine="595"/>
      </w:pPr>
      <w:r>
        <w:rPr>
          <w:rFonts w:hint="eastAsia"/>
        </w:rPr>
        <w:t>2、第四次经济普查工作经费</w:t>
      </w:r>
    </w:p>
    <w:p>
      <w:pPr>
        <w:pStyle w:val="4"/>
        <w:ind w:firstLine="593"/>
        <w:rPr>
          <w:b w:val="0"/>
          <w:bCs/>
        </w:rPr>
      </w:pPr>
      <w:r>
        <w:rPr>
          <w:rFonts w:hint="eastAsia"/>
          <w:b w:val="0"/>
          <w:bCs/>
        </w:rPr>
        <w:t>对衡山县辖区内从事第二产业和第三产业的全部法人单位、产业活动单位和个体经营户的基本情况、组织结构、人员工资、生产能力、财务状况、生产经营和服务活动、能源消费、研发活动、信息化建设和电子商务交易情况等进行调查。</w:t>
      </w:r>
    </w:p>
    <w:bookmarkEnd w:id="25"/>
    <w:bookmarkEnd w:id="26"/>
    <w:bookmarkEnd w:id="27"/>
    <w:p>
      <w:pPr>
        <w:pStyle w:val="3"/>
        <w:ind w:firstLine="595"/>
      </w:pPr>
      <w:bookmarkStart w:id="29" w:name="_Toc55233710"/>
      <w:bookmarkStart w:id="30" w:name="_Toc30111654"/>
      <w:bookmarkStart w:id="31" w:name="_Toc55233664"/>
      <w:r>
        <w:rPr>
          <w:rFonts w:hint="eastAsia"/>
        </w:rPr>
        <w:t>（三）项目绩效目标</w:t>
      </w:r>
      <w:bookmarkEnd w:id="29"/>
      <w:bookmarkEnd w:id="30"/>
      <w:bookmarkEnd w:id="31"/>
    </w:p>
    <w:p>
      <w:pPr>
        <w:pStyle w:val="4"/>
        <w:ind w:firstLine="595"/>
      </w:pPr>
      <w:bookmarkStart w:id="32" w:name="_Toc55233711"/>
      <w:bookmarkStart w:id="33" w:name="_Toc55233665"/>
      <w:r>
        <w:rPr>
          <w:rFonts w:hint="eastAsia"/>
        </w:rPr>
        <w:t>1、2019年城乡住户一体化</w:t>
      </w:r>
    </w:p>
    <w:p>
      <w:pPr>
        <w:pStyle w:val="4"/>
        <w:ind w:firstLine="593"/>
      </w:pPr>
      <w:r>
        <w:rPr>
          <w:rFonts w:hint="eastAsia"/>
          <w:b w:val="0"/>
          <w:bCs/>
        </w:rPr>
        <w:t>了解城乡居民的收支与生活状况，对农村贫困人员检测，测算人均水平和增长速度</w:t>
      </w:r>
      <w:r>
        <w:rPr>
          <w:rFonts w:hint="eastAsia"/>
        </w:rPr>
        <w:t>。</w:t>
      </w:r>
    </w:p>
    <w:p>
      <w:pPr>
        <w:pStyle w:val="4"/>
        <w:ind w:firstLine="595"/>
      </w:pPr>
      <w:r>
        <w:rPr>
          <w:rFonts w:hint="eastAsia"/>
        </w:rPr>
        <w:t>2、第四次经济普查工作经费</w:t>
      </w:r>
    </w:p>
    <w:p>
      <w:pPr>
        <w:pStyle w:val="4"/>
        <w:ind w:firstLine="593"/>
        <w:rPr>
          <w:b w:val="0"/>
          <w:bCs/>
        </w:rPr>
      </w:pPr>
      <w:r>
        <w:rPr>
          <w:rFonts w:hint="eastAsia"/>
          <w:b w:val="0"/>
          <w:bCs/>
        </w:rPr>
        <w:t>摸清衡山县第二产业和第三产业的发展规模、布局和效益，了解县产业组织、产业结构、产业技术、产业形态的现状以及各生产要素的构成，掌握县全部法人单位资产负债状况和新兴产业发展情况，查实各类单位的基本情况和主要产品产量、服务活动。</w:t>
      </w:r>
    </w:p>
    <w:bookmarkEnd w:id="32"/>
    <w:bookmarkEnd w:id="33"/>
    <w:p>
      <w:pPr>
        <w:pStyle w:val="2"/>
      </w:pPr>
      <w:bookmarkStart w:id="34" w:name="_Toc30111661"/>
      <w:bookmarkStart w:id="35" w:name="_Toc55233715"/>
      <w:bookmarkStart w:id="36" w:name="_Toc55233008"/>
      <w:bookmarkStart w:id="37" w:name="_Toc55233669"/>
      <w:r>
        <w:rPr>
          <w:rFonts w:hint="eastAsia"/>
        </w:rPr>
        <w:t>三、项目资金情况</w:t>
      </w:r>
      <w:bookmarkEnd w:id="34"/>
      <w:bookmarkEnd w:id="35"/>
      <w:bookmarkEnd w:id="36"/>
      <w:bookmarkEnd w:id="37"/>
    </w:p>
    <w:p>
      <w:pPr>
        <w:pStyle w:val="3"/>
        <w:ind w:firstLine="595"/>
      </w:pPr>
      <w:bookmarkStart w:id="38" w:name="_Toc30111662"/>
      <w:bookmarkStart w:id="39" w:name="_Toc55233670"/>
      <w:bookmarkStart w:id="40" w:name="_Toc55233716"/>
      <w:r>
        <w:rPr>
          <w:rFonts w:hint="eastAsia"/>
        </w:rPr>
        <w:t>（一）资金情况</w:t>
      </w:r>
      <w:bookmarkEnd w:id="38"/>
      <w:bookmarkEnd w:id="39"/>
      <w:bookmarkEnd w:id="40"/>
    </w:p>
    <w:p>
      <w:pPr>
        <w:pStyle w:val="4"/>
        <w:ind w:firstLine="595"/>
      </w:pPr>
      <w:bookmarkStart w:id="41" w:name="_Toc55233717"/>
      <w:bookmarkStart w:id="42" w:name="_Toc55233671"/>
      <w:bookmarkStart w:id="43" w:name="_Toc30111663"/>
      <w:r>
        <w:rPr>
          <w:rFonts w:hint="eastAsia"/>
        </w:rPr>
        <w:t>1、2019年城乡住户一体化</w:t>
      </w:r>
    </w:p>
    <w:p>
      <w:pPr>
        <w:pStyle w:val="6"/>
        <w:ind w:firstLine="593"/>
        <w:rPr>
          <w:rFonts w:hint="eastAsia" w:eastAsia="仿宋"/>
          <w:b w:val="0"/>
          <w:lang w:eastAsia="zh-CN"/>
        </w:rPr>
      </w:pPr>
      <w:r>
        <w:rPr>
          <w:rFonts w:hint="eastAsia"/>
          <w:b w:val="0"/>
          <w:lang w:val="en-US" w:eastAsia="zh-CN"/>
        </w:rPr>
        <w:t>2019年预算指标金额为40.00万元，实际使用18.62万元，剩余额度21.38万元。明细为</w:t>
      </w:r>
      <w:r>
        <w:rPr>
          <w:rFonts w:hint="eastAsia"/>
          <w:b w:val="0"/>
        </w:rPr>
        <w:t>2019年</w:t>
      </w:r>
      <w:r>
        <w:rPr>
          <w:rFonts w:hint="eastAsia"/>
          <w:b w:val="0"/>
          <w:lang w:val="en-US" w:eastAsia="zh-CN"/>
        </w:rPr>
        <w:t>5</w:t>
      </w:r>
      <w:r>
        <w:rPr>
          <w:rFonts w:hint="eastAsia"/>
          <w:b w:val="0"/>
        </w:rPr>
        <w:t>月10日下达山财预A字（2019）第214号指标</w:t>
      </w:r>
      <w:r>
        <w:rPr>
          <w:rFonts w:hint="eastAsia"/>
          <w:b w:val="0"/>
          <w:lang w:val="en-US" w:eastAsia="zh-CN"/>
        </w:rPr>
        <w:t>20.00</w:t>
      </w:r>
      <w:r>
        <w:rPr>
          <w:rFonts w:hint="eastAsia"/>
          <w:b w:val="0"/>
        </w:rPr>
        <w:t>万元，实际使用18.62万元，剩余额度1.</w:t>
      </w:r>
      <w:r>
        <w:rPr>
          <w:rFonts w:hint="eastAsia"/>
          <w:b w:val="0"/>
          <w:lang w:val="en-US" w:eastAsia="zh-CN"/>
        </w:rPr>
        <w:t>38</w:t>
      </w:r>
      <w:r>
        <w:rPr>
          <w:rFonts w:hint="eastAsia"/>
          <w:b w:val="0"/>
        </w:rPr>
        <w:t>万元</w:t>
      </w:r>
      <w:r>
        <w:rPr>
          <w:rFonts w:hint="eastAsia"/>
          <w:b w:val="0"/>
          <w:lang w:val="en-US" w:eastAsia="zh-CN"/>
        </w:rPr>
        <w:t>；</w:t>
      </w:r>
      <w:r>
        <w:rPr>
          <w:rFonts w:hint="eastAsia"/>
          <w:b w:val="0"/>
        </w:rPr>
        <w:t>2019年</w:t>
      </w:r>
      <w:r>
        <w:rPr>
          <w:rFonts w:hint="eastAsia"/>
          <w:b w:val="0"/>
          <w:lang w:val="en-US" w:eastAsia="zh-CN"/>
        </w:rPr>
        <w:t>9</w:t>
      </w:r>
      <w:r>
        <w:rPr>
          <w:rFonts w:hint="eastAsia"/>
          <w:b w:val="0"/>
        </w:rPr>
        <w:t>月</w:t>
      </w:r>
      <w:r>
        <w:rPr>
          <w:rFonts w:hint="eastAsia"/>
          <w:b w:val="0"/>
          <w:lang w:val="en-US" w:eastAsia="zh-CN"/>
        </w:rPr>
        <w:t>9</w:t>
      </w:r>
      <w:r>
        <w:rPr>
          <w:rFonts w:hint="eastAsia"/>
          <w:b w:val="0"/>
        </w:rPr>
        <w:t>日下达山财预A字（2019）第389号指标</w:t>
      </w:r>
      <w:r>
        <w:rPr>
          <w:rFonts w:hint="eastAsia"/>
          <w:b w:val="0"/>
          <w:lang w:val="en-US" w:eastAsia="zh-CN"/>
        </w:rPr>
        <w:t>20.00</w:t>
      </w:r>
      <w:r>
        <w:rPr>
          <w:rFonts w:hint="eastAsia"/>
          <w:b w:val="0"/>
        </w:rPr>
        <w:t>万元，实际使用</w:t>
      </w:r>
      <w:r>
        <w:rPr>
          <w:rFonts w:hint="eastAsia"/>
          <w:b w:val="0"/>
          <w:lang w:val="en-US" w:eastAsia="zh-CN"/>
        </w:rPr>
        <w:t>0.00</w:t>
      </w:r>
      <w:r>
        <w:rPr>
          <w:rFonts w:hint="eastAsia"/>
          <w:b w:val="0"/>
        </w:rPr>
        <w:t>万元，剩余额度</w:t>
      </w:r>
      <w:r>
        <w:rPr>
          <w:rFonts w:hint="eastAsia"/>
          <w:b w:val="0"/>
          <w:lang w:val="en-US" w:eastAsia="zh-CN"/>
        </w:rPr>
        <w:t>20</w:t>
      </w:r>
      <w:r>
        <w:rPr>
          <w:rFonts w:hint="eastAsia"/>
          <w:b w:val="0"/>
        </w:rPr>
        <w:t>.</w:t>
      </w:r>
      <w:r>
        <w:rPr>
          <w:rFonts w:hint="eastAsia"/>
          <w:b w:val="0"/>
          <w:lang w:val="en-US" w:eastAsia="zh-CN"/>
        </w:rPr>
        <w:t>00</w:t>
      </w:r>
      <w:r>
        <w:rPr>
          <w:rFonts w:hint="eastAsia"/>
          <w:b w:val="0"/>
        </w:rPr>
        <w:t>万元</w:t>
      </w:r>
      <w:r>
        <w:rPr>
          <w:rFonts w:hint="eastAsia"/>
          <w:b w:val="0"/>
          <w:lang w:eastAsia="zh-CN"/>
        </w:rPr>
        <w:t>。</w:t>
      </w:r>
    </w:p>
    <w:p>
      <w:pPr>
        <w:pStyle w:val="4"/>
        <w:ind w:firstLine="595"/>
      </w:pPr>
      <w:r>
        <w:rPr>
          <w:rFonts w:hint="eastAsia"/>
        </w:rPr>
        <w:t>2、</w:t>
      </w:r>
      <w:bookmarkStart w:id="44" w:name="_Hlk57926289"/>
      <w:r>
        <w:rPr>
          <w:rFonts w:hint="eastAsia"/>
        </w:rPr>
        <w:t>第四次经济普查工作经费</w:t>
      </w:r>
    </w:p>
    <w:bookmarkEnd w:id="44"/>
    <w:p>
      <w:pPr>
        <w:pStyle w:val="6"/>
        <w:ind w:firstLine="593"/>
        <w:rPr>
          <w:rFonts w:hint="eastAsia"/>
          <w:lang w:val="en-US" w:eastAsia="zh-CN"/>
        </w:rPr>
      </w:pPr>
      <w:r>
        <w:rPr>
          <w:rFonts w:hint="eastAsia"/>
          <w:b w:val="0"/>
          <w:lang w:val="en-US" w:eastAsia="zh-CN"/>
        </w:rPr>
        <w:t>2019年预算指标金额为60.00万元，实际使用27</w:t>
      </w:r>
      <w:r>
        <w:rPr>
          <w:rFonts w:hint="eastAsia"/>
          <w:b w:val="0"/>
        </w:rPr>
        <w:t>.</w:t>
      </w:r>
      <w:r>
        <w:rPr>
          <w:rFonts w:hint="eastAsia"/>
          <w:b w:val="0"/>
          <w:lang w:val="en-US" w:eastAsia="zh-CN"/>
        </w:rPr>
        <w:t>59万元，剩余额度32.41万元。明细为</w:t>
      </w:r>
      <w:r>
        <w:rPr>
          <w:rFonts w:hint="eastAsia"/>
          <w:b w:val="0"/>
        </w:rPr>
        <w:t>2019年</w:t>
      </w:r>
      <w:r>
        <w:rPr>
          <w:rFonts w:hint="eastAsia"/>
          <w:b w:val="0"/>
          <w:lang w:val="en-US" w:eastAsia="zh-CN"/>
        </w:rPr>
        <w:t>5</w:t>
      </w:r>
      <w:r>
        <w:rPr>
          <w:rFonts w:hint="eastAsia"/>
          <w:b w:val="0"/>
        </w:rPr>
        <w:t>月10日下达山财预A字（2019）第214号指标</w:t>
      </w:r>
      <w:r>
        <w:rPr>
          <w:rFonts w:hint="eastAsia"/>
          <w:b w:val="0"/>
          <w:lang w:val="en-US" w:eastAsia="zh-CN"/>
        </w:rPr>
        <w:t>30.00</w:t>
      </w:r>
      <w:r>
        <w:rPr>
          <w:rFonts w:hint="eastAsia"/>
          <w:b w:val="0"/>
        </w:rPr>
        <w:t>万元，实际使用</w:t>
      </w:r>
      <w:r>
        <w:rPr>
          <w:rFonts w:hint="eastAsia"/>
          <w:b w:val="0"/>
          <w:lang w:val="en-US" w:eastAsia="zh-CN"/>
        </w:rPr>
        <w:t>27</w:t>
      </w:r>
      <w:r>
        <w:rPr>
          <w:rFonts w:hint="eastAsia"/>
          <w:b w:val="0"/>
        </w:rPr>
        <w:t>.</w:t>
      </w:r>
      <w:r>
        <w:rPr>
          <w:rFonts w:hint="eastAsia"/>
          <w:b w:val="0"/>
          <w:lang w:val="en-US" w:eastAsia="zh-CN"/>
        </w:rPr>
        <w:t>59</w:t>
      </w:r>
      <w:r>
        <w:rPr>
          <w:rFonts w:hint="eastAsia"/>
          <w:b w:val="0"/>
        </w:rPr>
        <w:t>万元，剩余额度2.4</w:t>
      </w:r>
      <w:r>
        <w:rPr>
          <w:rFonts w:hint="eastAsia"/>
          <w:b w:val="0"/>
          <w:lang w:val="en-US" w:eastAsia="zh-CN"/>
        </w:rPr>
        <w:t>1</w:t>
      </w:r>
      <w:r>
        <w:rPr>
          <w:rFonts w:hint="eastAsia"/>
          <w:b w:val="0"/>
        </w:rPr>
        <w:t>万元</w:t>
      </w:r>
      <w:r>
        <w:rPr>
          <w:rFonts w:hint="eastAsia"/>
          <w:b w:val="0"/>
          <w:lang w:val="en-US" w:eastAsia="zh-CN"/>
        </w:rPr>
        <w:t>；</w:t>
      </w:r>
      <w:r>
        <w:rPr>
          <w:rFonts w:hint="eastAsia"/>
          <w:b w:val="0"/>
        </w:rPr>
        <w:t>2019年</w:t>
      </w:r>
      <w:r>
        <w:rPr>
          <w:rFonts w:hint="eastAsia"/>
          <w:b w:val="0"/>
          <w:lang w:val="en-US" w:eastAsia="zh-CN"/>
        </w:rPr>
        <w:t>9</w:t>
      </w:r>
      <w:r>
        <w:rPr>
          <w:rFonts w:hint="eastAsia"/>
          <w:b w:val="0"/>
        </w:rPr>
        <w:t>月</w:t>
      </w:r>
      <w:r>
        <w:rPr>
          <w:rFonts w:hint="eastAsia"/>
          <w:b w:val="0"/>
          <w:lang w:val="en-US" w:eastAsia="zh-CN"/>
        </w:rPr>
        <w:t>9</w:t>
      </w:r>
      <w:r>
        <w:rPr>
          <w:rFonts w:hint="eastAsia"/>
          <w:b w:val="0"/>
        </w:rPr>
        <w:t>日下达山财预A字（2019）第389号指标</w:t>
      </w:r>
      <w:r>
        <w:rPr>
          <w:rFonts w:hint="eastAsia"/>
          <w:b w:val="0"/>
          <w:lang w:val="en-US" w:eastAsia="zh-CN"/>
        </w:rPr>
        <w:t>20.00</w:t>
      </w:r>
      <w:r>
        <w:rPr>
          <w:rFonts w:hint="eastAsia"/>
          <w:b w:val="0"/>
        </w:rPr>
        <w:t>万元，实际使用</w:t>
      </w:r>
      <w:r>
        <w:rPr>
          <w:rFonts w:hint="eastAsia"/>
          <w:b w:val="0"/>
          <w:lang w:val="en-US" w:eastAsia="zh-CN"/>
        </w:rPr>
        <w:t>0.00</w:t>
      </w:r>
      <w:r>
        <w:rPr>
          <w:rFonts w:hint="eastAsia"/>
          <w:b w:val="0"/>
        </w:rPr>
        <w:t>万元，剩余额度</w:t>
      </w:r>
      <w:r>
        <w:rPr>
          <w:rFonts w:hint="eastAsia"/>
          <w:b w:val="0"/>
          <w:lang w:val="en-US" w:eastAsia="zh-CN"/>
        </w:rPr>
        <w:t>20.00</w:t>
      </w:r>
      <w:r>
        <w:rPr>
          <w:rFonts w:hint="eastAsia"/>
          <w:b w:val="0"/>
        </w:rPr>
        <w:t>万元</w:t>
      </w:r>
      <w:r>
        <w:rPr>
          <w:rFonts w:hint="eastAsia"/>
          <w:b w:val="0"/>
          <w:lang w:val="en-US" w:eastAsia="zh-CN"/>
        </w:rPr>
        <w:t>；</w:t>
      </w:r>
      <w:r>
        <w:rPr>
          <w:rFonts w:hint="eastAsia"/>
          <w:b w:val="0"/>
        </w:rPr>
        <w:t>2019年</w:t>
      </w:r>
      <w:r>
        <w:rPr>
          <w:rFonts w:hint="eastAsia"/>
          <w:b w:val="0"/>
          <w:lang w:val="en-US" w:eastAsia="zh-CN"/>
        </w:rPr>
        <w:t>11</w:t>
      </w:r>
      <w:r>
        <w:rPr>
          <w:rFonts w:hint="eastAsia"/>
          <w:b w:val="0"/>
        </w:rPr>
        <w:t>月</w:t>
      </w:r>
      <w:r>
        <w:rPr>
          <w:rFonts w:hint="eastAsia"/>
          <w:b w:val="0"/>
          <w:lang w:val="en-US" w:eastAsia="zh-CN"/>
        </w:rPr>
        <w:t>29</w:t>
      </w:r>
      <w:r>
        <w:rPr>
          <w:rFonts w:hint="eastAsia"/>
          <w:b w:val="0"/>
        </w:rPr>
        <w:t>日下达山财预A字（2019）第522号指标</w:t>
      </w:r>
      <w:r>
        <w:rPr>
          <w:rFonts w:hint="eastAsia"/>
          <w:b w:val="0"/>
          <w:lang w:val="en-US" w:eastAsia="zh-CN"/>
        </w:rPr>
        <w:t>10.00</w:t>
      </w:r>
      <w:r>
        <w:rPr>
          <w:rFonts w:hint="eastAsia"/>
          <w:b w:val="0"/>
        </w:rPr>
        <w:t>万元，实际使用</w:t>
      </w:r>
      <w:r>
        <w:rPr>
          <w:rFonts w:hint="eastAsia"/>
          <w:b w:val="0"/>
          <w:lang w:val="en-US" w:eastAsia="zh-CN"/>
        </w:rPr>
        <w:t>0.00</w:t>
      </w:r>
      <w:r>
        <w:rPr>
          <w:rFonts w:hint="eastAsia"/>
          <w:b w:val="0"/>
        </w:rPr>
        <w:t>万元，剩余额度</w:t>
      </w:r>
      <w:r>
        <w:rPr>
          <w:rFonts w:hint="eastAsia"/>
          <w:b w:val="0"/>
          <w:lang w:val="en-US" w:eastAsia="zh-CN"/>
        </w:rPr>
        <w:t>10.00</w:t>
      </w:r>
      <w:r>
        <w:rPr>
          <w:rFonts w:hint="eastAsia"/>
          <w:b w:val="0"/>
        </w:rPr>
        <w:t>万元</w:t>
      </w:r>
      <w:r>
        <w:rPr>
          <w:rFonts w:hint="eastAsia"/>
          <w:b w:val="0"/>
          <w:lang w:eastAsia="zh-CN"/>
        </w:rPr>
        <w:t>。</w:t>
      </w:r>
    </w:p>
    <w:bookmarkEnd w:id="41"/>
    <w:bookmarkEnd w:id="42"/>
    <w:bookmarkEnd w:id="43"/>
    <w:p>
      <w:pPr>
        <w:pStyle w:val="3"/>
        <w:ind w:firstLine="595"/>
      </w:pPr>
      <w:bookmarkStart w:id="45" w:name="_Toc55233675"/>
      <w:bookmarkStart w:id="46" w:name="_Toc30111669"/>
      <w:bookmarkStart w:id="47" w:name="_Toc55233721"/>
      <w:r>
        <w:rPr>
          <w:rFonts w:hint="eastAsia"/>
        </w:rPr>
        <w:t>（二）资金管理情况</w:t>
      </w:r>
      <w:bookmarkEnd w:id="45"/>
      <w:bookmarkEnd w:id="46"/>
      <w:bookmarkEnd w:id="47"/>
    </w:p>
    <w:p>
      <w:pPr>
        <w:ind w:firstLine="593"/>
      </w:pPr>
      <w:r>
        <w:rPr>
          <w:rFonts w:hint="eastAsia"/>
        </w:rPr>
        <w:t>衡山县统计局制定</w:t>
      </w:r>
      <w:r>
        <w:rPr>
          <w:rFonts w:hint="eastAsia"/>
          <w:lang w:val="en-US" w:eastAsia="zh-CN"/>
        </w:rPr>
        <w:t>了</w:t>
      </w:r>
      <w:r>
        <w:rPr>
          <w:rFonts w:hint="eastAsia"/>
        </w:rPr>
        <w:t>专项资金管理办法，</w:t>
      </w:r>
      <w:r>
        <w:rPr>
          <w:rFonts w:hint="eastAsia"/>
          <w:lang w:val="en-US" w:eastAsia="zh-CN"/>
        </w:rPr>
        <w:t>但未针对每个项目资金的特点制定相应的专项资金管理办法。</w:t>
      </w:r>
      <w:r>
        <w:rPr>
          <w:rFonts w:hint="eastAsia"/>
        </w:rPr>
        <w:t>经抽查</w:t>
      </w:r>
      <w:r>
        <w:rPr>
          <w:rFonts w:hint="eastAsia"/>
          <w:lang w:val="en-US" w:eastAsia="zh-CN"/>
        </w:rPr>
        <w:t>县统计</w:t>
      </w:r>
      <w:r>
        <w:rPr>
          <w:rFonts w:hint="eastAsia"/>
        </w:rPr>
        <w:t>局财务核算资料，项目资金支付基本按照财务审批制度规定的程序审批，但</w:t>
      </w:r>
      <w:r>
        <w:rPr>
          <w:rFonts w:hint="eastAsia"/>
          <w:lang w:val="en-US" w:eastAsia="zh-CN"/>
        </w:rPr>
        <w:t>部分</w:t>
      </w:r>
      <w:r>
        <w:rPr>
          <w:rFonts w:hint="eastAsia"/>
        </w:rPr>
        <w:t>第四次经济普查工作经费使用用途不符合项目预算批复的用途。</w:t>
      </w:r>
    </w:p>
    <w:p>
      <w:pPr>
        <w:pStyle w:val="2"/>
      </w:pPr>
      <w:bookmarkStart w:id="48" w:name="_Toc55233676"/>
      <w:bookmarkStart w:id="49" w:name="_Toc30111670"/>
      <w:bookmarkStart w:id="50" w:name="_Toc55233009"/>
      <w:bookmarkStart w:id="51" w:name="_Toc55233722"/>
      <w:r>
        <w:rPr>
          <w:rFonts w:hint="eastAsia"/>
        </w:rPr>
        <w:t>四、项目实施情况</w:t>
      </w:r>
      <w:bookmarkEnd w:id="48"/>
      <w:bookmarkEnd w:id="49"/>
      <w:bookmarkEnd w:id="50"/>
      <w:bookmarkEnd w:id="51"/>
    </w:p>
    <w:p>
      <w:pPr>
        <w:pStyle w:val="2"/>
        <w:rPr>
          <w:rFonts w:hint="default" w:eastAsia="仿宋"/>
          <w:bCs w:val="0"/>
          <w:kern w:val="2"/>
          <w:szCs w:val="24"/>
          <w:lang w:val="en-US" w:eastAsia="zh-CN"/>
        </w:rPr>
      </w:pPr>
      <w:bookmarkStart w:id="52" w:name="_Toc55233010"/>
      <w:bookmarkStart w:id="53" w:name="_Toc55233725"/>
      <w:bookmarkStart w:id="54" w:name="_Toc30111674"/>
      <w:bookmarkStart w:id="55" w:name="_Toc55233679"/>
      <w:r>
        <w:rPr>
          <w:rFonts w:hint="eastAsia" w:eastAsia="仿宋"/>
          <w:bCs w:val="0"/>
          <w:kern w:val="2"/>
          <w:szCs w:val="24"/>
        </w:rPr>
        <w:t>城乡住户一体化</w:t>
      </w:r>
      <w:r>
        <w:rPr>
          <w:rFonts w:hint="eastAsia" w:eastAsia="仿宋"/>
          <w:bCs w:val="0"/>
          <w:kern w:val="2"/>
          <w:szCs w:val="24"/>
          <w:lang w:eastAsia="zh-CN"/>
        </w:rPr>
        <w:t>：</w:t>
      </w:r>
      <w:r>
        <w:rPr>
          <w:rFonts w:hint="eastAsia" w:eastAsia="仿宋"/>
          <w:bCs w:val="0"/>
          <w:kern w:val="2"/>
          <w:szCs w:val="24"/>
          <w:lang w:val="en-US" w:eastAsia="zh-CN"/>
        </w:rPr>
        <w:t>建立住户调查质量管理和责任追究制度、辅助调查员职责及管理制度、记账户工作规范要求及管理制度、住户调查业务和技能培训工作制度；组织召开业务培训会，对辅助调查员进行分类指导，并建立住户基本情况台账、辅助调查员管理台账、调查员入户记录台账、电话访问记录台账。</w:t>
      </w:r>
    </w:p>
    <w:p>
      <w:pPr>
        <w:pStyle w:val="3"/>
        <w:ind w:firstLine="593"/>
        <w:rPr>
          <w:rFonts w:ascii="Times New Roman" w:hAnsi="Times New Roman" w:eastAsia="仿宋"/>
          <w:b w:val="0"/>
        </w:rPr>
      </w:pPr>
      <w:r>
        <w:rPr>
          <w:rFonts w:hint="eastAsia" w:eastAsia="仿宋"/>
          <w:b w:val="0"/>
          <w:bCs/>
          <w:kern w:val="2"/>
          <w:szCs w:val="24"/>
        </w:rPr>
        <w:t>第四次经济普查工作经费：</w:t>
      </w:r>
      <w:bookmarkStart w:id="56" w:name="_Hlk57925891"/>
      <w:r>
        <w:rPr>
          <w:rFonts w:hint="eastAsia" w:ascii="Times New Roman" w:hAnsi="Times New Roman" w:eastAsia="仿宋"/>
          <w:b w:val="0"/>
        </w:rPr>
        <w:t>2018年7月20日，衡山县人民政府下发《关于认真做好第四次全国经济普查工作的通知》(山政发(2018)11号)</w:t>
      </w:r>
      <w:bookmarkEnd w:id="56"/>
      <w:r>
        <w:rPr>
          <w:rFonts w:hint="eastAsia" w:ascii="Times New Roman" w:hAnsi="Times New Roman" w:eastAsia="仿宋"/>
          <w:b w:val="0"/>
        </w:rPr>
        <w:t>，标志着</w:t>
      </w:r>
      <w:r>
        <w:rPr>
          <w:rFonts w:hint="eastAsia" w:ascii="Times New Roman" w:hAnsi="Times New Roman" w:eastAsia="仿宋"/>
          <w:b w:val="0"/>
          <w:lang w:val="en-US" w:eastAsia="zh-CN"/>
        </w:rPr>
        <w:t>衡山</w:t>
      </w:r>
      <w:r>
        <w:rPr>
          <w:rFonts w:hint="eastAsia" w:ascii="Times New Roman" w:hAnsi="Times New Roman" w:eastAsia="仿宋"/>
          <w:b w:val="0"/>
        </w:rPr>
        <w:t>县第四次经济普查工作全面启动。文件下发同时，县政府成立了由县委副书记、县长蒋青任组长，县委常委、常务副县长廖文伟担任组长，由31个部门组成的衡山县第四次全国经济普查领导小组，领导小组办公室设在县统计局。按照“全县统一领导、部门分工协作、乡镇分须负责、各方共同参与”的组织实施原则，县级以及乡镇、村(社区)和相关部门均组建了普查机构，为普查工作开展提供了坚实的组织保障。乡镇人民政府全面加强领导，精心组织实施，做到人员到位、措施到位、经费到位。参与普查工作的相关部门积极主动履职，充分发挥各自职能，提供多方保障，确保了普查的顺利实施。</w:t>
      </w:r>
    </w:p>
    <w:p>
      <w:pPr>
        <w:pStyle w:val="2"/>
        <w:rPr>
          <w:rFonts w:eastAsia="仿宋"/>
          <w:bCs w:val="0"/>
          <w:kern w:val="2"/>
          <w:szCs w:val="24"/>
        </w:rPr>
      </w:pPr>
      <w:r>
        <w:rPr>
          <w:rFonts w:hint="eastAsia" w:eastAsia="仿宋"/>
          <w:bCs w:val="0"/>
          <w:kern w:val="2"/>
          <w:szCs w:val="24"/>
        </w:rPr>
        <w:t>2018年7月20日，衡山县人民政府下发《关于认真做好第四次全国经济普查工作的通知》(山政发(2018)11号)，</w:t>
      </w:r>
      <w:r>
        <w:rPr>
          <w:rFonts w:hint="eastAsia" w:eastAsia="仿宋"/>
        </w:rPr>
        <w:t>文件下发同时，衡山县政府成立了由县委副书记、县长蒋青任组长，县委常委、常务副县长廖文伟担任组长，由31个部门组成的衡山县第四次全国经济普查领导小组，领导小组办公室设在县统计局。按照“全县统一领导、部门分工协作、乡镇分须负责、各方共同参与”的组织实施原则，县级以及乡镇、村(社区)和相关部门均组建了普查机构。乡镇人民政府全面加强领导，精心组织实施，做到人员到位、措施到位、经费到位。</w:t>
      </w:r>
    </w:p>
    <w:p>
      <w:pPr>
        <w:pStyle w:val="2"/>
        <w:rPr>
          <w:rFonts w:eastAsia="仿宋"/>
          <w:bCs w:val="0"/>
          <w:kern w:val="2"/>
          <w:szCs w:val="24"/>
        </w:rPr>
      </w:pPr>
      <w:r>
        <w:rPr>
          <w:rFonts w:hint="eastAsia" w:eastAsia="仿宋"/>
          <w:bCs w:val="0"/>
          <w:kern w:val="2"/>
          <w:szCs w:val="24"/>
        </w:rPr>
        <w:t>2019年1月1日至4月30日，全县253名基层普查人员克服重重困难，对衡山县辖区内从事第二、三产业的法人单位、产业活动单位和抽取的个体经营户逐一入户完成数据采集。</w:t>
      </w:r>
    </w:p>
    <w:p>
      <w:pPr>
        <w:pStyle w:val="2"/>
      </w:pPr>
      <w:r>
        <w:rPr>
          <w:rFonts w:hint="eastAsia"/>
        </w:rPr>
        <w:t>五、制度建设和法律法规制度的执行情况</w:t>
      </w:r>
      <w:bookmarkEnd w:id="52"/>
      <w:bookmarkEnd w:id="53"/>
      <w:bookmarkEnd w:id="54"/>
      <w:bookmarkEnd w:id="55"/>
    </w:p>
    <w:p>
      <w:pPr>
        <w:ind w:firstLine="593"/>
      </w:pPr>
      <w:r>
        <w:rPr>
          <w:rFonts w:hint="eastAsia"/>
        </w:rPr>
        <w:t>为加强相关专项资金的管理，衡山县统计局严格执行</w:t>
      </w:r>
      <w:r>
        <w:rPr>
          <w:rFonts w:hint="eastAsia"/>
          <w:lang w:val="en-US" w:eastAsia="zh-CN"/>
        </w:rPr>
        <w:t>国家统计局衡阳调查队、衡阳市统计局</w:t>
      </w:r>
      <w:r>
        <w:rPr>
          <w:rFonts w:hint="eastAsia" w:eastAsia="仿宋"/>
          <w:bCs w:val="0"/>
          <w:kern w:val="2"/>
          <w:szCs w:val="24"/>
        </w:rPr>
        <w:t>《关于</w:t>
      </w:r>
      <w:r>
        <w:rPr>
          <w:rFonts w:hint="eastAsia"/>
          <w:bCs w:val="0"/>
          <w:kern w:val="2"/>
          <w:szCs w:val="24"/>
          <w:lang w:val="en-US" w:eastAsia="zh-CN"/>
        </w:rPr>
        <w:t>切实解决住户一体化调查辅助调查员、记账户补贴及调查工作经费</w:t>
      </w:r>
      <w:r>
        <w:rPr>
          <w:rFonts w:hint="eastAsia" w:eastAsia="仿宋"/>
          <w:bCs w:val="0"/>
          <w:kern w:val="2"/>
          <w:szCs w:val="24"/>
        </w:rPr>
        <w:t>》</w:t>
      </w:r>
      <w:r>
        <w:rPr>
          <w:rFonts w:hint="eastAsia"/>
          <w:bCs w:val="0"/>
          <w:kern w:val="2"/>
          <w:szCs w:val="24"/>
          <w:lang w:val="en-US" w:eastAsia="zh-CN"/>
        </w:rPr>
        <w:t>的通知</w:t>
      </w:r>
      <w:r>
        <w:rPr>
          <w:rFonts w:hint="eastAsia" w:eastAsia="仿宋"/>
          <w:bCs w:val="0"/>
          <w:kern w:val="2"/>
          <w:szCs w:val="24"/>
        </w:rPr>
        <w:t>(</w:t>
      </w:r>
      <w:r>
        <w:rPr>
          <w:rFonts w:hint="eastAsia"/>
          <w:bCs w:val="0"/>
          <w:kern w:val="2"/>
          <w:szCs w:val="24"/>
          <w:lang w:val="en-US" w:eastAsia="zh-CN"/>
        </w:rPr>
        <w:t>衡调字</w:t>
      </w:r>
      <w:r>
        <w:rPr>
          <w:rFonts w:hint="eastAsia" w:eastAsia="仿宋"/>
          <w:bCs w:val="0"/>
          <w:kern w:val="2"/>
          <w:szCs w:val="24"/>
        </w:rPr>
        <w:t>(201</w:t>
      </w:r>
      <w:r>
        <w:rPr>
          <w:rFonts w:hint="eastAsia"/>
          <w:bCs w:val="0"/>
          <w:kern w:val="2"/>
          <w:szCs w:val="24"/>
          <w:lang w:val="en-US" w:eastAsia="zh-CN"/>
        </w:rPr>
        <w:t>2</w:t>
      </w:r>
      <w:r>
        <w:rPr>
          <w:rFonts w:hint="eastAsia" w:eastAsia="仿宋"/>
          <w:bCs w:val="0"/>
          <w:kern w:val="2"/>
          <w:szCs w:val="24"/>
        </w:rPr>
        <w:t>)</w:t>
      </w:r>
      <w:r>
        <w:rPr>
          <w:rFonts w:hint="eastAsia"/>
          <w:bCs w:val="0"/>
          <w:kern w:val="2"/>
          <w:szCs w:val="24"/>
          <w:lang w:val="en-US" w:eastAsia="zh-CN"/>
        </w:rPr>
        <w:t>38</w:t>
      </w:r>
      <w:r>
        <w:rPr>
          <w:rFonts w:hint="eastAsia" w:eastAsia="仿宋"/>
          <w:bCs w:val="0"/>
          <w:kern w:val="2"/>
          <w:szCs w:val="24"/>
        </w:rPr>
        <w:t>号)</w:t>
      </w:r>
      <w:r>
        <w:rPr>
          <w:rFonts w:hint="eastAsia"/>
          <w:lang w:val="en-US" w:eastAsia="zh-CN"/>
        </w:rPr>
        <w:t>、国家统计局湖南调查总队办公室</w:t>
      </w:r>
      <w:r>
        <w:rPr>
          <w:rFonts w:hint="eastAsia" w:eastAsia="仿宋"/>
          <w:bCs w:val="0"/>
          <w:kern w:val="2"/>
          <w:szCs w:val="24"/>
        </w:rPr>
        <w:t>《关于</w:t>
      </w:r>
      <w:r>
        <w:rPr>
          <w:rFonts w:hint="eastAsia"/>
          <w:bCs w:val="0"/>
          <w:kern w:val="2"/>
          <w:szCs w:val="24"/>
          <w:lang w:val="en-US" w:eastAsia="zh-CN"/>
        </w:rPr>
        <w:t>做好2019年春节走访慰问住户调查辅助调查员和记账户工作</w:t>
      </w:r>
      <w:r>
        <w:rPr>
          <w:rFonts w:hint="eastAsia" w:eastAsia="仿宋"/>
          <w:bCs w:val="0"/>
          <w:kern w:val="2"/>
          <w:szCs w:val="24"/>
        </w:rPr>
        <w:t>》</w:t>
      </w:r>
      <w:r>
        <w:rPr>
          <w:rFonts w:hint="eastAsia"/>
          <w:bCs w:val="0"/>
          <w:kern w:val="2"/>
          <w:szCs w:val="24"/>
          <w:lang w:val="en-US" w:eastAsia="zh-CN"/>
        </w:rPr>
        <w:t>的通知</w:t>
      </w:r>
      <w:r>
        <w:rPr>
          <w:rFonts w:hint="eastAsia" w:eastAsia="仿宋"/>
          <w:bCs w:val="0"/>
          <w:kern w:val="2"/>
          <w:szCs w:val="24"/>
        </w:rPr>
        <w:t>(</w:t>
      </w:r>
      <w:r>
        <w:rPr>
          <w:rFonts w:hint="eastAsia"/>
          <w:bCs w:val="0"/>
          <w:kern w:val="2"/>
          <w:szCs w:val="24"/>
          <w:lang w:val="en-US" w:eastAsia="zh-CN"/>
        </w:rPr>
        <w:t>湘调字</w:t>
      </w:r>
      <w:r>
        <w:rPr>
          <w:rFonts w:hint="eastAsia" w:eastAsia="仿宋"/>
          <w:bCs w:val="0"/>
          <w:kern w:val="2"/>
          <w:szCs w:val="24"/>
        </w:rPr>
        <w:t>(201</w:t>
      </w:r>
      <w:r>
        <w:rPr>
          <w:rFonts w:hint="eastAsia"/>
          <w:bCs w:val="0"/>
          <w:kern w:val="2"/>
          <w:szCs w:val="24"/>
          <w:lang w:val="en-US" w:eastAsia="zh-CN"/>
        </w:rPr>
        <w:t>9</w:t>
      </w:r>
      <w:r>
        <w:rPr>
          <w:rFonts w:hint="eastAsia" w:eastAsia="仿宋"/>
          <w:bCs w:val="0"/>
          <w:kern w:val="2"/>
          <w:szCs w:val="24"/>
        </w:rPr>
        <w:t>)</w:t>
      </w:r>
      <w:r>
        <w:rPr>
          <w:rFonts w:hint="eastAsia"/>
          <w:bCs w:val="0"/>
          <w:kern w:val="2"/>
          <w:szCs w:val="24"/>
          <w:lang w:val="en-US" w:eastAsia="zh-CN"/>
        </w:rPr>
        <w:t>2</w:t>
      </w:r>
      <w:r>
        <w:rPr>
          <w:rFonts w:hint="eastAsia" w:eastAsia="仿宋"/>
          <w:bCs w:val="0"/>
          <w:kern w:val="2"/>
          <w:szCs w:val="24"/>
        </w:rPr>
        <w:t>号)</w:t>
      </w:r>
      <w:r>
        <w:rPr>
          <w:rFonts w:hint="eastAsia"/>
          <w:bCs w:val="0"/>
          <w:kern w:val="2"/>
          <w:szCs w:val="24"/>
          <w:lang w:eastAsia="zh-CN"/>
        </w:rPr>
        <w:t>、</w:t>
      </w:r>
      <w:r>
        <w:rPr>
          <w:rFonts w:hint="eastAsia"/>
          <w:lang w:val="en-US" w:eastAsia="zh-CN"/>
        </w:rPr>
        <w:t>国家统计局湖南调查总队办公室</w:t>
      </w:r>
      <w:r>
        <w:rPr>
          <w:rFonts w:hint="eastAsia" w:eastAsia="仿宋"/>
          <w:bCs w:val="0"/>
          <w:kern w:val="2"/>
          <w:szCs w:val="24"/>
        </w:rPr>
        <w:t>《关于</w:t>
      </w:r>
      <w:r>
        <w:rPr>
          <w:rFonts w:hint="eastAsia"/>
          <w:bCs w:val="0"/>
          <w:kern w:val="2"/>
          <w:szCs w:val="24"/>
          <w:lang w:val="en-US" w:eastAsia="zh-CN"/>
        </w:rPr>
        <w:t>进一步加强和规范住户收支类调查工作的意见</w:t>
      </w:r>
      <w:r>
        <w:rPr>
          <w:rFonts w:hint="eastAsia" w:eastAsia="仿宋"/>
          <w:bCs w:val="0"/>
          <w:kern w:val="2"/>
          <w:szCs w:val="24"/>
        </w:rPr>
        <w:t>》</w:t>
      </w:r>
      <w:r>
        <w:rPr>
          <w:rFonts w:hint="eastAsia"/>
          <w:bCs w:val="0"/>
          <w:kern w:val="2"/>
          <w:szCs w:val="24"/>
          <w:lang w:val="en-US" w:eastAsia="zh-CN"/>
        </w:rPr>
        <w:t>的通知</w:t>
      </w:r>
      <w:r>
        <w:rPr>
          <w:rFonts w:hint="eastAsia" w:eastAsia="仿宋"/>
          <w:bCs w:val="0"/>
          <w:kern w:val="2"/>
          <w:szCs w:val="24"/>
        </w:rPr>
        <w:t>(</w:t>
      </w:r>
      <w:r>
        <w:rPr>
          <w:rFonts w:hint="eastAsia"/>
          <w:bCs w:val="0"/>
          <w:kern w:val="2"/>
          <w:szCs w:val="24"/>
          <w:lang w:val="en-US" w:eastAsia="zh-CN"/>
        </w:rPr>
        <w:t>湘调字</w:t>
      </w:r>
      <w:r>
        <w:rPr>
          <w:rFonts w:hint="eastAsia" w:eastAsia="仿宋"/>
          <w:bCs w:val="0"/>
          <w:kern w:val="2"/>
          <w:szCs w:val="24"/>
        </w:rPr>
        <w:t>(20</w:t>
      </w:r>
      <w:r>
        <w:rPr>
          <w:rFonts w:hint="eastAsia"/>
          <w:bCs w:val="0"/>
          <w:kern w:val="2"/>
          <w:szCs w:val="24"/>
          <w:lang w:val="en-US" w:eastAsia="zh-CN"/>
        </w:rPr>
        <w:t>17</w:t>
      </w:r>
      <w:r>
        <w:rPr>
          <w:rFonts w:hint="eastAsia" w:eastAsia="仿宋"/>
          <w:bCs w:val="0"/>
          <w:kern w:val="2"/>
          <w:szCs w:val="24"/>
        </w:rPr>
        <w:t>)</w:t>
      </w:r>
      <w:r>
        <w:rPr>
          <w:rFonts w:hint="eastAsia"/>
          <w:bCs w:val="0"/>
          <w:kern w:val="2"/>
          <w:szCs w:val="24"/>
          <w:lang w:val="en-US" w:eastAsia="zh-CN"/>
        </w:rPr>
        <w:t>18</w:t>
      </w:r>
      <w:r>
        <w:rPr>
          <w:rFonts w:hint="eastAsia" w:eastAsia="仿宋"/>
          <w:bCs w:val="0"/>
          <w:kern w:val="2"/>
          <w:szCs w:val="24"/>
        </w:rPr>
        <w:t>号)</w:t>
      </w:r>
      <w:r>
        <w:rPr>
          <w:rFonts w:hint="eastAsia"/>
          <w:bCs w:val="0"/>
          <w:kern w:val="2"/>
          <w:szCs w:val="24"/>
          <w:lang w:eastAsia="zh-CN"/>
        </w:rPr>
        <w:t>、</w:t>
      </w:r>
      <w:r>
        <w:rPr>
          <w:rFonts w:hint="eastAsia" w:eastAsia="仿宋"/>
          <w:bCs w:val="0"/>
          <w:kern w:val="2"/>
          <w:szCs w:val="24"/>
        </w:rPr>
        <w:t>衡山县人民政府下发《关于认真做好第四次全国经济普查工作的通知》(山政发(2018)11号)</w:t>
      </w:r>
      <w:r>
        <w:rPr>
          <w:rFonts w:hint="eastAsia"/>
          <w:bCs w:val="0"/>
          <w:kern w:val="2"/>
          <w:szCs w:val="24"/>
          <w:lang w:val="en-US" w:eastAsia="zh-CN"/>
        </w:rPr>
        <w:t>等制度</w:t>
      </w:r>
      <w:r>
        <w:rPr>
          <w:rFonts w:hint="eastAsia"/>
        </w:rPr>
        <w:t>，</w:t>
      </w:r>
      <w:r>
        <w:rPr>
          <w:rFonts w:hint="eastAsia"/>
          <w:lang w:val="en-US" w:eastAsia="zh-CN"/>
        </w:rPr>
        <w:t>未</w:t>
      </w:r>
      <w:r>
        <w:rPr>
          <w:rFonts w:hint="eastAsia"/>
        </w:rPr>
        <w:t>结合自身实际情况</w:t>
      </w:r>
      <w:r>
        <w:rPr>
          <w:rFonts w:hint="eastAsia"/>
          <w:lang w:val="en-US" w:eastAsia="zh-CN"/>
        </w:rPr>
        <w:t>和项目特点</w:t>
      </w:r>
      <w:r>
        <w:rPr>
          <w:rFonts w:hint="eastAsia"/>
        </w:rPr>
        <w:t>制定了相关的规章制度。</w:t>
      </w:r>
    </w:p>
    <w:p>
      <w:pPr>
        <w:pStyle w:val="2"/>
      </w:pPr>
      <w:bookmarkStart w:id="57" w:name="_Toc30111675"/>
      <w:bookmarkStart w:id="58" w:name="_Toc55233726"/>
      <w:bookmarkStart w:id="59" w:name="_Toc55233011"/>
      <w:bookmarkStart w:id="60" w:name="_Toc55233680"/>
      <w:r>
        <w:rPr>
          <w:rFonts w:hint="eastAsia"/>
        </w:rPr>
        <w:t>六、项目的产出成果及效益情况分析</w:t>
      </w:r>
      <w:bookmarkEnd w:id="57"/>
      <w:bookmarkEnd w:id="58"/>
      <w:bookmarkEnd w:id="59"/>
      <w:bookmarkEnd w:id="60"/>
    </w:p>
    <w:p>
      <w:pPr>
        <w:pStyle w:val="3"/>
        <w:ind w:firstLine="595"/>
        <w:rPr>
          <w:rFonts w:hint="eastAsia"/>
          <w:lang w:val="en-US" w:eastAsia="zh-CN"/>
        </w:rPr>
      </w:pPr>
      <w:bookmarkStart w:id="61" w:name="_Toc55233727"/>
      <w:bookmarkStart w:id="62" w:name="_Toc30111676"/>
      <w:bookmarkStart w:id="63" w:name="_Toc55233681"/>
      <w:r>
        <w:rPr>
          <w:rFonts w:hint="eastAsia"/>
        </w:rPr>
        <w:t>（一）</w:t>
      </w:r>
      <w:bookmarkEnd w:id="61"/>
      <w:bookmarkEnd w:id="62"/>
      <w:bookmarkEnd w:id="63"/>
      <w:r>
        <w:rPr>
          <w:rFonts w:hint="eastAsia"/>
          <w:lang w:val="en-US" w:eastAsia="zh-CN"/>
        </w:rPr>
        <w:t>规范基层基础工作，提高城乡住户调查质量</w:t>
      </w:r>
    </w:p>
    <w:p>
      <w:r>
        <w:rPr>
          <w:rFonts w:hint="eastAsia" w:eastAsia="仿宋"/>
          <w:bCs w:val="0"/>
          <w:kern w:val="2"/>
          <w:szCs w:val="24"/>
          <w:lang w:val="en-US" w:eastAsia="zh-CN"/>
        </w:rPr>
        <w:t>建立</w:t>
      </w:r>
      <w:r>
        <w:rPr>
          <w:rFonts w:hint="eastAsia"/>
          <w:bCs w:val="0"/>
          <w:kern w:val="2"/>
          <w:szCs w:val="24"/>
          <w:lang w:val="en-US" w:eastAsia="zh-CN"/>
        </w:rPr>
        <w:t>了</w:t>
      </w:r>
      <w:r>
        <w:rPr>
          <w:rFonts w:hint="eastAsia" w:eastAsia="仿宋"/>
          <w:bCs w:val="0"/>
          <w:kern w:val="2"/>
          <w:szCs w:val="24"/>
          <w:lang w:val="en-US" w:eastAsia="zh-CN"/>
        </w:rPr>
        <w:t>住户调查质量管理和责任追究制度、辅助调查员职责及管理制度、记账户工作规范要求及管理制度、住户调查业务和技能培训工作制度；建立</w:t>
      </w:r>
      <w:r>
        <w:rPr>
          <w:rFonts w:hint="eastAsia"/>
          <w:bCs w:val="0"/>
          <w:kern w:val="2"/>
          <w:szCs w:val="24"/>
          <w:lang w:val="en-US" w:eastAsia="zh-CN"/>
        </w:rPr>
        <w:t>了</w:t>
      </w:r>
      <w:r>
        <w:rPr>
          <w:rFonts w:hint="eastAsia" w:eastAsia="仿宋"/>
          <w:bCs w:val="0"/>
          <w:kern w:val="2"/>
          <w:szCs w:val="24"/>
          <w:lang w:val="en-US" w:eastAsia="zh-CN"/>
        </w:rPr>
        <w:t>住户基本情况台账、辅助调查员管理台账、调查员入户记录台账、电话访问记录台账</w:t>
      </w:r>
      <w:r>
        <w:rPr>
          <w:rFonts w:hint="eastAsia"/>
          <w:bCs w:val="0"/>
          <w:kern w:val="2"/>
          <w:szCs w:val="24"/>
          <w:lang w:val="en-US" w:eastAsia="zh-CN"/>
        </w:rPr>
        <w:t>。</w:t>
      </w:r>
    </w:p>
    <w:p>
      <w:pPr>
        <w:pStyle w:val="3"/>
        <w:ind w:firstLine="595"/>
      </w:pPr>
      <w:bookmarkStart w:id="64" w:name="_Toc55233682"/>
      <w:bookmarkStart w:id="65" w:name="_Toc55233728"/>
      <w:r>
        <w:rPr>
          <w:rFonts w:hint="eastAsia"/>
        </w:rPr>
        <w:t>（二）</w:t>
      </w:r>
      <w:bookmarkEnd w:id="64"/>
      <w:bookmarkEnd w:id="65"/>
      <w:r>
        <w:rPr>
          <w:rFonts w:hint="eastAsia"/>
        </w:rPr>
        <w:t>摸清家底</w:t>
      </w:r>
    </w:p>
    <w:p>
      <w:pPr>
        <w:pStyle w:val="3"/>
        <w:ind w:firstLine="593"/>
        <w:rPr>
          <w:rFonts w:ascii="Times New Roman" w:hAnsi="Times New Roman" w:eastAsia="仿宋"/>
          <w:b w:val="0"/>
        </w:rPr>
      </w:pPr>
      <w:bookmarkStart w:id="66" w:name="_Toc55233729"/>
      <w:bookmarkStart w:id="67" w:name="_Toc55233683"/>
      <w:r>
        <w:rPr>
          <w:rFonts w:hint="eastAsia" w:ascii="Times New Roman" w:hAnsi="Times New Roman" w:eastAsia="仿宋"/>
          <w:b w:val="0"/>
        </w:rPr>
        <w:t>通过这次普查，摸清了衡山县第二产业和第三产业的发展规模、布局和效益，了解了</w:t>
      </w:r>
      <w:bookmarkStart w:id="68" w:name="_Hlk57926245"/>
      <w:r>
        <w:rPr>
          <w:rFonts w:hint="eastAsia" w:ascii="Times New Roman" w:hAnsi="Times New Roman" w:eastAsia="仿宋"/>
          <w:b w:val="0"/>
        </w:rPr>
        <w:t>衡山县</w:t>
      </w:r>
      <w:bookmarkEnd w:id="68"/>
      <w:r>
        <w:rPr>
          <w:rFonts w:hint="eastAsia" w:ascii="Times New Roman" w:hAnsi="Times New Roman" w:eastAsia="仿宋"/>
          <w:b w:val="0"/>
        </w:rPr>
        <w:t>产业组织、产业结构、产业技术、产业形态的现状以及各生产要素的构成，掌握了衡山县全部法人单位资产负债状况和新兴产业发展情况，进一步查实了各类单位的基本情况和主要产品产量、服务活动，全面准确反映了衡山县供给侧结构性改革、新动能培育壮大、经济结构优化升级等方面的新进展。</w:t>
      </w:r>
      <w:bookmarkEnd w:id="66"/>
      <w:bookmarkEnd w:id="67"/>
      <w:bookmarkStart w:id="69" w:name="_Toc30111682"/>
    </w:p>
    <w:p>
      <w:pPr>
        <w:pStyle w:val="2"/>
      </w:pPr>
      <w:bookmarkStart w:id="70" w:name="_Toc55233684"/>
      <w:bookmarkStart w:id="71" w:name="_Toc55233730"/>
      <w:bookmarkStart w:id="72" w:name="_Toc55233012"/>
      <w:r>
        <w:rPr>
          <w:rFonts w:hint="eastAsia"/>
        </w:rPr>
        <w:t>七、项目支出存在的问题</w:t>
      </w:r>
      <w:bookmarkEnd w:id="69"/>
      <w:bookmarkEnd w:id="70"/>
      <w:bookmarkEnd w:id="71"/>
      <w:bookmarkEnd w:id="72"/>
    </w:p>
    <w:p>
      <w:pPr>
        <w:pStyle w:val="3"/>
        <w:ind w:firstLine="595"/>
        <w:rPr>
          <w:rFonts w:hint="eastAsia" w:ascii="Arial" w:hAnsi="Arial"/>
          <w:highlight w:val="none"/>
        </w:rPr>
      </w:pPr>
      <w:bookmarkStart w:id="73" w:name="_Toc30111684"/>
      <w:r>
        <w:rPr>
          <w:rFonts w:hint="eastAsia" w:ascii="Arial" w:hAnsi="Arial"/>
          <w:highlight w:val="none"/>
        </w:rPr>
        <w:t>（</w:t>
      </w:r>
      <w:r>
        <w:rPr>
          <w:rFonts w:hint="eastAsia"/>
          <w:highlight w:val="none"/>
        </w:rPr>
        <w:t>一</w:t>
      </w:r>
      <w:r>
        <w:rPr>
          <w:rFonts w:hint="eastAsia" w:ascii="Arial" w:hAnsi="Arial"/>
          <w:highlight w:val="none"/>
        </w:rPr>
        <w:t>）绩效目标细化量化不够</w:t>
      </w:r>
    </w:p>
    <w:p>
      <w:pPr>
        <w:pStyle w:val="3"/>
        <w:ind w:firstLine="593"/>
        <w:rPr>
          <w:rFonts w:hint="eastAsia" w:ascii="Times New Roman" w:hAnsi="Times New Roman" w:eastAsia="仿宋"/>
          <w:b w:val="0"/>
        </w:rPr>
      </w:pPr>
      <w:r>
        <w:rPr>
          <w:rFonts w:hint="eastAsia" w:ascii="Times New Roman" w:hAnsi="Times New Roman" w:eastAsia="仿宋"/>
          <w:b w:val="0"/>
        </w:rPr>
        <w:t>根据现场评价单位提供的绩效自评资料，对专项资金的绩效目标细化量化不足，没有通过清晰、可衡量的指标值予以体现。如：城乡住户一体化、第四次经济普查工作经费、规模以下工业和服务行业调查、小康检测工作经费、2018年新增规模以上工业企业奖励均未设置相应的绩效指标体系。</w:t>
      </w:r>
    </w:p>
    <w:p>
      <w:pPr>
        <w:pStyle w:val="3"/>
        <w:ind w:firstLine="595"/>
        <w:rPr>
          <w:rFonts w:hint="eastAsia" w:ascii="Arial" w:hAnsi="Arial"/>
          <w:highlight w:val="none"/>
        </w:rPr>
      </w:pPr>
      <w:r>
        <w:rPr>
          <w:rFonts w:hint="eastAsia" w:ascii="Arial" w:hAnsi="Arial"/>
          <w:highlight w:val="none"/>
        </w:rPr>
        <w:t>（</w:t>
      </w:r>
      <w:r>
        <w:rPr>
          <w:rFonts w:hint="eastAsia" w:ascii="Arial" w:hAnsi="Arial"/>
          <w:highlight w:val="none"/>
          <w:lang w:val="en-US" w:eastAsia="zh-CN"/>
        </w:rPr>
        <w:t>二</w:t>
      </w:r>
      <w:r>
        <w:rPr>
          <w:rFonts w:hint="eastAsia" w:ascii="Arial" w:hAnsi="Arial"/>
          <w:highlight w:val="none"/>
        </w:rPr>
        <w:t>）绩效自评报告质量有待提高</w:t>
      </w:r>
    </w:p>
    <w:p>
      <w:pPr>
        <w:pStyle w:val="3"/>
        <w:ind w:firstLine="593"/>
        <w:rPr>
          <w:rFonts w:hint="eastAsia" w:ascii="Times New Roman" w:hAnsi="Times New Roman" w:eastAsia="仿宋"/>
          <w:b w:val="0"/>
        </w:rPr>
      </w:pPr>
      <w:r>
        <w:rPr>
          <w:rFonts w:hint="eastAsia" w:ascii="Times New Roman" w:hAnsi="Times New Roman" w:eastAsia="仿宋"/>
          <w:b w:val="0"/>
        </w:rPr>
        <w:t>通过查阅项目绩效自评报告，自评资料报送较为及时、数据基本准确，但存在自评报告过于简单，对项目产出及项目效果未进行全面分析，专项资金设置相应的指标体系，</w:t>
      </w:r>
      <w:r>
        <w:rPr>
          <w:rFonts w:hint="eastAsia" w:ascii="Times New Roman" w:hAnsi="Times New Roman" w:eastAsia="仿宋"/>
          <w:b w:val="0"/>
          <w:lang w:val="en-US" w:eastAsia="zh-CN"/>
        </w:rPr>
        <w:t>但绩效指标不够细化，</w:t>
      </w:r>
      <w:r>
        <w:rPr>
          <w:rFonts w:hint="eastAsia" w:ascii="Times New Roman" w:hAnsi="Times New Roman" w:eastAsia="仿宋"/>
          <w:b w:val="0"/>
        </w:rPr>
        <w:t>绩效自评报告总体质量有待提高。</w:t>
      </w:r>
    </w:p>
    <w:bookmarkEnd w:id="73"/>
    <w:p>
      <w:pPr>
        <w:pStyle w:val="3"/>
        <w:ind w:firstLine="595"/>
        <w:rPr>
          <w:rFonts w:hint="default" w:ascii="Arial" w:hAnsi="Arial" w:eastAsia="楷体"/>
          <w:highlight w:val="none"/>
          <w:lang w:val="en-US" w:eastAsia="zh-CN"/>
        </w:rPr>
      </w:pPr>
      <w:bookmarkStart w:id="74" w:name="_Toc30111686"/>
      <w:bookmarkStart w:id="75" w:name="_Toc55233688"/>
      <w:bookmarkStart w:id="76" w:name="_Toc55233734"/>
      <w:r>
        <w:rPr>
          <w:rFonts w:hint="eastAsia" w:ascii="Arial" w:hAnsi="Arial"/>
          <w:highlight w:val="none"/>
        </w:rPr>
        <w:t>（</w:t>
      </w:r>
      <w:r>
        <w:rPr>
          <w:rFonts w:hint="eastAsia" w:ascii="Arial" w:hAnsi="Arial"/>
          <w:highlight w:val="none"/>
          <w:lang w:val="en-US" w:eastAsia="zh-CN"/>
        </w:rPr>
        <w:t>三</w:t>
      </w:r>
      <w:r>
        <w:rPr>
          <w:rFonts w:hint="eastAsia" w:ascii="Arial" w:hAnsi="Arial"/>
          <w:highlight w:val="none"/>
        </w:rPr>
        <w:t>）</w:t>
      </w:r>
      <w:bookmarkEnd w:id="74"/>
      <w:bookmarkEnd w:id="75"/>
      <w:bookmarkEnd w:id="76"/>
      <w:r>
        <w:rPr>
          <w:rFonts w:hint="eastAsia" w:ascii="Arial" w:hAnsi="Arial"/>
          <w:highlight w:val="none"/>
          <w:lang w:val="en-US" w:eastAsia="zh-CN"/>
        </w:rPr>
        <w:t>项目资金使用不符合规定</w:t>
      </w:r>
    </w:p>
    <w:p>
      <w:pPr>
        <w:ind w:firstLine="593"/>
        <w:rPr>
          <w:highlight w:val="none"/>
        </w:rPr>
      </w:pPr>
      <w:r>
        <w:rPr>
          <w:rFonts w:hint="eastAsia"/>
          <w:kern w:val="0"/>
          <w:highlight w:val="none"/>
        </w:rPr>
        <w:t>如：2019年</w:t>
      </w:r>
      <w:r>
        <w:rPr>
          <w:rFonts w:hint="eastAsia"/>
          <w:kern w:val="0"/>
          <w:highlight w:val="none"/>
          <w:lang w:val="en-US" w:eastAsia="zh-CN"/>
        </w:rPr>
        <w:t>5</w:t>
      </w:r>
      <w:r>
        <w:rPr>
          <w:rFonts w:hint="eastAsia"/>
          <w:kern w:val="0"/>
          <w:highlight w:val="none"/>
        </w:rPr>
        <w:t>月10日下达城乡住户一体化</w:t>
      </w:r>
      <w:r>
        <w:rPr>
          <w:rFonts w:hint="eastAsia"/>
          <w:kern w:val="0"/>
          <w:highlight w:val="none"/>
          <w:lang w:val="en-US" w:eastAsia="zh-CN"/>
        </w:rPr>
        <w:t>项目200,000.00</w:t>
      </w:r>
      <w:r>
        <w:rPr>
          <w:rFonts w:hint="eastAsia"/>
          <w:kern w:val="0"/>
          <w:highlight w:val="none"/>
        </w:rPr>
        <w:t>元（山财预A字（2019）第214号），经查看发现，2019年12月</w:t>
      </w:r>
      <w:r>
        <w:rPr>
          <w:rFonts w:hint="eastAsia"/>
          <w:kern w:val="0"/>
          <w:highlight w:val="none"/>
          <w:lang w:val="en-US" w:eastAsia="zh-CN"/>
        </w:rPr>
        <w:t>1</w:t>
      </w:r>
      <w:r>
        <w:rPr>
          <w:rFonts w:hint="eastAsia"/>
          <w:kern w:val="0"/>
          <w:highlight w:val="none"/>
        </w:rPr>
        <w:t>号凭证用此项目资金支付扶贫工作队通信费0.</w:t>
      </w:r>
      <w:r>
        <w:rPr>
          <w:rFonts w:hint="eastAsia"/>
          <w:kern w:val="0"/>
          <w:highlight w:val="none"/>
          <w:lang w:val="en-US" w:eastAsia="zh-CN"/>
        </w:rPr>
        <w:t>14</w:t>
      </w:r>
      <w:r>
        <w:rPr>
          <w:rFonts w:hint="eastAsia"/>
          <w:kern w:val="0"/>
          <w:highlight w:val="none"/>
        </w:rPr>
        <w:t>万元</w:t>
      </w:r>
      <w:r>
        <w:rPr>
          <w:rFonts w:hint="eastAsia"/>
          <w:kern w:val="0"/>
          <w:highlight w:val="none"/>
          <w:lang w:val="en-US" w:eastAsia="zh-CN"/>
        </w:rPr>
        <w:t>；</w:t>
      </w:r>
      <w:r>
        <w:rPr>
          <w:rFonts w:hint="eastAsia"/>
          <w:kern w:val="0"/>
          <w:highlight w:val="none"/>
        </w:rPr>
        <w:t>2019年12月</w:t>
      </w:r>
      <w:r>
        <w:rPr>
          <w:rFonts w:hint="eastAsia"/>
          <w:kern w:val="0"/>
          <w:highlight w:val="none"/>
          <w:lang w:val="en-US" w:eastAsia="zh-CN"/>
        </w:rPr>
        <w:t>4</w:t>
      </w:r>
      <w:r>
        <w:rPr>
          <w:rFonts w:hint="eastAsia"/>
          <w:kern w:val="0"/>
          <w:highlight w:val="none"/>
        </w:rPr>
        <w:t>号凭证用此项目资金支付联网直报经费（广告牌）</w:t>
      </w:r>
      <w:r>
        <w:rPr>
          <w:rFonts w:hint="eastAsia"/>
          <w:kern w:val="0"/>
          <w:highlight w:val="none"/>
          <w:lang w:val="en-US" w:eastAsia="zh-CN"/>
        </w:rPr>
        <w:t>1.</w:t>
      </w:r>
      <w:r>
        <w:rPr>
          <w:rFonts w:hint="eastAsia"/>
          <w:kern w:val="0"/>
          <w:highlight w:val="none"/>
        </w:rPr>
        <w:t>2万元。2019年</w:t>
      </w:r>
      <w:r>
        <w:rPr>
          <w:rFonts w:hint="eastAsia"/>
          <w:kern w:val="0"/>
          <w:highlight w:val="none"/>
          <w:lang w:val="en-US" w:eastAsia="zh-CN"/>
        </w:rPr>
        <w:t>5</w:t>
      </w:r>
      <w:r>
        <w:rPr>
          <w:rFonts w:hint="eastAsia"/>
          <w:kern w:val="0"/>
          <w:highlight w:val="none"/>
        </w:rPr>
        <w:t>月10日下达第四次经济普查工作经费</w:t>
      </w:r>
      <w:r>
        <w:rPr>
          <w:rFonts w:hint="eastAsia"/>
          <w:kern w:val="0"/>
          <w:highlight w:val="none"/>
          <w:lang w:val="en-US" w:eastAsia="zh-CN"/>
        </w:rPr>
        <w:t>300,000.00</w:t>
      </w:r>
      <w:r>
        <w:rPr>
          <w:rFonts w:hint="eastAsia"/>
          <w:kern w:val="0"/>
          <w:highlight w:val="none"/>
        </w:rPr>
        <w:t>元（山财预A字（2019）第214号），经查看发现，2019年12月</w:t>
      </w:r>
      <w:r>
        <w:rPr>
          <w:rFonts w:hint="eastAsia"/>
          <w:kern w:val="0"/>
          <w:highlight w:val="none"/>
          <w:lang w:val="en-US" w:eastAsia="zh-CN"/>
        </w:rPr>
        <w:t>5</w:t>
      </w:r>
      <w:r>
        <w:rPr>
          <w:rFonts w:hint="eastAsia"/>
          <w:kern w:val="0"/>
          <w:highlight w:val="none"/>
        </w:rPr>
        <w:t>号凭证用此项目资金支付</w:t>
      </w:r>
      <w:r>
        <w:rPr>
          <w:rFonts w:hint="eastAsia"/>
          <w:kern w:val="0"/>
          <w:highlight w:val="none"/>
          <w:lang w:val="en-US" w:eastAsia="zh-CN"/>
        </w:rPr>
        <w:t>工会经</w:t>
      </w:r>
      <w:r>
        <w:rPr>
          <w:rFonts w:hint="eastAsia"/>
          <w:kern w:val="0"/>
          <w:highlight w:val="none"/>
        </w:rPr>
        <w:t>费</w:t>
      </w:r>
      <w:r>
        <w:rPr>
          <w:rFonts w:hint="eastAsia"/>
          <w:kern w:val="0"/>
          <w:highlight w:val="none"/>
          <w:lang w:val="en-US" w:eastAsia="zh-CN"/>
        </w:rPr>
        <w:t>2.62</w:t>
      </w:r>
      <w:r>
        <w:rPr>
          <w:rFonts w:hint="eastAsia"/>
          <w:kern w:val="0"/>
          <w:highlight w:val="none"/>
        </w:rPr>
        <w:t>万元</w:t>
      </w:r>
      <w:r>
        <w:rPr>
          <w:rFonts w:hint="eastAsia"/>
          <w:kern w:val="0"/>
          <w:highlight w:val="none"/>
          <w:lang w:val="en-US" w:eastAsia="zh-CN"/>
        </w:rPr>
        <w:t>；</w:t>
      </w:r>
      <w:r>
        <w:rPr>
          <w:rFonts w:hint="eastAsia"/>
          <w:kern w:val="0"/>
          <w:highlight w:val="none"/>
        </w:rPr>
        <w:t>2019年1</w:t>
      </w:r>
      <w:r>
        <w:rPr>
          <w:rFonts w:hint="eastAsia"/>
          <w:kern w:val="0"/>
          <w:highlight w:val="none"/>
          <w:lang w:val="en-US" w:eastAsia="zh-CN"/>
        </w:rPr>
        <w:t>1</w:t>
      </w:r>
      <w:r>
        <w:rPr>
          <w:rFonts w:hint="eastAsia"/>
          <w:kern w:val="0"/>
          <w:highlight w:val="none"/>
        </w:rPr>
        <w:t>月</w:t>
      </w:r>
      <w:r>
        <w:rPr>
          <w:rFonts w:hint="eastAsia"/>
          <w:kern w:val="0"/>
          <w:highlight w:val="none"/>
          <w:lang w:val="en-US" w:eastAsia="zh-CN"/>
        </w:rPr>
        <w:t>8</w:t>
      </w:r>
      <w:r>
        <w:rPr>
          <w:rFonts w:hint="eastAsia"/>
          <w:kern w:val="0"/>
          <w:highlight w:val="none"/>
        </w:rPr>
        <w:t>号凭证用此项目资金支付2019年11月养老保险医疗保险</w:t>
      </w:r>
      <w:r>
        <w:rPr>
          <w:rFonts w:hint="eastAsia"/>
          <w:kern w:val="0"/>
          <w:highlight w:val="none"/>
          <w:lang w:val="en-US" w:eastAsia="zh-CN"/>
        </w:rPr>
        <w:t>1.04</w:t>
      </w:r>
      <w:r>
        <w:rPr>
          <w:rFonts w:hint="eastAsia"/>
          <w:kern w:val="0"/>
          <w:highlight w:val="none"/>
        </w:rPr>
        <w:t>万元</w:t>
      </w:r>
      <w:r>
        <w:rPr>
          <w:rFonts w:hint="eastAsia"/>
          <w:kern w:val="0"/>
          <w:highlight w:val="none"/>
          <w:lang w:val="en-US" w:eastAsia="zh-CN"/>
        </w:rPr>
        <w:t>；</w:t>
      </w:r>
      <w:r>
        <w:rPr>
          <w:rFonts w:hint="eastAsia"/>
          <w:kern w:val="0"/>
          <w:highlight w:val="none"/>
        </w:rPr>
        <w:t>2019年1</w:t>
      </w:r>
      <w:r>
        <w:rPr>
          <w:rFonts w:hint="eastAsia"/>
          <w:kern w:val="0"/>
          <w:highlight w:val="none"/>
          <w:lang w:val="en-US" w:eastAsia="zh-CN"/>
        </w:rPr>
        <w:t>1</w:t>
      </w:r>
      <w:r>
        <w:rPr>
          <w:rFonts w:hint="eastAsia"/>
          <w:kern w:val="0"/>
          <w:highlight w:val="none"/>
        </w:rPr>
        <w:t>月</w:t>
      </w:r>
      <w:r>
        <w:rPr>
          <w:rFonts w:hint="eastAsia"/>
          <w:kern w:val="0"/>
          <w:highlight w:val="none"/>
          <w:lang w:val="en-US" w:eastAsia="zh-CN"/>
        </w:rPr>
        <w:t>9</w:t>
      </w:r>
      <w:r>
        <w:rPr>
          <w:rFonts w:hint="eastAsia"/>
          <w:kern w:val="0"/>
          <w:highlight w:val="none"/>
        </w:rPr>
        <w:t>号凭证用此项目资金支付县委食堂伙食费</w:t>
      </w:r>
      <w:r>
        <w:rPr>
          <w:rFonts w:hint="eastAsia"/>
          <w:kern w:val="0"/>
          <w:highlight w:val="none"/>
          <w:lang w:val="en-US" w:eastAsia="zh-CN"/>
        </w:rPr>
        <w:t>2.68</w:t>
      </w:r>
      <w:r>
        <w:rPr>
          <w:rFonts w:hint="eastAsia"/>
          <w:kern w:val="0"/>
          <w:highlight w:val="none"/>
        </w:rPr>
        <w:t>万元。经费的设置与项目支出实际内容不相符，</w:t>
      </w:r>
      <w:r>
        <w:rPr>
          <w:rFonts w:hint="eastAsia"/>
          <w:kern w:val="0"/>
          <w:highlight w:val="none"/>
          <w:lang w:val="en-US" w:eastAsia="zh-CN"/>
        </w:rPr>
        <w:t>县统计</w:t>
      </w:r>
      <w:r>
        <w:rPr>
          <w:rFonts w:hint="eastAsia"/>
          <w:kern w:val="0"/>
          <w:highlight w:val="none"/>
        </w:rPr>
        <w:t>局的日常开支（含人员经费开支和公用经费开支）以专项经费的名义安排预算，这显然是不符合专项资金的管理要求的。</w:t>
      </w:r>
    </w:p>
    <w:p>
      <w:pPr>
        <w:pStyle w:val="2"/>
      </w:pPr>
      <w:bookmarkStart w:id="77" w:name="_Toc55233690"/>
      <w:bookmarkStart w:id="78" w:name="_Toc55233736"/>
      <w:bookmarkStart w:id="79" w:name="_Toc30111688"/>
      <w:bookmarkStart w:id="80" w:name="_Toc55233015"/>
      <w:r>
        <w:rPr>
          <w:rFonts w:hint="eastAsia"/>
        </w:rPr>
        <w:t>八、相关建议</w:t>
      </w:r>
      <w:bookmarkEnd w:id="77"/>
      <w:bookmarkEnd w:id="78"/>
      <w:bookmarkEnd w:id="79"/>
      <w:bookmarkEnd w:id="80"/>
    </w:p>
    <w:p>
      <w:pPr>
        <w:pStyle w:val="3"/>
        <w:ind w:firstLine="595"/>
      </w:pPr>
      <w:bookmarkStart w:id="81" w:name="_Toc55233691"/>
      <w:bookmarkStart w:id="82" w:name="_Toc55233737"/>
      <w:r>
        <w:rPr>
          <w:rFonts w:hint="eastAsia"/>
        </w:rPr>
        <w:t>（一）进一步完善专项资金管理制度</w:t>
      </w:r>
      <w:bookmarkEnd w:id="81"/>
      <w:bookmarkEnd w:id="82"/>
    </w:p>
    <w:p>
      <w:pPr>
        <w:ind w:firstLine="593"/>
      </w:pPr>
      <w:r>
        <w:rPr>
          <w:rFonts w:hint="eastAsia"/>
        </w:rPr>
        <w:t>加强各专项资金的监督管理，充分发挥专项资金的效用，建议就每个专项制定一个相应的专项资金管理制度，明确各专项资金的管理机构、管理责任、专项资金的使用范围、会计核算要求、专项资金的预算编制与执行、资产管理、合同管理、决算管理、绩效管理与考评、监督检查等。从制度层面上加以规范并予以落实，确保专款专用、专账核算，发挥专项资金的最大效用。</w:t>
      </w:r>
    </w:p>
    <w:p>
      <w:pPr>
        <w:pStyle w:val="3"/>
        <w:ind w:firstLine="595"/>
      </w:pPr>
      <w:bookmarkStart w:id="83" w:name="_Toc55233738"/>
      <w:bookmarkStart w:id="84" w:name="_Toc55233692"/>
      <w:r>
        <w:rPr>
          <w:rFonts w:hint="eastAsia"/>
        </w:rPr>
        <w:t>（二）进一步细化、量化项目绩效目标</w:t>
      </w:r>
      <w:bookmarkEnd w:id="83"/>
      <w:bookmarkEnd w:id="84"/>
    </w:p>
    <w:p>
      <w:pPr>
        <w:ind w:firstLine="593"/>
      </w:pPr>
      <w:r>
        <w:rPr>
          <w:rFonts w:hint="eastAsia"/>
        </w:rPr>
        <w:t>绩效目标的设置是项目成果验收的重要标志，因此，绩效目标尽量要做到细化、量化，便于客观评价和检验。</w:t>
      </w:r>
      <w:r>
        <w:rPr>
          <w:rFonts w:hint="eastAsia"/>
          <w:lang w:val="en-US" w:eastAsia="zh-CN"/>
        </w:rPr>
        <w:t>县统计</w:t>
      </w:r>
      <w:r>
        <w:rPr>
          <w:rFonts w:hint="eastAsia"/>
        </w:rPr>
        <w:t>局专项资金没有设置绩效目标，这样不便于项目绩效考评。建议</w:t>
      </w:r>
      <w:r>
        <w:rPr>
          <w:rFonts w:hint="eastAsia"/>
          <w:lang w:val="en-US" w:eastAsia="zh-CN"/>
        </w:rPr>
        <w:t>县统计</w:t>
      </w:r>
      <w:r>
        <w:rPr>
          <w:rFonts w:hint="eastAsia"/>
        </w:rPr>
        <w:t>局针对每个专项进行专门论证，明确每个专项的绩效考核指标和考核办法，以绩效为导向，促进项目设置、项目管理和项目实施的协调统一，充分发挥财政资金的最大效益。</w:t>
      </w:r>
    </w:p>
    <w:p>
      <w:pPr>
        <w:pStyle w:val="2"/>
        <w:rPr>
          <w:kern w:val="0"/>
        </w:rPr>
      </w:pPr>
      <w:bookmarkStart w:id="85" w:name="_Toc55233739"/>
      <w:bookmarkStart w:id="86" w:name="_Toc30111692"/>
      <w:bookmarkStart w:id="87" w:name="_Toc55233693"/>
      <w:bookmarkStart w:id="88" w:name="_Toc55233016"/>
      <w:r>
        <w:rPr>
          <w:rFonts w:hint="eastAsia"/>
          <w:kern w:val="0"/>
        </w:rPr>
        <w:t>九、绩效评分情况</w:t>
      </w:r>
      <w:bookmarkEnd w:id="85"/>
      <w:bookmarkEnd w:id="86"/>
      <w:bookmarkEnd w:id="87"/>
      <w:bookmarkEnd w:id="88"/>
    </w:p>
    <w:p>
      <w:pPr>
        <w:ind w:firstLine="593"/>
      </w:pPr>
      <w:r>
        <w:rPr>
          <w:rFonts w:hint="eastAsia"/>
          <w:color w:val="000000"/>
          <w:kern w:val="0"/>
          <w:szCs w:val="28"/>
        </w:rPr>
        <w:t>根据《湖南省人民政府关于全面推进预算绩效管理的意见》（湘政发〔</w:t>
      </w:r>
      <w:r>
        <w:rPr>
          <w:color w:val="000000"/>
          <w:kern w:val="0"/>
          <w:szCs w:val="28"/>
        </w:rPr>
        <w:t>2012</w:t>
      </w:r>
      <w:r>
        <w:rPr>
          <w:rFonts w:hint="eastAsia"/>
          <w:color w:val="000000"/>
          <w:kern w:val="0"/>
          <w:szCs w:val="28"/>
        </w:rPr>
        <w:t>〕</w:t>
      </w:r>
      <w:r>
        <w:rPr>
          <w:color w:val="000000"/>
          <w:kern w:val="0"/>
          <w:szCs w:val="28"/>
        </w:rPr>
        <w:t>33</w:t>
      </w:r>
      <w:r>
        <w:rPr>
          <w:rFonts w:hint="eastAsia"/>
          <w:color w:val="000000"/>
          <w:kern w:val="0"/>
          <w:szCs w:val="28"/>
        </w:rPr>
        <w:t>号）、</w:t>
      </w:r>
      <w:r>
        <w:rPr>
          <w:rFonts w:hint="eastAsia"/>
          <w:kern w:val="0"/>
        </w:rPr>
        <w:t>《衡山县财政局关于对</w:t>
      </w:r>
      <w:r>
        <w:rPr>
          <w:kern w:val="0"/>
        </w:rPr>
        <w:t>201</w:t>
      </w:r>
      <w:r>
        <w:rPr>
          <w:rFonts w:hint="eastAsia"/>
          <w:kern w:val="0"/>
        </w:rPr>
        <w:t>9年度部分县级财政支出项目及部门整体支出开展现场绩效评价的通知》</w:t>
      </w:r>
      <w:r>
        <w:rPr>
          <w:rFonts w:hint="eastAsia"/>
          <w:color w:val="000000"/>
          <w:kern w:val="0"/>
          <w:szCs w:val="28"/>
        </w:rPr>
        <w:t>等相关文件，截止现场评价日，衡山县统计局</w:t>
      </w:r>
      <w:r>
        <w:rPr>
          <w:rFonts w:hint="eastAsia"/>
          <w:kern w:val="0"/>
          <w:highlight w:val="none"/>
        </w:rPr>
        <w:t>城乡住户一体化</w:t>
      </w:r>
      <w:r>
        <w:rPr>
          <w:rFonts w:hint="eastAsia"/>
          <w:kern w:val="0"/>
          <w:highlight w:val="none"/>
          <w:lang w:eastAsia="zh-CN"/>
        </w:rPr>
        <w:t>、</w:t>
      </w:r>
      <w:r>
        <w:rPr>
          <w:rFonts w:hint="eastAsia"/>
          <w:kern w:val="0"/>
          <w:highlight w:val="none"/>
        </w:rPr>
        <w:t>第四次经济普查工作经费</w:t>
      </w:r>
      <w:r>
        <w:rPr>
          <w:rFonts w:hint="eastAsia"/>
        </w:rPr>
        <w:t>对等</w:t>
      </w:r>
      <w:r>
        <w:rPr>
          <w:rFonts w:hint="eastAsia"/>
          <w:lang w:val="en-US" w:eastAsia="zh-CN"/>
        </w:rPr>
        <w:t>2</w:t>
      </w:r>
      <w:r>
        <w:rPr>
          <w:rFonts w:hint="eastAsia"/>
        </w:rPr>
        <w:t>个专项</w:t>
      </w:r>
      <w:r>
        <w:rPr>
          <w:rFonts w:hint="eastAsia"/>
          <w:kern w:val="0"/>
        </w:rPr>
        <w:t>项目</w:t>
      </w:r>
      <w:r>
        <w:rPr>
          <w:rFonts w:hint="eastAsia"/>
        </w:rPr>
        <w:t>建立了相关项目管理办法，规范了实施程序，项目</w:t>
      </w:r>
      <w:r>
        <w:rPr>
          <w:rFonts w:hint="eastAsia"/>
          <w:color w:val="000000"/>
          <w:kern w:val="0"/>
          <w:szCs w:val="28"/>
        </w:rPr>
        <w:t>任务基本达到预期目标，总体上达到了预期的经济效益和社会效益</w:t>
      </w:r>
      <w:r>
        <w:rPr>
          <w:rFonts w:hint="eastAsia"/>
        </w:rPr>
        <w:t>。绩效评价工作组从项目决策、项目管理、项目产出和项目效益等方面对县</w:t>
      </w:r>
      <w:r>
        <w:rPr>
          <w:rFonts w:hint="eastAsia"/>
          <w:lang w:val="en-US" w:eastAsia="zh-CN"/>
        </w:rPr>
        <w:t>统计</w:t>
      </w:r>
      <w:r>
        <w:rPr>
          <w:rFonts w:hint="eastAsia"/>
        </w:rPr>
        <w:t>局</w:t>
      </w:r>
      <w:r>
        <w:t>201</w:t>
      </w:r>
      <w:r>
        <w:rPr>
          <w:rFonts w:hint="eastAsia"/>
        </w:rPr>
        <w:t>9年</w:t>
      </w:r>
      <w:r>
        <w:rPr>
          <w:rFonts w:hint="eastAsia"/>
          <w:kern w:val="0"/>
          <w:highlight w:val="none"/>
        </w:rPr>
        <w:t>城乡住户一体化</w:t>
      </w:r>
      <w:r>
        <w:rPr>
          <w:rFonts w:hint="eastAsia"/>
        </w:rPr>
        <w:t>等</w:t>
      </w:r>
      <w:r>
        <w:rPr>
          <w:rFonts w:hint="eastAsia"/>
          <w:lang w:val="en-US" w:eastAsia="zh-CN"/>
        </w:rPr>
        <w:t>2</w:t>
      </w:r>
      <w:r>
        <w:rPr>
          <w:rFonts w:hint="eastAsia"/>
        </w:rPr>
        <w:t>个专项资金项目进行了综合评价，综合评分为</w:t>
      </w:r>
      <w:r>
        <w:rPr>
          <w:rFonts w:hint="eastAsia"/>
          <w:highlight w:val="none"/>
        </w:rPr>
        <w:t>8</w:t>
      </w:r>
      <w:r>
        <w:rPr>
          <w:rFonts w:hint="eastAsia"/>
          <w:highlight w:val="none"/>
          <w:lang w:val="en-US" w:eastAsia="zh-CN"/>
        </w:rPr>
        <w:t>3</w:t>
      </w:r>
      <w:r>
        <w:rPr>
          <w:rFonts w:hint="eastAsia"/>
        </w:rPr>
        <w:t>分，</w:t>
      </w:r>
      <w:r>
        <w:rPr>
          <w:rFonts w:hint="eastAsia"/>
          <w:color w:val="000000"/>
          <w:kern w:val="0"/>
          <w:szCs w:val="28"/>
        </w:rPr>
        <w:t>评价等次为良</w:t>
      </w:r>
      <w:r>
        <w:rPr>
          <w:rFonts w:hint="eastAsia"/>
        </w:rPr>
        <w:t>。</w:t>
      </w:r>
    </w:p>
    <w:p>
      <w:pPr>
        <w:ind w:firstLine="593"/>
        <w:rPr>
          <w:rFonts w:ascii="仿宋"/>
          <w:kern w:val="0"/>
        </w:rPr>
      </w:pPr>
      <w:r>
        <w:rPr>
          <w:rFonts w:hint="eastAsia" w:ascii="仿宋" w:hAnsi="仿宋"/>
          <w:kern w:val="0"/>
        </w:rPr>
        <w:t>附件一：</w:t>
      </w:r>
      <w:r>
        <w:rPr>
          <w:rFonts w:ascii="仿宋" w:hAnsi="仿宋"/>
          <w:kern w:val="0"/>
        </w:rPr>
        <w:t>201</w:t>
      </w:r>
      <w:r>
        <w:rPr>
          <w:rFonts w:hint="eastAsia" w:ascii="仿宋" w:hAnsi="仿宋"/>
          <w:kern w:val="0"/>
        </w:rPr>
        <w:t>9年度衡山县统计局项目资金绩效评价指标及评分表</w:t>
      </w:r>
    </w:p>
    <w:p>
      <w:pPr>
        <w:ind w:firstLine="593"/>
        <w:rPr>
          <w:rFonts w:ascii="仿宋"/>
          <w:kern w:val="0"/>
        </w:rPr>
      </w:pPr>
    </w:p>
    <w:p>
      <w:pPr>
        <w:ind w:firstLine="593"/>
        <w:rPr>
          <w:rFonts w:ascii="仿宋"/>
          <w:kern w:val="0"/>
        </w:rPr>
      </w:pPr>
    </w:p>
    <w:p>
      <w:pPr>
        <w:ind w:firstLine="593"/>
        <w:rPr>
          <w:rFonts w:ascii="仿宋"/>
          <w:kern w:val="0"/>
        </w:rPr>
      </w:pPr>
    </w:p>
    <w:p>
      <w:pPr>
        <w:ind w:firstLine="593"/>
        <w:rPr>
          <w:rFonts w:ascii="仿宋"/>
          <w:kern w:val="0"/>
        </w:rPr>
      </w:pPr>
    </w:p>
    <w:p>
      <w:pPr>
        <w:ind w:firstLine="593"/>
        <w:rPr>
          <w:rFonts w:ascii="仿宋"/>
          <w:kern w:val="0"/>
        </w:rPr>
      </w:pPr>
    </w:p>
    <w:p>
      <w:pPr>
        <w:ind w:firstLine="593"/>
        <w:rPr>
          <w:rFonts w:ascii="仿宋"/>
          <w:kern w:val="0"/>
        </w:rPr>
      </w:pPr>
    </w:p>
    <w:p>
      <w:pPr>
        <w:ind w:firstLine="593"/>
        <w:rPr>
          <w:rFonts w:ascii="仿宋"/>
          <w:kern w:val="0"/>
        </w:rPr>
      </w:pPr>
    </w:p>
    <w:p>
      <w:pPr>
        <w:ind w:firstLine="593"/>
        <w:rPr>
          <w:rFonts w:ascii="仿宋"/>
          <w:kern w:val="0"/>
        </w:rPr>
      </w:pPr>
    </w:p>
    <w:tbl>
      <w:tblPr>
        <w:tblStyle w:val="17"/>
        <w:tblW w:w="0" w:type="auto"/>
        <w:jc w:val="center"/>
        <w:tblLayout w:type="fixed"/>
        <w:tblCellMar>
          <w:top w:w="0" w:type="dxa"/>
          <w:left w:w="108" w:type="dxa"/>
          <w:bottom w:w="0" w:type="dxa"/>
          <w:right w:w="108" w:type="dxa"/>
        </w:tblCellMar>
      </w:tblPr>
      <w:tblGrid>
        <w:gridCol w:w="4814"/>
        <w:gridCol w:w="3402"/>
      </w:tblGrid>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pPr>
            <w:r>
              <w:rPr>
                <w:rFonts w:hint="eastAsia" w:hAnsi="仿宋"/>
              </w:rPr>
              <w:t>湖南宏丰益联合会计师事务所</w:t>
            </w:r>
          </w:p>
        </w:tc>
        <w:tc>
          <w:tcPr>
            <w:tcW w:w="3402" w:type="dxa"/>
            <w:vAlign w:val="center"/>
          </w:tcPr>
          <w:p>
            <w:pPr>
              <w:ind w:firstLine="0" w:firstLineChars="0"/>
            </w:pPr>
            <w:r>
              <w:rPr>
                <w:rFonts w:hint="eastAsia" w:hAnsi="仿宋"/>
              </w:rPr>
              <w:t>中国注册会计师：</w:t>
            </w: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pPr>
          </w:p>
          <w:p>
            <w:pPr>
              <w:ind w:firstLine="0" w:firstLineChars="0"/>
            </w:pPr>
          </w:p>
        </w:tc>
        <w:tc>
          <w:tcPr>
            <w:tcW w:w="3402" w:type="dxa"/>
            <w:vAlign w:val="center"/>
          </w:tcPr>
          <w:p>
            <w:pPr>
              <w:ind w:firstLine="0" w:firstLineChars="0"/>
            </w:pP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pPr>
          </w:p>
        </w:tc>
        <w:tc>
          <w:tcPr>
            <w:tcW w:w="3402" w:type="dxa"/>
            <w:vAlign w:val="center"/>
          </w:tcPr>
          <w:p>
            <w:pPr>
              <w:ind w:firstLine="0" w:firstLineChars="0"/>
            </w:pPr>
            <w:r>
              <w:rPr>
                <w:rFonts w:hint="eastAsia" w:hAnsi="仿宋"/>
              </w:rPr>
              <w:t>中国注册会计师：</w:t>
            </w:r>
          </w:p>
        </w:tc>
      </w:tr>
      <w:tr>
        <w:tblPrEx>
          <w:tblCellMar>
            <w:top w:w="0" w:type="dxa"/>
            <w:left w:w="108" w:type="dxa"/>
            <w:bottom w:w="0" w:type="dxa"/>
            <w:right w:w="108" w:type="dxa"/>
          </w:tblCellMar>
        </w:tblPrEx>
        <w:trPr>
          <w:gridAfter w:val="1"/>
          <w:wAfter w:w="3402" w:type="dxa"/>
          <w:trHeight w:val="284" w:hRule="atLeast"/>
          <w:jc w:val="center"/>
        </w:trPr>
        <w:tc>
          <w:tcPr>
            <w:tcW w:w="4814" w:type="dxa"/>
            <w:vAlign w:val="center"/>
          </w:tcPr>
          <w:p>
            <w:pPr>
              <w:ind w:firstLine="0" w:firstLineChars="0"/>
            </w:pPr>
          </w:p>
          <w:p>
            <w:pPr>
              <w:ind w:firstLine="0" w:firstLineChars="0"/>
            </w:pPr>
          </w:p>
        </w:tc>
      </w:tr>
      <w:tr>
        <w:tblPrEx>
          <w:tblCellMar>
            <w:top w:w="0" w:type="dxa"/>
            <w:left w:w="108" w:type="dxa"/>
            <w:bottom w:w="0" w:type="dxa"/>
            <w:right w:w="108" w:type="dxa"/>
          </w:tblCellMar>
        </w:tblPrEx>
        <w:trPr>
          <w:trHeight w:val="284" w:hRule="atLeast"/>
          <w:jc w:val="center"/>
        </w:trPr>
        <w:tc>
          <w:tcPr>
            <w:tcW w:w="8216" w:type="dxa"/>
            <w:gridSpan w:val="2"/>
            <w:vAlign w:val="center"/>
          </w:tcPr>
          <w:p>
            <w:pPr>
              <w:ind w:firstLine="0" w:firstLineChars="0"/>
            </w:pPr>
            <w:r>
              <w:rPr>
                <w:rFonts w:hint="eastAsia" w:hAnsi="仿宋"/>
              </w:rPr>
              <w:t>地址：湖南</w:t>
            </w:r>
            <w:r>
              <w:t>·</w:t>
            </w:r>
            <w:r>
              <w:rPr>
                <w:rFonts w:hint="eastAsia" w:hAnsi="仿宋"/>
              </w:rPr>
              <w:t>长沙</w:t>
            </w:r>
            <w:r>
              <w:rPr>
                <w:rFonts w:hAnsi="仿宋"/>
              </w:rPr>
              <w:t xml:space="preserve">                </w:t>
            </w:r>
            <w:r>
              <w:rPr>
                <w:rFonts w:hint="eastAsia" w:hAnsi="仿宋"/>
              </w:rPr>
              <w:t xml:space="preserve"> 二</w:t>
            </w:r>
            <w:r>
              <w:rPr>
                <w:rFonts w:hint="eastAsia"/>
              </w:rPr>
              <w:t>〇</w:t>
            </w:r>
            <w:r>
              <w:rPr>
                <w:rFonts w:hint="eastAsia" w:hAnsi="仿宋"/>
              </w:rPr>
              <w:t>二</w:t>
            </w:r>
            <w:r>
              <w:rPr>
                <w:rFonts w:hint="eastAsia"/>
              </w:rPr>
              <w:t>〇</w:t>
            </w:r>
            <w:r>
              <w:rPr>
                <w:rFonts w:hint="eastAsia" w:hAnsi="仿宋"/>
              </w:rPr>
              <w:t>年十</w:t>
            </w:r>
            <w:r>
              <w:rPr>
                <w:rFonts w:hint="eastAsia" w:hAnsi="仿宋"/>
                <w:lang w:val="en-US" w:eastAsia="zh-CN"/>
              </w:rPr>
              <w:t>一</w:t>
            </w:r>
            <w:r>
              <w:rPr>
                <w:rFonts w:hint="eastAsia" w:hAnsi="仿宋"/>
              </w:rPr>
              <w:t>月二日</w:t>
            </w:r>
          </w:p>
        </w:tc>
      </w:tr>
    </w:tbl>
    <w:p>
      <w:pPr>
        <w:ind w:firstLine="0" w:firstLineChars="0"/>
        <w:rPr>
          <w:rFonts w:hAnsi="仿宋"/>
        </w:rPr>
        <w:sectPr>
          <w:footerReference r:id="rId10" w:type="default"/>
          <w:pgSz w:w="11905" w:h="16838"/>
          <w:pgMar w:top="1440" w:right="1803" w:bottom="1440" w:left="1803" w:header="851" w:footer="992" w:gutter="0"/>
          <w:pgNumType w:start="1"/>
          <w:cols w:space="0" w:num="1"/>
          <w:docGrid w:type="linesAndChars" w:linePitch="634" w:charSpace="-4835"/>
        </w:sectPr>
      </w:pPr>
    </w:p>
    <w:tbl>
      <w:tblPr>
        <w:tblStyle w:val="17"/>
        <w:tblpPr w:leftFromText="180" w:rightFromText="180" w:vertAnchor="text" w:horzAnchor="page" w:tblpXSpec="center" w:tblpY="613"/>
        <w:tblOverlap w:val="never"/>
        <w:tblW w:w="5000" w:type="pct"/>
        <w:jc w:val="center"/>
        <w:shd w:val="clear" w:color="auto" w:fill="auto"/>
        <w:tblLayout w:type="fixed"/>
        <w:tblCellMar>
          <w:top w:w="0" w:type="dxa"/>
          <w:left w:w="0" w:type="dxa"/>
          <w:bottom w:w="0" w:type="dxa"/>
          <w:right w:w="0" w:type="dxa"/>
        </w:tblCellMar>
      </w:tblPr>
      <w:tblGrid>
        <w:gridCol w:w="833"/>
        <w:gridCol w:w="834"/>
        <w:gridCol w:w="1189"/>
        <w:gridCol w:w="2398"/>
        <w:gridCol w:w="1169"/>
        <w:gridCol w:w="828"/>
        <w:gridCol w:w="3150"/>
        <w:gridCol w:w="2675"/>
        <w:gridCol w:w="912"/>
      </w:tblGrid>
      <w:tr>
        <w:tblPrEx>
          <w:tblCellMar>
            <w:top w:w="0" w:type="dxa"/>
            <w:left w:w="0" w:type="dxa"/>
            <w:bottom w:w="0" w:type="dxa"/>
            <w:right w:w="0" w:type="dxa"/>
          </w:tblCellMar>
        </w:tblPrEx>
        <w:trPr>
          <w:trHeight w:val="540" w:hRule="atLeast"/>
          <w:jc w:val="center"/>
        </w:trPr>
        <w:tc>
          <w:tcPr>
            <w:tcW w:w="5000" w:type="pct"/>
            <w:gridSpan w:val="9"/>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8"/>
                <w:szCs w:val="28"/>
                <w:u w:val="none"/>
              </w:rPr>
            </w:pPr>
            <w:bookmarkStart w:id="89" w:name="_Toc55233017"/>
            <w:bookmarkStart w:id="90" w:name="_Toc55233740"/>
            <w:bookmarkStart w:id="91" w:name="_Toc30111693"/>
            <w:bookmarkStart w:id="92" w:name="_Toc55233694"/>
            <w:r>
              <w:rPr>
                <w:rFonts w:hint="default" w:ascii="Times New Roman" w:hAnsi="Times New Roman" w:eastAsia="宋体" w:cs="Times New Roman"/>
                <w:i w:val="0"/>
                <w:color w:val="000000"/>
                <w:kern w:val="0"/>
                <w:sz w:val="28"/>
                <w:szCs w:val="28"/>
                <w:u w:val="none"/>
                <w:lang w:val="en-US" w:eastAsia="zh-CN" w:bidi="ar"/>
              </w:rPr>
              <w:t>2019</w:t>
            </w:r>
            <w:r>
              <w:rPr>
                <w:rStyle w:val="33"/>
                <w:lang w:val="en-US" w:eastAsia="zh-CN" w:bidi="ar"/>
              </w:rPr>
              <w:t>年度衡山县统计局项目资金绩效评价指标及评分表</w:t>
            </w:r>
          </w:p>
        </w:tc>
      </w:tr>
      <w:tr>
        <w:tblPrEx>
          <w:shd w:val="clear" w:color="auto" w:fill="auto"/>
          <w:tblCellMar>
            <w:top w:w="0" w:type="dxa"/>
            <w:left w:w="0" w:type="dxa"/>
            <w:bottom w:w="0" w:type="dxa"/>
            <w:right w:w="0" w:type="dxa"/>
          </w:tblCellMar>
        </w:tblPrEx>
        <w:trPr>
          <w:trHeight w:val="480" w:hRule="atLeast"/>
          <w:jc w:val="center"/>
        </w:trPr>
        <w:tc>
          <w:tcPr>
            <w:tcW w:w="2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2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具体指标</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评价标准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评分说明</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评价得分</w:t>
            </w:r>
          </w:p>
        </w:tc>
      </w:tr>
      <w:tr>
        <w:tblPrEx>
          <w:tblCellMar>
            <w:top w:w="0" w:type="dxa"/>
            <w:left w:w="0" w:type="dxa"/>
            <w:bottom w:w="0" w:type="dxa"/>
            <w:right w:w="0" w:type="dxa"/>
          </w:tblCellMar>
        </w:tblPrEx>
        <w:trPr>
          <w:trHeight w:val="480" w:hRule="atLeast"/>
          <w:jc w:val="center"/>
        </w:trPr>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投入</w:t>
            </w:r>
            <w:r>
              <w:rPr>
                <w:rStyle w:val="34"/>
                <w:rFonts w:eastAsia="宋体"/>
                <w:lang w:val="en-US" w:eastAsia="zh-CN" w:bidi="ar"/>
              </w:rPr>
              <w:t>(20</w:t>
            </w:r>
            <w:r>
              <w:rPr>
                <w:rStyle w:val="35"/>
                <w:rFonts w:ascii="宋体" w:hAnsi="宋体" w:eastAsia="宋体" w:cs="宋体"/>
                <w:sz w:val="24"/>
                <w:szCs w:val="24"/>
                <w:lang w:val="en-US" w:eastAsia="zh-CN" w:bidi="ar"/>
              </w:rPr>
              <w:t>分）</w:t>
            </w:r>
          </w:p>
        </w:tc>
        <w:tc>
          <w:tcPr>
            <w:tcW w:w="2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项目目标</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目标内容</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项目目标明确、细化、量化</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项目目标明确、细化、量化的，计3分；反之，酌情扣分。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项目目标明确，但未进行细化、量化，扣1分。</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2 </w:t>
            </w:r>
          </w:p>
        </w:tc>
      </w:tr>
      <w:tr>
        <w:tblPrEx>
          <w:tblCellMar>
            <w:top w:w="0" w:type="dxa"/>
            <w:left w:w="0" w:type="dxa"/>
            <w:bottom w:w="0" w:type="dxa"/>
            <w:right w:w="0" w:type="dxa"/>
          </w:tblCellMar>
        </w:tblPrEx>
        <w:trPr>
          <w:trHeight w:val="480"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绩效目标合理性</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项目所设定的绩效目标依椐充分、符合客观实际</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项目所设定的绩效目标依椐充分、符合客观实际的，计3分；反之，酌情扣分。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项目所设定的绩效目标依椐充分、符合客观实际。</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3 </w:t>
            </w:r>
          </w:p>
        </w:tc>
      </w:tr>
      <w:tr>
        <w:tblPrEx>
          <w:tblCellMar>
            <w:top w:w="0" w:type="dxa"/>
            <w:left w:w="0" w:type="dxa"/>
            <w:bottom w:w="0" w:type="dxa"/>
            <w:right w:w="0" w:type="dxa"/>
          </w:tblCellMar>
        </w:tblPrEx>
        <w:trPr>
          <w:trHeight w:val="690"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绩效指标明确性</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绩效目标设定的绩效指标清晰、细化、可衡量</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绩效目标设定的绩效指标清晰、细化、可衡量的，与项目年度任务数相对应的，计3分；反之，酌情扣分。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绩效目标设定的绩效指标不够细化、基本可衡量，与项目年度任务数基本相对应，扣1分。</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2 </w:t>
            </w:r>
          </w:p>
        </w:tc>
      </w:tr>
      <w:tr>
        <w:tblPrEx>
          <w:tblCellMar>
            <w:top w:w="0" w:type="dxa"/>
            <w:left w:w="0" w:type="dxa"/>
            <w:bottom w:w="0" w:type="dxa"/>
            <w:right w:w="0" w:type="dxa"/>
          </w:tblCellMar>
        </w:tblPrEx>
        <w:trPr>
          <w:trHeight w:val="480"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项目决策</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信息公开</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相关政策、制度和项目申报通知在特定渠道公开</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政策、制度公开1分；受助对象公开1分。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按文件规定对项目政策、制度公开进行公开。</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2 </w:t>
            </w:r>
          </w:p>
        </w:tc>
      </w:tr>
      <w:tr>
        <w:tblPrEx>
          <w:shd w:val="clear" w:color="auto" w:fill="auto"/>
          <w:tblCellMar>
            <w:top w:w="0" w:type="dxa"/>
            <w:left w:w="0" w:type="dxa"/>
            <w:bottom w:w="0" w:type="dxa"/>
            <w:right w:w="0" w:type="dxa"/>
          </w:tblCellMar>
        </w:tblPrEx>
        <w:trPr>
          <w:trHeight w:val="960"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资金落实</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资金到位率</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实际到位资金与上级财政下达资金的比率</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项目专项资金到位率=100%：计5分；99%-90%：计</w:t>
            </w:r>
            <w:bookmarkStart w:id="93" w:name="_GoBack"/>
            <w:bookmarkEnd w:id="93"/>
            <w:r>
              <w:rPr>
                <w:rFonts w:hint="eastAsia" w:ascii="宋体" w:hAnsi="宋体" w:eastAsia="宋体" w:cs="宋体"/>
                <w:i w:val="0"/>
                <w:color w:val="000000"/>
                <w:kern w:val="0"/>
                <w:sz w:val="18"/>
                <w:szCs w:val="18"/>
                <w:u w:val="none"/>
                <w:lang w:val="en-US" w:eastAsia="zh-CN" w:bidi="ar"/>
              </w:rPr>
              <w:t>4分；89%-80%：计3分；80%以下的：计0分。项目专项资金到位率=实际到位资金/上级财政下达资金*100%</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已及时收到所有专项资金。</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5 </w:t>
            </w:r>
          </w:p>
        </w:tc>
      </w:tr>
      <w:tr>
        <w:tblPrEx>
          <w:shd w:val="clear" w:color="auto" w:fill="auto"/>
          <w:tblCellMar>
            <w:top w:w="0" w:type="dxa"/>
            <w:left w:w="0" w:type="dxa"/>
            <w:bottom w:w="0" w:type="dxa"/>
            <w:right w:w="0" w:type="dxa"/>
          </w:tblCellMar>
        </w:tblPrEx>
        <w:trPr>
          <w:trHeight w:val="480"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资金到位及时率</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从指标下达日开始算起</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4</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及时到位的，计4分；未及时到位但未影响工作进度的，计3分；未及时到位并影响工作进度的，计0分。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项目资金已及时到位。</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4 </w:t>
            </w:r>
          </w:p>
        </w:tc>
      </w:tr>
      <w:tr>
        <w:tblPrEx>
          <w:tblCellMar>
            <w:top w:w="0" w:type="dxa"/>
            <w:left w:w="0" w:type="dxa"/>
            <w:bottom w:w="0" w:type="dxa"/>
            <w:right w:w="0" w:type="dxa"/>
          </w:tblCellMar>
        </w:tblPrEx>
        <w:trPr>
          <w:trHeight w:val="705" w:hRule="atLeast"/>
          <w:jc w:val="center"/>
        </w:trPr>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过程（</w:t>
            </w:r>
            <w:r>
              <w:rPr>
                <w:rStyle w:val="34"/>
                <w:rFonts w:eastAsia="宋体"/>
                <w:lang w:val="en-US" w:eastAsia="zh-CN" w:bidi="ar"/>
              </w:rPr>
              <w:t>30</w:t>
            </w:r>
            <w:r>
              <w:rPr>
                <w:rStyle w:val="35"/>
                <w:rFonts w:ascii="宋体" w:hAnsi="宋体" w:eastAsia="宋体" w:cs="宋体"/>
                <w:sz w:val="24"/>
                <w:szCs w:val="24"/>
                <w:lang w:val="en-US" w:eastAsia="zh-CN" w:bidi="ar"/>
              </w:rPr>
              <w:t>分）</w:t>
            </w:r>
          </w:p>
        </w:tc>
        <w:tc>
          <w:tcPr>
            <w:tcW w:w="298" w:type="pct"/>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业务管理</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管理制度健全性</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制定了健全的业务管理制度</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建立了业务管理制度且内容完善，计3分；建立了业务管理制度但内容不完善，计2分；未建立业务管理制度的，计0分。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未建立了业务管理制度，得0分。</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0 </w:t>
            </w:r>
          </w:p>
        </w:tc>
      </w:tr>
      <w:tr>
        <w:tblPrEx>
          <w:shd w:val="clear" w:color="auto" w:fill="auto"/>
        </w:tblPrEx>
        <w:trPr>
          <w:trHeight w:val="720"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项目执行有效性</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业务管理制度有效性</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项目实施符合相关文件规定，计3分；项目实施基本符合相关文件规定，计2分；项目实施不符合相关文件规定，计0分；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项目实施基本符合相关文件规定，扣1分。</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2 </w:t>
            </w:r>
          </w:p>
        </w:tc>
      </w:tr>
      <w:tr>
        <w:tblPrEx>
          <w:shd w:val="clear" w:color="auto" w:fill="auto"/>
          <w:tblCellMar>
            <w:top w:w="0" w:type="dxa"/>
            <w:left w:w="0" w:type="dxa"/>
            <w:bottom w:w="0" w:type="dxa"/>
            <w:right w:w="0" w:type="dxa"/>
          </w:tblCellMar>
        </w:tblPrEx>
        <w:trPr>
          <w:trHeight w:val="945"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项目质量可控性</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相关质量控制的措施</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4</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采取了相关质量控制措施，且项目质量可控的，计4分；采取了相关质量控制措施，项目质量基本可控的，计2分；未采取相关质量控制措施的，计0分。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采取了相关质量控制措施，项目质量基本可控，扣2分。</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2 </w:t>
            </w:r>
          </w:p>
        </w:tc>
      </w:tr>
      <w:tr>
        <w:tblPrEx>
          <w:shd w:val="clear" w:color="auto" w:fill="auto"/>
          <w:tblCellMar>
            <w:top w:w="0" w:type="dxa"/>
            <w:left w:w="0" w:type="dxa"/>
            <w:bottom w:w="0" w:type="dxa"/>
            <w:right w:w="0" w:type="dxa"/>
          </w:tblCellMar>
        </w:tblPrEx>
        <w:trPr>
          <w:trHeight w:val="705"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财务管理</w:t>
            </w:r>
          </w:p>
        </w:tc>
        <w:tc>
          <w:tcPr>
            <w:tcW w:w="425"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管理制度健全性</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财务管理制度是否健全</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建立了财务管理制度且内容完善，计5分；建立了财务管理制度但内容不完善，计3分；未建立财务管理制度的，计0分。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建立了财务管理制度但内容不完善，得3分</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3 </w:t>
            </w:r>
          </w:p>
        </w:tc>
      </w:tr>
      <w:tr>
        <w:tblPrEx>
          <w:tblCellMar>
            <w:top w:w="0" w:type="dxa"/>
            <w:left w:w="0" w:type="dxa"/>
            <w:bottom w:w="0" w:type="dxa"/>
            <w:right w:w="0" w:type="dxa"/>
          </w:tblCellMar>
        </w:tblPrEx>
        <w:trPr>
          <w:trHeight w:val="1365"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25"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资金使用合规性</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资金使用符合相关的财务管理制度规定、挤占挪用资金情况</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专项资金支出要符合国家财经法规、财务管理制度和有关专项资金管理办法的规定，有完整的审批程序和手续、无虚列、截留、挤占、挪用等情况。依法依规合理使用的，计满分；凡虚列、截留、挤占、挪用资金的，1例扣1分，扣完为止。</w:t>
            </w:r>
          </w:p>
        </w:tc>
        <w:tc>
          <w:tcPr>
            <w:tcW w:w="956" w:type="pct"/>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项目专项资金支出基本符合国家财经法规、财务管理制度和有关专项资金管理办法的规定，有完整的审批程序和手续；存在挤占项目资金的情况，扣5分。</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5 </w:t>
            </w:r>
          </w:p>
        </w:tc>
      </w:tr>
      <w:tr>
        <w:tblPrEx>
          <w:tblCellMar>
            <w:top w:w="0" w:type="dxa"/>
            <w:left w:w="0" w:type="dxa"/>
            <w:bottom w:w="0" w:type="dxa"/>
            <w:right w:w="0" w:type="dxa"/>
          </w:tblCellMar>
        </w:tblPrEx>
        <w:trPr>
          <w:trHeight w:val="930"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25"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财务监控有效性</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资金的审批情况</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项目实行了专项核算且项目支出审批严格按制度执行的，计5分；项目实行了专项核算且项目支出审批基本按制度执行的，计3分；项目未实行专项核算的，计0分。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项目实行了专项核算且项目支出审批基本按制度执行的，得3分。</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3 </w:t>
            </w:r>
          </w:p>
        </w:tc>
      </w:tr>
      <w:tr>
        <w:tblPrEx>
          <w:tblCellMar>
            <w:top w:w="0" w:type="dxa"/>
            <w:left w:w="0" w:type="dxa"/>
            <w:bottom w:w="0" w:type="dxa"/>
            <w:right w:w="0" w:type="dxa"/>
          </w:tblCellMar>
        </w:tblPrEx>
        <w:trPr>
          <w:trHeight w:val="480" w:hRule="atLeast"/>
          <w:jc w:val="center"/>
        </w:trPr>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w:t>
            </w:r>
            <w:r>
              <w:rPr>
                <w:rStyle w:val="37"/>
                <w:rFonts w:eastAsia="宋体"/>
                <w:lang w:val="en-US" w:eastAsia="zh-CN" w:bidi="ar"/>
              </w:rPr>
              <w:t>35</w:t>
            </w:r>
            <w:r>
              <w:rPr>
                <w:rStyle w:val="38"/>
                <w:lang w:val="en-US" w:eastAsia="zh-CN" w:bidi="ar"/>
              </w:rPr>
              <w:t>分）</w:t>
            </w:r>
          </w:p>
        </w:tc>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项目产出</w:t>
            </w:r>
          </w:p>
        </w:tc>
        <w:tc>
          <w:tcPr>
            <w:tcW w:w="425" w:type="pct"/>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8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城乡住户一体化</w:t>
            </w:r>
          </w:p>
        </w:tc>
        <w:tc>
          <w:tcPr>
            <w:tcW w:w="41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是否在规定时间内完成统计。</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126" w:type="pct"/>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根据项目的具体绩效目标完成情况来计分，按时完成所有事项计满分，少一项扣1分，扣完为止。</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按时完成目标任务。</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480"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25"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第四次经济普查工作经费</w:t>
            </w:r>
          </w:p>
        </w:tc>
        <w:tc>
          <w:tcPr>
            <w:tcW w:w="41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126"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按时完成目标任务。</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675"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统计数据是否符合要求</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根据项目的具体绩效目标完成情况来计分，按质完成所有统计数据计满分，少一项扣1分，扣完为止。</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对项目资料进行了抽查，统计数据符合文件要求。</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tblPrEx>
          <w:tblCellMar>
            <w:top w:w="0" w:type="dxa"/>
            <w:left w:w="0" w:type="dxa"/>
            <w:bottom w:w="0" w:type="dxa"/>
            <w:right w:w="0" w:type="dxa"/>
          </w:tblCellMar>
        </w:tblPrEx>
        <w:trPr>
          <w:trHeight w:val="450"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项目实施情况</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项目实施情况是否符合相关政策文件</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符合规定条件计10分，每有一项不符合条件的扣1分，扣完为止。</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对项目资料进行了抽查，项目实施均符合相关政策文件要求。</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tblPrEx>
          <w:tblCellMar>
            <w:top w:w="0" w:type="dxa"/>
            <w:left w:w="0" w:type="dxa"/>
            <w:bottom w:w="0" w:type="dxa"/>
            <w:right w:w="0" w:type="dxa"/>
          </w:tblCellMar>
        </w:tblPrEx>
        <w:trPr>
          <w:trHeight w:val="675" w:hRule="atLeast"/>
          <w:jc w:val="center"/>
        </w:trPr>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效果（15分）</w:t>
            </w:r>
          </w:p>
        </w:tc>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项目效益（15分）</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对社会公众的影响</w:t>
            </w:r>
          </w:p>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对衡山县社会公众造成积极影响，计7分；未对社会公众造成影响，计3分，对社会公众造成不利影响，计0分。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对衡山县社会公众造成积极影响，得7分。</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w:t>
            </w:r>
          </w:p>
        </w:tc>
      </w:tr>
      <w:tr>
        <w:tblPrEx>
          <w:tblCellMar>
            <w:top w:w="0" w:type="dxa"/>
            <w:left w:w="0" w:type="dxa"/>
            <w:bottom w:w="0" w:type="dxa"/>
            <w:right w:w="0" w:type="dxa"/>
          </w:tblCellMar>
        </w:tblPrEx>
        <w:trPr>
          <w:trHeight w:val="465"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left="0" w:leftChars="0" w:firstLine="0" w:firstLineChars="0"/>
              <w:jc w:val="left"/>
              <w:rPr>
                <w:rFonts w:hint="default" w:ascii="Times New Roman" w:hAnsi="Times New Roman" w:eastAsia="宋体"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项目的实施是否带来经济效益。</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项目成果能带来经济效益计7分，未产生可持续影响计0分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项目成果能带来经济效益。</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w:t>
            </w:r>
          </w:p>
        </w:tc>
      </w:tr>
      <w:tr>
        <w:tblPrEx>
          <w:tblCellMar>
            <w:top w:w="0" w:type="dxa"/>
            <w:left w:w="0" w:type="dxa"/>
            <w:bottom w:w="0" w:type="dxa"/>
            <w:right w:w="0" w:type="dxa"/>
          </w:tblCellMar>
        </w:tblPrEx>
        <w:trPr>
          <w:trHeight w:val="1575" w:hRule="atLeast"/>
          <w:jc w:val="center"/>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w:t>
            </w:r>
          </w:p>
        </w:tc>
        <w:tc>
          <w:tcPr>
            <w:tcW w:w="127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left="0" w:leftChars="0" w:firstLine="0" w:firstLineChars="0"/>
              <w:rPr>
                <w:rFonts w:hint="default" w:ascii="Times New Roman" w:hAnsi="Times New Roman" w:eastAsia="宋体"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管理满足项目持续运行的程度、项目的产出得到持续的运营程度、项目制定的政策与制度得到持续地实施程度、项目财务收支的可持续程度，并比较项目实施的长期目标、中期目标入年度目标紧密结合程度及实现情况。</w:t>
            </w: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6</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项目成果能带来可持续影响计6分，未产生可持续影响计</w:t>
            </w:r>
            <w:r>
              <w:rPr>
                <w:rStyle w:val="40"/>
                <w:rFonts w:eastAsia="宋体"/>
                <w:lang w:val="en-US" w:eastAsia="zh-CN" w:bidi="ar"/>
              </w:rPr>
              <w:t>0</w:t>
            </w:r>
            <w:r>
              <w:rPr>
                <w:rStyle w:val="41"/>
                <w:lang w:val="en-US" w:eastAsia="zh-CN" w:bidi="ar"/>
              </w:rPr>
              <w:t>分</w:t>
            </w: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项目成果能带来可持续影响。</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6</w:t>
            </w:r>
          </w:p>
        </w:tc>
      </w:tr>
      <w:tr>
        <w:tblPrEx>
          <w:tblCellMar>
            <w:top w:w="0" w:type="dxa"/>
            <w:left w:w="0" w:type="dxa"/>
            <w:bottom w:w="0" w:type="dxa"/>
            <w:right w:w="0" w:type="dxa"/>
          </w:tblCellMar>
        </w:tblPrEx>
        <w:trPr>
          <w:trHeight w:val="480" w:hRule="atLeast"/>
          <w:jc w:val="center"/>
        </w:trPr>
        <w:tc>
          <w:tcPr>
            <w:tcW w:w="187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w:t>
            </w:r>
            <w:r>
              <w:rPr>
                <w:rStyle w:val="42"/>
                <w:rFonts w:eastAsia="宋体"/>
                <w:lang w:val="en-US" w:eastAsia="zh-CN" w:bidi="ar"/>
              </w:rPr>
              <w:t xml:space="preserve">  </w:t>
            </w:r>
            <w:r>
              <w:rPr>
                <w:rStyle w:val="43"/>
                <w:lang w:val="en-US" w:eastAsia="zh-CN" w:bidi="ar"/>
              </w:rPr>
              <w:t>计</w:t>
            </w:r>
          </w:p>
        </w:tc>
        <w:tc>
          <w:tcPr>
            <w:tcW w:w="4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100</w:t>
            </w:r>
          </w:p>
        </w:tc>
        <w:tc>
          <w:tcPr>
            <w:tcW w:w="11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9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cs="Times New Roman"/>
                <w:i w:val="0"/>
                <w:color w:val="000000"/>
                <w:sz w:val="20"/>
                <w:szCs w:val="20"/>
                <w:u w:val="none"/>
              </w:rPr>
            </w:pP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83 </w:t>
            </w:r>
          </w:p>
        </w:tc>
      </w:tr>
      <w:bookmarkEnd w:id="89"/>
      <w:bookmarkEnd w:id="90"/>
      <w:bookmarkEnd w:id="91"/>
      <w:bookmarkEnd w:id="92"/>
    </w:tbl>
    <w:p>
      <w:pPr>
        <w:spacing w:after="159" w:afterLines="50"/>
        <w:ind w:firstLine="560"/>
        <w:jc w:val="left"/>
        <w:outlineLvl w:val="0"/>
        <w:rPr>
          <w:rFonts w:ascii="仿宋" w:cs="仿宋"/>
          <w:sz w:val="28"/>
          <w:szCs w:val="28"/>
        </w:rPr>
      </w:pPr>
    </w:p>
    <w:sectPr>
      <w:headerReference r:id="rId11" w:type="default"/>
      <w:pgSz w:w="16838" w:h="11905"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MS Gothic">
    <w:panose1 w:val="020B0609070205080204"/>
    <w:charset w:val="80"/>
    <w:family w:val="modern"/>
    <w:pitch w:val="default"/>
    <w:sig w:usb0="E00002FF" w:usb1="6AC7FDFB" w:usb2="08000012" w:usb3="00000000" w:csb0="4002009F" w:csb1="DFD70000"/>
  </w:font>
  <w:font w:name="FangSong_GB2312-Identity-H">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w:rPr>
        <w:rFonts w:hint="eastAsia"/>
      </w:rPr>
      <w:t>第</w:t>
    </w:r>
    <w:r>
      <w:fldChar w:fldCharType="begin"/>
    </w:r>
    <w:r>
      <w:instrText xml:space="preserve"> PAGE   \* MERGEFORMAT </w:instrText>
    </w:r>
    <w:r>
      <w:fldChar w:fldCharType="separate"/>
    </w:r>
    <w:r>
      <w:rPr>
        <w:lang w:val="zh-CN"/>
      </w:rPr>
      <w:t>13</w:t>
    </w:r>
    <w:r>
      <w:rPr>
        <w:lang w:val="zh-CN"/>
      </w:rPr>
      <w:fldChar w:fldCharType="end"/>
    </w:r>
    <w:r>
      <w:rPr>
        <w:rFonts w:hint="eastAsia"/>
      </w:rPr>
      <w:t>页，共1</w:t>
    </w:r>
    <w:r>
      <w:rPr>
        <w:rFonts w:hint="eastAsia"/>
        <w:lang w:val="en-US" w:eastAsia="zh-CN"/>
      </w:rPr>
      <w:t>4</w:t>
    </w:r>
    <w:r>
      <w:rPr>
        <w:rFonts w:hint="eastAsia"/>
      </w:rPr>
      <w:t>页</w:t>
    </w:r>
  </w:p>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00" w:lineRule="exact"/>
      <w:ind w:firstLine="0" w:firstLineChars="0"/>
      <w:jc w:val="center"/>
      <w:rPr>
        <w:rFonts w:ascii="仿宋" w:hAnsi="仿宋"/>
        <w:color w:val="000000"/>
        <w:spacing w:val="-4"/>
        <w:sz w:val="21"/>
        <w:szCs w:val="21"/>
        <w:u w:val="single"/>
      </w:rPr>
    </w:pPr>
    <w:r>
      <w:rPr>
        <w:rFonts w:ascii="黑体" w:hAnsi="黑体" w:eastAsia="黑体"/>
        <w:color w:val="000000"/>
        <w:spacing w:val="-4"/>
        <w:sz w:val="21"/>
        <w:szCs w:val="21"/>
        <w:u w:val="single"/>
      </w:rPr>
      <w:t xml:space="preserve">                                           </w:t>
    </w:r>
    <w:r>
      <w:rPr>
        <w:rFonts w:hint="eastAsia" w:ascii="仿宋" w:hAnsi="仿宋"/>
        <w:color w:val="000000"/>
        <w:spacing w:val="-4"/>
        <w:sz w:val="21"/>
        <w:szCs w:val="21"/>
        <w:u w:val="single"/>
      </w:rPr>
      <w:t>2019年度衡山县统计局项目支出绩效评价报告</w:t>
    </w:r>
  </w:p>
  <w:p>
    <w:pPr>
      <w:pStyle w:val="12"/>
      <w:pBdr>
        <w:bottom w:val="none" w:color="auto" w:sz="0" w:space="0"/>
      </w:pBdr>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00" w:lineRule="exact"/>
      <w:ind w:firstLine="0" w:firstLineChars="0"/>
      <w:jc w:val="center"/>
    </w:pPr>
    <w:r>
      <w:rPr>
        <w:rFonts w:ascii="黑体" w:hAnsi="黑体" w:eastAsia="黑体"/>
        <w:color w:val="000000"/>
        <w:spacing w:val="-4"/>
        <w:sz w:val="21"/>
        <w:szCs w:val="21"/>
        <w:u w:val="single"/>
      </w:rPr>
      <w:t xml:space="preserve">                                                                                       </w:t>
    </w:r>
    <w:r>
      <w:rPr>
        <w:rFonts w:hint="eastAsia" w:ascii="仿宋" w:hAnsi="仿宋"/>
        <w:color w:val="000000"/>
        <w:spacing w:val="-4"/>
        <w:sz w:val="21"/>
        <w:szCs w:val="21"/>
        <w:u w:val="single"/>
      </w:rPr>
      <w:t>2019年度衡山县城市管理和综合执法局项目支出绩效评价报告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48"/>
  <w:drawingGridVerticalSpacing w:val="317"/>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74"/>
    <w:rsid w:val="0000423A"/>
    <w:rsid w:val="0007077B"/>
    <w:rsid w:val="000721EF"/>
    <w:rsid w:val="000753A2"/>
    <w:rsid w:val="0008481C"/>
    <w:rsid w:val="00087037"/>
    <w:rsid w:val="00093E7E"/>
    <w:rsid w:val="000B06D2"/>
    <w:rsid w:val="000B71DF"/>
    <w:rsid w:val="000C2334"/>
    <w:rsid w:val="000D1075"/>
    <w:rsid w:val="000E5FDF"/>
    <w:rsid w:val="000F4FDC"/>
    <w:rsid w:val="00115B4B"/>
    <w:rsid w:val="001506C6"/>
    <w:rsid w:val="001572E7"/>
    <w:rsid w:val="001644CC"/>
    <w:rsid w:val="0018426C"/>
    <w:rsid w:val="001938BC"/>
    <w:rsid w:val="001A3C2A"/>
    <w:rsid w:val="001F508D"/>
    <w:rsid w:val="001F62B2"/>
    <w:rsid w:val="002006A7"/>
    <w:rsid w:val="00211488"/>
    <w:rsid w:val="002202EB"/>
    <w:rsid w:val="002216D1"/>
    <w:rsid w:val="00227D1E"/>
    <w:rsid w:val="002344C7"/>
    <w:rsid w:val="00237DC2"/>
    <w:rsid w:val="00246813"/>
    <w:rsid w:val="002475A4"/>
    <w:rsid w:val="00254B9B"/>
    <w:rsid w:val="002630F5"/>
    <w:rsid w:val="00274570"/>
    <w:rsid w:val="002760BF"/>
    <w:rsid w:val="002813F2"/>
    <w:rsid w:val="00287680"/>
    <w:rsid w:val="002A1A11"/>
    <w:rsid w:val="002A1A40"/>
    <w:rsid w:val="002A7A6F"/>
    <w:rsid w:val="0030638E"/>
    <w:rsid w:val="00314518"/>
    <w:rsid w:val="00331088"/>
    <w:rsid w:val="00331D71"/>
    <w:rsid w:val="00347B22"/>
    <w:rsid w:val="00374339"/>
    <w:rsid w:val="003848C2"/>
    <w:rsid w:val="003973FA"/>
    <w:rsid w:val="003D1327"/>
    <w:rsid w:val="003E126E"/>
    <w:rsid w:val="003E3751"/>
    <w:rsid w:val="00402973"/>
    <w:rsid w:val="00405FCF"/>
    <w:rsid w:val="00424445"/>
    <w:rsid w:val="00426A98"/>
    <w:rsid w:val="0044015B"/>
    <w:rsid w:val="00442961"/>
    <w:rsid w:val="00445EC2"/>
    <w:rsid w:val="0044675B"/>
    <w:rsid w:val="0045410F"/>
    <w:rsid w:val="00474EBD"/>
    <w:rsid w:val="00482374"/>
    <w:rsid w:val="004915C3"/>
    <w:rsid w:val="004961BD"/>
    <w:rsid w:val="004A4D25"/>
    <w:rsid w:val="004A6548"/>
    <w:rsid w:val="004C1EB6"/>
    <w:rsid w:val="004C2B97"/>
    <w:rsid w:val="004E2545"/>
    <w:rsid w:val="005125B8"/>
    <w:rsid w:val="0054504F"/>
    <w:rsid w:val="0055092F"/>
    <w:rsid w:val="0055752A"/>
    <w:rsid w:val="005668C3"/>
    <w:rsid w:val="00567116"/>
    <w:rsid w:val="00567A12"/>
    <w:rsid w:val="005876E1"/>
    <w:rsid w:val="005931F9"/>
    <w:rsid w:val="00596674"/>
    <w:rsid w:val="00596AD8"/>
    <w:rsid w:val="005A2EBB"/>
    <w:rsid w:val="005B29FF"/>
    <w:rsid w:val="005D0ABC"/>
    <w:rsid w:val="005D5F41"/>
    <w:rsid w:val="005E33C2"/>
    <w:rsid w:val="005E4404"/>
    <w:rsid w:val="005F0C72"/>
    <w:rsid w:val="00601A53"/>
    <w:rsid w:val="00602AA4"/>
    <w:rsid w:val="006065DE"/>
    <w:rsid w:val="006117B8"/>
    <w:rsid w:val="00613D61"/>
    <w:rsid w:val="006211F6"/>
    <w:rsid w:val="00621666"/>
    <w:rsid w:val="00632F9B"/>
    <w:rsid w:val="00666825"/>
    <w:rsid w:val="006668A5"/>
    <w:rsid w:val="00687E02"/>
    <w:rsid w:val="00691941"/>
    <w:rsid w:val="00693B78"/>
    <w:rsid w:val="006958B6"/>
    <w:rsid w:val="006B13D6"/>
    <w:rsid w:val="006B23EE"/>
    <w:rsid w:val="006B3C04"/>
    <w:rsid w:val="006F5FA3"/>
    <w:rsid w:val="00707E1F"/>
    <w:rsid w:val="007235DB"/>
    <w:rsid w:val="00753559"/>
    <w:rsid w:val="00767440"/>
    <w:rsid w:val="00783D48"/>
    <w:rsid w:val="00784035"/>
    <w:rsid w:val="00785E0A"/>
    <w:rsid w:val="00787711"/>
    <w:rsid w:val="00797E86"/>
    <w:rsid w:val="007D6A3D"/>
    <w:rsid w:val="007E676D"/>
    <w:rsid w:val="007F352C"/>
    <w:rsid w:val="00827657"/>
    <w:rsid w:val="00827E70"/>
    <w:rsid w:val="00830B91"/>
    <w:rsid w:val="00831582"/>
    <w:rsid w:val="0083449A"/>
    <w:rsid w:val="00835C12"/>
    <w:rsid w:val="00871C10"/>
    <w:rsid w:val="00872D9B"/>
    <w:rsid w:val="0087438A"/>
    <w:rsid w:val="00875D5D"/>
    <w:rsid w:val="008762F2"/>
    <w:rsid w:val="00886A31"/>
    <w:rsid w:val="00895A4C"/>
    <w:rsid w:val="008A0163"/>
    <w:rsid w:val="008B35EB"/>
    <w:rsid w:val="008B4C26"/>
    <w:rsid w:val="008C5E13"/>
    <w:rsid w:val="008D2271"/>
    <w:rsid w:val="008E2E6F"/>
    <w:rsid w:val="00924684"/>
    <w:rsid w:val="00952A12"/>
    <w:rsid w:val="009576F3"/>
    <w:rsid w:val="00974937"/>
    <w:rsid w:val="00997F0E"/>
    <w:rsid w:val="009C0F60"/>
    <w:rsid w:val="009D5515"/>
    <w:rsid w:val="009E26C7"/>
    <w:rsid w:val="00A00686"/>
    <w:rsid w:val="00A01E8B"/>
    <w:rsid w:val="00A04342"/>
    <w:rsid w:val="00A078AA"/>
    <w:rsid w:val="00A2160A"/>
    <w:rsid w:val="00A27CF9"/>
    <w:rsid w:val="00A33828"/>
    <w:rsid w:val="00A353FC"/>
    <w:rsid w:val="00A40AA4"/>
    <w:rsid w:val="00A534FE"/>
    <w:rsid w:val="00A5526B"/>
    <w:rsid w:val="00A75AD4"/>
    <w:rsid w:val="00AA3602"/>
    <w:rsid w:val="00AC35F6"/>
    <w:rsid w:val="00AF1743"/>
    <w:rsid w:val="00AF3A8F"/>
    <w:rsid w:val="00AF498D"/>
    <w:rsid w:val="00AF50DF"/>
    <w:rsid w:val="00AF57BB"/>
    <w:rsid w:val="00B129F1"/>
    <w:rsid w:val="00B24837"/>
    <w:rsid w:val="00B34E34"/>
    <w:rsid w:val="00B37878"/>
    <w:rsid w:val="00B475D8"/>
    <w:rsid w:val="00B52523"/>
    <w:rsid w:val="00B542F2"/>
    <w:rsid w:val="00B70386"/>
    <w:rsid w:val="00B71720"/>
    <w:rsid w:val="00B857AE"/>
    <w:rsid w:val="00BA3491"/>
    <w:rsid w:val="00BC5477"/>
    <w:rsid w:val="00BD4F7F"/>
    <w:rsid w:val="00BE1A41"/>
    <w:rsid w:val="00C00014"/>
    <w:rsid w:val="00C00367"/>
    <w:rsid w:val="00C01D12"/>
    <w:rsid w:val="00C12746"/>
    <w:rsid w:val="00C24913"/>
    <w:rsid w:val="00C42603"/>
    <w:rsid w:val="00C47653"/>
    <w:rsid w:val="00C528C8"/>
    <w:rsid w:val="00C57BE6"/>
    <w:rsid w:val="00C71F55"/>
    <w:rsid w:val="00C75B46"/>
    <w:rsid w:val="00C76315"/>
    <w:rsid w:val="00CB3B0F"/>
    <w:rsid w:val="00CC58F7"/>
    <w:rsid w:val="00CD0D84"/>
    <w:rsid w:val="00CE1955"/>
    <w:rsid w:val="00CE3958"/>
    <w:rsid w:val="00CE6FF7"/>
    <w:rsid w:val="00D107EE"/>
    <w:rsid w:val="00D203EE"/>
    <w:rsid w:val="00D777D1"/>
    <w:rsid w:val="00D86462"/>
    <w:rsid w:val="00D902DA"/>
    <w:rsid w:val="00DA5FFD"/>
    <w:rsid w:val="00DB0994"/>
    <w:rsid w:val="00DB21CA"/>
    <w:rsid w:val="00DD57F7"/>
    <w:rsid w:val="00DF0DFD"/>
    <w:rsid w:val="00DF3721"/>
    <w:rsid w:val="00E011FE"/>
    <w:rsid w:val="00E0130A"/>
    <w:rsid w:val="00E12CA3"/>
    <w:rsid w:val="00E1625F"/>
    <w:rsid w:val="00E174C5"/>
    <w:rsid w:val="00E40291"/>
    <w:rsid w:val="00E41AE0"/>
    <w:rsid w:val="00E54D9B"/>
    <w:rsid w:val="00E75D43"/>
    <w:rsid w:val="00EA6038"/>
    <w:rsid w:val="00EB3165"/>
    <w:rsid w:val="00EB4C2D"/>
    <w:rsid w:val="00EF3226"/>
    <w:rsid w:val="00F1337B"/>
    <w:rsid w:val="00F23392"/>
    <w:rsid w:val="00F335F5"/>
    <w:rsid w:val="00F33902"/>
    <w:rsid w:val="00F629DE"/>
    <w:rsid w:val="00F8236D"/>
    <w:rsid w:val="00F875E9"/>
    <w:rsid w:val="00F937B7"/>
    <w:rsid w:val="00F95865"/>
    <w:rsid w:val="00FA7430"/>
    <w:rsid w:val="00FB4142"/>
    <w:rsid w:val="00FC2342"/>
    <w:rsid w:val="00FD4D07"/>
    <w:rsid w:val="00FD6763"/>
    <w:rsid w:val="00FE086E"/>
    <w:rsid w:val="00FE093F"/>
    <w:rsid w:val="00FE5CDC"/>
    <w:rsid w:val="00FE7695"/>
    <w:rsid w:val="00FF60F4"/>
    <w:rsid w:val="00FF711E"/>
    <w:rsid w:val="01313098"/>
    <w:rsid w:val="013A1A1C"/>
    <w:rsid w:val="01704B14"/>
    <w:rsid w:val="017202D0"/>
    <w:rsid w:val="017B1575"/>
    <w:rsid w:val="01A540E4"/>
    <w:rsid w:val="01C82063"/>
    <w:rsid w:val="01D439CB"/>
    <w:rsid w:val="01D65678"/>
    <w:rsid w:val="01EA4110"/>
    <w:rsid w:val="01F51887"/>
    <w:rsid w:val="02130947"/>
    <w:rsid w:val="021614D9"/>
    <w:rsid w:val="021B4CE3"/>
    <w:rsid w:val="02505153"/>
    <w:rsid w:val="025C207A"/>
    <w:rsid w:val="02BC0859"/>
    <w:rsid w:val="02E2769D"/>
    <w:rsid w:val="03616102"/>
    <w:rsid w:val="037356EC"/>
    <w:rsid w:val="04487050"/>
    <w:rsid w:val="04D52245"/>
    <w:rsid w:val="04EA09D5"/>
    <w:rsid w:val="04F17A10"/>
    <w:rsid w:val="04FE6590"/>
    <w:rsid w:val="05074B94"/>
    <w:rsid w:val="05820B6A"/>
    <w:rsid w:val="05875DB3"/>
    <w:rsid w:val="05AE3087"/>
    <w:rsid w:val="05D62E13"/>
    <w:rsid w:val="05EE25B2"/>
    <w:rsid w:val="05F45FB9"/>
    <w:rsid w:val="060666F7"/>
    <w:rsid w:val="0622584E"/>
    <w:rsid w:val="06FB6448"/>
    <w:rsid w:val="07173CB8"/>
    <w:rsid w:val="07207B9A"/>
    <w:rsid w:val="074D1154"/>
    <w:rsid w:val="078966AF"/>
    <w:rsid w:val="07C61135"/>
    <w:rsid w:val="07F51840"/>
    <w:rsid w:val="08542549"/>
    <w:rsid w:val="085843A6"/>
    <w:rsid w:val="08620A29"/>
    <w:rsid w:val="095A3F70"/>
    <w:rsid w:val="095B7AFE"/>
    <w:rsid w:val="099841B6"/>
    <w:rsid w:val="09B92C43"/>
    <w:rsid w:val="09C95BCD"/>
    <w:rsid w:val="0A1736C0"/>
    <w:rsid w:val="0A5A6A77"/>
    <w:rsid w:val="0ADF06BE"/>
    <w:rsid w:val="0B235A65"/>
    <w:rsid w:val="0B311E0F"/>
    <w:rsid w:val="0B365F7F"/>
    <w:rsid w:val="0B440F9C"/>
    <w:rsid w:val="0B7654CB"/>
    <w:rsid w:val="0B8916C4"/>
    <w:rsid w:val="0C5058BC"/>
    <w:rsid w:val="0C6E4AD7"/>
    <w:rsid w:val="0C8A5B82"/>
    <w:rsid w:val="0D524A07"/>
    <w:rsid w:val="0D59131D"/>
    <w:rsid w:val="0D8C64F3"/>
    <w:rsid w:val="0DA4571C"/>
    <w:rsid w:val="0E8D7894"/>
    <w:rsid w:val="0E91106B"/>
    <w:rsid w:val="0EA10C90"/>
    <w:rsid w:val="0EDE0EAF"/>
    <w:rsid w:val="0EF47A8E"/>
    <w:rsid w:val="0EF56055"/>
    <w:rsid w:val="0F2B1C96"/>
    <w:rsid w:val="0F5F7FB5"/>
    <w:rsid w:val="100B7681"/>
    <w:rsid w:val="1016356C"/>
    <w:rsid w:val="105E1DDC"/>
    <w:rsid w:val="107B2062"/>
    <w:rsid w:val="10800743"/>
    <w:rsid w:val="108067C7"/>
    <w:rsid w:val="10915C39"/>
    <w:rsid w:val="10916397"/>
    <w:rsid w:val="10A241F9"/>
    <w:rsid w:val="10A61D15"/>
    <w:rsid w:val="10C97CA5"/>
    <w:rsid w:val="1141165E"/>
    <w:rsid w:val="11A2640C"/>
    <w:rsid w:val="11CB4D1B"/>
    <w:rsid w:val="11D14539"/>
    <w:rsid w:val="11E97086"/>
    <w:rsid w:val="11F54F7D"/>
    <w:rsid w:val="125E1567"/>
    <w:rsid w:val="126B1E29"/>
    <w:rsid w:val="127648B5"/>
    <w:rsid w:val="128D20DD"/>
    <w:rsid w:val="12D64796"/>
    <w:rsid w:val="130010C8"/>
    <w:rsid w:val="131B3A17"/>
    <w:rsid w:val="132969B9"/>
    <w:rsid w:val="13335C13"/>
    <w:rsid w:val="13710BC3"/>
    <w:rsid w:val="13B15CBB"/>
    <w:rsid w:val="13C45864"/>
    <w:rsid w:val="13D42BE2"/>
    <w:rsid w:val="13EE167B"/>
    <w:rsid w:val="14071528"/>
    <w:rsid w:val="14210EB4"/>
    <w:rsid w:val="1475086D"/>
    <w:rsid w:val="14832162"/>
    <w:rsid w:val="1492246B"/>
    <w:rsid w:val="14A315A1"/>
    <w:rsid w:val="1543629B"/>
    <w:rsid w:val="155E420D"/>
    <w:rsid w:val="158C2268"/>
    <w:rsid w:val="1596020D"/>
    <w:rsid w:val="159D0652"/>
    <w:rsid w:val="15B96288"/>
    <w:rsid w:val="15C50708"/>
    <w:rsid w:val="15F16C00"/>
    <w:rsid w:val="15F37C62"/>
    <w:rsid w:val="165857D5"/>
    <w:rsid w:val="167721A7"/>
    <w:rsid w:val="16806F74"/>
    <w:rsid w:val="168E5E68"/>
    <w:rsid w:val="16BD4F40"/>
    <w:rsid w:val="17085890"/>
    <w:rsid w:val="171A228F"/>
    <w:rsid w:val="17254FD1"/>
    <w:rsid w:val="177475D5"/>
    <w:rsid w:val="1786124D"/>
    <w:rsid w:val="178A7CAC"/>
    <w:rsid w:val="178D5336"/>
    <w:rsid w:val="17A30D18"/>
    <w:rsid w:val="17AC1027"/>
    <w:rsid w:val="17C84D38"/>
    <w:rsid w:val="17EC7897"/>
    <w:rsid w:val="17FD2FA0"/>
    <w:rsid w:val="18552EDF"/>
    <w:rsid w:val="18AC00E3"/>
    <w:rsid w:val="18B15275"/>
    <w:rsid w:val="18BF48AA"/>
    <w:rsid w:val="18C8662E"/>
    <w:rsid w:val="196F2E3E"/>
    <w:rsid w:val="19E071DF"/>
    <w:rsid w:val="19F84F59"/>
    <w:rsid w:val="1A4E4126"/>
    <w:rsid w:val="1ACF7DFA"/>
    <w:rsid w:val="1AE80910"/>
    <w:rsid w:val="1B553D3D"/>
    <w:rsid w:val="1B763B10"/>
    <w:rsid w:val="1B8B615B"/>
    <w:rsid w:val="1BA37401"/>
    <w:rsid w:val="1C122A9C"/>
    <w:rsid w:val="1C473ECE"/>
    <w:rsid w:val="1C8D7E38"/>
    <w:rsid w:val="1CD67AD2"/>
    <w:rsid w:val="1D3C7D5F"/>
    <w:rsid w:val="1D486EB7"/>
    <w:rsid w:val="1DB838FF"/>
    <w:rsid w:val="1DD64367"/>
    <w:rsid w:val="1DDD19FC"/>
    <w:rsid w:val="1DE52836"/>
    <w:rsid w:val="1DEF6EE1"/>
    <w:rsid w:val="1E074EFC"/>
    <w:rsid w:val="1E2F1320"/>
    <w:rsid w:val="1E405F48"/>
    <w:rsid w:val="1E915EDB"/>
    <w:rsid w:val="1E970B51"/>
    <w:rsid w:val="1EA80F5B"/>
    <w:rsid w:val="1EBF017C"/>
    <w:rsid w:val="1ECC18BA"/>
    <w:rsid w:val="1ED92E1A"/>
    <w:rsid w:val="1EDE0FF3"/>
    <w:rsid w:val="1F81078D"/>
    <w:rsid w:val="1FA21A03"/>
    <w:rsid w:val="1FB90283"/>
    <w:rsid w:val="1FED6A7B"/>
    <w:rsid w:val="20134927"/>
    <w:rsid w:val="203778C1"/>
    <w:rsid w:val="2070033C"/>
    <w:rsid w:val="20AC0CF7"/>
    <w:rsid w:val="20B43621"/>
    <w:rsid w:val="20D91778"/>
    <w:rsid w:val="20E833D3"/>
    <w:rsid w:val="21354F22"/>
    <w:rsid w:val="213908DE"/>
    <w:rsid w:val="21682039"/>
    <w:rsid w:val="217C4EB6"/>
    <w:rsid w:val="217F4EDA"/>
    <w:rsid w:val="21B36B9B"/>
    <w:rsid w:val="21E23293"/>
    <w:rsid w:val="22484463"/>
    <w:rsid w:val="227136F9"/>
    <w:rsid w:val="22A2674A"/>
    <w:rsid w:val="23124886"/>
    <w:rsid w:val="238F2E45"/>
    <w:rsid w:val="24106321"/>
    <w:rsid w:val="2442506A"/>
    <w:rsid w:val="244B7D5F"/>
    <w:rsid w:val="245C3383"/>
    <w:rsid w:val="24617D26"/>
    <w:rsid w:val="247E2EB4"/>
    <w:rsid w:val="250D5A08"/>
    <w:rsid w:val="251617CC"/>
    <w:rsid w:val="252B13E6"/>
    <w:rsid w:val="25711E50"/>
    <w:rsid w:val="25781180"/>
    <w:rsid w:val="2592043F"/>
    <w:rsid w:val="25D7712A"/>
    <w:rsid w:val="25E84FC6"/>
    <w:rsid w:val="260666B2"/>
    <w:rsid w:val="262C4236"/>
    <w:rsid w:val="26496122"/>
    <w:rsid w:val="266413A8"/>
    <w:rsid w:val="26683591"/>
    <w:rsid w:val="26AD7D35"/>
    <w:rsid w:val="26F54E01"/>
    <w:rsid w:val="272324CF"/>
    <w:rsid w:val="27287C2A"/>
    <w:rsid w:val="275D00CA"/>
    <w:rsid w:val="279D45D4"/>
    <w:rsid w:val="282A363D"/>
    <w:rsid w:val="28B706BB"/>
    <w:rsid w:val="28BA4427"/>
    <w:rsid w:val="28CB68A4"/>
    <w:rsid w:val="28D82D9B"/>
    <w:rsid w:val="29536882"/>
    <w:rsid w:val="29B86D10"/>
    <w:rsid w:val="29BF1C58"/>
    <w:rsid w:val="29C57453"/>
    <w:rsid w:val="29D401E4"/>
    <w:rsid w:val="29DC196D"/>
    <w:rsid w:val="2A0403A8"/>
    <w:rsid w:val="2A6D5D8D"/>
    <w:rsid w:val="2A9F40F6"/>
    <w:rsid w:val="2ACB121E"/>
    <w:rsid w:val="2AD170E5"/>
    <w:rsid w:val="2B1A537F"/>
    <w:rsid w:val="2B7276F3"/>
    <w:rsid w:val="2B796EA6"/>
    <w:rsid w:val="2B7F7777"/>
    <w:rsid w:val="2BB83382"/>
    <w:rsid w:val="2BD53777"/>
    <w:rsid w:val="2C0849C8"/>
    <w:rsid w:val="2C322D71"/>
    <w:rsid w:val="2D0F589B"/>
    <w:rsid w:val="2D32720E"/>
    <w:rsid w:val="2D47397A"/>
    <w:rsid w:val="2DA24585"/>
    <w:rsid w:val="2DAD55DA"/>
    <w:rsid w:val="2E247D99"/>
    <w:rsid w:val="2E480B79"/>
    <w:rsid w:val="2E4C3F8C"/>
    <w:rsid w:val="2E4E3861"/>
    <w:rsid w:val="2E6559C5"/>
    <w:rsid w:val="2EAD04F2"/>
    <w:rsid w:val="2EDA7F29"/>
    <w:rsid w:val="2F1C2BC6"/>
    <w:rsid w:val="2F3130B5"/>
    <w:rsid w:val="2F614570"/>
    <w:rsid w:val="2FB92B55"/>
    <w:rsid w:val="2FBE2D0F"/>
    <w:rsid w:val="2FC32B2F"/>
    <w:rsid w:val="30041D79"/>
    <w:rsid w:val="3058390E"/>
    <w:rsid w:val="30754DAD"/>
    <w:rsid w:val="309A034B"/>
    <w:rsid w:val="30B61E2C"/>
    <w:rsid w:val="30CB5B86"/>
    <w:rsid w:val="312C522A"/>
    <w:rsid w:val="31693E37"/>
    <w:rsid w:val="319239F6"/>
    <w:rsid w:val="32106D34"/>
    <w:rsid w:val="32815456"/>
    <w:rsid w:val="32BD4A47"/>
    <w:rsid w:val="33111046"/>
    <w:rsid w:val="3340586A"/>
    <w:rsid w:val="33435A69"/>
    <w:rsid w:val="335338A2"/>
    <w:rsid w:val="33654989"/>
    <w:rsid w:val="336A3A0F"/>
    <w:rsid w:val="33D92863"/>
    <w:rsid w:val="33DC0912"/>
    <w:rsid w:val="33F05C47"/>
    <w:rsid w:val="33FA2DE6"/>
    <w:rsid w:val="34380157"/>
    <w:rsid w:val="34917DC8"/>
    <w:rsid w:val="34B11DC5"/>
    <w:rsid w:val="34C05825"/>
    <w:rsid w:val="350E4860"/>
    <w:rsid w:val="351D3745"/>
    <w:rsid w:val="35287662"/>
    <w:rsid w:val="35F87496"/>
    <w:rsid w:val="35FC3AA1"/>
    <w:rsid w:val="361B0999"/>
    <w:rsid w:val="361F67BC"/>
    <w:rsid w:val="36395D77"/>
    <w:rsid w:val="3654246D"/>
    <w:rsid w:val="36D51203"/>
    <w:rsid w:val="36E95DC3"/>
    <w:rsid w:val="37577D00"/>
    <w:rsid w:val="37587C10"/>
    <w:rsid w:val="3789513B"/>
    <w:rsid w:val="37C50488"/>
    <w:rsid w:val="37E155F8"/>
    <w:rsid w:val="382E12C2"/>
    <w:rsid w:val="383E3875"/>
    <w:rsid w:val="38B53BF8"/>
    <w:rsid w:val="38DB0E77"/>
    <w:rsid w:val="3925403C"/>
    <w:rsid w:val="395960C9"/>
    <w:rsid w:val="39C93C4C"/>
    <w:rsid w:val="39D96C69"/>
    <w:rsid w:val="3A6848B4"/>
    <w:rsid w:val="3AA35051"/>
    <w:rsid w:val="3AF54E20"/>
    <w:rsid w:val="3AF7545C"/>
    <w:rsid w:val="3B203985"/>
    <w:rsid w:val="3B316F07"/>
    <w:rsid w:val="3B570193"/>
    <w:rsid w:val="3C4117C8"/>
    <w:rsid w:val="3C8F297C"/>
    <w:rsid w:val="3C911541"/>
    <w:rsid w:val="3C9F6FD4"/>
    <w:rsid w:val="3CA82696"/>
    <w:rsid w:val="3CBD2733"/>
    <w:rsid w:val="3CE156A4"/>
    <w:rsid w:val="3D0C5A61"/>
    <w:rsid w:val="3D621855"/>
    <w:rsid w:val="3DD24BA0"/>
    <w:rsid w:val="3E0C2358"/>
    <w:rsid w:val="3E3B5211"/>
    <w:rsid w:val="3E7F23EF"/>
    <w:rsid w:val="3EB738B8"/>
    <w:rsid w:val="3EF86C1E"/>
    <w:rsid w:val="3F051C53"/>
    <w:rsid w:val="3F3B5300"/>
    <w:rsid w:val="3F84769B"/>
    <w:rsid w:val="3F8544E1"/>
    <w:rsid w:val="3FD63921"/>
    <w:rsid w:val="3FEA1520"/>
    <w:rsid w:val="400F1565"/>
    <w:rsid w:val="401A59BB"/>
    <w:rsid w:val="404E42C8"/>
    <w:rsid w:val="406C6587"/>
    <w:rsid w:val="409C7C02"/>
    <w:rsid w:val="40AE2272"/>
    <w:rsid w:val="40B27D8A"/>
    <w:rsid w:val="40E130AF"/>
    <w:rsid w:val="410325FA"/>
    <w:rsid w:val="41764C51"/>
    <w:rsid w:val="41882937"/>
    <w:rsid w:val="419E74BE"/>
    <w:rsid w:val="41C52925"/>
    <w:rsid w:val="41D21617"/>
    <w:rsid w:val="41E154DD"/>
    <w:rsid w:val="41F75FF2"/>
    <w:rsid w:val="422D2854"/>
    <w:rsid w:val="422E1C92"/>
    <w:rsid w:val="42502659"/>
    <w:rsid w:val="429D0CB7"/>
    <w:rsid w:val="42E27786"/>
    <w:rsid w:val="43105F4C"/>
    <w:rsid w:val="431A4FD5"/>
    <w:rsid w:val="433E44A4"/>
    <w:rsid w:val="435C0286"/>
    <w:rsid w:val="43724AB3"/>
    <w:rsid w:val="43734584"/>
    <w:rsid w:val="439261EA"/>
    <w:rsid w:val="439E7CE7"/>
    <w:rsid w:val="43BC2488"/>
    <w:rsid w:val="43CF2EC5"/>
    <w:rsid w:val="43D315DE"/>
    <w:rsid w:val="43E63E85"/>
    <w:rsid w:val="43EB5F75"/>
    <w:rsid w:val="43F86362"/>
    <w:rsid w:val="443A1EC2"/>
    <w:rsid w:val="44631E9D"/>
    <w:rsid w:val="446C35A7"/>
    <w:rsid w:val="449607FF"/>
    <w:rsid w:val="450D58D1"/>
    <w:rsid w:val="45793FE5"/>
    <w:rsid w:val="45FD1E27"/>
    <w:rsid w:val="46636B2F"/>
    <w:rsid w:val="467B7CDC"/>
    <w:rsid w:val="46CA3CEA"/>
    <w:rsid w:val="478357D2"/>
    <w:rsid w:val="47AC225D"/>
    <w:rsid w:val="48414C7D"/>
    <w:rsid w:val="48BD1B4F"/>
    <w:rsid w:val="48F8141A"/>
    <w:rsid w:val="49352DBD"/>
    <w:rsid w:val="49527110"/>
    <w:rsid w:val="49987E61"/>
    <w:rsid w:val="49B10895"/>
    <w:rsid w:val="4AE10803"/>
    <w:rsid w:val="4B1826D7"/>
    <w:rsid w:val="4B1D6F74"/>
    <w:rsid w:val="4B2126D2"/>
    <w:rsid w:val="4B4A435D"/>
    <w:rsid w:val="4B50246F"/>
    <w:rsid w:val="4B862180"/>
    <w:rsid w:val="4B8B7386"/>
    <w:rsid w:val="4B961435"/>
    <w:rsid w:val="4B9C3AA0"/>
    <w:rsid w:val="4C940AD5"/>
    <w:rsid w:val="4CB40812"/>
    <w:rsid w:val="4CD303BB"/>
    <w:rsid w:val="4D325205"/>
    <w:rsid w:val="4D3C42AF"/>
    <w:rsid w:val="4D4F27E0"/>
    <w:rsid w:val="4D567E5F"/>
    <w:rsid w:val="4D6F7BBA"/>
    <w:rsid w:val="4DB7136F"/>
    <w:rsid w:val="4DEA150F"/>
    <w:rsid w:val="4E110488"/>
    <w:rsid w:val="4E225991"/>
    <w:rsid w:val="4EAE77D2"/>
    <w:rsid w:val="4F320F08"/>
    <w:rsid w:val="4F333BB1"/>
    <w:rsid w:val="4FA35525"/>
    <w:rsid w:val="4FB30C8A"/>
    <w:rsid w:val="4FC46EB1"/>
    <w:rsid w:val="4FF7682C"/>
    <w:rsid w:val="502349C8"/>
    <w:rsid w:val="50290554"/>
    <w:rsid w:val="504F2138"/>
    <w:rsid w:val="50524061"/>
    <w:rsid w:val="50752FC1"/>
    <w:rsid w:val="50BD2F61"/>
    <w:rsid w:val="50C54ECE"/>
    <w:rsid w:val="50EF3EB0"/>
    <w:rsid w:val="51C2485B"/>
    <w:rsid w:val="51DC7881"/>
    <w:rsid w:val="51E20694"/>
    <w:rsid w:val="51F212C9"/>
    <w:rsid w:val="51FF1923"/>
    <w:rsid w:val="52122525"/>
    <w:rsid w:val="52153B32"/>
    <w:rsid w:val="5216641C"/>
    <w:rsid w:val="523D7FA9"/>
    <w:rsid w:val="52473181"/>
    <w:rsid w:val="52807642"/>
    <w:rsid w:val="52B27766"/>
    <w:rsid w:val="52B94A6F"/>
    <w:rsid w:val="533F335F"/>
    <w:rsid w:val="534A54D2"/>
    <w:rsid w:val="53610C44"/>
    <w:rsid w:val="539E47BD"/>
    <w:rsid w:val="53CB3B1F"/>
    <w:rsid w:val="53CC2AC0"/>
    <w:rsid w:val="53E505CC"/>
    <w:rsid w:val="540D1507"/>
    <w:rsid w:val="54274826"/>
    <w:rsid w:val="54382A95"/>
    <w:rsid w:val="54405366"/>
    <w:rsid w:val="54457AA0"/>
    <w:rsid w:val="54471AAB"/>
    <w:rsid w:val="545023F7"/>
    <w:rsid w:val="54540342"/>
    <w:rsid w:val="546D1855"/>
    <w:rsid w:val="54A5202C"/>
    <w:rsid w:val="54AF1F78"/>
    <w:rsid w:val="54D1572E"/>
    <w:rsid w:val="54FB0CA0"/>
    <w:rsid w:val="5545566F"/>
    <w:rsid w:val="55AE7B59"/>
    <w:rsid w:val="55AF5D2E"/>
    <w:rsid w:val="55EC2D62"/>
    <w:rsid w:val="562C12FB"/>
    <w:rsid w:val="56354CB2"/>
    <w:rsid w:val="563C2C55"/>
    <w:rsid w:val="5640154A"/>
    <w:rsid w:val="5668684E"/>
    <w:rsid w:val="56CB7302"/>
    <w:rsid w:val="570A033A"/>
    <w:rsid w:val="573012F5"/>
    <w:rsid w:val="575B1DFF"/>
    <w:rsid w:val="57737F2E"/>
    <w:rsid w:val="57867947"/>
    <w:rsid w:val="579B42A8"/>
    <w:rsid w:val="57F31E21"/>
    <w:rsid w:val="581177CD"/>
    <w:rsid w:val="58227496"/>
    <w:rsid w:val="582637EF"/>
    <w:rsid w:val="5833640A"/>
    <w:rsid w:val="5852495B"/>
    <w:rsid w:val="58792A3C"/>
    <w:rsid w:val="58B853B8"/>
    <w:rsid w:val="58C33907"/>
    <w:rsid w:val="58C640E9"/>
    <w:rsid w:val="5900393E"/>
    <w:rsid w:val="59B25940"/>
    <w:rsid w:val="59C74C06"/>
    <w:rsid w:val="5A43799A"/>
    <w:rsid w:val="5A4E3B84"/>
    <w:rsid w:val="5A933C31"/>
    <w:rsid w:val="5AA83955"/>
    <w:rsid w:val="5AC74118"/>
    <w:rsid w:val="5AF76D81"/>
    <w:rsid w:val="5B02400D"/>
    <w:rsid w:val="5B0E08AA"/>
    <w:rsid w:val="5B19568B"/>
    <w:rsid w:val="5B3C49D4"/>
    <w:rsid w:val="5B495EAA"/>
    <w:rsid w:val="5B8932C5"/>
    <w:rsid w:val="5B8C7FC0"/>
    <w:rsid w:val="5BEC4F5F"/>
    <w:rsid w:val="5BFE64A3"/>
    <w:rsid w:val="5C3B2789"/>
    <w:rsid w:val="5C5265E8"/>
    <w:rsid w:val="5CEE6FFE"/>
    <w:rsid w:val="5D1D3EA5"/>
    <w:rsid w:val="5D4821EC"/>
    <w:rsid w:val="5D663151"/>
    <w:rsid w:val="5D9E52FF"/>
    <w:rsid w:val="5DC42E95"/>
    <w:rsid w:val="5DC65E53"/>
    <w:rsid w:val="5DDB103E"/>
    <w:rsid w:val="5DEB7A4B"/>
    <w:rsid w:val="5E10426B"/>
    <w:rsid w:val="5E8A4F28"/>
    <w:rsid w:val="5E960C96"/>
    <w:rsid w:val="5E9B7895"/>
    <w:rsid w:val="5EA3545F"/>
    <w:rsid w:val="5ECC2CD1"/>
    <w:rsid w:val="5ED518F0"/>
    <w:rsid w:val="5ED6342B"/>
    <w:rsid w:val="5EE42AF0"/>
    <w:rsid w:val="5EF85EA1"/>
    <w:rsid w:val="5F077110"/>
    <w:rsid w:val="5F0A510F"/>
    <w:rsid w:val="5F5A0102"/>
    <w:rsid w:val="5F61521F"/>
    <w:rsid w:val="5F847D96"/>
    <w:rsid w:val="5F8E539C"/>
    <w:rsid w:val="5F8F79B1"/>
    <w:rsid w:val="5FB900D2"/>
    <w:rsid w:val="5FFE2E64"/>
    <w:rsid w:val="6024698A"/>
    <w:rsid w:val="603A6880"/>
    <w:rsid w:val="607207F9"/>
    <w:rsid w:val="6089511C"/>
    <w:rsid w:val="608E4153"/>
    <w:rsid w:val="608F5F3F"/>
    <w:rsid w:val="60A16B74"/>
    <w:rsid w:val="60F94A85"/>
    <w:rsid w:val="60FE02F8"/>
    <w:rsid w:val="612B684D"/>
    <w:rsid w:val="61450106"/>
    <w:rsid w:val="615F56E8"/>
    <w:rsid w:val="61B46144"/>
    <w:rsid w:val="61EE1F78"/>
    <w:rsid w:val="620B36E5"/>
    <w:rsid w:val="621958C2"/>
    <w:rsid w:val="62506D0B"/>
    <w:rsid w:val="62514EE3"/>
    <w:rsid w:val="625C044F"/>
    <w:rsid w:val="629028BE"/>
    <w:rsid w:val="62921F3F"/>
    <w:rsid w:val="62D05AA7"/>
    <w:rsid w:val="62E33CC3"/>
    <w:rsid w:val="62FB278D"/>
    <w:rsid w:val="63280BD0"/>
    <w:rsid w:val="632D54E0"/>
    <w:rsid w:val="63801648"/>
    <w:rsid w:val="63850828"/>
    <w:rsid w:val="639E0F3A"/>
    <w:rsid w:val="64212BB4"/>
    <w:rsid w:val="6438634E"/>
    <w:rsid w:val="646C220E"/>
    <w:rsid w:val="648234A6"/>
    <w:rsid w:val="6497616D"/>
    <w:rsid w:val="64C315CD"/>
    <w:rsid w:val="65174FAA"/>
    <w:rsid w:val="65305126"/>
    <w:rsid w:val="655331DA"/>
    <w:rsid w:val="65810909"/>
    <w:rsid w:val="65DF171D"/>
    <w:rsid w:val="65EB4ED7"/>
    <w:rsid w:val="660B07A6"/>
    <w:rsid w:val="6629537A"/>
    <w:rsid w:val="66CB7044"/>
    <w:rsid w:val="66E1707D"/>
    <w:rsid w:val="66FF1DCD"/>
    <w:rsid w:val="66FF5236"/>
    <w:rsid w:val="674B370B"/>
    <w:rsid w:val="6798286B"/>
    <w:rsid w:val="67A74391"/>
    <w:rsid w:val="6845407D"/>
    <w:rsid w:val="687B6C19"/>
    <w:rsid w:val="6890150B"/>
    <w:rsid w:val="68994A5C"/>
    <w:rsid w:val="68A33E8B"/>
    <w:rsid w:val="68F122D4"/>
    <w:rsid w:val="69276D63"/>
    <w:rsid w:val="69A77E78"/>
    <w:rsid w:val="69AD591D"/>
    <w:rsid w:val="6A026795"/>
    <w:rsid w:val="6A3169BA"/>
    <w:rsid w:val="6A443F5E"/>
    <w:rsid w:val="6A8B363D"/>
    <w:rsid w:val="6AA34760"/>
    <w:rsid w:val="6ACB6946"/>
    <w:rsid w:val="6AF80881"/>
    <w:rsid w:val="6B014938"/>
    <w:rsid w:val="6B2779A1"/>
    <w:rsid w:val="6B4D4116"/>
    <w:rsid w:val="6B4E766F"/>
    <w:rsid w:val="6B67184B"/>
    <w:rsid w:val="6B72550E"/>
    <w:rsid w:val="6BD27D5F"/>
    <w:rsid w:val="6C066694"/>
    <w:rsid w:val="6C073FE6"/>
    <w:rsid w:val="6C176D43"/>
    <w:rsid w:val="6C1B2A5F"/>
    <w:rsid w:val="6C711D3C"/>
    <w:rsid w:val="6C83463A"/>
    <w:rsid w:val="6C870256"/>
    <w:rsid w:val="6C894875"/>
    <w:rsid w:val="6CB43C73"/>
    <w:rsid w:val="6CD76DC5"/>
    <w:rsid w:val="6D33377C"/>
    <w:rsid w:val="6D4948CE"/>
    <w:rsid w:val="6D5B20B4"/>
    <w:rsid w:val="6D5B3FA0"/>
    <w:rsid w:val="6D5E3CA0"/>
    <w:rsid w:val="6DC00F68"/>
    <w:rsid w:val="6DCD1D69"/>
    <w:rsid w:val="6DD07C38"/>
    <w:rsid w:val="6DFC3A39"/>
    <w:rsid w:val="6E615843"/>
    <w:rsid w:val="6E742D19"/>
    <w:rsid w:val="6E85132B"/>
    <w:rsid w:val="6E9A6C1D"/>
    <w:rsid w:val="6E9E097A"/>
    <w:rsid w:val="6EBC2960"/>
    <w:rsid w:val="6F004641"/>
    <w:rsid w:val="6F053225"/>
    <w:rsid w:val="6F0E78BF"/>
    <w:rsid w:val="6F3803B2"/>
    <w:rsid w:val="6F3D5D63"/>
    <w:rsid w:val="6F576CEB"/>
    <w:rsid w:val="6FCA149A"/>
    <w:rsid w:val="70590176"/>
    <w:rsid w:val="70612A40"/>
    <w:rsid w:val="7061719C"/>
    <w:rsid w:val="70A36A34"/>
    <w:rsid w:val="70A4509E"/>
    <w:rsid w:val="70B247EC"/>
    <w:rsid w:val="70BB1C05"/>
    <w:rsid w:val="70D15212"/>
    <w:rsid w:val="710919ED"/>
    <w:rsid w:val="711A429D"/>
    <w:rsid w:val="71B345CA"/>
    <w:rsid w:val="71B90505"/>
    <w:rsid w:val="71E87CAF"/>
    <w:rsid w:val="71F74605"/>
    <w:rsid w:val="72194EA0"/>
    <w:rsid w:val="72752E64"/>
    <w:rsid w:val="727B21A5"/>
    <w:rsid w:val="727D25C3"/>
    <w:rsid w:val="72C2403C"/>
    <w:rsid w:val="72C56DA7"/>
    <w:rsid w:val="733C484D"/>
    <w:rsid w:val="73481269"/>
    <w:rsid w:val="736E038C"/>
    <w:rsid w:val="73A92F04"/>
    <w:rsid w:val="73AA6B3C"/>
    <w:rsid w:val="73F949F9"/>
    <w:rsid w:val="73FE4FB0"/>
    <w:rsid w:val="74050504"/>
    <w:rsid w:val="74141E82"/>
    <w:rsid w:val="74763E1B"/>
    <w:rsid w:val="74DE2C12"/>
    <w:rsid w:val="756F688B"/>
    <w:rsid w:val="7579436E"/>
    <w:rsid w:val="758E227B"/>
    <w:rsid w:val="75913398"/>
    <w:rsid w:val="75914B13"/>
    <w:rsid w:val="75CB52D7"/>
    <w:rsid w:val="75F61752"/>
    <w:rsid w:val="76206738"/>
    <w:rsid w:val="76307207"/>
    <w:rsid w:val="768E0F59"/>
    <w:rsid w:val="76BE7F01"/>
    <w:rsid w:val="76C27439"/>
    <w:rsid w:val="76D5728C"/>
    <w:rsid w:val="77166F51"/>
    <w:rsid w:val="779D47D7"/>
    <w:rsid w:val="77BC4FEC"/>
    <w:rsid w:val="77BD31F8"/>
    <w:rsid w:val="781654CB"/>
    <w:rsid w:val="78210A11"/>
    <w:rsid w:val="78285464"/>
    <w:rsid w:val="78400EC7"/>
    <w:rsid w:val="784A018B"/>
    <w:rsid w:val="78504729"/>
    <w:rsid w:val="78E27EAC"/>
    <w:rsid w:val="78EE34C1"/>
    <w:rsid w:val="79054176"/>
    <w:rsid w:val="7A0875E7"/>
    <w:rsid w:val="7A1A066F"/>
    <w:rsid w:val="7A4D773A"/>
    <w:rsid w:val="7A752419"/>
    <w:rsid w:val="7B30547B"/>
    <w:rsid w:val="7B751E05"/>
    <w:rsid w:val="7BA573E6"/>
    <w:rsid w:val="7BB76CF2"/>
    <w:rsid w:val="7BCE5500"/>
    <w:rsid w:val="7C702C96"/>
    <w:rsid w:val="7CA31C66"/>
    <w:rsid w:val="7CDE4C4D"/>
    <w:rsid w:val="7CFC3257"/>
    <w:rsid w:val="7D120F8E"/>
    <w:rsid w:val="7D326E12"/>
    <w:rsid w:val="7D631670"/>
    <w:rsid w:val="7DA1243A"/>
    <w:rsid w:val="7DB10BEC"/>
    <w:rsid w:val="7DD15964"/>
    <w:rsid w:val="7DFB54B6"/>
    <w:rsid w:val="7E6F1C09"/>
    <w:rsid w:val="7E8447A7"/>
    <w:rsid w:val="7EAD7221"/>
    <w:rsid w:val="7ECE0919"/>
    <w:rsid w:val="7EF21E31"/>
    <w:rsid w:val="7F2934F3"/>
    <w:rsid w:val="7F412550"/>
    <w:rsid w:val="7F6A570F"/>
    <w:rsid w:val="7F89447D"/>
    <w:rsid w:val="7FB41262"/>
    <w:rsid w:val="7FB42CC5"/>
    <w:rsid w:val="7FE272C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semiHidden="0" w:name="heading 4" w:locked="1"/>
    <w:lsdException w:qFormat="1" w:uiPriority="0" w:semiHidden="0" w:name="heading 5" w:locked="1"/>
    <w:lsdException w:qFormat="1" w:uiPriority="0" w:semiHidden="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ind w:firstLine="200" w:firstLineChars="200"/>
      <w:jc w:val="both"/>
    </w:pPr>
    <w:rPr>
      <w:rFonts w:ascii="Times New Roman" w:hAnsi="Times New Roman" w:eastAsia="仿宋" w:cs="Times New Roman"/>
      <w:kern w:val="2"/>
      <w:sz w:val="32"/>
      <w:szCs w:val="24"/>
      <w:lang w:val="en-US" w:eastAsia="zh-CN" w:bidi="ar-SA"/>
    </w:rPr>
  </w:style>
  <w:style w:type="paragraph" w:styleId="2">
    <w:name w:val="heading 1"/>
    <w:basedOn w:val="1"/>
    <w:next w:val="1"/>
    <w:link w:val="20"/>
    <w:qFormat/>
    <w:uiPriority w:val="99"/>
    <w:pPr>
      <w:ind w:firstLine="593"/>
      <w:outlineLvl w:val="0"/>
    </w:pPr>
    <w:rPr>
      <w:rFonts w:eastAsia="黑体"/>
      <w:bCs/>
      <w:kern w:val="44"/>
      <w:szCs w:val="44"/>
    </w:rPr>
  </w:style>
  <w:style w:type="paragraph" w:styleId="3">
    <w:name w:val="heading 2"/>
    <w:basedOn w:val="1"/>
    <w:next w:val="1"/>
    <w:link w:val="21"/>
    <w:qFormat/>
    <w:uiPriority w:val="99"/>
    <w:pPr>
      <w:outlineLvl w:val="1"/>
    </w:pPr>
    <w:rPr>
      <w:rFonts w:ascii="Arial" w:hAnsi="Arial" w:eastAsia="楷体"/>
      <w:b/>
    </w:rPr>
  </w:style>
  <w:style w:type="paragraph" w:styleId="4">
    <w:name w:val="heading 3"/>
    <w:basedOn w:val="1"/>
    <w:next w:val="1"/>
    <w:link w:val="22"/>
    <w:qFormat/>
    <w:uiPriority w:val="99"/>
    <w:pPr>
      <w:outlineLvl w:val="2"/>
    </w:pPr>
    <w:rPr>
      <w:b/>
    </w:rPr>
  </w:style>
  <w:style w:type="paragraph" w:styleId="5">
    <w:name w:val="heading 4"/>
    <w:basedOn w:val="3"/>
    <w:next w:val="1"/>
    <w:link w:val="29"/>
    <w:unhideWhenUsed/>
    <w:qFormat/>
    <w:locked/>
    <w:uiPriority w:val="0"/>
    <w:pPr>
      <w:ind w:firstLine="595"/>
      <w:outlineLvl w:val="3"/>
    </w:pPr>
    <w:rPr>
      <w:kern w:val="0"/>
    </w:rPr>
  </w:style>
  <w:style w:type="paragraph" w:styleId="6">
    <w:name w:val="heading 5"/>
    <w:basedOn w:val="4"/>
    <w:next w:val="1"/>
    <w:link w:val="30"/>
    <w:unhideWhenUsed/>
    <w:qFormat/>
    <w:locked/>
    <w:uiPriority w:val="0"/>
    <w:pPr>
      <w:ind w:firstLine="595"/>
      <w:outlineLvl w:val="4"/>
    </w:pPr>
    <w:rPr>
      <w:kern w:val="0"/>
    </w:rPr>
  </w:style>
  <w:style w:type="paragraph" w:styleId="7">
    <w:name w:val="heading 6"/>
    <w:basedOn w:val="1"/>
    <w:next w:val="1"/>
    <w:link w:val="32"/>
    <w:unhideWhenUsed/>
    <w:qFormat/>
    <w:locked/>
    <w:uiPriority w:val="0"/>
    <w:pPr>
      <w:keepNext/>
      <w:keepLines/>
      <w:spacing w:before="240" w:after="64" w:line="320" w:lineRule="atLeast"/>
      <w:ind w:firstLine="482"/>
      <w:outlineLvl w:val="5"/>
    </w:pPr>
    <w:rPr>
      <w:rFonts w:ascii="Cambria" w:hAnsi="Cambria" w:eastAsia="宋体"/>
      <w:b/>
      <w:bCs/>
      <w:sz w:val="24"/>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semiHidden/>
    <w:unhideWhenUsed/>
    <w:uiPriority w:val="99"/>
    <w:pPr>
      <w:jc w:val="left"/>
    </w:pPr>
  </w:style>
  <w:style w:type="paragraph" w:styleId="9">
    <w:name w:val="toc 3"/>
    <w:basedOn w:val="1"/>
    <w:next w:val="1"/>
    <w:qFormat/>
    <w:uiPriority w:val="39"/>
    <w:pPr>
      <w:ind w:left="840" w:leftChars="400"/>
    </w:pPr>
  </w:style>
  <w:style w:type="paragraph" w:styleId="10">
    <w:name w:val="Balloon Text"/>
    <w:basedOn w:val="1"/>
    <w:link w:val="23"/>
    <w:semiHidden/>
    <w:qFormat/>
    <w:uiPriority w:val="99"/>
    <w:rPr>
      <w:sz w:val="18"/>
      <w:szCs w:val="18"/>
    </w:rPr>
  </w:style>
  <w:style w:type="paragraph" w:styleId="11">
    <w:name w:val="footer"/>
    <w:basedOn w:val="1"/>
    <w:link w:val="24"/>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25"/>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toc 1"/>
    <w:basedOn w:val="1"/>
    <w:next w:val="1"/>
    <w:qFormat/>
    <w:uiPriority w:val="39"/>
  </w:style>
  <w:style w:type="paragraph" w:styleId="14">
    <w:name w:val="toc 2"/>
    <w:basedOn w:val="1"/>
    <w:next w:val="1"/>
    <w:qFormat/>
    <w:uiPriority w:val="39"/>
    <w:pPr>
      <w:ind w:left="420" w:leftChars="200"/>
    </w:p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2"/>
    <w:next w:val="1"/>
    <w:link w:val="28"/>
    <w:qFormat/>
    <w:locked/>
    <w:uiPriority w:val="0"/>
  </w:style>
  <w:style w:type="character" w:styleId="19">
    <w:name w:val="Hyperlink"/>
    <w:qFormat/>
    <w:uiPriority w:val="99"/>
    <w:rPr>
      <w:rFonts w:cs="Times New Roman"/>
      <w:color w:val="0000FF"/>
      <w:u w:val="single"/>
    </w:rPr>
  </w:style>
  <w:style w:type="character" w:customStyle="1" w:styleId="20">
    <w:name w:val="标题 1 字符"/>
    <w:link w:val="2"/>
    <w:qFormat/>
    <w:locked/>
    <w:uiPriority w:val="99"/>
    <w:rPr>
      <w:rFonts w:eastAsia="黑体"/>
      <w:bCs/>
      <w:kern w:val="44"/>
      <w:sz w:val="32"/>
      <w:szCs w:val="44"/>
    </w:rPr>
  </w:style>
  <w:style w:type="character" w:customStyle="1" w:styleId="21">
    <w:name w:val="标题 2 字符"/>
    <w:link w:val="3"/>
    <w:semiHidden/>
    <w:qFormat/>
    <w:uiPriority w:val="9"/>
    <w:rPr>
      <w:rFonts w:ascii="Cambria" w:hAnsi="Cambria" w:eastAsia="宋体" w:cs="Times New Roman"/>
      <w:b/>
      <w:bCs/>
      <w:sz w:val="32"/>
      <w:szCs w:val="32"/>
    </w:rPr>
  </w:style>
  <w:style w:type="character" w:customStyle="1" w:styleId="22">
    <w:name w:val="标题 3 字符"/>
    <w:link w:val="4"/>
    <w:semiHidden/>
    <w:qFormat/>
    <w:uiPriority w:val="9"/>
    <w:rPr>
      <w:rFonts w:eastAsia="仿宋"/>
      <w:b/>
      <w:bCs/>
      <w:sz w:val="32"/>
      <w:szCs w:val="32"/>
    </w:rPr>
  </w:style>
  <w:style w:type="character" w:customStyle="1" w:styleId="23">
    <w:name w:val="批注框文本 字符"/>
    <w:link w:val="10"/>
    <w:semiHidden/>
    <w:qFormat/>
    <w:locked/>
    <w:uiPriority w:val="99"/>
    <w:rPr>
      <w:rFonts w:ascii="Times New Roman" w:hAnsi="Times New Roman" w:eastAsia="宋体" w:cs="Times New Roman"/>
      <w:sz w:val="18"/>
      <w:szCs w:val="18"/>
    </w:rPr>
  </w:style>
  <w:style w:type="character" w:customStyle="1" w:styleId="24">
    <w:name w:val="页脚 字符1"/>
    <w:link w:val="11"/>
    <w:qFormat/>
    <w:locked/>
    <w:uiPriority w:val="99"/>
    <w:rPr>
      <w:rFonts w:cs="Times New Roman"/>
      <w:sz w:val="18"/>
      <w:szCs w:val="18"/>
    </w:rPr>
  </w:style>
  <w:style w:type="character" w:customStyle="1" w:styleId="25">
    <w:name w:val="页眉 字符"/>
    <w:link w:val="12"/>
    <w:qFormat/>
    <w:locked/>
    <w:uiPriority w:val="99"/>
    <w:rPr>
      <w:rFonts w:cs="Times New Roman"/>
      <w:sz w:val="18"/>
      <w:szCs w:val="18"/>
    </w:rPr>
  </w:style>
  <w:style w:type="character" w:customStyle="1" w:styleId="26">
    <w:name w:val="页脚 字符"/>
    <w:qFormat/>
    <w:uiPriority w:val="99"/>
    <w:rPr>
      <w:kern w:val="2"/>
      <w:sz w:val="18"/>
    </w:rPr>
  </w:style>
  <w:style w:type="paragraph" w:styleId="27">
    <w:name w:val="List Paragraph"/>
    <w:basedOn w:val="1"/>
    <w:qFormat/>
    <w:uiPriority w:val="99"/>
    <w:pPr>
      <w:ind w:firstLine="420"/>
    </w:pPr>
  </w:style>
  <w:style w:type="character" w:customStyle="1" w:styleId="28">
    <w:name w:val="标题 字符"/>
    <w:link w:val="16"/>
    <w:qFormat/>
    <w:uiPriority w:val="0"/>
    <w:rPr>
      <w:rFonts w:eastAsia="黑体"/>
      <w:bCs/>
      <w:kern w:val="44"/>
      <w:sz w:val="32"/>
      <w:szCs w:val="44"/>
    </w:rPr>
  </w:style>
  <w:style w:type="character" w:customStyle="1" w:styleId="29">
    <w:name w:val="标题 4 字符"/>
    <w:link w:val="5"/>
    <w:qFormat/>
    <w:uiPriority w:val="0"/>
    <w:rPr>
      <w:rFonts w:ascii="Arial" w:hAnsi="Arial" w:eastAsia="楷体"/>
      <w:b/>
      <w:sz w:val="32"/>
      <w:szCs w:val="24"/>
    </w:rPr>
  </w:style>
  <w:style w:type="character" w:customStyle="1" w:styleId="30">
    <w:name w:val="标题 5 字符"/>
    <w:link w:val="6"/>
    <w:qFormat/>
    <w:uiPriority w:val="0"/>
    <w:rPr>
      <w:rFonts w:eastAsia="仿宋"/>
      <w:b/>
      <w:sz w:val="32"/>
      <w:szCs w:val="24"/>
    </w:rPr>
  </w:style>
  <w:style w:type="paragraph" w:customStyle="1" w:styleId="31">
    <w:name w:val="TOC Heading"/>
    <w:basedOn w:val="2"/>
    <w:next w:val="1"/>
    <w:semiHidden/>
    <w:unhideWhenUsed/>
    <w:qFormat/>
    <w:uiPriority w:val="39"/>
    <w:pPr>
      <w:keepNext/>
      <w:keepLines/>
      <w:widowControl/>
      <w:spacing w:before="480" w:line="276" w:lineRule="auto"/>
      <w:ind w:firstLine="0" w:firstLineChars="0"/>
      <w:jc w:val="left"/>
      <w:outlineLvl w:val="9"/>
    </w:pPr>
    <w:rPr>
      <w:rFonts w:ascii="Cambria" w:hAnsi="Cambria" w:eastAsia="宋体"/>
      <w:b/>
      <w:color w:val="365F91"/>
      <w:kern w:val="0"/>
      <w:sz w:val="28"/>
      <w:szCs w:val="28"/>
    </w:rPr>
  </w:style>
  <w:style w:type="character" w:customStyle="1" w:styleId="32">
    <w:name w:val="标题 6 字符"/>
    <w:link w:val="7"/>
    <w:qFormat/>
    <w:uiPriority w:val="0"/>
    <w:rPr>
      <w:rFonts w:ascii="Cambria" w:hAnsi="Cambria" w:eastAsia="宋体" w:cs="Times New Roman"/>
      <w:b/>
      <w:bCs/>
      <w:kern w:val="2"/>
      <w:sz w:val="24"/>
      <w:szCs w:val="24"/>
    </w:rPr>
  </w:style>
  <w:style w:type="character" w:customStyle="1" w:styleId="33">
    <w:name w:val="font91"/>
    <w:basedOn w:val="18"/>
    <w:qFormat/>
    <w:uiPriority w:val="0"/>
    <w:rPr>
      <w:rFonts w:hint="eastAsia" w:ascii="宋体" w:hAnsi="宋体" w:eastAsia="宋体" w:cs="宋体"/>
      <w:color w:val="000000"/>
      <w:sz w:val="28"/>
      <w:szCs w:val="28"/>
      <w:u w:val="none"/>
    </w:rPr>
  </w:style>
  <w:style w:type="character" w:customStyle="1" w:styleId="34">
    <w:name w:val="font121"/>
    <w:basedOn w:val="18"/>
    <w:qFormat/>
    <w:uiPriority w:val="0"/>
    <w:rPr>
      <w:rFonts w:hint="default" w:ascii="Times New Roman" w:hAnsi="Times New Roman" w:cs="Times New Roman"/>
      <w:color w:val="000000"/>
      <w:sz w:val="18"/>
      <w:szCs w:val="18"/>
      <w:u w:val="none"/>
    </w:rPr>
  </w:style>
  <w:style w:type="character" w:customStyle="1" w:styleId="35">
    <w:name w:val="font112"/>
    <w:basedOn w:val="18"/>
    <w:qFormat/>
    <w:uiPriority w:val="0"/>
    <w:rPr>
      <w:rFonts w:hint="eastAsia" w:ascii="宋体" w:hAnsi="宋体" w:eastAsia="宋体" w:cs="宋体"/>
      <w:color w:val="000000"/>
      <w:sz w:val="18"/>
      <w:szCs w:val="18"/>
      <w:u w:val="none"/>
    </w:rPr>
  </w:style>
  <w:style w:type="character" w:customStyle="1" w:styleId="36">
    <w:name w:val="font141"/>
    <w:basedOn w:val="18"/>
    <w:qFormat/>
    <w:uiPriority w:val="0"/>
    <w:rPr>
      <w:rFonts w:hint="default" w:ascii="Times New Roman" w:hAnsi="Times New Roman" w:cs="Times New Roman"/>
      <w:color w:val="000000"/>
      <w:sz w:val="18"/>
      <w:szCs w:val="18"/>
      <w:u w:val="none"/>
    </w:rPr>
  </w:style>
  <w:style w:type="character" w:customStyle="1" w:styleId="37">
    <w:name w:val="font81"/>
    <w:basedOn w:val="18"/>
    <w:qFormat/>
    <w:uiPriority w:val="0"/>
    <w:rPr>
      <w:rFonts w:hint="default" w:ascii="Times New Roman" w:hAnsi="Times New Roman" w:cs="Times New Roman"/>
      <w:color w:val="000000"/>
      <w:sz w:val="18"/>
      <w:szCs w:val="18"/>
      <w:u w:val="none"/>
    </w:rPr>
  </w:style>
  <w:style w:type="character" w:customStyle="1" w:styleId="38">
    <w:name w:val="font131"/>
    <w:basedOn w:val="18"/>
    <w:qFormat/>
    <w:uiPriority w:val="0"/>
    <w:rPr>
      <w:rFonts w:hint="eastAsia" w:ascii="宋体" w:hAnsi="宋体" w:eastAsia="宋体" w:cs="宋体"/>
      <w:color w:val="000000"/>
      <w:sz w:val="18"/>
      <w:szCs w:val="18"/>
      <w:u w:val="none"/>
    </w:rPr>
  </w:style>
  <w:style w:type="character" w:customStyle="1" w:styleId="39">
    <w:name w:val="font61"/>
    <w:basedOn w:val="18"/>
    <w:qFormat/>
    <w:uiPriority w:val="0"/>
    <w:rPr>
      <w:rFonts w:hint="eastAsia" w:ascii="宋体" w:hAnsi="宋体" w:eastAsia="宋体" w:cs="宋体"/>
      <w:color w:val="000000"/>
      <w:sz w:val="18"/>
      <w:szCs w:val="18"/>
      <w:u w:val="none"/>
    </w:rPr>
  </w:style>
  <w:style w:type="character" w:customStyle="1" w:styleId="40">
    <w:name w:val="font151"/>
    <w:basedOn w:val="18"/>
    <w:qFormat/>
    <w:uiPriority w:val="0"/>
    <w:rPr>
      <w:rFonts w:hint="default" w:ascii="Times New Roman" w:hAnsi="Times New Roman" w:cs="Times New Roman"/>
      <w:color w:val="000000"/>
      <w:sz w:val="18"/>
      <w:szCs w:val="18"/>
      <w:u w:val="none"/>
    </w:rPr>
  </w:style>
  <w:style w:type="character" w:customStyle="1" w:styleId="41">
    <w:name w:val="font71"/>
    <w:basedOn w:val="18"/>
    <w:qFormat/>
    <w:uiPriority w:val="0"/>
    <w:rPr>
      <w:rFonts w:hint="eastAsia" w:ascii="宋体" w:hAnsi="宋体" w:eastAsia="宋体" w:cs="宋体"/>
      <w:color w:val="000000"/>
      <w:sz w:val="18"/>
      <w:szCs w:val="18"/>
      <w:u w:val="none"/>
    </w:rPr>
  </w:style>
  <w:style w:type="character" w:customStyle="1" w:styleId="42">
    <w:name w:val="font11"/>
    <w:basedOn w:val="18"/>
    <w:qFormat/>
    <w:uiPriority w:val="0"/>
    <w:rPr>
      <w:rFonts w:hint="default" w:ascii="Times New Roman" w:hAnsi="Times New Roman" w:cs="Times New Roman"/>
      <w:color w:val="000000"/>
      <w:sz w:val="20"/>
      <w:szCs w:val="20"/>
      <w:u w:val="none"/>
    </w:rPr>
  </w:style>
  <w:style w:type="character" w:customStyle="1" w:styleId="43">
    <w:name w:val="font31"/>
    <w:basedOn w:val="1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1236</Words>
  <Characters>7051</Characters>
  <Lines>58</Lines>
  <Paragraphs>16</Paragraphs>
  <TotalTime>53</TotalTime>
  <ScaleCrop>false</ScaleCrop>
  <LinksUpToDate>false</LinksUpToDate>
  <CharactersWithSpaces>8271</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2020-12-06T14:51:00Z</dcterms:created>
  <dc:creator>Admin</dc:creator>
  <cp:lastModifiedBy>shenji</cp:lastModifiedBy>
  <cp:lastPrinted>2019-08-30T02:55:00Z</cp:lastPrinted>
  <dcterms:modified xsi:type="dcterms:W3CDTF">2020-12-21T04:09:17Z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