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0"/>
        <w:jc w:val="center"/>
        <w:rPr>
          <w:rFonts w:ascii="黑体" w:hAnsi="黑体" w:eastAsia="黑体"/>
          <w:sz w:val="52"/>
          <w:szCs w:val="52"/>
        </w:rPr>
      </w:pPr>
    </w:p>
    <w:p>
      <w:pPr>
        <w:ind w:firstLine="1040"/>
        <w:jc w:val="center"/>
        <w:rPr>
          <w:rFonts w:ascii="黑体" w:hAnsi="黑体" w:eastAsia="黑体"/>
          <w:sz w:val="52"/>
          <w:szCs w:val="52"/>
        </w:rPr>
      </w:pPr>
      <w:r>
        <w:rPr>
          <w:rFonts w:hint="eastAsia" w:ascii="黑体" w:hAnsi="黑体" w:eastAsia="黑体"/>
          <w:sz w:val="52"/>
          <w:szCs w:val="52"/>
        </w:rPr>
        <w:t>绩效评价报告</w:t>
      </w:r>
    </w:p>
    <w:p>
      <w:pPr>
        <w:ind w:firstLine="880"/>
        <w:jc w:val="center"/>
        <w:rPr>
          <w:rFonts w:ascii="黑体" w:hAnsi="黑体" w:eastAsia="黑体"/>
          <w:sz w:val="44"/>
          <w:szCs w:val="44"/>
        </w:rPr>
      </w:pPr>
      <w:r>
        <w:rPr>
          <w:rFonts w:hint="eastAsia" w:ascii="黑体" w:hAnsi="黑体" w:eastAsia="黑体"/>
          <w:sz w:val="44"/>
          <w:szCs w:val="44"/>
        </w:rPr>
        <w:t>（征求意见稿）</w:t>
      </w:r>
    </w:p>
    <w:p>
      <w:pPr>
        <w:ind w:firstLine="1040"/>
        <w:jc w:val="center"/>
        <w:rPr>
          <w:rFonts w:ascii="黑体" w:hAnsi="黑体" w:eastAsia="黑体"/>
          <w:sz w:val="52"/>
          <w:szCs w:val="52"/>
        </w:rPr>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rPr>
          <w:u w:val="single"/>
        </w:rPr>
      </w:pPr>
    </w:p>
    <w:p>
      <w:pPr>
        <w:ind w:firstLine="640"/>
        <w:rPr>
          <w:u w:val="single"/>
        </w:rPr>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spacing w:line="600" w:lineRule="exact"/>
        <w:ind w:left="1920" w:leftChars="100" w:hanging="1600" w:hangingChars="500"/>
        <w:rPr>
          <w:rFonts w:eastAsia="仿宋_GB2312"/>
          <w:szCs w:val="32"/>
          <w:u w:val="single"/>
        </w:rPr>
      </w:pPr>
      <w:r>
        <w:rPr>
          <w:rFonts w:hint="eastAsia" w:ascii="黑体" w:hAnsi="黑体" w:eastAsia="黑体"/>
          <w:szCs w:val="32"/>
        </w:rPr>
        <w:t>项目名称：</w:t>
      </w:r>
      <w:r>
        <w:rPr>
          <w:rFonts w:hint="eastAsia" w:eastAsia="仿宋_GB2312"/>
          <w:szCs w:val="32"/>
          <w:u w:val="single"/>
        </w:rPr>
        <w:t>2019年度中国共产党衡山县委员会宣传部部门整体支出绩效评价</w:t>
      </w:r>
    </w:p>
    <w:p>
      <w:pPr>
        <w:spacing w:line="600" w:lineRule="exact"/>
        <w:ind w:firstLine="320" w:firstLineChars="100"/>
        <w:jc w:val="left"/>
        <w:rPr>
          <w:rFonts w:eastAsia="仿宋_GB2312"/>
          <w:szCs w:val="32"/>
          <w:u w:val="single"/>
        </w:rPr>
      </w:pPr>
      <w:r>
        <w:rPr>
          <w:rFonts w:hint="eastAsia" w:ascii="黑体" w:hAnsi="黑体" w:eastAsia="黑体"/>
          <w:szCs w:val="32"/>
        </w:rPr>
        <w:t>主管部门：</w:t>
      </w:r>
      <w:r>
        <w:rPr>
          <w:rFonts w:hint="eastAsia" w:eastAsia="仿宋_GB2312"/>
          <w:szCs w:val="32"/>
          <w:u w:val="single"/>
        </w:rPr>
        <w:t>衡山县财政局</w:t>
      </w:r>
    </w:p>
    <w:p>
      <w:pPr>
        <w:spacing w:line="600" w:lineRule="exact"/>
        <w:ind w:firstLine="320" w:firstLineChars="100"/>
        <w:jc w:val="left"/>
        <w:rPr>
          <w:rFonts w:eastAsia="仿宋_GB2312"/>
          <w:szCs w:val="32"/>
          <w:u w:val="single"/>
        </w:rPr>
      </w:pPr>
      <w:r>
        <w:rPr>
          <w:rFonts w:hint="eastAsia" w:ascii="黑体" w:hAnsi="黑体" w:eastAsia="黑体"/>
          <w:szCs w:val="32"/>
        </w:rPr>
        <w:t>组织单位：</w:t>
      </w:r>
      <w:r>
        <w:rPr>
          <w:rFonts w:hint="eastAsia" w:eastAsia="仿宋_GB2312"/>
          <w:szCs w:val="32"/>
          <w:u w:val="single"/>
        </w:rPr>
        <w:t>中国共产党衡山县委员会宣传部</w:t>
      </w:r>
    </w:p>
    <w:p>
      <w:pPr>
        <w:spacing w:line="600" w:lineRule="exact"/>
        <w:ind w:firstLine="320" w:firstLineChars="100"/>
        <w:jc w:val="left"/>
        <w:rPr>
          <w:rFonts w:eastAsia="仿宋_GB2312"/>
          <w:szCs w:val="32"/>
          <w:u w:val="single"/>
        </w:rPr>
      </w:pPr>
      <w:r>
        <w:rPr>
          <w:rFonts w:hint="eastAsia" w:ascii="黑体" w:hAnsi="黑体" w:eastAsia="黑体"/>
          <w:szCs w:val="32"/>
        </w:rPr>
        <w:t>实施机构：</w:t>
      </w:r>
      <w:r>
        <w:rPr>
          <w:rFonts w:hint="eastAsia" w:eastAsia="仿宋_GB2312"/>
          <w:szCs w:val="32"/>
          <w:u w:val="single"/>
        </w:rPr>
        <w:t>湖南宏丰益联合会计师事务所</w:t>
      </w:r>
    </w:p>
    <w:p>
      <w:pPr>
        <w:ind w:firstLine="320" w:firstLineChars="100"/>
        <w:jc w:val="left"/>
        <w:rPr>
          <w:rFonts w:ascii="黑体" w:hAnsi="黑体" w:eastAsia="黑体"/>
          <w:szCs w:val="32"/>
          <w:u w:val="single"/>
        </w:rPr>
      </w:pPr>
    </w:p>
    <w:p>
      <w:pPr>
        <w:ind w:firstLine="320" w:firstLineChars="100"/>
        <w:jc w:val="left"/>
        <w:rPr>
          <w:rFonts w:ascii="黑体" w:hAnsi="黑体" w:eastAsia="黑体"/>
          <w:szCs w:val="32"/>
          <w:u w:val="single"/>
        </w:rPr>
      </w:pPr>
    </w:p>
    <w:p>
      <w:pPr>
        <w:ind w:firstLine="321" w:firstLineChars="100"/>
        <w:jc w:val="center"/>
        <w:rPr>
          <w:rFonts w:ascii="黑体" w:hAnsi="黑体" w:eastAsia="黑体"/>
          <w:b/>
          <w:szCs w:val="32"/>
        </w:rPr>
      </w:pPr>
      <w:r>
        <w:rPr>
          <w:rFonts w:hint="eastAsia" w:eastAsia="黑体"/>
          <w:b/>
          <w:szCs w:val="32"/>
        </w:rPr>
        <w:t>20</w:t>
      </w:r>
      <w:r>
        <w:rPr>
          <w:rFonts w:eastAsia="黑体"/>
          <w:b/>
          <w:szCs w:val="32"/>
        </w:rPr>
        <w:t>20</w:t>
      </w:r>
      <w:r>
        <w:rPr>
          <w:rFonts w:hint="eastAsia" w:ascii="黑体" w:hAnsi="黑体" w:eastAsia="黑体"/>
          <w:b/>
          <w:szCs w:val="32"/>
        </w:rPr>
        <w:t>年</w:t>
      </w:r>
      <w:r>
        <w:rPr>
          <w:rFonts w:hint="eastAsia" w:eastAsia="黑体"/>
          <w:b/>
          <w:szCs w:val="32"/>
        </w:rPr>
        <w:t>1</w:t>
      </w:r>
      <w:r>
        <w:rPr>
          <w:rFonts w:eastAsia="黑体"/>
          <w:b/>
          <w:szCs w:val="32"/>
        </w:rPr>
        <w:t>1</w:t>
      </w:r>
      <w:r>
        <w:rPr>
          <w:rFonts w:hint="eastAsia" w:ascii="黑体" w:hAnsi="黑体" w:eastAsia="黑体"/>
          <w:b/>
          <w:szCs w:val="32"/>
        </w:rPr>
        <w:t>月</w:t>
      </w:r>
      <w:r>
        <w:rPr>
          <w:rFonts w:eastAsia="黑体"/>
          <w:b/>
          <w:szCs w:val="32"/>
        </w:rPr>
        <w:t>4</w:t>
      </w:r>
      <w:r>
        <w:rPr>
          <w:rFonts w:hint="eastAsia" w:ascii="黑体" w:hAnsi="黑体" w:eastAsia="黑体"/>
          <w:b/>
          <w:szCs w:val="32"/>
        </w:rPr>
        <w:t>日</w:t>
      </w:r>
    </w:p>
    <w:p>
      <w:pPr>
        <w:spacing w:line="600" w:lineRule="exact"/>
        <w:ind w:firstLine="627"/>
        <w:jc w:val="left"/>
        <w:rPr>
          <w:rFonts w:ascii="黑体" w:hAnsi="黑体" w:eastAsia="黑体"/>
          <w:b/>
          <w:color w:val="000000"/>
          <w:spacing w:val="-4"/>
          <w:szCs w:val="32"/>
        </w:rPr>
        <w:sectPr>
          <w:headerReference r:id="rId5" w:type="first"/>
          <w:footerReference r:id="rId8" w:type="first"/>
          <w:headerReference r:id="rId3" w:type="default"/>
          <w:footerReference r:id="rId6" w:type="default"/>
          <w:headerReference r:id="rId4" w:type="even"/>
          <w:footerReference r:id="rId7" w:type="even"/>
          <w:pgSz w:w="11907" w:h="16840"/>
          <w:pgMar w:top="1134" w:right="1474" w:bottom="1134" w:left="1474" w:header="851" w:footer="1701" w:gutter="0"/>
          <w:pgNumType w:start="1"/>
          <w:cols w:space="720" w:num="1"/>
          <w:docGrid w:linePitch="312" w:charSpace="0"/>
        </w:sectPr>
      </w:pPr>
    </w:p>
    <w:p>
      <w:pPr>
        <w:spacing w:line="600" w:lineRule="exact"/>
        <w:ind w:firstLine="0" w:firstLineChars="0"/>
        <w:jc w:val="center"/>
        <w:rPr>
          <w:rFonts w:ascii="黑体" w:hAnsi="黑体" w:eastAsia="黑体"/>
          <w:b/>
          <w:color w:val="000000"/>
          <w:spacing w:val="-4"/>
          <w:sz w:val="44"/>
          <w:szCs w:val="44"/>
        </w:rPr>
      </w:pPr>
      <w:bookmarkStart w:id="0" w:name="_Hlk57747521"/>
      <w:r>
        <w:rPr>
          <w:rFonts w:hint="eastAsia" w:eastAsia="黑体"/>
          <w:b/>
          <w:color w:val="000000"/>
          <w:spacing w:val="-4"/>
          <w:sz w:val="44"/>
          <w:szCs w:val="44"/>
        </w:rPr>
        <w:t>2019年</w:t>
      </w:r>
      <w:r>
        <w:rPr>
          <w:rFonts w:hint="eastAsia" w:ascii="黑体" w:hAnsi="黑体" w:eastAsia="黑体"/>
          <w:b/>
          <w:color w:val="000000"/>
          <w:spacing w:val="-4"/>
          <w:sz w:val="44"/>
          <w:szCs w:val="44"/>
        </w:rPr>
        <w:t>度中国共产党衡山县委员会宣传部</w:t>
      </w:r>
    </w:p>
    <w:p>
      <w:pPr>
        <w:spacing w:line="600" w:lineRule="exact"/>
        <w:ind w:firstLine="0" w:firstLineChars="0"/>
        <w:jc w:val="center"/>
        <w:rPr>
          <w:rFonts w:ascii="黑体" w:hAnsi="黑体" w:eastAsia="黑体"/>
          <w:b/>
          <w:color w:val="000000"/>
          <w:sz w:val="44"/>
          <w:szCs w:val="44"/>
        </w:rPr>
      </w:pPr>
      <w:r>
        <w:rPr>
          <w:rFonts w:hint="eastAsia" w:ascii="黑体" w:hAnsi="黑体" w:eastAsia="黑体"/>
          <w:b/>
          <w:color w:val="000000"/>
          <w:spacing w:val="-4"/>
          <w:sz w:val="44"/>
          <w:szCs w:val="44"/>
        </w:rPr>
        <w:t>部门整体支出</w:t>
      </w:r>
      <w:r>
        <w:rPr>
          <w:rFonts w:ascii="黑体" w:hAnsi="黑体" w:eastAsia="黑体"/>
          <w:b/>
          <w:color w:val="000000"/>
          <w:spacing w:val="-4"/>
          <w:sz w:val="44"/>
          <w:szCs w:val="44"/>
        </w:rPr>
        <w:t>绩效评价</w:t>
      </w:r>
      <w:r>
        <w:rPr>
          <w:rFonts w:hint="eastAsia" w:ascii="黑体" w:hAnsi="黑体" w:eastAsia="黑体"/>
          <w:b/>
          <w:color w:val="000000"/>
          <w:spacing w:val="-4"/>
          <w:sz w:val="44"/>
          <w:szCs w:val="44"/>
        </w:rPr>
        <w:t>报告</w:t>
      </w:r>
    </w:p>
    <w:bookmarkEnd w:id="0"/>
    <w:p>
      <w:pPr>
        <w:widowControl/>
        <w:adjustRightInd w:val="0"/>
        <w:snapToGrid w:val="0"/>
        <w:spacing w:line="600" w:lineRule="exact"/>
        <w:ind w:firstLine="0" w:firstLineChars="0"/>
        <w:jc w:val="left"/>
        <w:rPr>
          <w:rFonts w:ascii="黑体" w:hAnsi="黑体" w:eastAsia="黑体"/>
          <w:b/>
          <w:kern w:val="0"/>
          <w:sz w:val="36"/>
          <w:szCs w:val="36"/>
        </w:rPr>
      </w:pPr>
    </w:p>
    <w:p>
      <w:pPr>
        <w:widowControl/>
        <w:adjustRightInd w:val="0"/>
        <w:snapToGrid w:val="0"/>
        <w:spacing w:line="600" w:lineRule="exact"/>
        <w:ind w:firstLine="0" w:firstLineChars="0"/>
        <w:jc w:val="left"/>
        <w:rPr>
          <w:rFonts w:ascii="黑体" w:hAnsi="黑体" w:eastAsia="黑体"/>
          <w:b/>
          <w:kern w:val="0"/>
          <w:szCs w:val="32"/>
        </w:rPr>
      </w:pPr>
      <w:r>
        <w:rPr>
          <w:rFonts w:hint="eastAsia" w:ascii="黑体" w:hAnsi="黑体" w:eastAsia="黑体"/>
          <w:b/>
          <w:kern w:val="0"/>
          <w:szCs w:val="32"/>
        </w:rPr>
        <w:t>衡山县</w:t>
      </w:r>
      <w:r>
        <w:rPr>
          <w:rFonts w:ascii="黑体" w:hAnsi="黑体" w:eastAsia="黑体"/>
          <w:b/>
          <w:kern w:val="0"/>
          <w:szCs w:val="32"/>
        </w:rPr>
        <w:t>财政局：</w:t>
      </w:r>
    </w:p>
    <w:p>
      <w:pPr>
        <w:ind w:firstLine="594"/>
        <w:rPr>
          <w:kern w:val="0"/>
        </w:rPr>
      </w:pPr>
      <w:r>
        <w:rPr>
          <w:rFonts w:hint="eastAsia"/>
          <w:kern w:val="0"/>
        </w:rPr>
        <w:t>为进一步规范财政资金管理，强化绩效和责任意识，切实提高财政资金使用效益，根据《中华人民共和国预算法》、《中共中央国务院关于全面实施预算绩效管理的意见》（中发﹝2018﹞34号）、《衡山县财政局关于对2019年度部分县级财政支出项目及部门整体支出开展现场绩效评价的通知》（山财绩﹝20</w:t>
      </w:r>
      <w:r>
        <w:rPr>
          <w:kern w:val="0"/>
        </w:rPr>
        <w:t>20</w:t>
      </w:r>
      <w:r>
        <w:rPr>
          <w:rFonts w:hint="eastAsia"/>
          <w:kern w:val="0"/>
        </w:rPr>
        <w:t>﹞</w:t>
      </w:r>
      <w:r>
        <w:rPr>
          <w:kern w:val="0"/>
        </w:rPr>
        <w:t>18</w:t>
      </w:r>
      <w:r>
        <w:rPr>
          <w:rFonts w:hint="eastAsia"/>
          <w:kern w:val="0"/>
        </w:rPr>
        <w:t>0号）等文件精神，受衡山县财政局委托，湖南宏丰益联合会计师事务所成立绩效评价工作组（简称“评价工作组”），于20</w:t>
      </w:r>
      <w:r>
        <w:rPr>
          <w:kern w:val="0"/>
        </w:rPr>
        <w:t>20</w:t>
      </w:r>
      <w:r>
        <w:rPr>
          <w:rFonts w:hint="eastAsia"/>
          <w:kern w:val="0"/>
        </w:rPr>
        <w:t>年</w:t>
      </w:r>
      <w:r>
        <w:rPr>
          <w:kern w:val="0"/>
        </w:rPr>
        <w:t>1</w:t>
      </w:r>
      <w:r>
        <w:rPr>
          <w:rFonts w:hint="eastAsia"/>
          <w:kern w:val="0"/>
        </w:rPr>
        <w:t>1月02日至20</w:t>
      </w:r>
      <w:r>
        <w:rPr>
          <w:kern w:val="0"/>
        </w:rPr>
        <w:t>20</w:t>
      </w:r>
      <w:r>
        <w:rPr>
          <w:rFonts w:hint="eastAsia"/>
          <w:kern w:val="0"/>
        </w:rPr>
        <w:t>年11月03日对中国共产党衡山县委员会宣传部2019年度部门整体支出资金项目实施了绩效评价。评价采用定量分析和定性分析相结合的方法，从预算配置、预算执行、预算管理、职责履行和履职效益等方面对部门整体进行了综合评价。现将绩效评价情况报告如下：</w:t>
      </w:r>
    </w:p>
    <w:p>
      <w:pPr>
        <w:pStyle w:val="2"/>
        <w:ind w:firstLine="594"/>
        <w:rPr>
          <w:kern w:val="0"/>
        </w:rPr>
      </w:pPr>
      <w:bookmarkStart w:id="1" w:name="_Toc57402015"/>
      <w:r>
        <w:rPr>
          <w:kern w:val="0"/>
        </w:rPr>
        <w:t>一、</w:t>
      </w:r>
      <w:r>
        <w:rPr>
          <w:rFonts w:hint="eastAsia"/>
          <w:kern w:val="0"/>
        </w:rPr>
        <w:t>部门</w:t>
      </w:r>
      <w:r>
        <w:rPr>
          <w:kern w:val="0"/>
        </w:rPr>
        <w:t>概况</w:t>
      </w:r>
      <w:bookmarkEnd w:id="1"/>
    </w:p>
    <w:p>
      <w:pPr>
        <w:ind w:firstLine="596"/>
        <w:outlineLvl w:val="1"/>
        <w:rPr>
          <w:rFonts w:ascii="Cambria" w:hAnsi="Cambria" w:eastAsia="楷体"/>
          <w:b/>
          <w:bCs/>
          <w:kern w:val="0"/>
          <w:szCs w:val="32"/>
        </w:rPr>
      </w:pPr>
      <w:bookmarkStart w:id="2" w:name="_Toc29637026"/>
      <w:bookmarkStart w:id="3" w:name="_Toc57402016"/>
      <w:r>
        <w:rPr>
          <w:rFonts w:ascii="Cambria" w:hAnsi="Cambria" w:eastAsia="楷体"/>
          <w:b/>
          <w:bCs/>
          <w:kern w:val="0"/>
          <w:szCs w:val="32"/>
        </w:rPr>
        <w:t>（一）</w:t>
      </w:r>
      <w:r>
        <w:rPr>
          <w:rFonts w:hint="eastAsia" w:ascii="Cambria" w:hAnsi="Cambria" w:eastAsia="楷体"/>
          <w:b/>
          <w:bCs/>
          <w:kern w:val="0"/>
          <w:szCs w:val="32"/>
        </w:rPr>
        <w:t>部门基本情况</w:t>
      </w:r>
      <w:bookmarkEnd w:id="2"/>
      <w:bookmarkEnd w:id="3"/>
    </w:p>
    <w:p>
      <w:pPr>
        <w:ind w:firstLine="594"/>
        <w:outlineLvl w:val="1"/>
        <w:rPr>
          <w:rFonts w:ascii="仿宋" w:hAnsi="仿宋"/>
        </w:rPr>
      </w:pPr>
      <w:bookmarkStart w:id="4" w:name="_Toc57402017"/>
      <w:r>
        <w:rPr>
          <w:rFonts w:hint="eastAsia" w:ascii="仿宋" w:hAnsi="仿宋"/>
        </w:rPr>
        <w:t>中国共产党衡山县委员会宣传部是县委工作机关，为正科级单位，加挂县新闻出版局（县版权局）、县精神文明建设指导委员会办公室。负责人：任中元，机构地址：衡山县开云镇建设街99号，统一社会信用代码11430423006278070K。</w:t>
      </w:r>
      <w:bookmarkEnd w:id="4"/>
    </w:p>
    <w:p>
      <w:pPr>
        <w:ind w:firstLine="596"/>
        <w:outlineLvl w:val="1"/>
        <w:rPr>
          <w:rFonts w:ascii="Cambria" w:hAnsi="Cambria" w:eastAsia="楷体"/>
          <w:b/>
          <w:bCs/>
          <w:kern w:val="0"/>
          <w:szCs w:val="32"/>
        </w:rPr>
      </w:pPr>
      <w:bookmarkStart w:id="5" w:name="_Toc29637027"/>
      <w:bookmarkStart w:id="6" w:name="_Toc57402018"/>
      <w:r>
        <w:rPr>
          <w:rFonts w:hint="eastAsia" w:ascii="Cambria" w:hAnsi="Cambria" w:eastAsia="楷体"/>
          <w:b/>
          <w:bCs/>
          <w:kern w:val="0"/>
          <w:szCs w:val="32"/>
        </w:rPr>
        <w:t>（二）机构设置情况</w:t>
      </w:r>
      <w:bookmarkEnd w:id="5"/>
      <w:bookmarkEnd w:id="6"/>
    </w:p>
    <w:p>
      <w:pPr>
        <w:ind w:firstLine="594"/>
        <w:outlineLvl w:val="1"/>
        <w:rPr>
          <w:rFonts w:ascii="仿宋" w:hAnsi="仿宋"/>
          <w:kern w:val="0"/>
        </w:rPr>
      </w:pPr>
      <w:bookmarkStart w:id="7" w:name="_Toc57402019"/>
      <w:bookmarkStart w:id="8" w:name="_Toc29637028"/>
      <w:r>
        <w:rPr>
          <w:rFonts w:hint="eastAsia" w:ascii="仿宋" w:hAnsi="仿宋"/>
          <w:kern w:val="0"/>
        </w:rPr>
        <w:t>中国共产党衡山县委员会宣传部内设机构5个，分别为办公室、意识形态工作组、新闻宣传办公室（县突发公共事件应急新闻中心办公室）、文化和文艺产业发展办公室（县文化体制改革办公室）、文明创建指导办公室、新闻出版（版权）组（县“扫黄打非”办公室、宣传教育电影组。</w:t>
      </w:r>
      <w:bookmarkEnd w:id="7"/>
    </w:p>
    <w:p>
      <w:pPr>
        <w:ind w:firstLine="594"/>
        <w:outlineLvl w:val="1"/>
        <w:rPr>
          <w:rFonts w:ascii="仿宋" w:hAnsi="仿宋"/>
          <w:kern w:val="0"/>
        </w:rPr>
      </w:pPr>
      <w:bookmarkStart w:id="9" w:name="_Toc57402020"/>
      <w:r>
        <w:rPr>
          <w:rFonts w:hint="eastAsia" w:ascii="仿宋" w:hAnsi="仿宋"/>
          <w:kern w:val="0"/>
        </w:rPr>
        <w:t>所属正股级公益类事业单位1个，为衡山县宣传事务中心。</w:t>
      </w:r>
      <w:bookmarkEnd w:id="9"/>
    </w:p>
    <w:p>
      <w:pPr>
        <w:ind w:firstLine="596"/>
        <w:outlineLvl w:val="1"/>
        <w:rPr>
          <w:rFonts w:ascii="Cambria" w:hAnsi="Cambria" w:eastAsia="楷体"/>
          <w:b/>
          <w:bCs/>
          <w:kern w:val="0"/>
          <w:szCs w:val="32"/>
        </w:rPr>
      </w:pPr>
      <w:bookmarkStart w:id="10" w:name="_Toc57402021"/>
      <w:r>
        <w:rPr>
          <w:rFonts w:hint="eastAsia" w:ascii="Cambria" w:hAnsi="Cambria" w:eastAsia="楷体"/>
          <w:b/>
          <w:bCs/>
          <w:kern w:val="0"/>
          <w:szCs w:val="32"/>
        </w:rPr>
        <w:t>（三）人员编制情况</w:t>
      </w:r>
      <w:bookmarkEnd w:id="8"/>
      <w:bookmarkEnd w:id="10"/>
    </w:p>
    <w:p>
      <w:pPr>
        <w:ind w:firstLine="274"/>
        <w:outlineLvl w:val="1"/>
        <w:rPr>
          <w:rFonts w:ascii="仿宋" w:hAnsi="仿宋"/>
          <w:kern w:val="0"/>
        </w:rPr>
      </w:pPr>
      <w:r>
        <w:rPr>
          <w:rFonts w:ascii="Arial" w:hAnsi="Arial" w:cs="Arial"/>
          <w:color w:val="333333"/>
          <w:kern w:val="0"/>
          <w:sz w:val="16"/>
          <w:szCs w:val="16"/>
        </w:rPr>
        <w:t>　</w:t>
      </w:r>
      <w:bookmarkStart w:id="11" w:name="_Toc57402022"/>
      <w:bookmarkStart w:id="12" w:name="_Hlk55307219"/>
      <w:r>
        <w:rPr>
          <w:rFonts w:hint="eastAsia" w:ascii="仿宋" w:hAnsi="仿宋"/>
          <w:kern w:val="0"/>
        </w:rPr>
        <w:t>截止</w:t>
      </w:r>
      <w:r>
        <w:rPr>
          <w:rFonts w:ascii="仿宋" w:hAnsi="仿宋"/>
          <w:kern w:val="0"/>
        </w:rPr>
        <w:t>2019</w:t>
      </w:r>
      <w:r>
        <w:rPr>
          <w:rFonts w:hint="eastAsia" w:ascii="仿宋" w:hAnsi="仿宋"/>
          <w:kern w:val="0"/>
        </w:rPr>
        <w:t>年</w:t>
      </w:r>
      <w:r>
        <w:rPr>
          <w:rFonts w:ascii="仿宋" w:hAnsi="仿宋"/>
          <w:kern w:val="0"/>
        </w:rPr>
        <w:t>12</w:t>
      </w:r>
      <w:r>
        <w:rPr>
          <w:rFonts w:hint="eastAsia" w:ascii="仿宋" w:hAnsi="仿宋"/>
          <w:kern w:val="0"/>
        </w:rPr>
        <w:t>月</w:t>
      </w:r>
      <w:r>
        <w:rPr>
          <w:rFonts w:ascii="仿宋" w:hAnsi="仿宋"/>
          <w:kern w:val="0"/>
        </w:rPr>
        <w:t>31</w:t>
      </w:r>
      <w:r>
        <w:rPr>
          <w:rFonts w:hint="eastAsia" w:ascii="仿宋" w:hAnsi="仿宋"/>
          <w:kern w:val="0"/>
        </w:rPr>
        <w:t>日，衡山县委员会宣传部编制人数18人，其中行政编制9人，事业编制9人；在职人员12人，其中一般公共预算财政补助开支人数12人。</w:t>
      </w:r>
      <w:bookmarkEnd w:id="11"/>
      <w:bookmarkEnd w:id="12"/>
    </w:p>
    <w:p>
      <w:pPr>
        <w:ind w:firstLine="596"/>
        <w:outlineLvl w:val="1"/>
        <w:rPr>
          <w:rFonts w:ascii="Cambria" w:hAnsi="Cambria" w:eastAsia="楷体"/>
          <w:b/>
          <w:bCs/>
          <w:kern w:val="0"/>
          <w:szCs w:val="32"/>
        </w:rPr>
      </w:pPr>
      <w:bookmarkStart w:id="13" w:name="_Toc57402023"/>
      <w:r>
        <w:rPr>
          <w:rFonts w:ascii="Cambria" w:hAnsi="Cambria" w:eastAsia="楷体"/>
          <w:b/>
          <w:bCs/>
          <w:kern w:val="0"/>
          <w:szCs w:val="32"/>
        </w:rPr>
        <w:t>（</w:t>
      </w:r>
      <w:r>
        <w:rPr>
          <w:rFonts w:hint="eastAsia" w:ascii="Cambria" w:hAnsi="Cambria" w:eastAsia="楷体"/>
          <w:b/>
          <w:bCs/>
          <w:kern w:val="0"/>
          <w:szCs w:val="32"/>
        </w:rPr>
        <w:t>四</w:t>
      </w:r>
      <w:r>
        <w:rPr>
          <w:rFonts w:ascii="Cambria" w:hAnsi="Cambria" w:eastAsia="楷体"/>
          <w:b/>
          <w:bCs/>
          <w:kern w:val="0"/>
          <w:szCs w:val="32"/>
        </w:rPr>
        <w:t>）</w:t>
      </w:r>
      <w:r>
        <w:rPr>
          <w:rFonts w:hint="eastAsia" w:ascii="Cambria" w:hAnsi="Cambria" w:eastAsia="楷体"/>
          <w:b/>
          <w:bCs/>
          <w:kern w:val="0"/>
          <w:szCs w:val="32"/>
        </w:rPr>
        <w:t>部门职能职责</w:t>
      </w:r>
      <w:bookmarkEnd w:id="13"/>
    </w:p>
    <w:p>
      <w:pPr>
        <w:ind w:firstLine="594"/>
        <w:outlineLvl w:val="2"/>
        <w:rPr>
          <w:kern w:val="0"/>
        </w:rPr>
      </w:pPr>
      <w:bookmarkStart w:id="14" w:name="_Toc57402024"/>
      <w:r>
        <w:rPr>
          <w:kern w:val="0"/>
        </w:rPr>
        <w:t>1</w:t>
      </w:r>
      <w:r>
        <w:rPr>
          <w:rFonts w:hint="eastAsia"/>
          <w:kern w:val="0"/>
        </w:rPr>
        <w:t>、</w:t>
      </w:r>
      <w:r>
        <w:rPr>
          <w:rFonts w:ascii="微软雅黑" w:hAnsi="微软雅黑"/>
          <w:color w:val="000000"/>
        </w:rPr>
        <w:t>根据上级宣传部门和县委的安排部署，制订全县宣传思想工作的规划和措施，协调、指导县直各单位和全县各乡镇党委的宣传工作。</w:t>
      </w:r>
      <w:bookmarkEnd w:id="14"/>
    </w:p>
    <w:p>
      <w:pPr>
        <w:ind w:firstLine="594"/>
        <w:outlineLvl w:val="2"/>
        <w:rPr>
          <w:kern w:val="0"/>
        </w:rPr>
      </w:pPr>
      <w:bookmarkStart w:id="15" w:name="_Toc57402025"/>
      <w:r>
        <w:rPr>
          <w:kern w:val="0"/>
        </w:rPr>
        <w:t>2</w:t>
      </w:r>
      <w:r>
        <w:rPr>
          <w:rFonts w:hint="eastAsia"/>
          <w:kern w:val="0"/>
        </w:rPr>
        <w:t>、</w:t>
      </w:r>
      <w:r>
        <w:rPr>
          <w:rFonts w:ascii="微软雅黑" w:hAnsi="微软雅黑"/>
          <w:color w:val="000000"/>
        </w:rPr>
        <w:t>负责指导全县理论研究、理论学习、理论宣传工作；配合县纪委、县委组织部做好党员教育工作；负责党员教育教材的组织、编写工作。协调、指导全县社会科学研究工作。</w:t>
      </w:r>
      <w:bookmarkEnd w:id="15"/>
    </w:p>
    <w:p>
      <w:pPr>
        <w:ind w:firstLine="594"/>
        <w:outlineLvl w:val="1"/>
        <w:rPr>
          <w:kern w:val="0"/>
        </w:rPr>
      </w:pPr>
      <w:bookmarkStart w:id="16" w:name="_Toc57402026"/>
      <w:r>
        <w:rPr>
          <w:kern w:val="0"/>
        </w:rPr>
        <w:t>3</w:t>
      </w:r>
      <w:r>
        <w:rPr>
          <w:rFonts w:hint="eastAsia"/>
          <w:kern w:val="0"/>
        </w:rPr>
        <w:t>、</w:t>
      </w:r>
      <w:r>
        <w:rPr>
          <w:rFonts w:ascii="微软雅黑" w:hAnsi="微软雅黑"/>
          <w:color w:val="000000"/>
        </w:rPr>
        <w:t>负责引导社会舆论，指导、协调全县各新闻单位的工作</w:t>
      </w:r>
      <w:r>
        <w:rPr>
          <w:rFonts w:hint="eastAsia" w:ascii="微软雅黑" w:hAnsi="微软雅黑"/>
          <w:color w:val="000000"/>
        </w:rPr>
        <w:t>；</w:t>
      </w:r>
      <w:r>
        <w:rPr>
          <w:rFonts w:ascii="微软雅黑" w:hAnsi="微软雅黑"/>
          <w:color w:val="000000"/>
        </w:rPr>
        <w:t>主管衡山报社、衡山新闻网站（红网衡山县分站）、衡山手机报、新闻办；对县广播电视台的工作实施政治方向和方针、政策的指导。</w:t>
      </w:r>
      <w:bookmarkEnd w:id="16"/>
    </w:p>
    <w:p>
      <w:pPr>
        <w:ind w:firstLine="594"/>
        <w:outlineLvl w:val="1"/>
        <w:rPr>
          <w:kern w:val="0"/>
        </w:rPr>
      </w:pPr>
      <w:bookmarkStart w:id="17" w:name="_Toc57402027"/>
      <w:r>
        <w:rPr>
          <w:kern w:val="0"/>
        </w:rPr>
        <w:t>4</w:t>
      </w:r>
      <w:r>
        <w:rPr>
          <w:rFonts w:hint="eastAsia"/>
          <w:kern w:val="0"/>
        </w:rPr>
        <w:t>、</w:t>
      </w:r>
      <w:r>
        <w:rPr>
          <w:rFonts w:ascii="微软雅黑" w:hAnsi="微软雅黑"/>
          <w:color w:val="000000"/>
        </w:rPr>
        <w:t>负责全县对上对外宣传工作的协调和管理；协同有关部门开展涉台问题的对外宣传工作；归口管理、统筹协调全县互联网上的新闻宣传工作。</w:t>
      </w:r>
      <w:bookmarkEnd w:id="17"/>
    </w:p>
    <w:p>
      <w:pPr>
        <w:ind w:firstLine="594"/>
        <w:outlineLvl w:val="1"/>
        <w:rPr>
          <w:kern w:val="0"/>
        </w:rPr>
      </w:pPr>
      <w:bookmarkStart w:id="18" w:name="_Toc57402028"/>
      <w:r>
        <w:rPr>
          <w:kern w:val="0"/>
        </w:rPr>
        <w:t>5</w:t>
      </w:r>
      <w:r>
        <w:rPr>
          <w:rFonts w:hint="eastAsia"/>
          <w:kern w:val="0"/>
        </w:rPr>
        <w:t>、</w:t>
      </w:r>
      <w:r>
        <w:rPr>
          <w:rFonts w:ascii="微软雅黑" w:hAnsi="微软雅黑"/>
          <w:color w:val="000000"/>
        </w:rPr>
        <w:t>负责从宏观上指导、协调全县文化艺术特别是精神产品的生产；联系县文体广新局，代管县新华书店。</w:t>
      </w:r>
      <w:bookmarkEnd w:id="18"/>
    </w:p>
    <w:p>
      <w:pPr>
        <w:ind w:firstLine="594"/>
        <w:outlineLvl w:val="1"/>
        <w:rPr>
          <w:kern w:val="0"/>
        </w:rPr>
      </w:pPr>
      <w:bookmarkStart w:id="19" w:name="_Toc57402029"/>
      <w:r>
        <w:rPr>
          <w:kern w:val="0"/>
        </w:rPr>
        <w:t>6</w:t>
      </w:r>
      <w:r>
        <w:rPr>
          <w:rFonts w:hint="eastAsia"/>
          <w:kern w:val="0"/>
        </w:rPr>
        <w:t>、</w:t>
      </w:r>
      <w:r>
        <w:rPr>
          <w:rFonts w:ascii="微软雅黑" w:hAnsi="微软雅黑"/>
          <w:color w:val="000000"/>
        </w:rPr>
        <w:t>负责规划、部署全县性的思想政治工作任务；会同有关部门研究和改进思想政治工作，领导县思想政治工作研究会；负责全县企事业单位政工干部系列的职称评定工作。</w:t>
      </w:r>
      <w:bookmarkEnd w:id="19"/>
    </w:p>
    <w:p>
      <w:pPr>
        <w:ind w:firstLine="594"/>
        <w:outlineLvl w:val="1"/>
        <w:rPr>
          <w:kern w:val="0"/>
        </w:rPr>
      </w:pPr>
      <w:bookmarkStart w:id="20" w:name="_Toc57402030"/>
      <w:r>
        <w:rPr>
          <w:kern w:val="0"/>
        </w:rPr>
        <w:t>7</w:t>
      </w:r>
      <w:r>
        <w:rPr>
          <w:rFonts w:hint="eastAsia"/>
          <w:kern w:val="0"/>
        </w:rPr>
        <w:t>、</w:t>
      </w:r>
      <w:r>
        <w:rPr>
          <w:rFonts w:ascii="微软雅黑" w:hAnsi="微软雅黑"/>
          <w:color w:val="000000"/>
        </w:rPr>
        <w:t>负责规划、部署全县思想政治工作任务和群众性精神文明建设活动；协调有关部门，组织推行双文明建设目标管理考核责任制。</w:t>
      </w:r>
      <w:bookmarkEnd w:id="20"/>
    </w:p>
    <w:p>
      <w:pPr>
        <w:ind w:firstLine="594"/>
        <w:outlineLvl w:val="1"/>
        <w:rPr>
          <w:kern w:val="0"/>
        </w:rPr>
      </w:pPr>
      <w:bookmarkStart w:id="21" w:name="_Toc57402031"/>
      <w:r>
        <w:rPr>
          <w:kern w:val="0"/>
        </w:rPr>
        <w:t>8</w:t>
      </w:r>
      <w:r>
        <w:rPr>
          <w:rFonts w:hint="eastAsia"/>
          <w:kern w:val="0"/>
        </w:rPr>
        <w:t>、</w:t>
      </w:r>
      <w:r>
        <w:rPr>
          <w:rFonts w:ascii="微软雅黑" w:hAnsi="微软雅黑"/>
          <w:color w:val="000000"/>
        </w:rPr>
        <w:t>协同县委组织部管理县直宣传文化系统的领导干部，指导这些单位的领导班子建设；会同县委组织部管理县直宣传文化系统的股级干部；对乡镇党委宣传委员(干事)的任免提出建议意见；制订全县各级各单位宣传干部的培训规划并组织实施；协同有关部门做好宣传文化系统的知识分子工作；指导、协调全县新闻系列职称评定的有关工作。</w:t>
      </w:r>
      <w:bookmarkEnd w:id="21"/>
    </w:p>
    <w:p>
      <w:pPr>
        <w:ind w:firstLine="594"/>
        <w:outlineLvl w:val="1"/>
        <w:rPr>
          <w:kern w:val="0"/>
        </w:rPr>
      </w:pPr>
      <w:bookmarkStart w:id="22" w:name="_Toc57402032"/>
      <w:r>
        <w:rPr>
          <w:kern w:val="0"/>
        </w:rPr>
        <w:t>9</w:t>
      </w:r>
      <w:r>
        <w:rPr>
          <w:rFonts w:hint="eastAsia"/>
          <w:kern w:val="0"/>
        </w:rPr>
        <w:t>、</w:t>
      </w:r>
      <w:r>
        <w:rPr>
          <w:rFonts w:ascii="微软雅黑" w:hAnsi="微软雅黑"/>
          <w:color w:val="000000"/>
        </w:rPr>
        <w:t>指导、协调宣传文化系统的事业建设和产业发展工作</w:t>
      </w:r>
      <w:bookmarkEnd w:id="22"/>
      <w:r>
        <w:rPr>
          <w:rFonts w:hint="eastAsia" w:ascii="微软雅黑" w:hAnsi="微软雅黑"/>
          <w:color w:val="000000"/>
        </w:rPr>
        <w:t>。</w:t>
      </w:r>
    </w:p>
    <w:p>
      <w:pPr>
        <w:ind w:firstLine="594"/>
        <w:outlineLvl w:val="1"/>
        <w:rPr>
          <w:kern w:val="0"/>
        </w:rPr>
      </w:pPr>
      <w:bookmarkStart w:id="23" w:name="_Toc57402033"/>
      <w:r>
        <w:rPr>
          <w:kern w:val="0"/>
        </w:rPr>
        <w:t>1</w:t>
      </w:r>
      <w:r>
        <w:rPr>
          <w:rFonts w:hint="eastAsia"/>
          <w:kern w:val="0"/>
        </w:rPr>
        <w:t>0、</w:t>
      </w:r>
      <w:r>
        <w:rPr>
          <w:rFonts w:ascii="微软雅黑" w:hAnsi="微软雅黑"/>
          <w:color w:val="000000"/>
        </w:rPr>
        <w:t>承办县委、县政府和上级宣传部门交办的其他事项</w:t>
      </w:r>
      <w:r>
        <w:rPr>
          <w:kern w:val="0"/>
        </w:rPr>
        <w:t>。</w:t>
      </w:r>
      <w:bookmarkEnd w:id="23"/>
    </w:p>
    <w:p>
      <w:pPr>
        <w:pStyle w:val="2"/>
        <w:ind w:firstLine="594"/>
        <w:rPr>
          <w:kern w:val="0"/>
        </w:rPr>
      </w:pPr>
      <w:bookmarkStart w:id="24" w:name="_Toc57402034"/>
      <w:r>
        <w:rPr>
          <w:kern w:val="0"/>
        </w:rPr>
        <w:t>二、</w:t>
      </w:r>
      <w:r>
        <w:rPr>
          <w:rFonts w:hint="eastAsia"/>
          <w:kern w:val="0"/>
        </w:rPr>
        <w:t>部门</w:t>
      </w:r>
      <w:r>
        <w:rPr>
          <w:kern w:val="0"/>
        </w:rPr>
        <w:t>整体支出管理及使用情况</w:t>
      </w:r>
      <w:bookmarkEnd w:id="24"/>
    </w:p>
    <w:p>
      <w:pPr>
        <w:pStyle w:val="3"/>
        <w:ind w:firstLine="596"/>
        <w:rPr>
          <w:kern w:val="0"/>
        </w:rPr>
      </w:pPr>
      <w:bookmarkStart w:id="25" w:name="_Toc57402035"/>
      <w:r>
        <w:rPr>
          <w:kern w:val="0"/>
        </w:rPr>
        <w:t>（一）</w:t>
      </w:r>
      <w:bookmarkStart w:id="26" w:name="_Hlk518291918"/>
      <w:r>
        <w:rPr>
          <w:rFonts w:hint="eastAsia" w:ascii="Times New Roman" w:hAnsi="Times New Roman"/>
          <w:kern w:val="0"/>
        </w:rPr>
        <w:t>2019年</w:t>
      </w:r>
      <w:r>
        <w:rPr>
          <w:rFonts w:hint="eastAsia"/>
          <w:kern w:val="0"/>
        </w:rPr>
        <w:t>部门预算情况</w:t>
      </w:r>
      <w:bookmarkEnd w:id="25"/>
    </w:p>
    <w:bookmarkEnd w:id="26"/>
    <w:p>
      <w:pPr>
        <w:ind w:firstLine="594"/>
        <w:rPr>
          <w:kern w:val="0"/>
        </w:rPr>
      </w:pPr>
      <w:r>
        <w:rPr>
          <w:rFonts w:hint="eastAsia"/>
          <w:kern w:val="0"/>
        </w:rPr>
        <w:t>经衡山县财政局通过的</w:t>
      </w:r>
      <w:r>
        <w:rPr>
          <w:kern w:val="0"/>
        </w:rPr>
        <w:t>201</w:t>
      </w:r>
      <w:r>
        <w:rPr>
          <w:rFonts w:hint="eastAsia"/>
          <w:kern w:val="0"/>
        </w:rPr>
        <w:t>9年部门预算批复，全年收入预算总计183.21万元，其中：经费拨款183.21万元，纳入预算管理的非税收入拨款0万元，转移支付安排</w:t>
      </w:r>
      <w:r>
        <w:rPr>
          <w:kern w:val="0"/>
        </w:rPr>
        <w:t>0</w:t>
      </w:r>
      <w:r>
        <w:rPr>
          <w:rFonts w:hint="eastAsia"/>
          <w:kern w:val="0"/>
        </w:rPr>
        <w:t>万元，基金预算拨款</w:t>
      </w:r>
      <w:r>
        <w:rPr>
          <w:kern w:val="0"/>
        </w:rPr>
        <w:t>0</w:t>
      </w:r>
      <w:r>
        <w:rPr>
          <w:rFonts w:hint="eastAsia"/>
          <w:kern w:val="0"/>
        </w:rPr>
        <w:t>万元，财政专户管理的非税收入拨款</w:t>
      </w:r>
      <w:r>
        <w:rPr>
          <w:kern w:val="0"/>
        </w:rPr>
        <w:t>0</w:t>
      </w:r>
      <w:r>
        <w:rPr>
          <w:rFonts w:hint="eastAsia"/>
          <w:kern w:val="0"/>
        </w:rPr>
        <w:t>万元，经营收入</w:t>
      </w:r>
      <w:r>
        <w:rPr>
          <w:kern w:val="0"/>
        </w:rPr>
        <w:t>0</w:t>
      </w:r>
      <w:r>
        <w:rPr>
          <w:rFonts w:hint="eastAsia"/>
          <w:kern w:val="0"/>
        </w:rPr>
        <w:t>万元，上级补助收入</w:t>
      </w:r>
      <w:r>
        <w:rPr>
          <w:kern w:val="0"/>
        </w:rPr>
        <w:t>0</w:t>
      </w:r>
      <w:r>
        <w:rPr>
          <w:rFonts w:hint="eastAsia"/>
          <w:kern w:val="0"/>
        </w:rPr>
        <w:t>万元，附属单位缴款</w:t>
      </w:r>
      <w:r>
        <w:rPr>
          <w:kern w:val="0"/>
        </w:rPr>
        <w:t>0</w:t>
      </w:r>
      <w:r>
        <w:rPr>
          <w:rFonts w:hint="eastAsia"/>
          <w:kern w:val="0"/>
        </w:rPr>
        <w:t>万元，其他收入</w:t>
      </w:r>
      <w:r>
        <w:rPr>
          <w:kern w:val="0"/>
        </w:rPr>
        <w:t>0</w:t>
      </w:r>
      <w:r>
        <w:rPr>
          <w:rFonts w:hint="eastAsia"/>
          <w:kern w:val="0"/>
        </w:rPr>
        <w:t>万元。</w:t>
      </w:r>
    </w:p>
    <w:p>
      <w:pPr>
        <w:pStyle w:val="3"/>
        <w:ind w:firstLine="594"/>
        <w:rPr>
          <w:rFonts w:ascii="Times New Roman" w:hAnsi="Times New Roman" w:eastAsia="仿宋" w:cs="Times New Roman"/>
          <w:b w:val="0"/>
          <w:bCs w:val="0"/>
          <w:kern w:val="0"/>
          <w:szCs w:val="24"/>
        </w:rPr>
      </w:pPr>
      <w:bookmarkStart w:id="27" w:name="_Toc57402036"/>
      <w:r>
        <w:rPr>
          <w:rFonts w:hint="eastAsia" w:ascii="Times New Roman" w:hAnsi="Times New Roman" w:eastAsia="仿宋" w:cs="Times New Roman"/>
          <w:b w:val="0"/>
          <w:bCs w:val="0"/>
          <w:kern w:val="0"/>
          <w:szCs w:val="24"/>
        </w:rPr>
        <w:t>全年支出预算总计183.21万元，其中：基本支出137.05万元（工资福利支出119.45万元、一般商品和服务支出</w:t>
      </w:r>
      <w:r>
        <w:rPr>
          <w:rFonts w:ascii="Times New Roman" w:hAnsi="Times New Roman" w:eastAsia="仿宋" w:cs="Times New Roman"/>
          <w:b w:val="0"/>
          <w:bCs w:val="0"/>
          <w:kern w:val="0"/>
          <w:szCs w:val="24"/>
        </w:rPr>
        <w:t>1</w:t>
      </w:r>
      <w:r>
        <w:rPr>
          <w:rFonts w:hint="eastAsia" w:ascii="Times New Roman" w:hAnsi="Times New Roman" w:eastAsia="仿宋" w:cs="Times New Roman"/>
          <w:b w:val="0"/>
          <w:bCs w:val="0"/>
          <w:kern w:val="0"/>
          <w:szCs w:val="24"/>
        </w:rPr>
        <w:t>7.09万元、对个人和家庭的补助0.51万元），项目支出46.16万元、经营支出</w:t>
      </w:r>
      <w:r>
        <w:rPr>
          <w:rFonts w:ascii="Times New Roman" w:hAnsi="Times New Roman" w:eastAsia="仿宋" w:cs="Times New Roman"/>
          <w:b w:val="0"/>
          <w:bCs w:val="0"/>
          <w:kern w:val="0"/>
          <w:szCs w:val="24"/>
        </w:rPr>
        <w:t>0</w:t>
      </w:r>
      <w:r>
        <w:rPr>
          <w:rFonts w:hint="eastAsia" w:ascii="Times New Roman" w:hAnsi="Times New Roman" w:eastAsia="仿宋" w:cs="Times New Roman"/>
          <w:b w:val="0"/>
          <w:bCs w:val="0"/>
          <w:kern w:val="0"/>
          <w:szCs w:val="24"/>
        </w:rPr>
        <w:t>万元，对附属单位补助支出</w:t>
      </w:r>
      <w:r>
        <w:rPr>
          <w:rFonts w:ascii="Times New Roman" w:hAnsi="Times New Roman" w:eastAsia="仿宋" w:cs="Times New Roman"/>
          <w:b w:val="0"/>
          <w:bCs w:val="0"/>
          <w:kern w:val="0"/>
          <w:szCs w:val="24"/>
        </w:rPr>
        <w:t>0</w:t>
      </w:r>
      <w:r>
        <w:rPr>
          <w:rFonts w:hint="eastAsia" w:ascii="Times New Roman" w:hAnsi="Times New Roman" w:eastAsia="仿宋" w:cs="Times New Roman"/>
          <w:b w:val="0"/>
          <w:bCs w:val="0"/>
          <w:kern w:val="0"/>
          <w:szCs w:val="24"/>
        </w:rPr>
        <w:t>万元，上缴上级支出</w:t>
      </w:r>
      <w:r>
        <w:rPr>
          <w:rFonts w:ascii="Times New Roman" w:hAnsi="Times New Roman" w:eastAsia="仿宋" w:cs="Times New Roman"/>
          <w:b w:val="0"/>
          <w:bCs w:val="0"/>
          <w:kern w:val="0"/>
          <w:szCs w:val="24"/>
        </w:rPr>
        <w:t>0</w:t>
      </w:r>
      <w:r>
        <w:rPr>
          <w:rFonts w:hint="eastAsia" w:ascii="Times New Roman" w:hAnsi="Times New Roman" w:eastAsia="仿宋" w:cs="Times New Roman"/>
          <w:b w:val="0"/>
          <w:bCs w:val="0"/>
          <w:kern w:val="0"/>
          <w:szCs w:val="24"/>
        </w:rPr>
        <w:t>万元，结转自筹基建</w:t>
      </w:r>
      <w:r>
        <w:rPr>
          <w:rFonts w:ascii="Times New Roman" w:hAnsi="Times New Roman" w:eastAsia="仿宋" w:cs="Times New Roman"/>
          <w:b w:val="0"/>
          <w:bCs w:val="0"/>
          <w:kern w:val="0"/>
          <w:szCs w:val="24"/>
        </w:rPr>
        <w:t>0</w:t>
      </w:r>
      <w:r>
        <w:rPr>
          <w:rFonts w:hint="eastAsia" w:ascii="Times New Roman" w:hAnsi="Times New Roman" w:eastAsia="仿宋" w:cs="Times New Roman"/>
          <w:b w:val="0"/>
          <w:bCs w:val="0"/>
          <w:kern w:val="0"/>
          <w:szCs w:val="24"/>
        </w:rPr>
        <w:t>万元。全年预算收支平衡。</w:t>
      </w:r>
      <w:bookmarkEnd w:id="27"/>
    </w:p>
    <w:p>
      <w:pPr>
        <w:pStyle w:val="3"/>
        <w:ind w:firstLine="596"/>
        <w:rPr>
          <w:rFonts w:ascii="Times New Roman" w:hAnsi="Times New Roman" w:eastAsia="仿宋" w:cs="Times New Roman"/>
          <w:bCs w:val="0"/>
          <w:kern w:val="0"/>
          <w:szCs w:val="24"/>
        </w:rPr>
      </w:pPr>
      <w:bookmarkStart w:id="28" w:name="_Toc57402037"/>
      <w:r>
        <w:rPr>
          <w:rFonts w:ascii="Times New Roman" w:hAnsi="Times New Roman" w:eastAsia="仿宋" w:cs="Times New Roman"/>
          <w:bCs w:val="0"/>
          <w:kern w:val="0"/>
          <w:szCs w:val="24"/>
        </w:rPr>
        <w:t>（二）</w:t>
      </w:r>
      <w:r>
        <w:rPr>
          <w:rFonts w:hint="eastAsia" w:ascii="Times New Roman" w:hAnsi="Times New Roman" w:eastAsia="仿宋" w:cs="Times New Roman"/>
          <w:bCs w:val="0"/>
          <w:kern w:val="0"/>
          <w:szCs w:val="24"/>
        </w:rPr>
        <w:t>2019年部门决算情况</w:t>
      </w:r>
      <w:bookmarkEnd w:id="28"/>
    </w:p>
    <w:p>
      <w:pPr>
        <w:pStyle w:val="3"/>
        <w:ind w:firstLine="594"/>
        <w:rPr>
          <w:rFonts w:ascii="Times New Roman" w:hAnsi="Times New Roman" w:eastAsia="仿宋" w:cs="Times New Roman"/>
          <w:b w:val="0"/>
          <w:bCs w:val="0"/>
          <w:kern w:val="0"/>
          <w:szCs w:val="24"/>
        </w:rPr>
      </w:pPr>
      <w:bookmarkStart w:id="29" w:name="_Toc57402038"/>
      <w:bookmarkStart w:id="30" w:name="_Hlk55307273"/>
      <w:r>
        <w:rPr>
          <w:rFonts w:ascii="Times New Roman" w:hAnsi="Times New Roman" w:eastAsia="仿宋" w:cs="Times New Roman"/>
          <w:b w:val="0"/>
          <w:bCs w:val="0"/>
          <w:kern w:val="0"/>
          <w:szCs w:val="24"/>
        </w:rPr>
        <w:t>2019年</w:t>
      </w:r>
      <w:r>
        <w:rPr>
          <w:rFonts w:hint="eastAsia" w:ascii="Times New Roman" w:hAnsi="Times New Roman" w:eastAsia="仿宋" w:cs="Times New Roman"/>
          <w:b w:val="0"/>
          <w:bCs w:val="0"/>
          <w:kern w:val="0"/>
          <w:szCs w:val="24"/>
        </w:rPr>
        <w:t>度决算总收入473.99万元，其中：一般公共预算财政拨款收入421.14万元、政府性基金预算财政拨款收入52.85万元、事业收入0万元。</w:t>
      </w:r>
      <w:bookmarkEnd w:id="29"/>
    </w:p>
    <w:p>
      <w:pPr>
        <w:pStyle w:val="3"/>
        <w:ind w:firstLine="594"/>
        <w:rPr>
          <w:rFonts w:ascii="Times New Roman" w:hAnsi="Times New Roman" w:eastAsia="仿宋" w:cs="Times New Roman"/>
          <w:b w:val="0"/>
          <w:bCs w:val="0"/>
          <w:kern w:val="0"/>
          <w:szCs w:val="24"/>
        </w:rPr>
      </w:pPr>
      <w:bookmarkStart w:id="31" w:name="_Toc57402039"/>
      <w:r>
        <w:rPr>
          <w:rFonts w:ascii="Times New Roman" w:hAnsi="Times New Roman" w:eastAsia="仿宋" w:cs="Times New Roman"/>
          <w:b w:val="0"/>
          <w:bCs w:val="0"/>
          <w:kern w:val="0"/>
          <w:szCs w:val="24"/>
        </w:rPr>
        <w:t>2019年</w:t>
      </w:r>
      <w:r>
        <w:rPr>
          <w:rFonts w:hint="eastAsia" w:ascii="Times New Roman" w:hAnsi="Times New Roman" w:eastAsia="仿宋" w:cs="Times New Roman"/>
          <w:b w:val="0"/>
          <w:bCs w:val="0"/>
          <w:kern w:val="0"/>
          <w:szCs w:val="24"/>
        </w:rPr>
        <w:t>度决算总支出553.70万元，其中：基本支出264.14万元，占总支出的47.70</w:t>
      </w:r>
      <w:r>
        <w:rPr>
          <w:rFonts w:ascii="Times New Roman" w:hAnsi="Times New Roman" w:eastAsia="仿宋" w:cs="Times New Roman"/>
          <w:b w:val="0"/>
          <w:bCs w:val="0"/>
          <w:kern w:val="0"/>
          <w:szCs w:val="24"/>
        </w:rPr>
        <w:t>%</w:t>
      </w:r>
      <w:r>
        <w:rPr>
          <w:rFonts w:hint="eastAsia" w:ascii="Times New Roman" w:hAnsi="Times New Roman" w:eastAsia="仿宋" w:cs="Times New Roman"/>
          <w:b w:val="0"/>
          <w:bCs w:val="0"/>
          <w:kern w:val="0"/>
          <w:szCs w:val="24"/>
        </w:rPr>
        <w:t>；项目支出289.56万元，占总支出的52.30</w:t>
      </w:r>
      <w:r>
        <w:rPr>
          <w:rFonts w:ascii="Times New Roman" w:hAnsi="Times New Roman" w:eastAsia="仿宋" w:cs="Times New Roman"/>
          <w:b w:val="0"/>
          <w:bCs w:val="0"/>
          <w:kern w:val="0"/>
          <w:szCs w:val="24"/>
        </w:rPr>
        <w:t>%</w:t>
      </w:r>
      <w:r>
        <w:rPr>
          <w:rFonts w:hint="eastAsia" w:ascii="Times New Roman" w:hAnsi="Times New Roman" w:eastAsia="仿宋" w:cs="Times New Roman"/>
          <w:b w:val="0"/>
          <w:bCs w:val="0"/>
          <w:kern w:val="0"/>
          <w:szCs w:val="24"/>
        </w:rPr>
        <w:t>。</w:t>
      </w:r>
      <w:bookmarkEnd w:id="31"/>
    </w:p>
    <w:p>
      <w:pPr>
        <w:pStyle w:val="3"/>
        <w:ind w:firstLine="594"/>
        <w:rPr>
          <w:rFonts w:ascii="Times New Roman" w:hAnsi="Times New Roman" w:eastAsia="仿宋" w:cs="Times New Roman"/>
          <w:b w:val="0"/>
          <w:bCs w:val="0"/>
          <w:kern w:val="0"/>
          <w:szCs w:val="24"/>
        </w:rPr>
      </w:pPr>
      <w:bookmarkStart w:id="32" w:name="_Toc57402040"/>
      <w:r>
        <w:rPr>
          <w:rFonts w:ascii="Times New Roman" w:hAnsi="Times New Roman" w:eastAsia="仿宋" w:cs="Times New Roman"/>
          <w:b w:val="0"/>
          <w:bCs w:val="0"/>
          <w:kern w:val="0"/>
          <w:szCs w:val="24"/>
        </w:rPr>
        <w:t>2019年</w:t>
      </w:r>
      <w:r>
        <w:rPr>
          <w:rFonts w:hint="eastAsia" w:ascii="Times New Roman" w:hAnsi="Times New Roman" w:eastAsia="仿宋" w:cs="Times New Roman"/>
          <w:b w:val="0"/>
          <w:bCs w:val="0"/>
          <w:kern w:val="0"/>
          <w:szCs w:val="24"/>
        </w:rPr>
        <w:t>年初结转和结余124.12万元，</w:t>
      </w:r>
      <w:r>
        <w:rPr>
          <w:rFonts w:ascii="Times New Roman" w:hAnsi="Times New Roman" w:eastAsia="仿宋" w:cs="Times New Roman"/>
          <w:b w:val="0"/>
          <w:bCs w:val="0"/>
          <w:kern w:val="0"/>
          <w:szCs w:val="24"/>
        </w:rPr>
        <w:t>2019年</w:t>
      </w:r>
      <w:r>
        <w:rPr>
          <w:rFonts w:hint="eastAsia" w:ascii="Times New Roman" w:hAnsi="Times New Roman" w:eastAsia="仿宋" w:cs="Times New Roman"/>
          <w:b w:val="0"/>
          <w:bCs w:val="0"/>
          <w:kern w:val="0"/>
          <w:szCs w:val="24"/>
        </w:rPr>
        <w:t>年末结转和结余44.41万元。</w:t>
      </w:r>
      <w:bookmarkEnd w:id="30"/>
      <w:bookmarkEnd w:id="32"/>
    </w:p>
    <w:p>
      <w:pPr>
        <w:pStyle w:val="3"/>
        <w:ind w:firstLine="596"/>
      </w:pPr>
      <w:bookmarkStart w:id="33" w:name="_Toc57402041"/>
      <w:r>
        <w:t>（</w:t>
      </w:r>
      <w:r>
        <w:rPr>
          <w:rFonts w:hint="eastAsia"/>
        </w:rPr>
        <w:t>三</w:t>
      </w:r>
      <w:r>
        <w:t>）</w:t>
      </w:r>
      <w:r>
        <w:rPr>
          <w:rFonts w:hint="eastAsia" w:ascii="Times New Roman" w:hAnsi="Times New Roman"/>
        </w:rPr>
        <w:t>2019年</w:t>
      </w:r>
      <w:r>
        <w:rPr>
          <w:rFonts w:hint="eastAsia"/>
        </w:rPr>
        <w:t>支出分类情况</w:t>
      </w:r>
      <w:bookmarkEnd w:id="33"/>
    </w:p>
    <w:p>
      <w:pPr>
        <w:pStyle w:val="4"/>
        <w:ind w:firstLine="596"/>
        <w:rPr>
          <w:kern w:val="0"/>
        </w:rPr>
      </w:pPr>
      <w:bookmarkStart w:id="34" w:name="_Toc57402042"/>
      <w:r>
        <w:rPr>
          <w:rFonts w:hint="eastAsia"/>
          <w:kern w:val="0"/>
        </w:rPr>
        <w:t>1、</w:t>
      </w:r>
      <w:r>
        <w:rPr>
          <w:kern w:val="0"/>
        </w:rPr>
        <w:t>基本支出</w:t>
      </w:r>
      <w:bookmarkEnd w:id="34"/>
    </w:p>
    <w:p>
      <w:pPr>
        <w:ind w:firstLine="594"/>
        <w:outlineLvl w:val="1"/>
        <w:rPr>
          <w:kern w:val="0"/>
        </w:rPr>
      </w:pPr>
      <w:bookmarkStart w:id="35" w:name="_Hlk55307360"/>
      <w:bookmarkStart w:id="36" w:name="_Toc57402043"/>
      <w:r>
        <w:rPr>
          <w:rFonts w:hint="eastAsia"/>
          <w:kern w:val="0"/>
        </w:rPr>
        <w:t>基本支出是指为保障单位机构正常运转、完成日常工作任务而发生的各项支出，包括用于在职和离退休人员基本工资、津贴补贴等人员经费以及办公费、印刷费、水电费、差旅费、维修（护）费等日常公用经费。中国共产党衡山县委员会宣传部</w:t>
      </w:r>
      <w:r>
        <w:rPr>
          <w:kern w:val="0"/>
        </w:rPr>
        <w:t>2019年</w:t>
      </w:r>
      <w:r>
        <w:rPr>
          <w:rFonts w:hint="eastAsia"/>
          <w:kern w:val="0"/>
        </w:rPr>
        <w:t>基本支出264.14万元，较上年增加35.25万元，增长15.40</w:t>
      </w:r>
      <w:r>
        <w:rPr>
          <w:kern w:val="0"/>
        </w:rPr>
        <w:t>%</w:t>
      </w:r>
      <w:r>
        <w:rPr>
          <w:rFonts w:hint="eastAsia"/>
          <w:kern w:val="0"/>
        </w:rPr>
        <w:t>。基本支出中人员经费176.91万元，占基本支出的66.98</w:t>
      </w:r>
      <w:r>
        <w:rPr>
          <w:kern w:val="0"/>
        </w:rPr>
        <w:t>%</w:t>
      </w:r>
      <w:r>
        <w:rPr>
          <w:rFonts w:hint="eastAsia"/>
          <w:kern w:val="0"/>
        </w:rPr>
        <w:t>，较上年增长4.6</w:t>
      </w:r>
      <w:r>
        <w:rPr>
          <w:kern w:val="0"/>
        </w:rPr>
        <w:t>%</w:t>
      </w:r>
      <w:r>
        <w:rPr>
          <w:rFonts w:hint="eastAsia"/>
          <w:kern w:val="0"/>
        </w:rPr>
        <w:t>，日常公用经费87.22万元，占基本支出的33.02</w:t>
      </w:r>
      <w:r>
        <w:rPr>
          <w:kern w:val="0"/>
        </w:rPr>
        <w:t>%</w:t>
      </w:r>
      <w:r>
        <w:rPr>
          <w:rFonts w:hint="eastAsia"/>
          <w:kern w:val="0"/>
        </w:rPr>
        <w:t>，较上年增加45.99</w:t>
      </w:r>
      <w:r>
        <w:rPr>
          <w:kern w:val="0"/>
        </w:rPr>
        <w:t>%</w:t>
      </w:r>
      <w:r>
        <w:rPr>
          <w:rFonts w:hint="eastAsia"/>
          <w:kern w:val="0"/>
        </w:rPr>
        <w:t>。</w:t>
      </w:r>
      <w:bookmarkEnd w:id="35"/>
      <w:bookmarkEnd w:id="36"/>
    </w:p>
    <w:p>
      <w:pPr>
        <w:pStyle w:val="4"/>
        <w:ind w:firstLine="596"/>
        <w:rPr>
          <w:kern w:val="0"/>
        </w:rPr>
      </w:pPr>
      <w:bookmarkStart w:id="37" w:name="_Toc57402044"/>
      <w:r>
        <w:rPr>
          <w:rFonts w:hint="eastAsia"/>
          <w:kern w:val="0"/>
        </w:rPr>
        <w:t>2、项目支出</w:t>
      </w:r>
      <w:bookmarkEnd w:id="37"/>
    </w:p>
    <w:p>
      <w:pPr>
        <w:pStyle w:val="3"/>
        <w:ind w:firstLine="594"/>
        <w:rPr>
          <w:rFonts w:ascii="Times New Roman" w:hAnsi="Times New Roman" w:eastAsia="仿宋" w:cs="Times New Roman"/>
          <w:b w:val="0"/>
          <w:bCs w:val="0"/>
          <w:kern w:val="0"/>
          <w:szCs w:val="24"/>
        </w:rPr>
      </w:pPr>
      <w:bookmarkStart w:id="38" w:name="_Toc57402045"/>
      <w:r>
        <w:rPr>
          <w:rFonts w:hint="eastAsia" w:ascii="Times New Roman" w:hAnsi="Times New Roman" w:eastAsia="仿宋" w:cs="Times New Roman"/>
          <w:b w:val="0"/>
          <w:bCs w:val="0"/>
          <w:kern w:val="0"/>
          <w:szCs w:val="24"/>
        </w:rPr>
        <w:t>项目支出指单位为完成特定工作任务或事业发展目标而发生的支出，包括基本建设类项目支289.56万元，比上年减少39.31万元，下降11.95</w:t>
      </w:r>
      <w:r>
        <w:rPr>
          <w:rFonts w:ascii="Times New Roman" w:hAnsi="Times New Roman" w:eastAsia="仿宋" w:cs="Times New Roman"/>
          <w:b w:val="0"/>
          <w:bCs w:val="0"/>
          <w:kern w:val="0"/>
          <w:szCs w:val="24"/>
        </w:rPr>
        <w:t>%</w:t>
      </w:r>
      <w:r>
        <w:rPr>
          <w:rFonts w:hint="eastAsia" w:ascii="Times New Roman" w:hAnsi="Times New Roman" w:eastAsia="仿宋" w:cs="Times New Roman"/>
          <w:b w:val="0"/>
          <w:bCs w:val="0"/>
          <w:kern w:val="0"/>
          <w:szCs w:val="24"/>
        </w:rPr>
        <w:t>，其中基本建设类项目支出0万元。</w:t>
      </w:r>
      <w:bookmarkEnd w:id="38"/>
    </w:p>
    <w:p>
      <w:pPr>
        <w:pStyle w:val="3"/>
        <w:ind w:firstLine="596"/>
      </w:pPr>
      <w:bookmarkStart w:id="39" w:name="_Toc57402046"/>
      <w:r>
        <w:rPr>
          <w:rFonts w:hint="eastAsia"/>
        </w:rPr>
        <w:t>（四）“三公”经费情况</w:t>
      </w:r>
      <w:bookmarkEnd w:id="39"/>
    </w:p>
    <w:p>
      <w:pPr>
        <w:ind w:firstLine="594"/>
        <w:outlineLvl w:val="1"/>
        <w:rPr>
          <w:kern w:val="0"/>
        </w:rPr>
      </w:pPr>
      <w:bookmarkStart w:id="40" w:name="_Toc57402047"/>
      <w:bookmarkStart w:id="41" w:name="_Hlk55307386"/>
      <w:r>
        <w:rPr>
          <w:kern w:val="0"/>
        </w:rPr>
        <w:t>2019年</w:t>
      </w:r>
      <w:r>
        <w:rPr>
          <w:rFonts w:hint="eastAsia"/>
          <w:kern w:val="0"/>
        </w:rPr>
        <w:t>“三公”经费支出13.19万元，其中公务接待6.61万元、公务用车运行维护费6.58万元，“三公”经费，年初预算11.48万元，其中公务接待费</w:t>
      </w:r>
      <w:r>
        <w:rPr>
          <w:kern w:val="0"/>
        </w:rPr>
        <w:t>6</w:t>
      </w:r>
      <w:r>
        <w:rPr>
          <w:rFonts w:hint="eastAsia"/>
          <w:kern w:val="0"/>
        </w:rPr>
        <w:t>.78万元、公务用车运行维护费4.7万元，“三公”经费实际支出占年初预算的114.90</w:t>
      </w:r>
      <w:r>
        <w:rPr>
          <w:kern w:val="0"/>
        </w:rPr>
        <w:t>%</w:t>
      </w:r>
      <w:r>
        <w:rPr>
          <w:rFonts w:hint="eastAsia"/>
          <w:kern w:val="0"/>
        </w:rPr>
        <w:t>，同比上年增加0.23</w:t>
      </w:r>
      <w:r>
        <w:rPr>
          <w:kern w:val="0"/>
        </w:rPr>
        <w:t>%</w:t>
      </w:r>
      <w:r>
        <w:rPr>
          <w:rFonts w:hint="eastAsia"/>
          <w:kern w:val="0"/>
        </w:rPr>
        <w:t>。增加的主要原因是公务用车运行维护费增加。</w:t>
      </w:r>
      <w:bookmarkEnd w:id="40"/>
      <w:bookmarkEnd w:id="41"/>
    </w:p>
    <w:p>
      <w:pPr>
        <w:pStyle w:val="2"/>
        <w:ind w:firstLine="594"/>
        <w:rPr>
          <w:kern w:val="0"/>
        </w:rPr>
      </w:pPr>
      <w:bookmarkStart w:id="42" w:name="_Toc57402048"/>
      <w:r>
        <w:rPr>
          <w:rFonts w:hint="eastAsia"/>
          <w:kern w:val="0"/>
        </w:rPr>
        <w:t>三、资产管理情况</w:t>
      </w:r>
      <w:bookmarkEnd w:id="42"/>
    </w:p>
    <w:p>
      <w:pPr>
        <w:ind w:firstLine="594"/>
        <w:outlineLvl w:val="1"/>
        <w:rPr>
          <w:rFonts w:ascii="仿宋" w:hAnsi="仿宋"/>
          <w:kern w:val="0"/>
        </w:rPr>
      </w:pPr>
      <w:bookmarkStart w:id="43" w:name="_Toc57402049"/>
      <w:bookmarkStart w:id="44" w:name="_Hlk54693602"/>
      <w:r>
        <w:rPr>
          <w:rFonts w:hint="eastAsia" w:ascii="仿宋" w:hAnsi="仿宋"/>
          <w:kern w:val="0"/>
        </w:rPr>
        <w:t>截至</w:t>
      </w:r>
      <w:r>
        <w:rPr>
          <w:rFonts w:ascii="仿宋" w:hAnsi="仿宋"/>
          <w:kern w:val="0"/>
        </w:rPr>
        <w:t>2019年12</w:t>
      </w:r>
      <w:r>
        <w:rPr>
          <w:rFonts w:hint="eastAsia" w:ascii="仿宋" w:hAnsi="仿宋"/>
          <w:kern w:val="0"/>
        </w:rPr>
        <w:t>月</w:t>
      </w:r>
      <w:r>
        <w:rPr>
          <w:rFonts w:ascii="仿宋" w:hAnsi="仿宋"/>
          <w:kern w:val="0"/>
        </w:rPr>
        <w:t>31</w:t>
      </w:r>
      <w:r>
        <w:rPr>
          <w:rFonts w:hint="eastAsia" w:ascii="仿宋" w:hAnsi="仿宋"/>
          <w:kern w:val="0"/>
        </w:rPr>
        <w:t>日，资产总额为184.87万元，其中：流动资产139.19万元，占75.29</w:t>
      </w:r>
      <w:r>
        <w:rPr>
          <w:rFonts w:ascii="仿宋" w:hAnsi="仿宋"/>
          <w:kern w:val="0"/>
        </w:rPr>
        <w:t>%</w:t>
      </w:r>
      <w:r>
        <w:rPr>
          <w:rFonts w:hint="eastAsia" w:ascii="仿宋" w:hAnsi="仿宋"/>
          <w:kern w:val="0"/>
        </w:rPr>
        <w:t>；固定资产净值45.68万元，占24.71</w:t>
      </w:r>
      <w:r>
        <w:rPr>
          <w:rFonts w:ascii="仿宋" w:hAnsi="仿宋"/>
          <w:kern w:val="0"/>
        </w:rPr>
        <w:t>%</w:t>
      </w:r>
      <w:r>
        <w:rPr>
          <w:rFonts w:hint="eastAsia" w:ascii="仿宋" w:hAnsi="仿宋"/>
          <w:kern w:val="0"/>
        </w:rPr>
        <w:t>，其中轿车2辆，价值8</w:t>
      </w:r>
      <w:r>
        <w:rPr>
          <w:rFonts w:ascii="仿宋" w:hAnsi="仿宋"/>
          <w:kern w:val="0"/>
        </w:rPr>
        <w:t>.42</w:t>
      </w:r>
      <w:r>
        <w:rPr>
          <w:rFonts w:hint="eastAsia" w:ascii="仿宋" w:hAnsi="仿宋"/>
          <w:kern w:val="0"/>
        </w:rPr>
        <w:t>万元，占固定资产的</w:t>
      </w:r>
      <w:r>
        <w:rPr>
          <w:rFonts w:ascii="仿宋" w:hAnsi="仿宋"/>
          <w:kern w:val="0"/>
        </w:rPr>
        <w:t>18.43%</w:t>
      </w:r>
      <w:r>
        <w:rPr>
          <w:rFonts w:hint="eastAsia" w:ascii="仿宋" w:hAnsi="仿宋"/>
          <w:kern w:val="0"/>
        </w:rPr>
        <w:t>；其他固定资产</w:t>
      </w:r>
      <w:r>
        <w:rPr>
          <w:rFonts w:ascii="仿宋" w:hAnsi="仿宋"/>
          <w:kern w:val="0"/>
        </w:rPr>
        <w:t>37.26</w:t>
      </w:r>
      <w:r>
        <w:rPr>
          <w:rFonts w:hint="eastAsia" w:ascii="仿宋" w:hAnsi="仿宋"/>
          <w:kern w:val="0"/>
        </w:rPr>
        <w:t>万元，占固定资产的</w:t>
      </w:r>
      <w:r>
        <w:rPr>
          <w:rFonts w:ascii="仿宋" w:hAnsi="仿宋"/>
          <w:kern w:val="0"/>
        </w:rPr>
        <w:t>81.57%</w:t>
      </w:r>
      <w:r>
        <w:rPr>
          <w:rFonts w:hint="eastAsia" w:ascii="仿宋" w:hAnsi="仿宋"/>
          <w:kern w:val="0"/>
        </w:rPr>
        <w:t>；无单价</w:t>
      </w:r>
      <w:r>
        <w:rPr>
          <w:rFonts w:ascii="仿宋" w:hAnsi="仿宋"/>
          <w:kern w:val="0"/>
        </w:rPr>
        <w:t>50.00</w:t>
      </w:r>
      <w:r>
        <w:rPr>
          <w:rFonts w:hint="eastAsia" w:ascii="仿宋" w:hAnsi="仿宋"/>
          <w:kern w:val="0"/>
        </w:rPr>
        <w:t>万元以上的通用设备；无单价</w:t>
      </w:r>
      <w:r>
        <w:rPr>
          <w:rFonts w:ascii="仿宋" w:hAnsi="仿宋"/>
          <w:kern w:val="0"/>
        </w:rPr>
        <w:t>100.00</w:t>
      </w:r>
      <w:r>
        <w:rPr>
          <w:rFonts w:hint="eastAsia" w:ascii="仿宋" w:hAnsi="仿宋"/>
          <w:kern w:val="0"/>
        </w:rPr>
        <w:t>万元以上的专用设备；在建工程0万元；其他资产0万元。</w:t>
      </w:r>
      <w:bookmarkEnd w:id="43"/>
    </w:p>
    <w:p>
      <w:pPr>
        <w:ind w:firstLine="594"/>
        <w:outlineLvl w:val="1"/>
        <w:rPr>
          <w:rFonts w:ascii="仿宋" w:hAnsi="仿宋"/>
          <w:kern w:val="0"/>
        </w:rPr>
      </w:pPr>
      <w:bookmarkStart w:id="45" w:name="_Toc57402050"/>
      <w:r>
        <w:rPr>
          <w:rFonts w:ascii="仿宋" w:hAnsi="仿宋"/>
          <w:kern w:val="0"/>
        </w:rPr>
        <w:t>2019年</w:t>
      </w:r>
      <w:r>
        <w:rPr>
          <w:rFonts w:hint="eastAsia" w:ascii="仿宋" w:hAnsi="仿宋"/>
          <w:kern w:val="0"/>
        </w:rPr>
        <w:t>新固定资产0万元，减少固定资产0万元。</w:t>
      </w:r>
      <w:bookmarkEnd w:id="45"/>
    </w:p>
    <w:p>
      <w:pPr>
        <w:pStyle w:val="2"/>
        <w:ind w:firstLine="594"/>
        <w:rPr>
          <w:rFonts w:eastAsia="仿宋"/>
          <w:bCs w:val="0"/>
          <w:kern w:val="0"/>
          <w:szCs w:val="24"/>
        </w:rPr>
      </w:pPr>
      <w:bookmarkStart w:id="46" w:name="_Toc57402051"/>
      <w:r>
        <w:rPr>
          <w:rFonts w:hint="eastAsia" w:ascii="仿宋" w:hAnsi="仿宋" w:eastAsia="仿宋"/>
          <w:bCs w:val="0"/>
          <w:kern w:val="0"/>
          <w:szCs w:val="24"/>
        </w:rPr>
        <w:t>2019年固定资产计提折旧47.59万元，其中土地、房屋及构筑物0万元，通用设备43.48万元、家具、用具、具及动植物4.11万元。</w:t>
      </w:r>
      <w:bookmarkEnd w:id="44"/>
      <w:bookmarkEnd w:id="46"/>
    </w:p>
    <w:p>
      <w:pPr>
        <w:pStyle w:val="2"/>
        <w:ind w:firstLine="594"/>
        <w:rPr>
          <w:kern w:val="0"/>
        </w:rPr>
      </w:pPr>
      <w:bookmarkStart w:id="47" w:name="_Toc57402052"/>
      <w:r>
        <w:rPr>
          <w:rFonts w:hint="eastAsia"/>
          <w:kern w:val="0"/>
        </w:rPr>
        <w:t>四、部门整体绩效情况</w:t>
      </w:r>
      <w:bookmarkEnd w:id="47"/>
    </w:p>
    <w:p>
      <w:pPr>
        <w:pStyle w:val="3"/>
        <w:ind w:firstLine="596"/>
      </w:pPr>
      <w:bookmarkStart w:id="48" w:name="_Toc57402053"/>
      <w:r>
        <w:rPr>
          <w:rFonts w:hint="eastAsia"/>
        </w:rPr>
        <w:t>（一）部门整体绩效目标</w:t>
      </w:r>
      <w:bookmarkEnd w:id="48"/>
    </w:p>
    <w:p>
      <w:pPr>
        <w:ind w:firstLine="594"/>
        <w:outlineLvl w:val="2"/>
      </w:pPr>
      <w:bookmarkStart w:id="49" w:name="_Toc57402054"/>
      <w:r>
        <w:rPr>
          <w:rFonts w:hint="eastAsia"/>
        </w:rPr>
        <w:t>1、一是贯彻一条“主线”。把学习贯彻习近平新时代中国特色社会主义思想作为首要政治任务，抓好全县各个层面的学习，推动各级领导干部集中学习和自学结合起来，把习近平新时代中国特色社会主义思想学深悟透，对全县各级党委（党组）中心组学用习近平新时代中国特色社会主义思想交流会情况进行安排部署并督促指导，创新理论宣讲宣传进基层方式，不断推动习近平新时代中国特色社会主义思想深入人心。</w:t>
      </w:r>
      <w:bookmarkEnd w:id="49"/>
    </w:p>
    <w:p>
      <w:pPr>
        <w:ind w:firstLine="594"/>
      </w:pPr>
      <w:r>
        <w:rPr>
          <w:rFonts w:hint="eastAsia"/>
        </w:rPr>
        <w:t>2、二是建设一个“中心”。以衡山县广播台为主体建设衡山县融媒体中心，将县内各职能部门、乡镇的网站、微信公众</w:t>
      </w:r>
      <w:r>
        <w:t>号等所有县域公共媒体资源并入融媒体中心</w:t>
      </w:r>
      <w:r>
        <w:rPr>
          <w:rFonts w:hint="eastAsia"/>
        </w:rPr>
        <w:t>，</w:t>
      </w:r>
      <w:r>
        <w:t>实现一体化运作</w:t>
      </w:r>
      <w:r>
        <w:rPr>
          <w:rFonts w:hint="eastAsia"/>
        </w:rPr>
        <w:t>，</w:t>
      </w:r>
      <w:r>
        <w:t>统一发声</w:t>
      </w:r>
      <w:r>
        <w:rPr>
          <w:rFonts w:hint="eastAsia"/>
        </w:rPr>
        <w:t>。</w:t>
      </w:r>
    </w:p>
    <w:p>
      <w:pPr>
        <w:ind w:firstLine="594"/>
      </w:pPr>
      <w:r>
        <w:rPr>
          <w:rFonts w:hint="eastAsia"/>
        </w:rPr>
        <w:t>3、三是擦亮一方“队伍”。牢牢把握意识形态工作领导权，建好一支理论宣讲队伍，深入开展分众化、对象化宣讲培训活动，增强干部群众对中央、省市县委各项决策部署的认知认同：牢牢把握正确引导舆论主导权，建好一支新闻宣传队伍，讲好衡山故事；牢牢掌握建设文明新风主动权，建好一支志愿服务队伍，弘扬社会主义核心价值观；牢牢掌握社会主义文艺话语权，持续有效地推进基层文化阵地建设，大力实施文化惠民工程，大力实施文艺精品和农村文化舞台工程，稳步开展全民健身活动，着力打造衡山特色文化品牌。</w:t>
      </w:r>
    </w:p>
    <w:p>
      <w:pPr>
        <w:pStyle w:val="3"/>
        <w:ind w:firstLine="596"/>
      </w:pPr>
      <w:bookmarkStart w:id="50" w:name="_Toc57402055"/>
      <w:r>
        <w:rPr>
          <w:rFonts w:hint="eastAsia"/>
        </w:rPr>
        <w:t>（二）部门整体绩效情况</w:t>
      </w:r>
      <w:bookmarkEnd w:id="50"/>
    </w:p>
    <w:p>
      <w:pPr>
        <w:ind w:firstLine="594"/>
        <w:rPr>
          <w:kern w:val="0"/>
        </w:rPr>
      </w:pPr>
      <w:r>
        <w:rPr>
          <w:rFonts w:hint="eastAsia"/>
          <w:kern w:val="0"/>
        </w:rPr>
        <w:t>1、始终坚持把学习宣传贯彻习近平新时代中国特色社会主义思想和党的十九大精神作为首要政治任务来抓，</w:t>
      </w:r>
      <w:r>
        <w:rPr>
          <w:kern w:val="0"/>
        </w:rPr>
        <w:t>紧扣</w:t>
      </w:r>
      <w:r>
        <w:rPr>
          <w:rFonts w:hint="eastAsia"/>
          <w:kern w:val="0"/>
        </w:rPr>
        <w:t>“</w:t>
      </w:r>
      <w:r>
        <w:rPr>
          <w:kern w:val="0"/>
        </w:rPr>
        <w:t>新思想</w:t>
      </w:r>
      <w:r>
        <w:rPr>
          <w:rFonts w:hint="eastAsia"/>
          <w:kern w:val="0"/>
        </w:rPr>
        <w:t>”，理论学习走深走实。县委理论学习中心组把习近平新时代中国特色社会主义思想作为核心课，把研讨交流贯穿每次学习全过程，举行了12次、30个理论专题的集中学习；县、乡、村三级组织开展宣讲报告会200余场，论学习更加深入人心；将“学习强国”纳入年度意识形态工作考核指标，目前，我县“学习强国”学习平台注册学员下载覆盖率为92.13%，在全市十二个县（市、区）中名列前茅，获衡阳市优秀推广奖；</w:t>
      </w:r>
    </w:p>
    <w:p>
      <w:pPr>
        <w:ind w:firstLine="594"/>
        <w:rPr>
          <w:kern w:val="0"/>
        </w:rPr>
      </w:pPr>
      <w:r>
        <w:rPr>
          <w:rFonts w:hint="eastAsia"/>
          <w:kern w:val="0"/>
        </w:rPr>
        <w:t>2、今年是推动我县媒体融合发展的第一年，县融媒体中心建设进入全面实施阶段，由“红网”承担的指挥大厅、多功能访谈区等建设基本完成，数据可视化展示系统、会议扩音系统、网络安全防护系统、媒体资产管理平台、高清摄录及制作系统已全部配备到位，由“新湖南”承担的采编系统、“新衡山APP建设正在搭建，《新衡山》、衡山新闻网、衡山手机报等平台在12月31日全部移交到位。全年新增有线客户1030户，新增广电宽带用户570户。实现了电视节目和广播节目在手机端的融合。年内获湖南广播电视三等奖1个、衡阳新闻奖二等奖1个、三等奖1个，衡阳市“我们都做传承人”公益广告作品赛三等奖1个。</w:t>
      </w:r>
    </w:p>
    <w:p>
      <w:pPr>
        <w:ind w:firstLine="594"/>
        <w:rPr>
          <w:kern w:val="0"/>
        </w:rPr>
      </w:pPr>
      <w:r>
        <w:rPr>
          <w:rFonts w:hint="eastAsia"/>
          <w:kern w:val="0"/>
        </w:rPr>
        <w:t>3、全面推进意识形态工作常态化管理和制度化建设，意识形态工作考核逐步规范化、刚性化。县委书记与各乡镇党委和科局党委（党组）书记签订了意识形态工作责任状，把意识形态工作列入县委年度工作要点，纳入重要议事日，纳入党建工作责任制，纳入党的纪律监督检查范围、巡查内容，纳入领导班子和领导干部目标管理，纳入年度目标管理绩效考核，建立健全了党委统一领导、党政齐抓共管、宣传部门组织协调、各相关部门积极配合，共同完善意识形态的工作机制。提交县委常委会对意识形态工作进行了专题学习、研究，组织召开了全县意识形态工作联席会议、2019年网络安全和信息化委员会第一次会议，及时推进意识形态工作纵深开展。从6月起，县委宣传部与县委巡查办密切配合，组织对被巡察单位开展意识形态专项巡察工作，目前已对7个乡镇和20余个县直单位进行了现场“把脉问诊”；文体旅基础设施普遍化，争取国家体育总局专项建设资金100万元在长江镇石桥铺社区健身中心，成为全市首个由体育局专项资金建设的社区健身中心；争取省体育局专项建设资金分别在开云镇长安村和贯塘乡政府建设多功能运动场；在开云镇岳狮村、店门镇梅桥村、长江镇永丰村建设了三个灯光篮球场；先后在全县建设健身路径30条。</w:t>
      </w:r>
    </w:p>
    <w:p>
      <w:pPr>
        <w:pStyle w:val="2"/>
        <w:ind w:firstLine="594"/>
        <w:rPr>
          <w:kern w:val="0"/>
        </w:rPr>
      </w:pPr>
      <w:bookmarkStart w:id="51" w:name="_Toc57402056"/>
      <w:r>
        <w:rPr>
          <w:rFonts w:hint="eastAsia"/>
          <w:kern w:val="0"/>
        </w:rPr>
        <w:t>五、综合评价情况及评价结论</w:t>
      </w:r>
      <w:bookmarkEnd w:id="51"/>
    </w:p>
    <w:p>
      <w:pPr>
        <w:pStyle w:val="3"/>
        <w:ind w:firstLine="596"/>
      </w:pPr>
      <w:bookmarkStart w:id="52" w:name="_Toc57402057"/>
      <w:r>
        <w:rPr>
          <w:rFonts w:hint="eastAsia"/>
        </w:rPr>
        <w:t>（一）绩效评价结论</w:t>
      </w:r>
      <w:bookmarkEnd w:id="52"/>
    </w:p>
    <w:p>
      <w:pPr>
        <w:ind w:firstLine="594"/>
        <w:rPr>
          <w:kern w:val="0"/>
        </w:rPr>
      </w:pPr>
      <w:r>
        <w:rPr>
          <w:rFonts w:hint="eastAsia"/>
          <w:kern w:val="0"/>
        </w:rPr>
        <w:t>经评价工作组从预算配置、预算执行、预算管理、职责履行和履职效益等方面对中国共产党衡山县委员会宣传部2019年度部门整体支出资金项目进行综合评定，该项目绩效评价得分为7</w:t>
      </w:r>
      <w:r>
        <w:rPr>
          <w:kern w:val="0"/>
        </w:rPr>
        <w:t>3</w:t>
      </w:r>
      <w:r>
        <w:rPr>
          <w:rFonts w:hint="eastAsia"/>
          <w:kern w:val="0"/>
        </w:rPr>
        <w:t>分。具体指标评分情况见附件一。</w:t>
      </w:r>
    </w:p>
    <w:p>
      <w:pPr>
        <w:pStyle w:val="3"/>
        <w:ind w:firstLine="596"/>
      </w:pPr>
      <w:bookmarkStart w:id="53" w:name="_Toc57402058"/>
      <w:r>
        <w:rPr>
          <w:rFonts w:hint="eastAsia"/>
        </w:rPr>
        <w:t>（二）简析指标评分情况</w:t>
      </w:r>
      <w:bookmarkEnd w:id="53"/>
    </w:p>
    <w:p>
      <w:pPr>
        <w:pStyle w:val="4"/>
        <w:ind w:firstLine="596"/>
        <w:rPr>
          <w:kern w:val="0"/>
        </w:rPr>
      </w:pPr>
      <w:bookmarkStart w:id="54" w:name="_Toc57402059"/>
      <w:r>
        <w:rPr>
          <w:rFonts w:hint="eastAsia"/>
          <w:kern w:val="0"/>
        </w:rPr>
        <w:t>1、预算配置控制较好，得分为</w:t>
      </w:r>
      <w:r>
        <w:rPr>
          <w:kern w:val="0"/>
        </w:rPr>
        <w:t>10</w:t>
      </w:r>
      <w:r>
        <w:rPr>
          <w:rFonts w:hint="eastAsia"/>
          <w:kern w:val="0"/>
        </w:rPr>
        <w:t>分</w:t>
      </w:r>
      <w:bookmarkEnd w:id="54"/>
    </w:p>
    <w:p>
      <w:pPr>
        <w:ind w:firstLine="594"/>
        <w:rPr>
          <w:kern w:val="0"/>
        </w:rPr>
      </w:pPr>
      <w:r>
        <w:rPr>
          <w:rFonts w:hint="eastAsia"/>
          <w:kern w:val="0"/>
        </w:rPr>
        <w:t>（1）在职人员控制率=（在职人员</w:t>
      </w:r>
      <w:r>
        <w:rPr>
          <w:kern w:val="0"/>
        </w:rPr>
        <w:t>12</w:t>
      </w:r>
      <w:r>
        <w:rPr>
          <w:rFonts w:hint="eastAsia"/>
          <w:kern w:val="0"/>
        </w:rPr>
        <w:t>人/编制18人）×100%=66.67%，≦100%得满分5分，每超过一个百分点扣0.5分，扣完为止，本项不扣分，得</w:t>
      </w:r>
      <w:r>
        <w:rPr>
          <w:kern w:val="0"/>
        </w:rPr>
        <w:t>5</w:t>
      </w:r>
      <w:r>
        <w:rPr>
          <w:rFonts w:hint="eastAsia"/>
          <w:kern w:val="0"/>
        </w:rPr>
        <w:t>分。</w:t>
      </w:r>
    </w:p>
    <w:p>
      <w:pPr>
        <w:ind w:firstLine="594"/>
        <w:rPr>
          <w:kern w:val="0"/>
        </w:rPr>
      </w:pPr>
      <w:r>
        <w:rPr>
          <w:rFonts w:hint="eastAsia"/>
          <w:kern w:val="0"/>
        </w:rPr>
        <w:t>（2）“三公经费”变动率=（本年度“三公经费”预算数11.48万元-上年度“三公经费”预算数13.18万元）/上年度“三公经费”预算数13.18万元×100%=</w:t>
      </w:r>
      <w:r>
        <w:rPr>
          <w:kern w:val="0"/>
        </w:rPr>
        <w:t>-</w:t>
      </w:r>
      <w:r>
        <w:rPr>
          <w:rFonts w:hint="eastAsia"/>
          <w:kern w:val="0"/>
        </w:rPr>
        <w:t>12.90%，“三公经费”变动率≦0，本项不扣分，得5分。</w:t>
      </w:r>
    </w:p>
    <w:p>
      <w:pPr>
        <w:pStyle w:val="4"/>
        <w:ind w:firstLine="596"/>
        <w:rPr>
          <w:kern w:val="0"/>
        </w:rPr>
      </w:pPr>
      <w:bookmarkStart w:id="55" w:name="_Toc57402060"/>
      <w:r>
        <w:rPr>
          <w:rFonts w:hint="eastAsia"/>
          <w:kern w:val="0"/>
        </w:rPr>
        <w:t>2、预算执行存在较大不足之处，得分为</w:t>
      </w:r>
      <w:r>
        <w:rPr>
          <w:kern w:val="0"/>
        </w:rPr>
        <w:t>1</w:t>
      </w:r>
      <w:r>
        <w:rPr>
          <w:rFonts w:hint="eastAsia"/>
          <w:kern w:val="0"/>
        </w:rPr>
        <w:t>1分</w:t>
      </w:r>
      <w:bookmarkEnd w:id="55"/>
    </w:p>
    <w:p>
      <w:pPr>
        <w:ind w:firstLine="594"/>
        <w:rPr>
          <w:kern w:val="0"/>
        </w:rPr>
      </w:pPr>
      <w:r>
        <w:rPr>
          <w:rFonts w:hint="eastAsia"/>
          <w:kern w:val="0"/>
        </w:rPr>
        <w:t>（1）预算完成率=（上年结转124.12万元+年初预算数183.21万元+本年追加预算290.78万元-年末结余44.41万元）/(上年结转124.12万元+年初预算数183.21万元+本年追加预算290.78万元)×100%=92.57%，100%记满分，每低于5%扣2分，本项扣4分，得1分。</w:t>
      </w:r>
    </w:p>
    <w:p>
      <w:pPr>
        <w:ind w:firstLine="594"/>
        <w:rPr>
          <w:kern w:val="0"/>
        </w:rPr>
      </w:pPr>
      <w:r>
        <w:rPr>
          <w:rFonts w:hint="eastAsia"/>
          <w:kern w:val="0"/>
        </w:rPr>
        <w:t>（2）预算控制率=（本年追加预算290.78万元/年初预算数183.21万元）×100%=158.71%，大于30%不得分，本项得0分。</w:t>
      </w:r>
    </w:p>
    <w:p>
      <w:pPr>
        <w:ind w:firstLine="594"/>
        <w:rPr>
          <w:kern w:val="0"/>
        </w:rPr>
      </w:pPr>
      <w:r>
        <w:rPr>
          <w:rFonts w:hint="eastAsia"/>
          <w:kern w:val="0"/>
        </w:rPr>
        <w:t>（3）新建楼堂馆所面积控制率=实际建设面积/批准建设面积*100%。中国共产党衡山县委员会宣传部2019年无新建楼堂馆所，本项目不扣分，得</w:t>
      </w:r>
      <w:r>
        <w:rPr>
          <w:kern w:val="0"/>
        </w:rPr>
        <w:t>5</w:t>
      </w:r>
      <w:r>
        <w:rPr>
          <w:rFonts w:hint="eastAsia"/>
          <w:kern w:val="0"/>
        </w:rPr>
        <w:t>分。</w:t>
      </w:r>
    </w:p>
    <w:p>
      <w:pPr>
        <w:ind w:firstLine="594"/>
        <w:rPr>
          <w:kern w:val="0"/>
        </w:rPr>
      </w:pPr>
      <w:r>
        <w:rPr>
          <w:rFonts w:hint="eastAsia"/>
          <w:kern w:val="0"/>
        </w:rPr>
        <w:t>（4）新建楼堂馆所投资概算控制率=实际投资金额/批准投资金额*100%。中国共产党衡山县委员会宣传部2019年无新建楼堂馆所，本项目不扣分，得5分。</w:t>
      </w:r>
    </w:p>
    <w:p>
      <w:pPr>
        <w:pStyle w:val="4"/>
        <w:ind w:firstLine="596"/>
        <w:rPr>
          <w:kern w:val="0"/>
        </w:rPr>
      </w:pPr>
      <w:bookmarkStart w:id="56" w:name="_Toc57402061"/>
      <w:r>
        <w:rPr>
          <w:rFonts w:hint="eastAsia"/>
          <w:kern w:val="0"/>
        </w:rPr>
        <w:t>3、预算管理较为理想，得分为</w:t>
      </w:r>
      <w:r>
        <w:rPr>
          <w:kern w:val="0"/>
        </w:rPr>
        <w:t>22</w:t>
      </w:r>
      <w:r>
        <w:rPr>
          <w:rFonts w:hint="eastAsia"/>
          <w:kern w:val="0"/>
        </w:rPr>
        <w:t>分</w:t>
      </w:r>
      <w:bookmarkEnd w:id="56"/>
    </w:p>
    <w:p>
      <w:pPr>
        <w:ind w:firstLine="594"/>
        <w:rPr>
          <w:kern w:val="0"/>
        </w:rPr>
      </w:pPr>
      <w:r>
        <w:rPr>
          <w:rFonts w:hint="eastAsia"/>
          <w:kern w:val="0"/>
        </w:rPr>
        <w:t>（1）公用经费控制率=（实际支出公用经费总额87.22万元/预算安排公用经费总额17.09万元）×100%=510.36%，100%以下得满分8分。本项扣8分，得0分</w:t>
      </w:r>
    </w:p>
    <w:p>
      <w:pPr>
        <w:ind w:firstLine="594"/>
        <w:rPr>
          <w:kern w:val="0"/>
        </w:rPr>
      </w:pPr>
      <w:r>
        <w:rPr>
          <w:rFonts w:hint="eastAsia"/>
          <w:kern w:val="0"/>
        </w:rPr>
        <w:t>（2）“三公”经费总体控制较好，“三公”经费控制率=（“三公经费”实际支出数11.31万元/“三公经费”预算安排数11.48万元）×100%=98.52%，100%以下计满分7分。本项不扣分，得7分。</w:t>
      </w:r>
    </w:p>
    <w:p>
      <w:pPr>
        <w:ind w:firstLine="594"/>
        <w:rPr>
          <w:kern w:val="0"/>
        </w:rPr>
      </w:pPr>
      <w:r>
        <w:rPr>
          <w:rFonts w:hint="eastAsia"/>
          <w:kern w:val="0"/>
        </w:rPr>
        <w:t>（3）</w:t>
      </w:r>
      <w:bookmarkStart w:id="57" w:name="_Hlk57795942"/>
      <w:r>
        <w:rPr>
          <w:rFonts w:hint="eastAsia"/>
          <w:kern w:val="0"/>
        </w:rPr>
        <w:t>政府采购执行率=（实际政府采购金额60.25万元/政府采购预算金额</w:t>
      </w:r>
      <w:r>
        <w:rPr>
          <w:kern w:val="0"/>
        </w:rPr>
        <w:t>53.00</w:t>
      </w:r>
      <w:r>
        <w:rPr>
          <w:rFonts w:hint="eastAsia"/>
          <w:kern w:val="0"/>
        </w:rPr>
        <w:t>万元）×100%=1</w:t>
      </w:r>
      <w:r>
        <w:rPr>
          <w:kern w:val="0"/>
        </w:rPr>
        <w:t>13.67</w:t>
      </w:r>
      <w:r>
        <w:rPr>
          <w:rFonts w:hint="eastAsia"/>
          <w:kern w:val="0"/>
        </w:rPr>
        <w:t>%</w:t>
      </w:r>
      <w:bookmarkEnd w:id="57"/>
      <w:r>
        <w:rPr>
          <w:rFonts w:hint="eastAsia"/>
          <w:kern w:val="0"/>
        </w:rPr>
        <w:t>，100%计满分6分，每超过（降低）5%扣2分。本项扣分6分，得</w:t>
      </w:r>
      <w:r>
        <w:rPr>
          <w:kern w:val="0"/>
        </w:rPr>
        <w:t>0</w:t>
      </w:r>
      <w:r>
        <w:rPr>
          <w:rFonts w:hint="eastAsia"/>
          <w:kern w:val="0"/>
        </w:rPr>
        <w:t>分。</w:t>
      </w:r>
    </w:p>
    <w:p>
      <w:pPr>
        <w:ind w:firstLine="594"/>
        <w:rPr>
          <w:kern w:val="0"/>
        </w:rPr>
      </w:pPr>
      <w:r>
        <w:rPr>
          <w:rFonts w:hint="eastAsia"/>
          <w:kern w:val="0"/>
        </w:rPr>
        <w:t>（4）管理制度健全性：</w:t>
      </w:r>
      <w:bookmarkStart w:id="58" w:name="_Hlk57748134"/>
      <w:r>
        <w:rPr>
          <w:rFonts w:hint="eastAsia"/>
          <w:kern w:val="0"/>
        </w:rPr>
        <w:t>中国共产党衡山县委员会宣传部</w:t>
      </w:r>
      <w:bookmarkEnd w:id="58"/>
      <w:r>
        <w:rPr>
          <w:rFonts w:hint="eastAsia"/>
          <w:kern w:val="0"/>
        </w:rPr>
        <w:t>制定了内部财务管理制度、会计核算制度等管理制度, 得2分；制定相关的厉行节约制度，得2分；制定的管理制度符合相关法律法规的规定，得2分；厉行节约制度未得到有效执行，公用经费超预算，扣2分。本项扣2分，得6分。</w:t>
      </w:r>
    </w:p>
    <w:p>
      <w:pPr>
        <w:ind w:firstLine="594"/>
        <w:rPr>
          <w:kern w:val="0"/>
        </w:rPr>
      </w:pPr>
      <w:r>
        <w:rPr>
          <w:rFonts w:hint="eastAsia"/>
          <w:kern w:val="0"/>
        </w:rPr>
        <w:t>（5）资金使用合规性：支出符合国家财经法规和财务管理制度规定以及有关专项资金管理办法的规定；资金拨付有完整的审批程序和手续；项目支出按规定经过评估论证；部分项目支出不符合部门预算批复的用途；存在挤占项目</w:t>
      </w:r>
      <w:r>
        <w:rPr>
          <w:rFonts w:hint="eastAsia"/>
          <w:kern w:val="0"/>
          <w:lang w:val="en-US" w:eastAsia="zh-CN"/>
        </w:rPr>
        <w:t>资金</w:t>
      </w:r>
      <w:r>
        <w:rPr>
          <w:rFonts w:hint="eastAsia"/>
          <w:kern w:val="0"/>
        </w:rPr>
        <w:t>的情况。通过综合评定本项扣2分，得4分。</w:t>
      </w:r>
    </w:p>
    <w:p>
      <w:pPr>
        <w:ind w:firstLine="594"/>
        <w:rPr>
          <w:kern w:val="0"/>
        </w:rPr>
      </w:pPr>
      <w:r>
        <w:rPr>
          <w:rFonts w:hint="eastAsia"/>
          <w:kern w:val="0"/>
        </w:rPr>
        <w:t>（6）预决算信息公开性：</w:t>
      </w:r>
      <w:bookmarkStart w:id="59" w:name="_Hlk57748158"/>
      <w:r>
        <w:rPr>
          <w:rFonts w:hint="eastAsia"/>
          <w:kern w:val="0"/>
        </w:rPr>
        <w:t>中国共产党衡山县委员会宣传部已按</w:t>
      </w:r>
      <w:bookmarkEnd w:id="59"/>
      <w:r>
        <w:rPr>
          <w:rFonts w:hint="eastAsia"/>
          <w:kern w:val="0"/>
        </w:rPr>
        <w:t>规定完成2019年度部门预算、决算的公开，基础数据信息和会计信息资料真实、完整、准确。本项无扣分，得5分。</w:t>
      </w:r>
      <w:bookmarkStart w:id="72" w:name="_GoBack"/>
      <w:bookmarkEnd w:id="72"/>
    </w:p>
    <w:p>
      <w:pPr>
        <w:pStyle w:val="4"/>
        <w:ind w:firstLine="596"/>
        <w:rPr>
          <w:kern w:val="0"/>
        </w:rPr>
      </w:pPr>
      <w:bookmarkStart w:id="60" w:name="_Toc57402062"/>
      <w:r>
        <w:rPr>
          <w:rFonts w:hint="eastAsia"/>
          <w:kern w:val="0"/>
        </w:rPr>
        <w:t>4、职责已全部履行，得分为8分。</w:t>
      </w:r>
      <w:bookmarkEnd w:id="60"/>
    </w:p>
    <w:p>
      <w:pPr>
        <w:ind w:firstLine="594"/>
        <w:rPr>
          <w:kern w:val="0"/>
        </w:rPr>
      </w:pPr>
      <w:r>
        <w:rPr>
          <w:rFonts w:hint="eastAsia"/>
          <w:kern w:val="0"/>
        </w:rPr>
        <w:t>中国共产党衡山县委员会宣传部2019年部门重点工作均已完成，本项无扣分，得8分。</w:t>
      </w:r>
    </w:p>
    <w:p>
      <w:pPr>
        <w:pStyle w:val="4"/>
        <w:ind w:firstLine="596"/>
        <w:rPr>
          <w:kern w:val="0"/>
        </w:rPr>
      </w:pPr>
      <w:bookmarkStart w:id="61" w:name="_Toc57402063"/>
      <w:r>
        <w:rPr>
          <w:rFonts w:hint="eastAsia"/>
          <w:kern w:val="0"/>
        </w:rPr>
        <w:t>5、履职效益显著，得分为2</w:t>
      </w:r>
      <w:r>
        <w:rPr>
          <w:kern w:val="0"/>
        </w:rPr>
        <w:t>2</w:t>
      </w:r>
      <w:r>
        <w:rPr>
          <w:rFonts w:hint="eastAsia"/>
          <w:kern w:val="0"/>
        </w:rPr>
        <w:t>分。</w:t>
      </w:r>
      <w:bookmarkEnd w:id="61"/>
    </w:p>
    <w:p>
      <w:pPr>
        <w:ind w:firstLine="594"/>
        <w:rPr>
          <w:kern w:val="0"/>
        </w:rPr>
      </w:pPr>
      <w:r>
        <w:rPr>
          <w:rFonts w:hint="eastAsia"/>
          <w:kern w:val="0"/>
        </w:rPr>
        <w:t>（1）经济效益</w:t>
      </w:r>
    </w:p>
    <w:p>
      <w:pPr>
        <w:ind w:firstLine="594"/>
        <w:rPr>
          <w:kern w:val="0"/>
        </w:rPr>
      </w:pPr>
      <w:r>
        <w:rPr>
          <w:rFonts w:hint="eastAsia"/>
          <w:kern w:val="0"/>
        </w:rPr>
        <w:t>中国共产党衡山县委员会宣传部大力推动文旅产业的发展，带动了全县各项经济的发展，2019年度总接待人次46.19万人次，比去年增长32%。我县全年游客接待量增长25%，旅游收入增长18%，经济效益显著，该单位本项指标得分5分。</w:t>
      </w:r>
    </w:p>
    <w:p>
      <w:pPr>
        <w:ind w:firstLine="594"/>
        <w:rPr>
          <w:kern w:val="0"/>
        </w:rPr>
      </w:pPr>
      <w:r>
        <w:rPr>
          <w:rFonts w:hint="eastAsia"/>
          <w:kern w:val="0"/>
        </w:rPr>
        <w:t>（2）社会效益</w:t>
      </w:r>
    </w:p>
    <w:p>
      <w:pPr>
        <w:ind w:firstLine="594"/>
        <w:rPr>
          <w:kern w:val="0"/>
        </w:rPr>
      </w:pPr>
      <w:r>
        <w:rPr>
          <w:rFonts w:hint="eastAsia"/>
          <w:kern w:val="0"/>
        </w:rPr>
        <w:t>中国共产党衡山县委员会宣传部深入开展精神文明创建活动和丰富文化体育活动，使百姓幸福指数不断提升，社会效益显著，该单位本项指标得分5分。</w:t>
      </w:r>
    </w:p>
    <w:p>
      <w:pPr>
        <w:ind w:firstLine="594"/>
        <w:rPr>
          <w:kern w:val="0"/>
        </w:rPr>
      </w:pPr>
      <w:r>
        <w:rPr>
          <w:rFonts w:hint="eastAsia"/>
          <w:kern w:val="0"/>
        </w:rPr>
        <w:t>（3）行政效能（根据部门自评材料评定）</w:t>
      </w:r>
    </w:p>
    <w:p>
      <w:pPr>
        <w:ind w:firstLine="594"/>
        <w:rPr>
          <w:kern w:val="0"/>
        </w:rPr>
      </w:pPr>
      <w:r>
        <w:rPr>
          <w:rFonts w:hint="eastAsia"/>
          <w:kern w:val="0"/>
        </w:rPr>
        <w:t>该部门在促进部门改进文风会风，加强经费及资产管理，推动网上办事，提高行政效率，降低行政成本等方面取得了较好效果，该单位本项指标得分6分。</w:t>
      </w:r>
    </w:p>
    <w:p>
      <w:pPr>
        <w:ind w:firstLine="594"/>
        <w:rPr>
          <w:kern w:val="0"/>
        </w:rPr>
      </w:pPr>
      <w:r>
        <w:rPr>
          <w:rFonts w:hint="eastAsia"/>
          <w:kern w:val="0"/>
        </w:rPr>
        <w:t>（4）社会公众或服务对象满意度</w:t>
      </w:r>
    </w:p>
    <w:p>
      <w:pPr>
        <w:ind w:firstLine="594"/>
        <w:rPr>
          <w:bCs/>
          <w:kern w:val="0"/>
        </w:rPr>
      </w:pPr>
      <w:r>
        <w:rPr>
          <w:rFonts w:hint="eastAsia"/>
          <w:kern w:val="0"/>
        </w:rPr>
        <w:t>通过向社会公众发放问卷调查，经统计对本单位的履职效果、厉行节约、信息公开等情况满意度，社会群众对该单位工作开展情况、社会效益等关注程度高、满意度较好，根据评分标准，该单位本项指标得分6分。</w:t>
      </w:r>
    </w:p>
    <w:p>
      <w:pPr>
        <w:pStyle w:val="2"/>
        <w:ind w:firstLine="594"/>
        <w:rPr>
          <w:kern w:val="0"/>
        </w:rPr>
      </w:pPr>
      <w:bookmarkStart w:id="62" w:name="_Toc57402064"/>
      <w:r>
        <w:rPr>
          <w:rFonts w:hint="eastAsia"/>
          <w:kern w:val="0"/>
        </w:rPr>
        <w:t>六、存在的问题</w:t>
      </w:r>
      <w:bookmarkEnd w:id="62"/>
    </w:p>
    <w:p>
      <w:pPr>
        <w:pStyle w:val="3"/>
        <w:ind w:firstLine="596"/>
      </w:pPr>
      <w:bookmarkStart w:id="63" w:name="_Toc57402066"/>
      <w:bookmarkStart w:id="64" w:name="_Hlk29052081"/>
      <w:r>
        <w:rPr>
          <w:rFonts w:hint="eastAsia"/>
        </w:rPr>
        <w:t>（一）预算执行力不足</w:t>
      </w:r>
      <w:bookmarkEnd w:id="63"/>
    </w:p>
    <w:p>
      <w:pPr>
        <w:ind w:firstLine="594"/>
        <w:rPr>
          <w:kern w:val="0"/>
        </w:rPr>
      </w:pPr>
      <w:r>
        <w:rPr>
          <w:rFonts w:hint="eastAsia"/>
          <w:kern w:val="0"/>
        </w:rPr>
        <w:t>结合201</w:t>
      </w:r>
      <w:r>
        <w:rPr>
          <w:kern w:val="0"/>
        </w:rPr>
        <w:t>8</w:t>
      </w:r>
      <w:r>
        <w:rPr>
          <w:rFonts w:hint="eastAsia"/>
          <w:kern w:val="0"/>
        </w:rPr>
        <w:t>年和2019年预算执行情况，其中上年结转数124.12万元，年初预算数</w:t>
      </w:r>
      <w:bookmarkStart w:id="65" w:name="_Hlk57795689"/>
      <w:r>
        <w:rPr>
          <w:kern w:val="0"/>
        </w:rPr>
        <w:t>1</w:t>
      </w:r>
      <w:r>
        <w:rPr>
          <w:rFonts w:hint="eastAsia"/>
          <w:kern w:val="0"/>
        </w:rPr>
        <w:t>83.21</w:t>
      </w:r>
      <w:bookmarkEnd w:id="65"/>
      <w:r>
        <w:rPr>
          <w:rFonts w:hint="eastAsia"/>
          <w:kern w:val="0"/>
        </w:rPr>
        <w:t>万元，本年追加预算数290.78万元，年末结余</w:t>
      </w:r>
      <w:bookmarkStart w:id="66" w:name="_Hlk57795680"/>
      <w:r>
        <w:rPr>
          <w:rFonts w:hint="eastAsia"/>
          <w:kern w:val="0"/>
        </w:rPr>
        <w:t>44.41</w:t>
      </w:r>
      <w:bookmarkEnd w:id="66"/>
      <w:r>
        <w:rPr>
          <w:rFonts w:hint="eastAsia"/>
          <w:kern w:val="0"/>
        </w:rPr>
        <w:t>万元。根据预算完成率=（上年结转数+年初预算数+本年追加预算数-年末结余数）/(上年结转数+年初预算数+本年追加预算数)×100%，2019年预算完成率为92.57%。</w:t>
      </w:r>
    </w:p>
    <w:p>
      <w:pPr>
        <w:pStyle w:val="3"/>
        <w:ind w:firstLine="596"/>
      </w:pPr>
      <w:r>
        <w:rPr>
          <w:rFonts w:hint="eastAsia"/>
        </w:rPr>
        <w:t>（二）年末存在结余资金</w:t>
      </w:r>
    </w:p>
    <w:p>
      <w:pPr>
        <w:ind w:firstLine="594"/>
        <w:rPr>
          <w:kern w:val="0"/>
        </w:rPr>
      </w:pPr>
      <w:r>
        <w:rPr>
          <w:rFonts w:hint="eastAsia"/>
          <w:kern w:val="0"/>
        </w:rPr>
        <w:t>结合2018年和2019年预算执行情况，截至2019年12月31日结余资金</w:t>
      </w:r>
      <w:r>
        <w:rPr>
          <w:kern w:val="0"/>
        </w:rPr>
        <w:t>44.41</w:t>
      </w:r>
      <w:r>
        <w:rPr>
          <w:rFonts w:hint="eastAsia"/>
          <w:kern w:val="0"/>
        </w:rPr>
        <w:t>万元，结余资金</w:t>
      </w:r>
      <w:r>
        <w:rPr>
          <w:kern w:val="0"/>
        </w:rPr>
        <w:t>44.41</w:t>
      </w:r>
      <w:r>
        <w:rPr>
          <w:rFonts w:hint="eastAsia"/>
          <w:kern w:val="0"/>
        </w:rPr>
        <w:t>万元占年初预算数</w:t>
      </w:r>
      <w:r>
        <w:rPr>
          <w:kern w:val="0"/>
        </w:rPr>
        <w:t>183.21</w:t>
      </w:r>
      <w:r>
        <w:rPr>
          <w:rFonts w:hint="eastAsia"/>
          <w:kern w:val="0"/>
        </w:rPr>
        <w:t>万元的</w:t>
      </w:r>
      <w:r>
        <w:rPr>
          <w:kern w:val="0"/>
        </w:rPr>
        <w:t>24.24</w:t>
      </w:r>
      <w:r>
        <w:rPr>
          <w:rFonts w:hint="eastAsia"/>
          <w:kern w:val="0"/>
        </w:rPr>
        <w:t>%。</w:t>
      </w:r>
    </w:p>
    <w:p>
      <w:pPr>
        <w:pStyle w:val="3"/>
        <w:ind w:firstLine="596"/>
      </w:pPr>
      <w:r>
        <w:rPr>
          <w:rFonts w:hint="eastAsia"/>
        </w:rPr>
        <w:t>（三）公用经费超预算</w:t>
      </w:r>
    </w:p>
    <w:p>
      <w:pPr>
        <w:ind w:firstLine="594"/>
        <w:rPr>
          <w:kern w:val="0"/>
          <w:szCs w:val="32"/>
        </w:rPr>
      </w:pPr>
      <w:r>
        <w:rPr>
          <w:rFonts w:hint="eastAsia"/>
          <w:kern w:val="0"/>
          <w:szCs w:val="32"/>
        </w:rPr>
        <w:t>2019年公用经费预算安排公用经费总额</w:t>
      </w:r>
      <w:r>
        <w:rPr>
          <w:kern w:val="0"/>
          <w:szCs w:val="32"/>
        </w:rPr>
        <w:t>17.09</w:t>
      </w:r>
      <w:r>
        <w:rPr>
          <w:rFonts w:hint="eastAsia"/>
          <w:kern w:val="0"/>
          <w:szCs w:val="32"/>
        </w:rPr>
        <w:t>万元，实际支出公用经费总额</w:t>
      </w:r>
      <w:r>
        <w:rPr>
          <w:kern w:val="0"/>
          <w:szCs w:val="32"/>
        </w:rPr>
        <w:t>87.22</w:t>
      </w:r>
      <w:r>
        <w:rPr>
          <w:rFonts w:hint="eastAsia"/>
          <w:kern w:val="0"/>
          <w:szCs w:val="32"/>
        </w:rPr>
        <w:t>万元，超预算金额</w:t>
      </w:r>
      <w:r>
        <w:rPr>
          <w:kern w:val="0"/>
          <w:szCs w:val="32"/>
        </w:rPr>
        <w:t>70.13</w:t>
      </w:r>
      <w:r>
        <w:rPr>
          <w:rFonts w:hint="eastAsia"/>
          <w:kern w:val="0"/>
          <w:szCs w:val="32"/>
        </w:rPr>
        <w:t>万元。</w:t>
      </w:r>
    </w:p>
    <w:bookmarkEnd w:id="64"/>
    <w:p>
      <w:pPr>
        <w:pStyle w:val="3"/>
        <w:ind w:firstLine="596"/>
      </w:pPr>
      <w:bookmarkStart w:id="67" w:name="_Toc57402069"/>
      <w:r>
        <w:rPr>
          <w:rFonts w:hint="eastAsia"/>
        </w:rPr>
        <w:t>（四）政府采购预算编制不够精细</w:t>
      </w:r>
    </w:p>
    <w:p>
      <w:pPr>
        <w:pStyle w:val="2"/>
        <w:ind w:firstLine="594"/>
        <w:rPr>
          <w:rFonts w:eastAsia="仿宋"/>
          <w:bCs w:val="0"/>
          <w:kern w:val="0"/>
          <w:szCs w:val="24"/>
        </w:rPr>
      </w:pPr>
      <w:r>
        <w:rPr>
          <w:rFonts w:hint="eastAsia" w:eastAsia="仿宋"/>
          <w:bCs w:val="0"/>
          <w:kern w:val="0"/>
          <w:szCs w:val="24"/>
        </w:rPr>
        <w:t>2019年政府采购预算数</w:t>
      </w:r>
      <w:r>
        <w:rPr>
          <w:rFonts w:eastAsia="仿宋"/>
          <w:bCs w:val="0"/>
          <w:kern w:val="0"/>
          <w:szCs w:val="24"/>
        </w:rPr>
        <w:t>53.00</w:t>
      </w:r>
      <w:r>
        <w:rPr>
          <w:rFonts w:hint="eastAsia" w:eastAsia="仿宋"/>
          <w:bCs w:val="0"/>
          <w:kern w:val="0"/>
          <w:szCs w:val="24"/>
        </w:rPr>
        <w:t>万元，实际执行政府采购金额为</w:t>
      </w:r>
      <w:r>
        <w:rPr>
          <w:rFonts w:eastAsia="仿宋"/>
          <w:bCs w:val="0"/>
          <w:kern w:val="0"/>
          <w:szCs w:val="24"/>
        </w:rPr>
        <w:t>60.25</w:t>
      </w:r>
      <w:r>
        <w:rPr>
          <w:rFonts w:hint="eastAsia" w:eastAsia="仿宋"/>
          <w:bCs w:val="0"/>
          <w:kern w:val="0"/>
          <w:szCs w:val="24"/>
        </w:rPr>
        <w:t>万元，政府采购执行率</w:t>
      </w:r>
      <w:r>
        <w:rPr>
          <w:rFonts w:eastAsia="仿宋"/>
          <w:bCs w:val="0"/>
          <w:kern w:val="0"/>
          <w:szCs w:val="24"/>
        </w:rPr>
        <w:t>113.67%</w:t>
      </w:r>
      <w:r>
        <w:rPr>
          <w:rFonts w:hint="eastAsia" w:eastAsia="仿宋"/>
          <w:bCs w:val="0"/>
          <w:kern w:val="0"/>
          <w:szCs w:val="24"/>
        </w:rPr>
        <w:t>。实际执行政府采购金额与预算金额差异较大。单位编制年度预算时，未按预算管理要求，将精准编制部门预算，存在超编预算采购的问题。</w:t>
      </w:r>
    </w:p>
    <w:p>
      <w:pPr>
        <w:pStyle w:val="3"/>
        <w:ind w:firstLine="596"/>
      </w:pPr>
      <w:r>
        <w:rPr>
          <w:rFonts w:hint="eastAsia"/>
        </w:rPr>
        <w:t>（五）专项资金使用不规范</w:t>
      </w:r>
    </w:p>
    <w:p>
      <w:pPr>
        <w:pStyle w:val="3"/>
        <w:ind w:firstLine="594"/>
        <w:rPr>
          <w:rFonts w:ascii="Times New Roman" w:hAnsi="Times New Roman" w:eastAsia="仿宋" w:cs="Times New Roman"/>
          <w:b w:val="0"/>
          <w:bCs w:val="0"/>
          <w:kern w:val="0"/>
          <w:szCs w:val="24"/>
        </w:rPr>
      </w:pPr>
      <w:r>
        <w:rPr>
          <w:rFonts w:hint="eastAsia" w:ascii="Times New Roman" w:hAnsi="Times New Roman" w:eastAsia="仿宋" w:cs="Times New Roman"/>
          <w:b w:val="0"/>
          <w:bCs w:val="0"/>
          <w:kern w:val="0"/>
          <w:szCs w:val="24"/>
        </w:rPr>
        <w:t>存在未按财政预算指标文件的规定使用资金，部门基本支出挤占项目资金。如学习型党组织建设和党的十九大精神学习宣传工作专项经费中列支人员经费。</w:t>
      </w:r>
    </w:p>
    <w:p>
      <w:pPr>
        <w:pStyle w:val="2"/>
        <w:ind w:firstLine="594"/>
        <w:rPr>
          <w:kern w:val="0"/>
        </w:rPr>
      </w:pPr>
      <w:r>
        <w:rPr>
          <w:rFonts w:hint="eastAsia"/>
          <w:kern w:val="0"/>
        </w:rPr>
        <w:t>七、建议</w:t>
      </w:r>
      <w:bookmarkEnd w:id="67"/>
    </w:p>
    <w:p>
      <w:pPr>
        <w:pStyle w:val="3"/>
        <w:ind w:firstLine="596"/>
      </w:pPr>
      <w:bookmarkStart w:id="68" w:name="_Toc57402070"/>
      <w:r>
        <w:rPr>
          <w:rFonts w:hint="eastAsia"/>
        </w:rPr>
        <w:t>（一）</w:t>
      </w:r>
      <w:bookmarkStart w:id="69" w:name="_Hlk29051943"/>
      <w:r>
        <w:rPr>
          <w:rFonts w:hint="eastAsia"/>
        </w:rPr>
        <w:t>科学合理编制预算</w:t>
      </w:r>
      <w:bookmarkEnd w:id="68"/>
    </w:p>
    <w:bookmarkEnd w:id="69"/>
    <w:p>
      <w:pPr>
        <w:ind w:firstLine="594"/>
        <w:rPr>
          <w:kern w:val="0"/>
        </w:rPr>
      </w:pPr>
      <w:bookmarkStart w:id="70" w:name="_Hlk29051928"/>
      <w:r>
        <w:rPr>
          <w:rFonts w:hint="eastAsia"/>
          <w:kern w:val="0"/>
        </w:rPr>
        <w:t>细化预算编制工作，认真做好预算的编制，进一步加强单位内部工作人员预算管理意识，建议按照《预算法》及其实施条例的相关规定，参考上一年的预算执行情况、年初资金结余情况和年度中的收支预测科学编制预算，使编制的预算更加细化便于操作，尽量减少对预算的调整，提高预算的执行率。强化预算执行，分析财务收支执行进度，合理调度资金，减少期末存量资金，不断提高资金使用效益。</w:t>
      </w:r>
    </w:p>
    <w:bookmarkEnd w:id="70"/>
    <w:p>
      <w:pPr>
        <w:pStyle w:val="3"/>
        <w:ind w:firstLine="596"/>
      </w:pPr>
      <w:r>
        <w:rPr>
          <w:rFonts w:hint="eastAsia"/>
        </w:rPr>
        <w:t>（二）规范使用资金</w:t>
      </w:r>
    </w:p>
    <w:p>
      <w:pPr>
        <w:ind w:firstLine="594"/>
        <w:rPr>
          <w:rFonts w:hAnsi="仿宋"/>
          <w:kern w:val="0"/>
          <w:szCs w:val="32"/>
        </w:rPr>
      </w:pPr>
      <w:r>
        <w:rPr>
          <w:rFonts w:hint="eastAsia" w:hAnsi="仿宋"/>
          <w:kern w:val="0"/>
          <w:szCs w:val="32"/>
        </w:rPr>
        <w:t>加强资金使用的合规性，完善对资金使用的跟踪监督管理，对资金使用规范情况进行不定期抽查，加强管理，节约开支。</w:t>
      </w:r>
    </w:p>
    <w:p>
      <w:pPr>
        <w:ind w:firstLine="594"/>
        <w:rPr>
          <w:rFonts w:hAnsi="仿宋"/>
          <w:kern w:val="0"/>
          <w:szCs w:val="32"/>
        </w:rPr>
      </w:pPr>
      <w:r>
        <w:rPr>
          <w:rFonts w:hint="eastAsia" w:hAnsi="仿宋"/>
          <w:kern w:val="0"/>
          <w:szCs w:val="32"/>
        </w:rPr>
        <w:t>此页无正文！</w:t>
      </w: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p>
    <w:p>
      <w:pPr>
        <w:ind w:firstLine="594"/>
        <w:rPr>
          <w:rFonts w:hAnsi="仿宋"/>
          <w:kern w:val="0"/>
          <w:szCs w:val="32"/>
        </w:rPr>
      </w:pPr>
      <w:r>
        <w:rPr>
          <w:rFonts w:hint="eastAsia" w:hAnsi="仿宋"/>
          <w:kern w:val="0"/>
          <w:szCs w:val="32"/>
        </w:rPr>
        <w:t>附件一：</w:t>
      </w:r>
      <w:r>
        <w:rPr>
          <w:rFonts w:hint="eastAsia"/>
          <w:kern w:val="0"/>
          <w:szCs w:val="32"/>
        </w:rPr>
        <w:t>2019年</w:t>
      </w:r>
      <w:r>
        <w:rPr>
          <w:rFonts w:hint="eastAsia" w:hAnsi="仿宋"/>
          <w:kern w:val="0"/>
          <w:szCs w:val="32"/>
        </w:rPr>
        <w:t>度中国共产党衡山县委员会宣传部整体支出资金项目绩效评价指标及评分表</w:t>
      </w:r>
    </w:p>
    <w:p>
      <w:pPr>
        <w:ind w:firstLine="594"/>
        <w:rPr>
          <w:rFonts w:hAnsi="仿宋"/>
          <w:kern w:val="0"/>
          <w:szCs w:val="32"/>
        </w:rPr>
      </w:pPr>
    </w:p>
    <w:p>
      <w:pPr>
        <w:ind w:firstLine="594"/>
        <w:rPr>
          <w:rFonts w:hAnsi="仿宋"/>
          <w:kern w:val="0"/>
          <w:szCs w:val="32"/>
        </w:rPr>
      </w:pPr>
    </w:p>
    <w:tbl>
      <w:tblPr>
        <w:tblStyle w:val="12"/>
        <w:tblW w:w="0" w:type="auto"/>
        <w:jc w:val="center"/>
        <w:tblLayout w:type="fixed"/>
        <w:tblCellMar>
          <w:top w:w="0" w:type="dxa"/>
          <w:left w:w="108" w:type="dxa"/>
          <w:bottom w:w="0" w:type="dxa"/>
          <w:right w:w="108" w:type="dxa"/>
        </w:tblCellMar>
      </w:tblPr>
      <w:tblGrid>
        <w:gridCol w:w="4814"/>
        <w:gridCol w:w="3402"/>
      </w:tblGrid>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r>
              <w:rPr>
                <w:rFonts w:hAnsi="仿宋"/>
                <w:kern w:val="0"/>
                <w:szCs w:val="32"/>
              </w:rPr>
              <w:t>湖南宏丰益联合会计师事务所</w:t>
            </w:r>
          </w:p>
        </w:tc>
        <w:tc>
          <w:tcPr>
            <w:tcW w:w="3402" w:type="dxa"/>
            <w:vAlign w:val="center"/>
          </w:tcPr>
          <w:p>
            <w:pPr>
              <w:ind w:firstLine="0" w:firstLineChars="0"/>
              <w:rPr>
                <w:rFonts w:hAnsi="仿宋"/>
                <w:kern w:val="0"/>
                <w:szCs w:val="32"/>
              </w:rPr>
            </w:pPr>
            <w:r>
              <w:rPr>
                <w:rFonts w:hAnsi="仿宋"/>
                <w:kern w:val="0"/>
                <w:szCs w:val="32"/>
              </w:rPr>
              <w:t>中国注册会计师：</w:t>
            </w: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tc>
        <w:tc>
          <w:tcPr>
            <w:tcW w:w="3402" w:type="dxa"/>
            <w:vAlign w:val="center"/>
          </w:tcPr>
          <w:p>
            <w:pPr>
              <w:ind w:firstLine="0" w:firstLineChars="0"/>
              <w:rPr>
                <w:rFonts w:hAnsi="仿宋"/>
                <w:kern w:val="0"/>
                <w:szCs w:val="32"/>
              </w:rPr>
            </w:pPr>
          </w:p>
        </w:tc>
      </w:tr>
      <w:tr>
        <w:tblPrEx>
          <w:tblCellMar>
            <w:top w:w="0" w:type="dxa"/>
            <w:left w:w="108" w:type="dxa"/>
            <w:bottom w:w="0" w:type="dxa"/>
            <w:right w:w="108" w:type="dxa"/>
          </w:tblCellMar>
        </w:tblPrEx>
        <w:trPr>
          <w:trHeight w:val="284" w:hRule="atLeast"/>
          <w:jc w:val="center"/>
        </w:trPr>
        <w:tc>
          <w:tcPr>
            <w:tcW w:w="4814" w:type="dxa"/>
            <w:vAlign w:val="center"/>
          </w:tcPr>
          <w:p>
            <w:pPr>
              <w:ind w:firstLine="0" w:firstLineChars="0"/>
              <w:rPr>
                <w:rFonts w:hAnsi="仿宋"/>
                <w:kern w:val="0"/>
                <w:szCs w:val="32"/>
              </w:rPr>
            </w:pPr>
          </w:p>
        </w:tc>
        <w:tc>
          <w:tcPr>
            <w:tcW w:w="3402" w:type="dxa"/>
            <w:vAlign w:val="center"/>
          </w:tcPr>
          <w:p>
            <w:pPr>
              <w:ind w:firstLine="0" w:firstLineChars="0"/>
              <w:rPr>
                <w:rFonts w:hAnsi="仿宋"/>
                <w:kern w:val="0"/>
                <w:szCs w:val="32"/>
              </w:rPr>
            </w:pPr>
            <w:r>
              <w:rPr>
                <w:rFonts w:hAnsi="仿宋"/>
                <w:kern w:val="0"/>
                <w:szCs w:val="32"/>
              </w:rPr>
              <w:t>中国注册会计师：</w:t>
            </w:r>
          </w:p>
        </w:tc>
      </w:tr>
      <w:tr>
        <w:tblPrEx>
          <w:tblCellMar>
            <w:top w:w="0" w:type="dxa"/>
            <w:left w:w="108" w:type="dxa"/>
            <w:bottom w:w="0" w:type="dxa"/>
            <w:right w:w="108" w:type="dxa"/>
          </w:tblCellMar>
        </w:tblPrEx>
        <w:trPr>
          <w:gridAfter w:val="1"/>
          <w:wAfter w:w="3402" w:type="dxa"/>
          <w:trHeight w:val="284" w:hRule="atLeast"/>
          <w:jc w:val="center"/>
        </w:trPr>
        <w:tc>
          <w:tcPr>
            <w:tcW w:w="4814" w:type="dxa"/>
            <w:vAlign w:val="center"/>
          </w:tcPr>
          <w:p>
            <w:pPr>
              <w:ind w:firstLine="0" w:firstLineChars="0"/>
              <w:rPr>
                <w:rFonts w:hAnsi="仿宋"/>
                <w:kern w:val="0"/>
                <w:szCs w:val="32"/>
              </w:rPr>
            </w:pPr>
          </w:p>
          <w:p>
            <w:pPr>
              <w:ind w:firstLine="0" w:firstLineChars="0"/>
              <w:rPr>
                <w:rFonts w:hAnsi="仿宋"/>
                <w:kern w:val="0"/>
                <w:szCs w:val="32"/>
              </w:rPr>
            </w:pPr>
          </w:p>
          <w:p>
            <w:pPr>
              <w:ind w:firstLine="0" w:firstLineChars="0"/>
              <w:rPr>
                <w:rFonts w:hAnsi="仿宋"/>
                <w:kern w:val="0"/>
                <w:szCs w:val="32"/>
              </w:rPr>
            </w:pPr>
          </w:p>
        </w:tc>
      </w:tr>
      <w:tr>
        <w:tblPrEx>
          <w:tblCellMar>
            <w:top w:w="0" w:type="dxa"/>
            <w:left w:w="108" w:type="dxa"/>
            <w:bottom w:w="0" w:type="dxa"/>
            <w:right w:w="108" w:type="dxa"/>
          </w:tblCellMar>
        </w:tblPrEx>
        <w:trPr>
          <w:trHeight w:val="284" w:hRule="atLeast"/>
          <w:jc w:val="center"/>
        </w:trPr>
        <w:tc>
          <w:tcPr>
            <w:tcW w:w="8216" w:type="dxa"/>
            <w:gridSpan w:val="2"/>
            <w:vAlign w:val="center"/>
          </w:tcPr>
          <w:p>
            <w:pPr>
              <w:ind w:firstLine="0" w:firstLineChars="0"/>
              <w:rPr>
                <w:rFonts w:hAnsi="仿宋"/>
                <w:kern w:val="0"/>
                <w:szCs w:val="32"/>
              </w:rPr>
            </w:pPr>
            <w:r>
              <w:rPr>
                <w:rFonts w:hAnsi="仿宋"/>
                <w:kern w:val="0"/>
                <w:szCs w:val="32"/>
              </w:rPr>
              <w:t>地址：湖南·长沙</w:t>
            </w:r>
            <w:r>
              <w:rPr>
                <w:rFonts w:hint="eastAsia" w:hAnsi="仿宋"/>
                <w:kern w:val="0"/>
                <w:szCs w:val="32"/>
              </w:rPr>
              <w:t xml:space="preserve"> </w:t>
            </w:r>
            <w:r>
              <w:rPr>
                <w:rFonts w:hAnsi="仿宋"/>
                <w:kern w:val="0"/>
                <w:szCs w:val="32"/>
              </w:rPr>
              <w:t xml:space="preserve">               二○二○年</w:t>
            </w:r>
            <w:r>
              <w:rPr>
                <w:rFonts w:hint="eastAsia" w:hAnsi="仿宋"/>
                <w:kern w:val="0"/>
                <w:szCs w:val="32"/>
              </w:rPr>
              <w:t>十一</w:t>
            </w:r>
            <w:r>
              <w:rPr>
                <w:rFonts w:hAnsi="仿宋"/>
                <w:kern w:val="0"/>
                <w:szCs w:val="32"/>
              </w:rPr>
              <w:t>月</w:t>
            </w:r>
            <w:r>
              <w:rPr>
                <w:rFonts w:hint="eastAsia" w:hAnsi="仿宋"/>
                <w:kern w:val="0"/>
                <w:szCs w:val="32"/>
              </w:rPr>
              <w:t>三</w:t>
            </w:r>
            <w:r>
              <w:rPr>
                <w:rFonts w:hAnsi="仿宋"/>
                <w:kern w:val="0"/>
                <w:szCs w:val="32"/>
              </w:rPr>
              <w:t>日</w:t>
            </w:r>
          </w:p>
        </w:tc>
      </w:tr>
    </w:tbl>
    <w:p>
      <w:pPr>
        <w:ind w:firstLine="594"/>
        <w:rPr>
          <w:rFonts w:ascii="黑体" w:hAnsi="黑体" w:eastAsia="黑体"/>
        </w:rPr>
        <w:sectPr>
          <w:footerReference r:id="rId9" w:type="default"/>
          <w:pgSz w:w="11906" w:h="16838"/>
          <w:pgMar w:top="1440" w:right="1797" w:bottom="1440" w:left="1797" w:header="851" w:footer="992" w:gutter="0"/>
          <w:pgNumType w:start="1"/>
          <w:cols w:space="425" w:num="1"/>
          <w:docGrid w:type="linesAndChars" w:linePitch="634" w:charSpace="-4740"/>
        </w:sectPr>
      </w:pPr>
    </w:p>
    <w:p>
      <w:pPr>
        <w:pStyle w:val="3"/>
        <w:ind w:firstLine="0" w:firstLineChars="0"/>
        <w:rPr>
          <w:sz w:val="28"/>
          <w:szCs w:val="28"/>
        </w:rPr>
      </w:pPr>
      <w:bookmarkStart w:id="71" w:name="_Toc57402071"/>
      <w:r>
        <w:rPr>
          <w:rFonts w:hint="eastAsia"/>
          <w:sz w:val="28"/>
          <w:szCs w:val="28"/>
        </w:rPr>
        <w:t>附件一：</w:t>
      </w:r>
      <w:bookmarkEnd w:id="71"/>
    </w:p>
    <w:tbl>
      <w:tblPr>
        <w:tblStyle w:val="12"/>
        <w:tblW w:w="5443" w:type="pct"/>
        <w:tblInd w:w="0" w:type="dxa"/>
        <w:tblLayout w:type="autofit"/>
        <w:tblCellMar>
          <w:top w:w="0" w:type="dxa"/>
          <w:left w:w="0" w:type="dxa"/>
          <w:bottom w:w="0" w:type="dxa"/>
          <w:right w:w="0" w:type="dxa"/>
        </w:tblCellMar>
      </w:tblPr>
      <w:tblGrid>
        <w:gridCol w:w="654"/>
        <w:gridCol w:w="676"/>
        <w:gridCol w:w="982"/>
        <w:gridCol w:w="479"/>
        <w:gridCol w:w="1824"/>
        <w:gridCol w:w="1980"/>
        <w:gridCol w:w="1874"/>
        <w:gridCol w:w="595"/>
      </w:tblGrid>
      <w:tr>
        <w:tblPrEx>
          <w:tblCellMar>
            <w:top w:w="0" w:type="dxa"/>
            <w:left w:w="0" w:type="dxa"/>
            <w:bottom w:w="0" w:type="dxa"/>
            <w:right w:w="0" w:type="dxa"/>
          </w:tblCellMar>
        </w:tblPrEx>
        <w:trPr>
          <w:trHeight w:val="340" w:hRule="atLeast"/>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pPr>
              <w:widowControl/>
              <w:ind w:firstLine="0" w:firstLineChars="0"/>
              <w:jc w:val="center"/>
              <w:textAlignment w:val="center"/>
              <w:rPr>
                <w:rFonts w:ascii="方正小标宋_GBK" w:hAnsi="方正小标宋_GBK" w:eastAsia="方正小标宋_GBK" w:cs="方正小标宋_GBK"/>
                <w:color w:val="000000"/>
                <w:szCs w:val="32"/>
              </w:rPr>
            </w:pPr>
            <w:r>
              <w:rPr>
                <w:rFonts w:eastAsia="方正小标宋_GBK" w:cs="方正小标宋_GBK"/>
                <w:color w:val="000000"/>
                <w:kern w:val="0"/>
                <w:szCs w:val="32"/>
              </w:rPr>
              <w:t>2019年</w:t>
            </w:r>
            <w:r>
              <w:rPr>
                <w:rFonts w:ascii="方正小标宋_GBK" w:hAnsi="方正小标宋_GBK" w:eastAsia="方正小标宋_GBK" w:cs="方正小标宋_GBK"/>
                <w:color w:val="000000"/>
                <w:kern w:val="0"/>
                <w:szCs w:val="32"/>
              </w:rPr>
              <w:t>度中国共产党衡山县委员会宣传部部门整体支出资金项目</w:t>
            </w:r>
          </w:p>
        </w:tc>
      </w:tr>
      <w:tr>
        <w:tblPrEx>
          <w:tblCellMar>
            <w:top w:w="0" w:type="dxa"/>
            <w:left w:w="0" w:type="dxa"/>
            <w:bottom w:w="0" w:type="dxa"/>
            <w:right w:w="0" w:type="dxa"/>
          </w:tblCellMar>
        </w:tblPrEx>
        <w:trPr>
          <w:trHeight w:val="340" w:hRule="atLeast"/>
          <w:tblHeader/>
        </w:trPr>
        <w:tc>
          <w:tcPr>
            <w:tcW w:w="5000" w:type="pct"/>
            <w:gridSpan w:val="8"/>
            <w:tcBorders>
              <w:top w:val="nil"/>
              <w:left w:val="nil"/>
              <w:bottom w:val="nil"/>
              <w:right w:val="nil"/>
            </w:tcBorders>
            <w:shd w:val="clear" w:color="auto" w:fill="auto"/>
            <w:noWrap/>
            <w:tcMar>
              <w:top w:w="10" w:type="dxa"/>
              <w:left w:w="10" w:type="dxa"/>
              <w:right w:w="10" w:type="dxa"/>
            </w:tcMar>
            <w:vAlign w:val="center"/>
          </w:tcPr>
          <w:p>
            <w:pPr>
              <w:widowControl/>
              <w:ind w:firstLine="0" w:firstLineChars="0"/>
              <w:jc w:val="center"/>
              <w:textAlignment w:val="center"/>
              <w:rPr>
                <w:rFonts w:ascii="方正小标宋_GBK" w:hAnsi="方正小标宋_GBK" w:eastAsia="方正小标宋_GBK" w:cs="方正小标宋_GBK"/>
                <w:color w:val="000000"/>
                <w:szCs w:val="32"/>
              </w:rPr>
            </w:pPr>
            <w:r>
              <w:rPr>
                <w:rFonts w:ascii="方正小标宋_GBK" w:hAnsi="方正小标宋_GBK" w:eastAsia="方正小标宋_GBK" w:cs="方正小标宋_GBK"/>
                <w:color w:val="000000"/>
                <w:kern w:val="0"/>
                <w:szCs w:val="32"/>
              </w:rPr>
              <w:t>绩效评价指标及评分表</w:t>
            </w:r>
          </w:p>
        </w:tc>
      </w:tr>
      <w:tr>
        <w:tblPrEx>
          <w:tblCellMar>
            <w:top w:w="0" w:type="dxa"/>
            <w:left w:w="0" w:type="dxa"/>
            <w:bottom w:w="0" w:type="dxa"/>
            <w:right w:w="0" w:type="dxa"/>
          </w:tblCellMar>
        </w:tblPrEx>
        <w:trPr>
          <w:trHeight w:val="280" w:hRule="atLeast"/>
          <w:tblHeader/>
        </w:trPr>
        <w:tc>
          <w:tcPr>
            <w:tcW w:w="36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kern w:val="0"/>
                <w:sz w:val="18"/>
                <w:szCs w:val="18"/>
              </w:rPr>
            </w:pPr>
            <w:r>
              <w:rPr>
                <w:rFonts w:hAnsi="仿宋"/>
                <w:b/>
                <w:color w:val="000000"/>
                <w:kern w:val="0"/>
                <w:sz w:val="18"/>
                <w:szCs w:val="18"/>
              </w:rPr>
              <w:t>一级</w:t>
            </w:r>
          </w:p>
          <w:p>
            <w:pPr>
              <w:widowControl/>
              <w:ind w:firstLine="0" w:firstLineChars="0"/>
              <w:jc w:val="center"/>
              <w:textAlignment w:val="center"/>
              <w:rPr>
                <w:b/>
                <w:color w:val="000000"/>
                <w:sz w:val="18"/>
                <w:szCs w:val="18"/>
              </w:rPr>
            </w:pPr>
            <w:r>
              <w:rPr>
                <w:rFonts w:hAnsi="仿宋"/>
                <w:b/>
                <w:color w:val="000000"/>
                <w:kern w:val="0"/>
                <w:sz w:val="18"/>
                <w:szCs w:val="18"/>
              </w:rPr>
              <w:t>指标</w:t>
            </w:r>
          </w:p>
        </w:tc>
        <w:tc>
          <w:tcPr>
            <w:tcW w:w="37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kern w:val="0"/>
                <w:sz w:val="18"/>
                <w:szCs w:val="18"/>
              </w:rPr>
            </w:pPr>
            <w:r>
              <w:rPr>
                <w:rFonts w:hAnsi="仿宋"/>
                <w:b/>
                <w:color w:val="000000"/>
                <w:kern w:val="0"/>
                <w:sz w:val="18"/>
                <w:szCs w:val="18"/>
              </w:rPr>
              <w:t>二级</w:t>
            </w:r>
          </w:p>
          <w:p>
            <w:pPr>
              <w:widowControl/>
              <w:ind w:firstLine="0" w:firstLineChars="0"/>
              <w:jc w:val="center"/>
              <w:textAlignment w:val="center"/>
              <w:rPr>
                <w:b/>
                <w:color w:val="000000"/>
                <w:sz w:val="18"/>
                <w:szCs w:val="18"/>
              </w:rPr>
            </w:pPr>
            <w:r>
              <w:rPr>
                <w:rFonts w:hAnsi="仿宋"/>
                <w:b/>
                <w:color w:val="000000"/>
                <w:kern w:val="0"/>
                <w:sz w:val="18"/>
                <w:szCs w:val="18"/>
              </w:rPr>
              <w:t>指标</w:t>
            </w: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三级指标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分值</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评价标准</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指标说明</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得分说明</w:t>
            </w:r>
          </w:p>
        </w:tc>
        <w:tc>
          <w:tcPr>
            <w:tcW w:w="3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b/>
                <w:color w:val="000000"/>
                <w:sz w:val="18"/>
                <w:szCs w:val="18"/>
              </w:rPr>
            </w:pPr>
            <w:r>
              <w:rPr>
                <w:rFonts w:hAnsi="仿宋"/>
                <w:b/>
                <w:color w:val="000000"/>
                <w:kern w:val="0"/>
                <w:sz w:val="18"/>
                <w:szCs w:val="18"/>
              </w:rPr>
              <w:t>得分</w:t>
            </w:r>
          </w:p>
        </w:tc>
      </w:tr>
      <w:tr>
        <w:tblPrEx>
          <w:tblCellMar>
            <w:top w:w="0" w:type="dxa"/>
            <w:left w:w="0" w:type="dxa"/>
            <w:bottom w:w="0" w:type="dxa"/>
            <w:right w:w="0" w:type="dxa"/>
          </w:tblCellMar>
        </w:tblPrEx>
        <w:trPr>
          <w:trHeight w:val="2964" w:hRule="atLeast"/>
        </w:trPr>
        <w:tc>
          <w:tcPr>
            <w:tcW w:w="36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投入</w:t>
            </w:r>
            <w:r>
              <w:rPr>
                <w:rStyle w:val="22"/>
              </w:rPr>
              <w:t>10</w:t>
            </w:r>
            <w:r>
              <w:rPr>
                <w:rStyle w:val="22"/>
                <w:rFonts w:hAnsi="仿宋"/>
              </w:rPr>
              <w:t>分</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预算配置</w:t>
            </w:r>
            <w:r>
              <w:rPr>
                <w:rStyle w:val="22"/>
              </w:rPr>
              <w:t>10</w:t>
            </w:r>
            <w:r>
              <w:rPr>
                <w:rStyle w:val="22"/>
                <w:rFonts w:hAnsi="仿宋"/>
              </w:rPr>
              <w:t>分</w:t>
            </w: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在职人员控制率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以</w:t>
            </w:r>
            <w:r>
              <w:rPr>
                <w:rStyle w:val="22"/>
              </w:rPr>
              <w:t>100%</w:t>
            </w:r>
            <w:r>
              <w:rPr>
                <w:rStyle w:val="22"/>
                <w:rFonts w:hAnsi="仿宋"/>
              </w:rPr>
              <w:t>为标准。在职人员控制率</w:t>
            </w:r>
            <w:r>
              <w:rPr>
                <w:rStyle w:val="22"/>
                <w:rFonts w:ascii="仿宋" w:hAnsi="仿宋"/>
              </w:rPr>
              <w:t>≦</w:t>
            </w:r>
            <w:r>
              <w:rPr>
                <w:rStyle w:val="22"/>
              </w:rPr>
              <w:t>100%</w:t>
            </w:r>
            <w:r>
              <w:rPr>
                <w:rStyle w:val="22"/>
                <w:rFonts w:hAnsi="仿宋"/>
              </w:rPr>
              <w:t>，计</w:t>
            </w:r>
            <w:r>
              <w:rPr>
                <w:rStyle w:val="22"/>
              </w:rPr>
              <w:t>5</w:t>
            </w:r>
            <w:r>
              <w:rPr>
                <w:rStyle w:val="22"/>
                <w:rFonts w:hAnsi="仿宋"/>
              </w:rPr>
              <w:t>分；每超过一个百分点扣</w:t>
            </w:r>
            <w:r>
              <w:rPr>
                <w:rStyle w:val="22"/>
              </w:rPr>
              <w:t>0.5</w:t>
            </w:r>
            <w:r>
              <w:rPr>
                <w:rStyle w:val="22"/>
                <w:rFonts w:hAnsi="仿宋"/>
              </w:rPr>
              <w:t>分，扣完为止。</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在职人员控制率</w:t>
            </w:r>
            <w:r>
              <w:rPr>
                <w:rStyle w:val="22"/>
              </w:rPr>
              <w:t>=</w:t>
            </w:r>
            <w:r>
              <w:rPr>
                <w:rStyle w:val="22"/>
                <w:rFonts w:hAnsi="仿宋"/>
              </w:rPr>
              <w:t>（在职人员数</w:t>
            </w:r>
            <w:r>
              <w:rPr>
                <w:rStyle w:val="22"/>
              </w:rPr>
              <w:t>/</w:t>
            </w:r>
            <w:r>
              <w:rPr>
                <w:rStyle w:val="22"/>
                <w:rFonts w:hAnsi="仿宋"/>
              </w:rPr>
              <w:t>编制数）</w:t>
            </w:r>
            <w:r>
              <w:rPr>
                <w:rStyle w:val="22"/>
              </w:rPr>
              <w:t>×100%</w:t>
            </w:r>
            <w:r>
              <w:rPr>
                <w:rStyle w:val="22"/>
                <w:rFonts w:hAnsi="仿宋"/>
              </w:rPr>
              <w:t>，在职人员数：部门（单位）实际在职人数，以财政局确定的部门决算编制口径为准。编制数：机构编制部门核定批复的部门（单位）的人员编制数。</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kern w:val="0"/>
                <w:sz w:val="18"/>
                <w:szCs w:val="18"/>
              </w:rPr>
            </w:pPr>
            <w:r>
              <w:rPr>
                <w:rFonts w:hAnsi="仿宋"/>
                <w:color w:val="000000"/>
                <w:kern w:val="0"/>
                <w:sz w:val="18"/>
                <w:szCs w:val="18"/>
              </w:rPr>
              <w:t>（在职人员</w:t>
            </w:r>
            <w:r>
              <w:rPr>
                <w:rStyle w:val="22"/>
                <w:rFonts w:hint="eastAsia"/>
              </w:rPr>
              <w:t>12</w:t>
            </w:r>
            <w:r>
              <w:rPr>
                <w:rStyle w:val="22"/>
                <w:rFonts w:hAnsi="仿宋"/>
              </w:rPr>
              <w:t>人</w:t>
            </w:r>
            <w:r>
              <w:rPr>
                <w:rStyle w:val="22"/>
              </w:rPr>
              <w:t>/</w:t>
            </w:r>
            <w:r>
              <w:rPr>
                <w:rStyle w:val="22"/>
                <w:rFonts w:hAnsi="仿宋"/>
              </w:rPr>
              <w:t>编制</w:t>
            </w:r>
            <w:r>
              <w:rPr>
                <w:rStyle w:val="22"/>
                <w:rFonts w:hint="eastAsia"/>
              </w:rPr>
              <w:t>18</w:t>
            </w:r>
            <w:r>
              <w:rPr>
                <w:rStyle w:val="22"/>
                <w:rFonts w:hAnsi="仿宋"/>
              </w:rPr>
              <w:t>人）</w:t>
            </w:r>
            <w:r>
              <w:rPr>
                <w:rStyle w:val="22"/>
              </w:rPr>
              <w:t>×100%=</w:t>
            </w:r>
            <w:r>
              <w:rPr>
                <w:rStyle w:val="22"/>
                <w:rFonts w:hint="eastAsia"/>
              </w:rPr>
              <w:t>66.67</w:t>
            </w:r>
            <w:r>
              <w:rPr>
                <w:rStyle w:val="22"/>
              </w:rPr>
              <w:t>%</w:t>
            </w:r>
            <w:r>
              <w:rPr>
                <w:rStyle w:val="22"/>
                <w:rFonts w:hAnsi="仿宋"/>
              </w:rPr>
              <w:t>，</w:t>
            </w:r>
          </w:p>
          <w:p>
            <w:pPr>
              <w:widowControl/>
              <w:ind w:firstLine="0" w:firstLineChars="0"/>
              <w:jc w:val="left"/>
              <w:textAlignment w:val="center"/>
              <w:rPr>
                <w:color w:val="000000"/>
                <w:sz w:val="18"/>
                <w:szCs w:val="18"/>
              </w:rPr>
            </w:pPr>
            <w:r>
              <w:rPr>
                <w:rFonts w:hAnsi="仿宋"/>
                <w:color w:val="000000"/>
                <w:kern w:val="0"/>
                <w:sz w:val="18"/>
                <w:szCs w:val="18"/>
              </w:rPr>
              <w:t>在职人员控制率</w:t>
            </w:r>
            <w:r>
              <w:rPr>
                <w:rFonts w:ascii="仿宋" w:hAnsi="仿宋"/>
                <w:color w:val="000000"/>
                <w:kern w:val="0"/>
                <w:sz w:val="18"/>
                <w:szCs w:val="18"/>
              </w:rPr>
              <w:t>≦</w:t>
            </w:r>
            <w:r>
              <w:rPr>
                <w:rStyle w:val="22"/>
              </w:rPr>
              <w:t>100%</w:t>
            </w:r>
            <w:r>
              <w:rPr>
                <w:rStyle w:val="22"/>
                <w:rFonts w:hAnsi="仿宋"/>
              </w:rPr>
              <w:t>，本项不扣分，得</w:t>
            </w:r>
            <w:r>
              <w:rPr>
                <w:rStyle w:val="22"/>
              </w:rPr>
              <w:t>5</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68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变动率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变动率</w:t>
            </w:r>
            <w:r>
              <w:rPr>
                <w:rStyle w:val="22"/>
                <w:rFonts w:ascii="仿宋" w:hAnsi="仿宋"/>
              </w:rPr>
              <w:t>≦</w:t>
            </w:r>
            <w:r>
              <w:rPr>
                <w:rStyle w:val="22"/>
              </w:rPr>
              <w:t>0,</w:t>
            </w:r>
            <w:r>
              <w:rPr>
                <w:rStyle w:val="22"/>
                <w:rFonts w:hAnsi="仿宋"/>
              </w:rPr>
              <w:t>计</w:t>
            </w:r>
            <w:r>
              <w:rPr>
                <w:rStyle w:val="22"/>
              </w:rPr>
              <w:t>8</w:t>
            </w:r>
            <w:r>
              <w:rPr>
                <w:rStyle w:val="22"/>
                <w:rFonts w:hAnsi="仿宋"/>
              </w:rPr>
              <w:t>分；</w:t>
            </w:r>
            <w:r>
              <w:rPr>
                <w:rStyle w:val="22"/>
              </w:rPr>
              <w:t>“</w:t>
            </w:r>
            <w:r>
              <w:rPr>
                <w:rStyle w:val="22"/>
                <w:rFonts w:hAnsi="仿宋"/>
              </w:rPr>
              <w:t>三公经费</w:t>
            </w:r>
            <w:r>
              <w:rPr>
                <w:rStyle w:val="22"/>
              </w:rPr>
              <w:t>”</w:t>
            </w:r>
            <w:r>
              <w:rPr>
                <w:rStyle w:val="22"/>
                <w:rFonts w:hAnsi="仿宋"/>
              </w:rPr>
              <w:t>＞</w:t>
            </w:r>
            <w:r>
              <w:rPr>
                <w:rStyle w:val="22"/>
              </w:rPr>
              <w:t>0</w:t>
            </w:r>
            <w:r>
              <w:rPr>
                <w:rStyle w:val="22"/>
                <w:rFonts w:hAnsi="仿宋"/>
              </w:rPr>
              <w:t>，每超过一个百分点扣</w:t>
            </w:r>
            <w:r>
              <w:rPr>
                <w:rStyle w:val="22"/>
              </w:rPr>
              <w:t>0.8</w:t>
            </w:r>
            <w:r>
              <w:rPr>
                <w:rStyle w:val="22"/>
                <w:rFonts w:hAnsi="仿宋"/>
              </w:rPr>
              <w:t>分，扣完为止。</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变动率</w:t>
            </w:r>
            <w:r>
              <w:rPr>
                <w:rStyle w:val="22"/>
              </w:rPr>
              <w:t>=[</w:t>
            </w:r>
            <w:r>
              <w:rPr>
                <w:rStyle w:val="22"/>
                <w:rFonts w:hAnsi="仿宋"/>
              </w:rPr>
              <w:t>（本年度</w:t>
            </w:r>
            <w:r>
              <w:rPr>
                <w:rStyle w:val="22"/>
              </w:rPr>
              <w:t>“</w:t>
            </w:r>
            <w:r>
              <w:rPr>
                <w:rStyle w:val="22"/>
                <w:rFonts w:hAnsi="仿宋"/>
              </w:rPr>
              <w:t>三公经费</w:t>
            </w:r>
            <w:r>
              <w:rPr>
                <w:rStyle w:val="22"/>
              </w:rPr>
              <w:t>”</w:t>
            </w:r>
            <w:r>
              <w:rPr>
                <w:rStyle w:val="22"/>
                <w:rFonts w:hAnsi="仿宋"/>
              </w:rPr>
              <w:t>预算数</w:t>
            </w:r>
            <w:r>
              <w:rPr>
                <w:rStyle w:val="22"/>
              </w:rPr>
              <w:t>-</w:t>
            </w:r>
            <w:r>
              <w:rPr>
                <w:rStyle w:val="22"/>
                <w:rFonts w:hAnsi="仿宋"/>
              </w:rPr>
              <w:t>上年度</w:t>
            </w:r>
            <w:r>
              <w:rPr>
                <w:rStyle w:val="22"/>
              </w:rPr>
              <w:t>“</w:t>
            </w:r>
            <w:r>
              <w:rPr>
                <w:rStyle w:val="22"/>
                <w:rFonts w:hAnsi="仿宋"/>
              </w:rPr>
              <w:t>三公经费</w:t>
            </w:r>
            <w:r>
              <w:rPr>
                <w:rStyle w:val="22"/>
              </w:rPr>
              <w:t>”</w:t>
            </w:r>
            <w:r>
              <w:rPr>
                <w:rStyle w:val="22"/>
                <w:rFonts w:hAnsi="仿宋"/>
              </w:rPr>
              <w:t>预算数）</w:t>
            </w:r>
            <w:r>
              <w:rPr>
                <w:rStyle w:val="22"/>
              </w:rPr>
              <w:t>/</w:t>
            </w:r>
            <w:r>
              <w:rPr>
                <w:rStyle w:val="22"/>
                <w:rFonts w:hAnsi="仿宋"/>
              </w:rPr>
              <w:t>上年度</w:t>
            </w:r>
            <w:r>
              <w:rPr>
                <w:rStyle w:val="22"/>
              </w:rPr>
              <w:t>“</w:t>
            </w:r>
            <w:r>
              <w:rPr>
                <w:rStyle w:val="22"/>
                <w:rFonts w:hAnsi="仿宋"/>
              </w:rPr>
              <w:t>三公经费</w:t>
            </w:r>
            <w:r>
              <w:rPr>
                <w:rStyle w:val="22"/>
              </w:rPr>
              <w:t>”</w:t>
            </w:r>
            <w:r>
              <w:rPr>
                <w:rStyle w:val="22"/>
                <w:rFonts w:hAnsi="仿宋"/>
              </w:rPr>
              <w:t>预算数</w:t>
            </w:r>
            <w:r>
              <w:rPr>
                <w:rStyle w:val="22"/>
              </w:rPr>
              <w:t>]×100%</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变动率</w:t>
            </w:r>
            <w:r>
              <w:rPr>
                <w:rStyle w:val="22"/>
              </w:rPr>
              <w:t>=[</w:t>
            </w:r>
            <w:r>
              <w:rPr>
                <w:rStyle w:val="22"/>
                <w:rFonts w:hAnsi="仿宋"/>
              </w:rPr>
              <w:t>（</w:t>
            </w:r>
            <w:r>
              <w:rPr>
                <w:rStyle w:val="22"/>
                <w:rFonts w:hint="eastAsia"/>
              </w:rPr>
              <w:t>11.48</w:t>
            </w:r>
            <w:r>
              <w:rPr>
                <w:rStyle w:val="22"/>
                <w:rFonts w:hAnsi="仿宋"/>
              </w:rPr>
              <w:t>万元</w:t>
            </w:r>
            <w:r>
              <w:rPr>
                <w:rStyle w:val="22"/>
              </w:rPr>
              <w:t>-</w:t>
            </w:r>
            <w:r>
              <w:rPr>
                <w:rStyle w:val="22"/>
                <w:rFonts w:hint="eastAsia"/>
              </w:rPr>
              <w:t>13.18</w:t>
            </w:r>
            <w:r>
              <w:rPr>
                <w:rStyle w:val="22"/>
                <w:rFonts w:hAnsi="仿宋"/>
              </w:rPr>
              <w:t>万元）</w:t>
            </w:r>
            <w:r>
              <w:rPr>
                <w:rStyle w:val="22"/>
              </w:rPr>
              <w:t>/</w:t>
            </w:r>
            <w:r>
              <w:rPr>
                <w:rStyle w:val="22"/>
                <w:rFonts w:hint="eastAsia"/>
              </w:rPr>
              <w:t>13.18</w:t>
            </w:r>
            <w:r>
              <w:rPr>
                <w:rStyle w:val="22"/>
                <w:rFonts w:hAnsi="仿宋"/>
              </w:rPr>
              <w:t>万元</w:t>
            </w:r>
            <w:r>
              <w:rPr>
                <w:rStyle w:val="22"/>
              </w:rPr>
              <w:t>=</w:t>
            </w:r>
            <w:r>
              <w:rPr>
                <w:rStyle w:val="22"/>
                <w:rFonts w:hint="eastAsia"/>
              </w:rPr>
              <w:t>-12.90</w:t>
            </w:r>
            <w:r>
              <w:rPr>
                <w:rStyle w:val="22"/>
              </w:rPr>
              <w:t>%</w:t>
            </w:r>
            <w:r>
              <w:rPr>
                <w:rStyle w:val="22"/>
                <w:rFonts w:hAnsi="仿宋"/>
              </w:rPr>
              <w:t>。本项无扣分，得</w:t>
            </w:r>
            <w:r>
              <w:rPr>
                <w:rStyle w:val="22"/>
              </w:rPr>
              <w:t>5</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680" w:hRule="atLeast"/>
        </w:trPr>
        <w:tc>
          <w:tcPr>
            <w:tcW w:w="36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过程</w:t>
            </w:r>
            <w:r>
              <w:rPr>
                <w:rStyle w:val="22"/>
              </w:rPr>
              <w:t>60</w:t>
            </w:r>
            <w:r>
              <w:rPr>
                <w:rStyle w:val="22"/>
                <w:rFonts w:hAnsi="仿宋"/>
              </w:rPr>
              <w:t>分</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预算执行</w:t>
            </w:r>
            <w:r>
              <w:rPr>
                <w:rStyle w:val="22"/>
              </w:rPr>
              <w:t>20</w:t>
            </w:r>
            <w:r>
              <w:rPr>
                <w:rStyle w:val="22"/>
                <w:rFonts w:hAnsi="仿宋"/>
              </w:rPr>
              <w:t>分</w:t>
            </w: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预算完成率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计满分，每低于</w:t>
            </w:r>
            <w:r>
              <w:rPr>
                <w:rStyle w:val="22"/>
              </w:rPr>
              <w:t>5%</w:t>
            </w:r>
            <w:r>
              <w:rPr>
                <w:rStyle w:val="22"/>
                <w:rFonts w:hAnsi="仿宋"/>
              </w:rPr>
              <w:t>扣</w:t>
            </w:r>
            <w:r>
              <w:rPr>
                <w:rStyle w:val="22"/>
              </w:rPr>
              <w:t>2</w:t>
            </w:r>
            <w:r>
              <w:rPr>
                <w:rStyle w:val="22"/>
                <w:rFonts w:hAnsi="仿宋"/>
              </w:rPr>
              <w:t>分，扣完为止。</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预算完成率</w:t>
            </w:r>
            <w:r>
              <w:rPr>
                <w:rStyle w:val="22"/>
              </w:rPr>
              <w:t>=</w:t>
            </w:r>
            <w:r>
              <w:rPr>
                <w:rStyle w:val="22"/>
                <w:rFonts w:hAnsi="仿宋"/>
              </w:rPr>
              <w:t>（上年结转</w:t>
            </w:r>
            <w:r>
              <w:rPr>
                <w:rStyle w:val="22"/>
              </w:rPr>
              <w:t>+</w:t>
            </w:r>
            <w:r>
              <w:rPr>
                <w:rStyle w:val="22"/>
                <w:rFonts w:hAnsi="仿宋"/>
              </w:rPr>
              <w:t>年初预算</w:t>
            </w:r>
            <w:r>
              <w:rPr>
                <w:rStyle w:val="22"/>
              </w:rPr>
              <w:t>+</w:t>
            </w:r>
            <w:r>
              <w:rPr>
                <w:rStyle w:val="22"/>
                <w:rFonts w:hAnsi="仿宋"/>
              </w:rPr>
              <w:t>本年追加预算</w:t>
            </w:r>
            <w:r>
              <w:rPr>
                <w:rStyle w:val="22"/>
              </w:rPr>
              <w:t>-</w:t>
            </w:r>
            <w:r>
              <w:rPr>
                <w:rStyle w:val="22"/>
                <w:rFonts w:hAnsi="仿宋"/>
              </w:rPr>
              <w:t>年末结余）</w:t>
            </w:r>
            <w:r>
              <w:rPr>
                <w:rStyle w:val="22"/>
              </w:rPr>
              <w:t>/</w:t>
            </w:r>
            <w:r>
              <w:rPr>
                <w:rStyle w:val="22"/>
                <w:rFonts w:hAnsi="仿宋"/>
              </w:rPr>
              <w:t>（上年结转</w:t>
            </w:r>
            <w:r>
              <w:rPr>
                <w:rStyle w:val="22"/>
              </w:rPr>
              <w:t>+</w:t>
            </w:r>
            <w:r>
              <w:rPr>
                <w:rStyle w:val="22"/>
                <w:rFonts w:hAnsi="仿宋"/>
              </w:rPr>
              <w:t>年初预算</w:t>
            </w:r>
            <w:r>
              <w:rPr>
                <w:rStyle w:val="22"/>
              </w:rPr>
              <w:t>+</w:t>
            </w:r>
            <w:r>
              <w:rPr>
                <w:rStyle w:val="22"/>
                <w:rFonts w:hAnsi="仿宋"/>
              </w:rPr>
              <w:t>本年追加预算）</w:t>
            </w:r>
            <w:r>
              <w:rPr>
                <w:rStyle w:val="22"/>
              </w:rPr>
              <w:t>×100%</w:t>
            </w:r>
            <w:r>
              <w:rPr>
                <w:rStyle w:val="22"/>
                <w:rFonts w:hAnsi="仿宋"/>
              </w:rPr>
              <w:t>。</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预算完成率</w:t>
            </w:r>
            <w:r>
              <w:rPr>
                <w:rStyle w:val="22"/>
              </w:rPr>
              <w:t>=</w:t>
            </w:r>
            <w:r>
              <w:rPr>
                <w:rStyle w:val="22"/>
                <w:rFonts w:hAnsi="仿宋"/>
              </w:rPr>
              <w:t>（</w:t>
            </w:r>
            <w:r>
              <w:rPr>
                <w:rStyle w:val="22"/>
                <w:rFonts w:hint="eastAsia"/>
              </w:rPr>
              <w:t>124.12</w:t>
            </w:r>
            <w:r>
              <w:rPr>
                <w:rStyle w:val="22"/>
                <w:rFonts w:hAnsi="仿宋"/>
              </w:rPr>
              <w:t>万元</w:t>
            </w:r>
            <w:r>
              <w:rPr>
                <w:rStyle w:val="22"/>
              </w:rPr>
              <w:t>+</w:t>
            </w:r>
            <w:r>
              <w:rPr>
                <w:rStyle w:val="22"/>
                <w:rFonts w:hint="eastAsia"/>
              </w:rPr>
              <w:t>183.21</w:t>
            </w:r>
            <w:r>
              <w:rPr>
                <w:rStyle w:val="22"/>
                <w:rFonts w:hAnsi="仿宋"/>
              </w:rPr>
              <w:t>万元</w:t>
            </w:r>
            <w:r>
              <w:rPr>
                <w:rStyle w:val="22"/>
              </w:rPr>
              <w:t>+</w:t>
            </w:r>
            <w:r>
              <w:rPr>
                <w:rStyle w:val="22"/>
                <w:rFonts w:hint="eastAsia"/>
              </w:rPr>
              <w:t>290.78</w:t>
            </w:r>
            <w:r>
              <w:rPr>
                <w:rStyle w:val="22"/>
                <w:rFonts w:hAnsi="仿宋"/>
              </w:rPr>
              <w:t>万元</w:t>
            </w:r>
            <w:r>
              <w:rPr>
                <w:rStyle w:val="22"/>
              </w:rPr>
              <w:t>-</w:t>
            </w:r>
            <w:r>
              <w:rPr>
                <w:rStyle w:val="22"/>
                <w:rFonts w:hint="eastAsia"/>
              </w:rPr>
              <w:t>44.41</w:t>
            </w:r>
            <w:r>
              <w:rPr>
                <w:rStyle w:val="22"/>
                <w:rFonts w:hAnsi="仿宋"/>
              </w:rPr>
              <w:t>万元）</w:t>
            </w:r>
            <w:r>
              <w:rPr>
                <w:rStyle w:val="22"/>
              </w:rPr>
              <w:t>/(</w:t>
            </w:r>
            <w:r>
              <w:rPr>
                <w:rStyle w:val="22"/>
                <w:rFonts w:hint="eastAsia"/>
              </w:rPr>
              <w:t>124.12</w:t>
            </w:r>
            <w:r>
              <w:rPr>
                <w:rStyle w:val="22"/>
                <w:rFonts w:hAnsi="仿宋"/>
              </w:rPr>
              <w:t>万元</w:t>
            </w:r>
            <w:r>
              <w:rPr>
                <w:rStyle w:val="22"/>
              </w:rPr>
              <w:t>+</w:t>
            </w:r>
            <w:r>
              <w:rPr>
                <w:rStyle w:val="22"/>
                <w:rFonts w:hint="eastAsia"/>
              </w:rPr>
              <w:t>183.21</w:t>
            </w:r>
            <w:r>
              <w:rPr>
                <w:rStyle w:val="22"/>
                <w:rFonts w:hAnsi="仿宋"/>
              </w:rPr>
              <w:t>万元</w:t>
            </w:r>
            <w:r>
              <w:rPr>
                <w:rStyle w:val="22"/>
              </w:rPr>
              <w:t>+</w:t>
            </w:r>
            <w:r>
              <w:rPr>
                <w:rStyle w:val="22"/>
                <w:rFonts w:hint="eastAsia"/>
              </w:rPr>
              <w:t>290.78</w:t>
            </w:r>
            <w:r>
              <w:rPr>
                <w:rStyle w:val="22"/>
                <w:rFonts w:hAnsi="仿宋"/>
              </w:rPr>
              <w:t>万元</w:t>
            </w:r>
            <w:r>
              <w:rPr>
                <w:rStyle w:val="22"/>
              </w:rPr>
              <w:t>)×100%=</w:t>
            </w:r>
            <w:r>
              <w:rPr>
                <w:rStyle w:val="22"/>
                <w:rFonts w:hint="eastAsia"/>
              </w:rPr>
              <w:t>92.57</w:t>
            </w:r>
            <w:r>
              <w:rPr>
                <w:rStyle w:val="22"/>
              </w:rPr>
              <w:t>%</w:t>
            </w:r>
            <w:r>
              <w:rPr>
                <w:rStyle w:val="22"/>
                <w:rFonts w:hAnsi="仿宋"/>
              </w:rPr>
              <w:t>。每低于</w:t>
            </w:r>
            <w:r>
              <w:rPr>
                <w:rStyle w:val="22"/>
              </w:rPr>
              <w:t>5%</w:t>
            </w:r>
            <w:r>
              <w:rPr>
                <w:rStyle w:val="22"/>
                <w:rFonts w:hAnsi="仿宋"/>
              </w:rPr>
              <w:t>扣</w:t>
            </w:r>
            <w:r>
              <w:rPr>
                <w:rStyle w:val="22"/>
              </w:rPr>
              <w:t>2</w:t>
            </w:r>
            <w:r>
              <w:rPr>
                <w:rStyle w:val="22"/>
                <w:rFonts w:hAnsi="仿宋"/>
              </w:rPr>
              <w:t>分，本项扣</w:t>
            </w:r>
            <w:r>
              <w:rPr>
                <w:rStyle w:val="22"/>
                <w:rFonts w:hint="eastAsia"/>
              </w:rPr>
              <w:t>4</w:t>
            </w:r>
            <w:r>
              <w:rPr>
                <w:rStyle w:val="22"/>
                <w:rFonts w:hAnsi="仿宋"/>
              </w:rPr>
              <w:t>分，得</w:t>
            </w:r>
            <w:r>
              <w:rPr>
                <w:rStyle w:val="22"/>
                <w:rFonts w:hint="eastAsia"/>
              </w:rPr>
              <w:t>1</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1</w:t>
            </w:r>
          </w:p>
        </w:tc>
      </w:tr>
      <w:tr>
        <w:tblPrEx>
          <w:tblCellMar>
            <w:top w:w="0" w:type="dxa"/>
            <w:left w:w="0" w:type="dxa"/>
            <w:bottom w:w="0" w:type="dxa"/>
            <w:right w:w="0" w:type="dxa"/>
          </w:tblCellMar>
        </w:tblPrEx>
        <w:trPr>
          <w:trHeight w:val="216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预算控制率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预算控制率</w:t>
            </w:r>
            <w:r>
              <w:rPr>
                <w:rStyle w:val="22"/>
              </w:rPr>
              <w:t>=0</w:t>
            </w:r>
            <w:r>
              <w:rPr>
                <w:rStyle w:val="22"/>
                <w:rFonts w:hAnsi="仿宋"/>
              </w:rPr>
              <w:t>，计</w:t>
            </w:r>
            <w:r>
              <w:rPr>
                <w:rStyle w:val="22"/>
              </w:rPr>
              <w:t>5</w:t>
            </w:r>
            <w:r>
              <w:rPr>
                <w:rStyle w:val="22"/>
                <w:rFonts w:hAnsi="仿宋"/>
              </w:rPr>
              <w:t>分；</w:t>
            </w:r>
            <w:r>
              <w:rPr>
                <w:rStyle w:val="22"/>
              </w:rPr>
              <w:t>0-10%</w:t>
            </w:r>
            <w:r>
              <w:rPr>
                <w:rStyle w:val="22"/>
                <w:rFonts w:hAnsi="仿宋"/>
              </w:rPr>
              <w:t>（含），计</w:t>
            </w:r>
            <w:r>
              <w:rPr>
                <w:rStyle w:val="22"/>
              </w:rPr>
              <w:t>4</w:t>
            </w:r>
            <w:r>
              <w:rPr>
                <w:rStyle w:val="22"/>
                <w:rFonts w:hAnsi="仿宋"/>
              </w:rPr>
              <w:t>分；</w:t>
            </w:r>
            <w:r>
              <w:rPr>
                <w:rStyle w:val="22"/>
              </w:rPr>
              <w:t>10-20%</w:t>
            </w:r>
            <w:r>
              <w:rPr>
                <w:rStyle w:val="22"/>
                <w:rFonts w:hAnsi="仿宋"/>
              </w:rPr>
              <w:t>（含），计</w:t>
            </w:r>
            <w:r>
              <w:rPr>
                <w:rStyle w:val="22"/>
              </w:rPr>
              <w:t>3</w:t>
            </w:r>
            <w:r>
              <w:rPr>
                <w:rStyle w:val="22"/>
                <w:rFonts w:hAnsi="仿宋"/>
              </w:rPr>
              <w:t>分；</w:t>
            </w:r>
            <w:r>
              <w:rPr>
                <w:rStyle w:val="22"/>
              </w:rPr>
              <w:t>20-30%</w:t>
            </w:r>
            <w:r>
              <w:rPr>
                <w:rStyle w:val="22"/>
                <w:rFonts w:hAnsi="仿宋"/>
              </w:rPr>
              <w:t>（含），计</w:t>
            </w:r>
            <w:r>
              <w:rPr>
                <w:rStyle w:val="22"/>
              </w:rPr>
              <w:t>2</w:t>
            </w:r>
            <w:r>
              <w:rPr>
                <w:rStyle w:val="22"/>
                <w:rFonts w:hAnsi="仿宋"/>
              </w:rPr>
              <w:t>分；大于</w:t>
            </w:r>
            <w:r>
              <w:rPr>
                <w:rStyle w:val="22"/>
              </w:rPr>
              <w:t>30%</w:t>
            </w:r>
            <w:r>
              <w:rPr>
                <w:rStyle w:val="22"/>
                <w:rFonts w:hAnsi="仿宋"/>
              </w:rPr>
              <w:t>不得分。</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预算控制率</w:t>
            </w:r>
            <w:r>
              <w:rPr>
                <w:rStyle w:val="22"/>
              </w:rPr>
              <w:t>=</w:t>
            </w:r>
            <w:r>
              <w:rPr>
                <w:rStyle w:val="22"/>
                <w:rFonts w:hAnsi="仿宋"/>
              </w:rPr>
              <w:t>（本年追加预算</w:t>
            </w:r>
            <w:r>
              <w:rPr>
                <w:rStyle w:val="22"/>
              </w:rPr>
              <w:t>/</w:t>
            </w:r>
            <w:r>
              <w:rPr>
                <w:rStyle w:val="22"/>
                <w:rFonts w:hAnsi="仿宋"/>
              </w:rPr>
              <w:t>年初预算）</w:t>
            </w:r>
            <w:r>
              <w:rPr>
                <w:rStyle w:val="22"/>
              </w:rPr>
              <w:t>×100%</w:t>
            </w:r>
            <w:r>
              <w:rPr>
                <w:rStyle w:val="22"/>
                <w:rFonts w:hAnsi="仿宋"/>
              </w:rPr>
              <w:t>。</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预算控制率</w:t>
            </w:r>
            <w:r>
              <w:rPr>
                <w:rStyle w:val="22"/>
              </w:rPr>
              <w:t>=</w:t>
            </w:r>
            <w:r>
              <w:rPr>
                <w:rStyle w:val="22"/>
                <w:rFonts w:hAnsi="仿宋"/>
              </w:rPr>
              <w:t>（本年追加预算</w:t>
            </w:r>
            <w:r>
              <w:rPr>
                <w:rStyle w:val="22"/>
                <w:rFonts w:hint="eastAsia"/>
              </w:rPr>
              <w:t>290.78</w:t>
            </w:r>
            <w:r>
              <w:rPr>
                <w:rStyle w:val="22"/>
                <w:rFonts w:hAnsi="仿宋"/>
              </w:rPr>
              <w:t>万元</w:t>
            </w:r>
            <w:r>
              <w:rPr>
                <w:rStyle w:val="22"/>
              </w:rPr>
              <w:t>/</w:t>
            </w:r>
            <w:r>
              <w:rPr>
                <w:rStyle w:val="22"/>
                <w:rFonts w:hAnsi="仿宋"/>
              </w:rPr>
              <w:t>年初预算数</w:t>
            </w:r>
            <w:r>
              <w:rPr>
                <w:rStyle w:val="22"/>
                <w:rFonts w:hint="eastAsia"/>
              </w:rPr>
              <w:t>183.21</w:t>
            </w:r>
            <w:r>
              <w:rPr>
                <w:rStyle w:val="22"/>
                <w:rFonts w:hAnsi="仿宋"/>
              </w:rPr>
              <w:t>万元）</w:t>
            </w:r>
            <w:r>
              <w:rPr>
                <w:rStyle w:val="22"/>
              </w:rPr>
              <w:t>×100%=</w:t>
            </w:r>
            <w:r>
              <w:rPr>
                <w:rStyle w:val="22"/>
                <w:rFonts w:hint="eastAsia"/>
              </w:rPr>
              <w:t>158.71</w:t>
            </w:r>
            <w:r>
              <w:rPr>
                <w:rStyle w:val="22"/>
              </w:rPr>
              <w:t>%</w:t>
            </w:r>
            <w:r>
              <w:rPr>
                <w:rStyle w:val="22"/>
                <w:rFonts w:hAnsi="仿宋"/>
              </w:rPr>
              <w:t>，大于</w:t>
            </w:r>
            <w:r>
              <w:rPr>
                <w:rStyle w:val="22"/>
              </w:rPr>
              <w:t>30%</w:t>
            </w:r>
            <w:r>
              <w:rPr>
                <w:rStyle w:val="22"/>
                <w:rFonts w:hAnsi="仿宋"/>
              </w:rPr>
              <w:t>不得分，本项扣</w:t>
            </w:r>
            <w:r>
              <w:rPr>
                <w:rStyle w:val="22"/>
                <w:rFonts w:hint="eastAsia"/>
              </w:rPr>
              <w:t>5</w:t>
            </w:r>
            <w:r>
              <w:rPr>
                <w:rStyle w:val="22"/>
                <w:rFonts w:hAnsi="仿宋"/>
              </w:rPr>
              <w:t>分，得</w:t>
            </w:r>
            <w:r>
              <w:rPr>
                <w:rStyle w:val="22"/>
                <w:rFonts w:hint="eastAsia"/>
              </w:rPr>
              <w:t>0</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0</w:t>
            </w:r>
          </w:p>
        </w:tc>
      </w:tr>
      <w:tr>
        <w:tblPrEx>
          <w:tblCellMar>
            <w:top w:w="0" w:type="dxa"/>
            <w:left w:w="0" w:type="dxa"/>
            <w:bottom w:w="0" w:type="dxa"/>
            <w:right w:w="0" w:type="dxa"/>
          </w:tblCellMar>
        </w:tblPrEx>
        <w:trPr>
          <w:trHeight w:val="192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新建楼堂馆所面积控制率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以下（含）计满分，每超出</w:t>
            </w:r>
            <w:r>
              <w:rPr>
                <w:rStyle w:val="22"/>
              </w:rPr>
              <w:t>5%</w:t>
            </w:r>
            <w:r>
              <w:rPr>
                <w:rStyle w:val="22"/>
                <w:rFonts w:hAnsi="仿宋"/>
              </w:rPr>
              <w:t>扣</w:t>
            </w:r>
            <w:r>
              <w:rPr>
                <w:rStyle w:val="22"/>
              </w:rPr>
              <w:t>2</w:t>
            </w:r>
            <w:r>
              <w:rPr>
                <w:rStyle w:val="22"/>
                <w:rFonts w:hAnsi="仿宋"/>
              </w:rPr>
              <w:t>分，扣完为止，没有新建楼堂馆所项目的部门按满分计算。</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楼堂馆所面积控制率</w:t>
            </w:r>
            <w:r>
              <w:rPr>
                <w:rStyle w:val="22"/>
              </w:rPr>
              <w:t>=</w:t>
            </w:r>
            <w:r>
              <w:rPr>
                <w:rStyle w:val="22"/>
                <w:rFonts w:hAnsi="仿宋"/>
              </w:rPr>
              <w:t>实际建设面积</w:t>
            </w:r>
            <w:r>
              <w:rPr>
                <w:rStyle w:val="22"/>
              </w:rPr>
              <w:t>/</w:t>
            </w:r>
            <w:r>
              <w:rPr>
                <w:rStyle w:val="22"/>
                <w:rFonts w:hAnsi="仿宋"/>
              </w:rPr>
              <w:t>批准建设面积</w:t>
            </w:r>
            <w:r>
              <w:rPr>
                <w:rStyle w:val="22"/>
              </w:rPr>
              <w:t>*100%</w:t>
            </w:r>
            <w:r>
              <w:rPr>
                <w:rStyle w:val="22"/>
                <w:rFonts w:hAnsi="仿宋"/>
              </w:rPr>
              <w:t>。该指标以</w:t>
            </w:r>
            <w:r>
              <w:rPr>
                <w:rStyle w:val="22"/>
              </w:rPr>
              <w:t>2019年</w:t>
            </w:r>
            <w:r>
              <w:rPr>
                <w:rStyle w:val="22"/>
                <w:rFonts w:hAnsi="仿宋"/>
              </w:rPr>
              <w:t>完工的新建楼堂馆所为评价内容。</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中国共产党衡山县委员会宣传部</w:t>
            </w:r>
            <w:r>
              <w:rPr>
                <w:rStyle w:val="22"/>
              </w:rPr>
              <w:t>2019年</w:t>
            </w:r>
            <w:r>
              <w:rPr>
                <w:rStyle w:val="22"/>
                <w:rFonts w:hAnsi="仿宋"/>
              </w:rPr>
              <w:t>无新建楼堂，得</w:t>
            </w:r>
            <w:r>
              <w:rPr>
                <w:rStyle w:val="22"/>
              </w:rPr>
              <w:t>5</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20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新建楼堂馆所投资概算控制率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以下（含）计满分，每超出</w:t>
            </w:r>
            <w:r>
              <w:rPr>
                <w:rStyle w:val="22"/>
              </w:rPr>
              <w:t>5%</w:t>
            </w:r>
            <w:r>
              <w:rPr>
                <w:rStyle w:val="22"/>
                <w:rFonts w:hAnsi="仿宋"/>
              </w:rPr>
              <w:t>扣</w:t>
            </w:r>
            <w:r>
              <w:rPr>
                <w:rStyle w:val="22"/>
              </w:rPr>
              <w:t>2</w:t>
            </w:r>
            <w:r>
              <w:rPr>
                <w:rStyle w:val="22"/>
                <w:rFonts w:hAnsi="仿宋"/>
              </w:rPr>
              <w:t>分，扣完为止。</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楼堂馆所投资预算控制率</w:t>
            </w:r>
            <w:r>
              <w:rPr>
                <w:rStyle w:val="22"/>
              </w:rPr>
              <w:t>=</w:t>
            </w:r>
            <w:r>
              <w:rPr>
                <w:rStyle w:val="22"/>
                <w:rFonts w:hAnsi="仿宋"/>
              </w:rPr>
              <w:t>实际投资金额</w:t>
            </w:r>
            <w:r>
              <w:rPr>
                <w:rStyle w:val="22"/>
              </w:rPr>
              <w:t>/</w:t>
            </w:r>
            <w:r>
              <w:rPr>
                <w:rStyle w:val="22"/>
                <w:rFonts w:hAnsi="仿宋"/>
              </w:rPr>
              <w:t>批准投资金额</w:t>
            </w:r>
            <w:r>
              <w:rPr>
                <w:rStyle w:val="22"/>
              </w:rPr>
              <w:t>*100%</w:t>
            </w:r>
            <w:r>
              <w:rPr>
                <w:rStyle w:val="22"/>
                <w:rFonts w:hAnsi="仿宋"/>
              </w:rPr>
              <w:t>。该指标以</w:t>
            </w:r>
            <w:r>
              <w:rPr>
                <w:rStyle w:val="22"/>
              </w:rPr>
              <w:t>2019年</w:t>
            </w:r>
            <w:r>
              <w:rPr>
                <w:rStyle w:val="22"/>
                <w:rFonts w:hAnsi="仿宋"/>
              </w:rPr>
              <w:t>完工的新建楼堂馆所为评价内容。</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中国共产党衡山县委员会宣传部</w:t>
            </w:r>
            <w:r>
              <w:rPr>
                <w:rStyle w:val="22"/>
              </w:rPr>
              <w:t>2019年</w:t>
            </w:r>
            <w:r>
              <w:rPr>
                <w:rStyle w:val="22"/>
                <w:rFonts w:hAnsi="仿宋"/>
              </w:rPr>
              <w:t>无新建楼堂，得</w:t>
            </w:r>
            <w:r>
              <w:rPr>
                <w:rStyle w:val="22"/>
              </w:rPr>
              <w:t>5</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96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预算管理</w:t>
            </w:r>
            <w:r>
              <w:rPr>
                <w:rStyle w:val="22"/>
              </w:rPr>
              <w:t>40</w:t>
            </w:r>
            <w:r>
              <w:rPr>
                <w:rStyle w:val="22"/>
                <w:rFonts w:hAnsi="仿宋"/>
              </w:rPr>
              <w:t>分</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公用经费控制率</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1006"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以下（含）计满分，每超出</w:t>
            </w:r>
            <w:r>
              <w:rPr>
                <w:rStyle w:val="22"/>
              </w:rPr>
              <w:t>1%</w:t>
            </w:r>
            <w:r>
              <w:rPr>
                <w:rStyle w:val="22"/>
                <w:rFonts w:hAnsi="仿宋"/>
              </w:rPr>
              <w:t>扣</w:t>
            </w:r>
            <w:r>
              <w:rPr>
                <w:rStyle w:val="22"/>
              </w:rPr>
              <w:t>1</w:t>
            </w:r>
            <w:r>
              <w:rPr>
                <w:rStyle w:val="22"/>
                <w:rFonts w:hAnsi="仿宋"/>
              </w:rPr>
              <w:t>分，扣完为止。</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公用经费控制率</w:t>
            </w:r>
            <w:r>
              <w:rPr>
                <w:rStyle w:val="22"/>
              </w:rPr>
              <w:t>=</w:t>
            </w:r>
            <w:r>
              <w:rPr>
                <w:rStyle w:val="22"/>
                <w:rFonts w:hAnsi="仿宋"/>
              </w:rPr>
              <w:t>（实际支出公用经费总额</w:t>
            </w:r>
            <w:r>
              <w:rPr>
                <w:rStyle w:val="22"/>
              </w:rPr>
              <w:t>/</w:t>
            </w:r>
            <w:r>
              <w:rPr>
                <w:rStyle w:val="22"/>
                <w:rFonts w:hAnsi="仿宋"/>
              </w:rPr>
              <w:t>预算安排公用经费总额）</w:t>
            </w:r>
            <w:r>
              <w:rPr>
                <w:rStyle w:val="22"/>
              </w:rPr>
              <w:t>×100%</w:t>
            </w:r>
            <w:r>
              <w:rPr>
                <w:rStyle w:val="22"/>
                <w:rFonts w:hAnsi="仿宋"/>
              </w:rPr>
              <w:t>。</w:t>
            </w:r>
          </w:p>
        </w:tc>
        <w:tc>
          <w:tcPr>
            <w:tcW w:w="103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（实际支出公用经费总额</w:t>
            </w:r>
            <w:r>
              <w:rPr>
                <w:rStyle w:val="22"/>
                <w:rFonts w:hint="eastAsia"/>
              </w:rPr>
              <w:t>87.22</w:t>
            </w:r>
            <w:r>
              <w:rPr>
                <w:rStyle w:val="22"/>
                <w:rFonts w:hAnsi="仿宋"/>
              </w:rPr>
              <w:t>万元</w:t>
            </w:r>
            <w:r>
              <w:rPr>
                <w:rStyle w:val="22"/>
              </w:rPr>
              <w:t>/</w:t>
            </w:r>
            <w:r>
              <w:rPr>
                <w:rStyle w:val="22"/>
                <w:rFonts w:hAnsi="仿宋"/>
              </w:rPr>
              <w:t>预算安排公用经费总额</w:t>
            </w:r>
            <w:r>
              <w:rPr>
                <w:rStyle w:val="22"/>
                <w:rFonts w:hint="eastAsia"/>
              </w:rPr>
              <w:t>17.091</w:t>
            </w:r>
            <w:r>
              <w:rPr>
                <w:rStyle w:val="22"/>
                <w:rFonts w:hAnsi="仿宋"/>
              </w:rPr>
              <w:t>万元</w:t>
            </w:r>
            <w:r>
              <w:rPr>
                <w:rStyle w:val="22"/>
              </w:rPr>
              <w:t>×100%=</w:t>
            </w:r>
            <w:r>
              <w:rPr>
                <w:rStyle w:val="22"/>
                <w:rFonts w:hint="eastAsia"/>
              </w:rPr>
              <w:t>510.36</w:t>
            </w:r>
            <w:r>
              <w:rPr>
                <w:rStyle w:val="22"/>
              </w:rPr>
              <w:t>%</w:t>
            </w:r>
            <w:r>
              <w:rPr>
                <w:rStyle w:val="22"/>
                <w:rFonts w:hAnsi="仿宋"/>
              </w:rPr>
              <w:t>，</w:t>
            </w:r>
            <w:r>
              <w:rPr>
                <w:rStyle w:val="22"/>
              </w:rPr>
              <w:t>100%</w:t>
            </w:r>
            <w:r>
              <w:rPr>
                <w:rStyle w:val="22"/>
                <w:rFonts w:hAnsi="仿宋"/>
              </w:rPr>
              <w:t>以下得满分</w:t>
            </w:r>
            <w:r>
              <w:rPr>
                <w:rStyle w:val="22"/>
              </w:rPr>
              <w:t>8</w:t>
            </w:r>
            <w:r>
              <w:rPr>
                <w:rStyle w:val="22"/>
                <w:rFonts w:hAnsi="仿宋"/>
              </w:rPr>
              <w:t>分；每超出</w:t>
            </w:r>
            <w:r>
              <w:rPr>
                <w:rStyle w:val="22"/>
              </w:rPr>
              <w:t>1%</w:t>
            </w:r>
            <w:r>
              <w:rPr>
                <w:rStyle w:val="22"/>
                <w:rFonts w:hAnsi="仿宋"/>
              </w:rPr>
              <w:t>扣</w:t>
            </w:r>
            <w:r>
              <w:rPr>
                <w:rStyle w:val="22"/>
              </w:rPr>
              <w:t>1</w:t>
            </w:r>
            <w:r>
              <w:rPr>
                <w:rStyle w:val="22"/>
                <w:rFonts w:hAnsi="仿宋"/>
              </w:rPr>
              <w:t>分，本项扣</w:t>
            </w:r>
            <w:r>
              <w:rPr>
                <w:rStyle w:val="22"/>
              </w:rPr>
              <w:t>8</w:t>
            </w:r>
            <w:r>
              <w:rPr>
                <w:rStyle w:val="22"/>
                <w:rFonts w:hAnsi="仿宋"/>
              </w:rPr>
              <w:t>分，得</w:t>
            </w:r>
            <w:r>
              <w:rPr>
                <w:rStyle w:val="22"/>
              </w:rPr>
              <w:t>0</w:t>
            </w:r>
            <w:r>
              <w:rPr>
                <w:rStyle w:val="22"/>
                <w:rFonts w:hAnsi="仿宋"/>
              </w:rPr>
              <w:t>分。</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0</w:t>
            </w:r>
          </w:p>
        </w:tc>
      </w:tr>
      <w:tr>
        <w:tblPrEx>
          <w:tblCellMar>
            <w:top w:w="0" w:type="dxa"/>
            <w:left w:w="0" w:type="dxa"/>
            <w:bottom w:w="0" w:type="dxa"/>
            <w:right w:w="0" w:type="dxa"/>
          </w:tblCellMar>
        </w:tblPrEx>
        <w:trPr>
          <w:trHeight w:val="72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0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公用经费支出是指部门基本支出中的一般商品和服务支出。</w:t>
            </w:r>
          </w:p>
        </w:tc>
        <w:tc>
          <w:tcPr>
            <w:tcW w:w="10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color w:val="000000"/>
                <w:sz w:val="18"/>
                <w:szCs w:val="18"/>
              </w:rPr>
            </w:pPr>
          </w:p>
        </w:tc>
      </w:tr>
      <w:tr>
        <w:tblPrEx>
          <w:tblCellMar>
            <w:top w:w="0" w:type="dxa"/>
            <w:left w:w="0" w:type="dxa"/>
            <w:bottom w:w="0" w:type="dxa"/>
            <w:right w:w="0" w:type="dxa"/>
          </w:tblCellMar>
        </w:tblPrEx>
        <w:trPr>
          <w:trHeight w:val="144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控制率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7</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以下（含）计满分，每超出</w:t>
            </w:r>
            <w:r>
              <w:rPr>
                <w:rStyle w:val="22"/>
              </w:rPr>
              <w:t>1%</w:t>
            </w:r>
            <w:r>
              <w:rPr>
                <w:rStyle w:val="22"/>
                <w:rFonts w:hAnsi="仿宋"/>
              </w:rPr>
              <w:t>扣</w:t>
            </w:r>
            <w:r>
              <w:rPr>
                <w:rStyle w:val="22"/>
              </w:rPr>
              <w:t>1</w:t>
            </w:r>
            <w:r>
              <w:rPr>
                <w:rStyle w:val="22"/>
                <w:rFonts w:hAnsi="仿宋"/>
              </w:rPr>
              <w:t>分，扣完为止。</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w:t>
            </w:r>
            <w:r>
              <w:rPr>
                <w:rStyle w:val="22"/>
                <w:rFonts w:hAnsi="仿宋"/>
              </w:rPr>
              <w:t>三公经费</w:t>
            </w:r>
            <w:r>
              <w:rPr>
                <w:rStyle w:val="22"/>
              </w:rPr>
              <w:t>”</w:t>
            </w:r>
            <w:r>
              <w:rPr>
                <w:rStyle w:val="22"/>
                <w:rFonts w:hAnsi="仿宋"/>
              </w:rPr>
              <w:t>控制率</w:t>
            </w:r>
            <w:r>
              <w:rPr>
                <w:rStyle w:val="22"/>
              </w:rPr>
              <w:t>-</w:t>
            </w:r>
            <w:r>
              <w:rPr>
                <w:rStyle w:val="22"/>
                <w:rFonts w:hAnsi="仿宋"/>
              </w:rPr>
              <w:t>（</w:t>
            </w:r>
            <w:r>
              <w:rPr>
                <w:rStyle w:val="22"/>
              </w:rPr>
              <w:t>“</w:t>
            </w:r>
            <w:r>
              <w:rPr>
                <w:rStyle w:val="22"/>
                <w:rFonts w:hAnsi="仿宋"/>
              </w:rPr>
              <w:t>三公经费</w:t>
            </w:r>
            <w:r>
              <w:rPr>
                <w:rStyle w:val="22"/>
              </w:rPr>
              <w:t>”</w:t>
            </w:r>
            <w:r>
              <w:rPr>
                <w:rStyle w:val="22"/>
                <w:rFonts w:hAnsi="仿宋"/>
              </w:rPr>
              <w:t>实际支出数</w:t>
            </w:r>
            <w:r>
              <w:rPr>
                <w:rStyle w:val="22"/>
              </w:rPr>
              <w:t>/“</w:t>
            </w:r>
            <w:r>
              <w:rPr>
                <w:rStyle w:val="22"/>
                <w:rFonts w:hAnsi="仿宋"/>
              </w:rPr>
              <w:t>三公经费</w:t>
            </w:r>
            <w:r>
              <w:rPr>
                <w:rStyle w:val="22"/>
              </w:rPr>
              <w:t>”</w:t>
            </w:r>
            <w:r>
              <w:rPr>
                <w:rStyle w:val="22"/>
                <w:rFonts w:hAnsi="仿宋"/>
              </w:rPr>
              <w:t>预算安排数）</w:t>
            </w:r>
            <w:r>
              <w:rPr>
                <w:rStyle w:val="22"/>
              </w:rPr>
              <w:t>×100%</w:t>
            </w:r>
            <w:r>
              <w:rPr>
                <w:rStyle w:val="22"/>
                <w:rFonts w:hAnsi="仿宋"/>
              </w:rPr>
              <w:t>。</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w:t>
            </w:r>
            <w:r>
              <w:rPr>
                <w:rStyle w:val="22"/>
              </w:rPr>
              <w:t>“</w:t>
            </w:r>
            <w:r>
              <w:rPr>
                <w:rStyle w:val="22"/>
                <w:rFonts w:hAnsi="仿宋"/>
              </w:rPr>
              <w:t>三公经费</w:t>
            </w:r>
            <w:r>
              <w:rPr>
                <w:rStyle w:val="22"/>
              </w:rPr>
              <w:t>”</w:t>
            </w:r>
            <w:r>
              <w:rPr>
                <w:rStyle w:val="22"/>
                <w:rFonts w:hAnsi="仿宋"/>
              </w:rPr>
              <w:t>实际支出数</w:t>
            </w:r>
            <w:r>
              <w:rPr>
                <w:rStyle w:val="22"/>
                <w:rFonts w:hint="eastAsia"/>
              </w:rPr>
              <w:t>11.31</w:t>
            </w:r>
            <w:r>
              <w:rPr>
                <w:rStyle w:val="22"/>
                <w:rFonts w:hAnsi="仿宋"/>
              </w:rPr>
              <w:t>万元</w:t>
            </w:r>
            <w:r>
              <w:rPr>
                <w:rStyle w:val="22"/>
              </w:rPr>
              <w:t>/“</w:t>
            </w:r>
            <w:r>
              <w:rPr>
                <w:rStyle w:val="22"/>
                <w:rFonts w:hAnsi="仿宋"/>
              </w:rPr>
              <w:t>三公经费</w:t>
            </w:r>
            <w:r>
              <w:rPr>
                <w:rStyle w:val="22"/>
              </w:rPr>
              <w:t>”</w:t>
            </w:r>
            <w:r>
              <w:rPr>
                <w:rStyle w:val="22"/>
                <w:rFonts w:hAnsi="仿宋"/>
              </w:rPr>
              <w:t>预算安排数</w:t>
            </w:r>
            <w:r>
              <w:rPr>
                <w:rStyle w:val="22"/>
                <w:rFonts w:hint="eastAsia"/>
              </w:rPr>
              <w:t>11.48</w:t>
            </w:r>
            <w:r>
              <w:rPr>
                <w:rStyle w:val="22"/>
                <w:rFonts w:hAnsi="仿宋"/>
              </w:rPr>
              <w:t>万元）</w:t>
            </w:r>
            <w:r>
              <w:rPr>
                <w:rStyle w:val="22"/>
              </w:rPr>
              <w:t>×100%=</w:t>
            </w:r>
            <w:r>
              <w:rPr>
                <w:rStyle w:val="22"/>
                <w:rFonts w:hint="eastAsia"/>
              </w:rPr>
              <w:t>98.52</w:t>
            </w:r>
            <w:r>
              <w:rPr>
                <w:rStyle w:val="22"/>
              </w:rPr>
              <w:t>%</w:t>
            </w:r>
            <w:r>
              <w:rPr>
                <w:rStyle w:val="22"/>
                <w:rFonts w:hAnsi="仿宋"/>
              </w:rPr>
              <w:t>，</w:t>
            </w:r>
            <w:r>
              <w:rPr>
                <w:rStyle w:val="22"/>
              </w:rPr>
              <w:t>100%</w:t>
            </w:r>
            <w:r>
              <w:rPr>
                <w:rStyle w:val="22"/>
                <w:rFonts w:hAnsi="仿宋"/>
              </w:rPr>
              <w:t>以下计满分</w:t>
            </w:r>
            <w:r>
              <w:rPr>
                <w:rStyle w:val="22"/>
              </w:rPr>
              <w:t>7</w:t>
            </w:r>
            <w:r>
              <w:rPr>
                <w:rStyle w:val="22"/>
                <w:rFonts w:hAnsi="仿宋"/>
              </w:rPr>
              <w:t>分。本项无扣分，得</w:t>
            </w:r>
            <w:r>
              <w:rPr>
                <w:rStyle w:val="22"/>
                <w:rFonts w:hint="eastAsia"/>
              </w:rPr>
              <w:t>7</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7</w:t>
            </w:r>
          </w:p>
        </w:tc>
      </w:tr>
      <w:tr>
        <w:tblPrEx>
          <w:tblCellMar>
            <w:top w:w="0" w:type="dxa"/>
            <w:left w:w="0" w:type="dxa"/>
            <w:bottom w:w="0" w:type="dxa"/>
            <w:right w:w="0" w:type="dxa"/>
          </w:tblCellMar>
        </w:tblPrEx>
        <w:trPr>
          <w:trHeight w:val="168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政府采购执行率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color w:val="000000"/>
                <w:kern w:val="0"/>
                <w:sz w:val="18"/>
                <w:szCs w:val="18"/>
              </w:rPr>
              <w:t>100%</w:t>
            </w:r>
            <w:r>
              <w:rPr>
                <w:rStyle w:val="22"/>
                <w:rFonts w:hAnsi="仿宋"/>
              </w:rPr>
              <w:t>计满分，每超过（降低）</w:t>
            </w:r>
            <w:r>
              <w:rPr>
                <w:rStyle w:val="22"/>
              </w:rPr>
              <w:t>5%</w:t>
            </w:r>
            <w:r>
              <w:rPr>
                <w:rStyle w:val="22"/>
                <w:rFonts w:hAnsi="仿宋"/>
              </w:rPr>
              <w:t>扣</w:t>
            </w:r>
            <w:r>
              <w:rPr>
                <w:rStyle w:val="22"/>
              </w:rPr>
              <w:t>2</w:t>
            </w:r>
            <w:r>
              <w:rPr>
                <w:rStyle w:val="22"/>
                <w:rFonts w:hAnsi="仿宋"/>
              </w:rPr>
              <w:t>分。扣完为止。</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政府采购执行率</w:t>
            </w:r>
            <w:r>
              <w:rPr>
                <w:rStyle w:val="22"/>
              </w:rPr>
              <w:t>=</w:t>
            </w:r>
            <w:r>
              <w:rPr>
                <w:rStyle w:val="22"/>
                <w:rFonts w:hAnsi="仿宋"/>
              </w:rPr>
              <w:t>（实际政府采购金额</w:t>
            </w:r>
            <w:r>
              <w:rPr>
                <w:rStyle w:val="22"/>
              </w:rPr>
              <w:t>/</w:t>
            </w:r>
            <w:r>
              <w:rPr>
                <w:rStyle w:val="22"/>
                <w:rFonts w:hAnsi="仿宋"/>
              </w:rPr>
              <w:t>政府采购预算数）</w:t>
            </w:r>
            <w:r>
              <w:rPr>
                <w:rStyle w:val="22"/>
              </w:rPr>
              <w:t>×100%</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（实际政府采购金额</w:t>
            </w:r>
            <w:r>
              <w:rPr>
                <w:rStyle w:val="22"/>
                <w:rFonts w:hint="eastAsia"/>
              </w:rPr>
              <w:t>60.25</w:t>
            </w:r>
            <w:r>
              <w:rPr>
                <w:rStyle w:val="22"/>
                <w:rFonts w:hAnsi="仿宋"/>
              </w:rPr>
              <w:t>万元</w:t>
            </w:r>
            <w:r>
              <w:rPr>
                <w:rStyle w:val="22"/>
              </w:rPr>
              <w:t>/</w:t>
            </w:r>
            <w:r>
              <w:rPr>
                <w:rStyle w:val="22"/>
                <w:rFonts w:hAnsi="仿宋"/>
              </w:rPr>
              <w:t>政府采购预算金额</w:t>
            </w:r>
            <w:r>
              <w:rPr>
                <w:rStyle w:val="22"/>
                <w:rFonts w:hint="eastAsia"/>
              </w:rPr>
              <w:t>60.25</w:t>
            </w:r>
            <w:r>
              <w:rPr>
                <w:rStyle w:val="22"/>
                <w:rFonts w:hAnsi="仿宋"/>
              </w:rPr>
              <w:t>万元）</w:t>
            </w:r>
            <w:r>
              <w:rPr>
                <w:rStyle w:val="22"/>
              </w:rPr>
              <w:t>×100%=</w:t>
            </w:r>
            <w:r>
              <w:rPr>
                <w:rStyle w:val="22"/>
                <w:rFonts w:hint="eastAsia"/>
              </w:rPr>
              <w:t>100</w:t>
            </w:r>
            <w:r>
              <w:rPr>
                <w:rStyle w:val="22"/>
              </w:rPr>
              <w:t>%</w:t>
            </w:r>
            <w:r>
              <w:rPr>
                <w:rStyle w:val="22"/>
                <w:rFonts w:hAnsi="仿宋"/>
              </w:rPr>
              <w:t>，</w:t>
            </w:r>
            <w:r>
              <w:rPr>
                <w:rStyle w:val="22"/>
              </w:rPr>
              <w:t>100%</w:t>
            </w:r>
            <w:r>
              <w:rPr>
                <w:rStyle w:val="22"/>
                <w:rFonts w:hAnsi="仿宋"/>
              </w:rPr>
              <w:t>计满分</w:t>
            </w:r>
            <w:r>
              <w:rPr>
                <w:rStyle w:val="22"/>
              </w:rPr>
              <w:t>6</w:t>
            </w:r>
            <w:r>
              <w:rPr>
                <w:rStyle w:val="22"/>
                <w:rFonts w:hAnsi="仿宋"/>
              </w:rPr>
              <w:t>分，每超过（降低）</w:t>
            </w:r>
            <w:r>
              <w:rPr>
                <w:rStyle w:val="22"/>
              </w:rPr>
              <w:t>5%</w:t>
            </w:r>
            <w:r>
              <w:rPr>
                <w:rStyle w:val="22"/>
                <w:rFonts w:hAnsi="仿宋"/>
              </w:rPr>
              <w:t>扣</w:t>
            </w:r>
            <w:r>
              <w:rPr>
                <w:rStyle w:val="22"/>
              </w:rPr>
              <w:t>2</w:t>
            </w:r>
            <w:r>
              <w:rPr>
                <w:rStyle w:val="22"/>
                <w:rFonts w:hAnsi="仿宋"/>
              </w:rPr>
              <w:t>分。本项不扣分，得</w:t>
            </w:r>
            <w:r>
              <w:rPr>
                <w:rStyle w:val="22"/>
                <w:rFonts w:hint="eastAsia"/>
              </w:rPr>
              <w:t>6</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6</w:t>
            </w:r>
          </w:p>
        </w:tc>
      </w:tr>
      <w:tr>
        <w:tblPrEx>
          <w:tblCellMar>
            <w:top w:w="0" w:type="dxa"/>
            <w:left w:w="0" w:type="dxa"/>
            <w:bottom w:w="0" w:type="dxa"/>
            <w:right w:w="0" w:type="dxa"/>
          </w:tblCellMar>
        </w:tblPrEx>
        <w:trPr>
          <w:trHeight w:val="120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管理制度健全性</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有内部财务管理制度、会计核算制度等管理制度，</w:t>
            </w:r>
            <w:r>
              <w:rPr>
                <w:rStyle w:val="22"/>
              </w:rPr>
              <w:t>2</w:t>
            </w:r>
            <w:r>
              <w:rPr>
                <w:rStyle w:val="22"/>
                <w:rFonts w:hAnsi="仿宋"/>
              </w:rPr>
              <w:t>分；</w:t>
            </w:r>
          </w:p>
        </w:tc>
        <w:tc>
          <w:tcPr>
            <w:tcW w:w="1092"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03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textAlignment w:val="center"/>
              <w:rPr>
                <w:color w:val="000000"/>
                <w:sz w:val="18"/>
                <w:szCs w:val="18"/>
              </w:rPr>
            </w:pPr>
            <w:r>
              <w:rPr>
                <w:rFonts w:hint="eastAsia" w:hAnsi="仿宋"/>
                <w:color w:val="000000"/>
                <w:kern w:val="0"/>
                <w:sz w:val="18"/>
                <w:szCs w:val="18"/>
              </w:rPr>
              <w:t>中国共产党衡山县委员会宣传部制定了相关管理制度, 得2分；未制定厉行节约制度，扣2分；制定的管理制度符合相关法律法规的规定，得2分；相关管理制度未得到有效执行，扣2分。本项扣4分，得4分</w:t>
            </w:r>
            <w:r>
              <w:rPr>
                <w:rStyle w:val="22"/>
                <w:rFonts w:hint="eastAsia" w:hAnsi="仿宋"/>
              </w:rPr>
              <w:t>。</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4</w:t>
            </w:r>
          </w:p>
        </w:tc>
      </w:tr>
      <w:tr>
        <w:tblPrEx>
          <w:tblCellMar>
            <w:top w:w="0" w:type="dxa"/>
            <w:left w:w="0" w:type="dxa"/>
            <w:bottom w:w="0" w:type="dxa"/>
            <w:right w:w="0" w:type="dxa"/>
          </w:tblCellMar>
        </w:tblPrEx>
        <w:trPr>
          <w:trHeight w:val="72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②</w:t>
            </w:r>
            <w:r>
              <w:rPr>
                <w:rFonts w:hAnsi="仿宋"/>
                <w:color w:val="000000"/>
                <w:kern w:val="0"/>
                <w:sz w:val="18"/>
                <w:szCs w:val="18"/>
              </w:rPr>
              <w:t>有本部门厉行节约制度</w:t>
            </w:r>
            <w:r>
              <w:rPr>
                <w:rStyle w:val="22"/>
              </w:rPr>
              <w:t>,2</w:t>
            </w:r>
            <w:r>
              <w:rPr>
                <w:rStyle w:val="22"/>
                <w:rFonts w:hAnsi="仿宋"/>
              </w:rPr>
              <w:t>分；</w:t>
            </w:r>
          </w:p>
        </w:tc>
        <w:tc>
          <w:tcPr>
            <w:tcW w:w="10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0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color w:val="000000"/>
                <w:sz w:val="18"/>
                <w:szCs w:val="18"/>
              </w:rPr>
            </w:pPr>
          </w:p>
        </w:tc>
      </w:tr>
      <w:tr>
        <w:tblPrEx>
          <w:tblCellMar>
            <w:top w:w="0" w:type="dxa"/>
            <w:left w:w="0" w:type="dxa"/>
            <w:bottom w:w="0" w:type="dxa"/>
            <w:right w:w="0" w:type="dxa"/>
          </w:tblCellMar>
        </w:tblPrEx>
        <w:trPr>
          <w:trHeight w:val="144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③</w:t>
            </w:r>
            <w:r>
              <w:rPr>
                <w:rFonts w:hAnsi="仿宋"/>
                <w:color w:val="000000"/>
                <w:kern w:val="0"/>
                <w:sz w:val="18"/>
                <w:szCs w:val="18"/>
              </w:rPr>
              <w:t>相关管理制度合法、合规、完整，</w:t>
            </w:r>
            <w:r>
              <w:rPr>
                <w:rStyle w:val="22"/>
              </w:rPr>
              <w:t>2</w:t>
            </w:r>
            <w:r>
              <w:rPr>
                <w:rStyle w:val="22"/>
                <w:rFonts w:hAnsi="仿宋"/>
              </w:rPr>
              <w:t>分；</w:t>
            </w:r>
            <w:r>
              <w:rPr>
                <w:rStyle w:val="22"/>
                <w:rFonts w:ascii="仿宋" w:hAnsi="仿宋"/>
              </w:rPr>
              <w:t>④</w:t>
            </w:r>
            <w:r>
              <w:rPr>
                <w:rStyle w:val="22"/>
                <w:rFonts w:hAnsi="仿宋"/>
              </w:rPr>
              <w:t>相关管理制度得到有效执行，</w:t>
            </w:r>
            <w:r>
              <w:rPr>
                <w:rStyle w:val="22"/>
              </w:rPr>
              <w:t>2</w:t>
            </w:r>
            <w:r>
              <w:rPr>
                <w:rStyle w:val="22"/>
                <w:rFonts w:hAnsi="仿宋"/>
              </w:rPr>
              <w:t>分。</w:t>
            </w:r>
          </w:p>
        </w:tc>
        <w:tc>
          <w:tcPr>
            <w:tcW w:w="10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0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ind w:firstLine="0" w:firstLineChars="0"/>
              <w:jc w:val="center"/>
              <w:rPr>
                <w:color w:val="000000"/>
                <w:sz w:val="18"/>
                <w:szCs w:val="18"/>
              </w:rPr>
            </w:pPr>
          </w:p>
        </w:tc>
      </w:tr>
      <w:tr>
        <w:tblPrEx>
          <w:tblCellMar>
            <w:top w:w="0" w:type="dxa"/>
            <w:left w:w="0" w:type="dxa"/>
            <w:bottom w:w="0" w:type="dxa"/>
            <w:right w:w="0" w:type="dxa"/>
          </w:tblCellMar>
        </w:tblPrEx>
        <w:trPr>
          <w:trHeight w:val="4585"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资金使用合规性</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支出符合国家财经法规和财务管理制度规定以及有关专项资金管理办法的规定；</w:t>
            </w:r>
            <w:r>
              <w:rPr>
                <w:rFonts w:ascii="仿宋" w:hAnsi="仿宋"/>
                <w:color w:val="000000"/>
                <w:kern w:val="0"/>
                <w:sz w:val="18"/>
                <w:szCs w:val="18"/>
              </w:rPr>
              <w:t>②</w:t>
            </w:r>
            <w:r>
              <w:rPr>
                <w:rFonts w:hAnsi="仿宋"/>
                <w:color w:val="000000"/>
                <w:kern w:val="0"/>
                <w:sz w:val="18"/>
                <w:szCs w:val="18"/>
              </w:rPr>
              <w:t>资金拨付有完整的审批程序和手续；</w:t>
            </w:r>
            <w:r>
              <w:rPr>
                <w:rFonts w:ascii="仿宋" w:hAnsi="仿宋"/>
                <w:color w:val="000000"/>
                <w:kern w:val="0"/>
                <w:sz w:val="18"/>
                <w:szCs w:val="18"/>
              </w:rPr>
              <w:t>③</w:t>
            </w:r>
            <w:r>
              <w:rPr>
                <w:rFonts w:hAnsi="仿宋"/>
                <w:color w:val="000000"/>
                <w:kern w:val="0"/>
                <w:sz w:val="18"/>
                <w:szCs w:val="18"/>
              </w:rPr>
              <w:t>项目支出按规定经过评估论证；</w:t>
            </w:r>
            <w:r>
              <w:rPr>
                <w:rFonts w:ascii="仿宋" w:hAnsi="仿宋"/>
                <w:color w:val="000000"/>
                <w:kern w:val="0"/>
                <w:sz w:val="18"/>
                <w:szCs w:val="18"/>
              </w:rPr>
              <w:t>④</w:t>
            </w:r>
            <w:r>
              <w:rPr>
                <w:rFonts w:hAnsi="仿宋"/>
                <w:color w:val="000000"/>
                <w:kern w:val="0"/>
                <w:sz w:val="18"/>
                <w:szCs w:val="18"/>
              </w:rPr>
              <w:t>支出符合部门预算批复的用途；</w:t>
            </w:r>
            <w:r>
              <w:rPr>
                <w:rFonts w:ascii="仿宋" w:hAnsi="仿宋"/>
                <w:color w:val="000000"/>
                <w:kern w:val="0"/>
                <w:sz w:val="18"/>
                <w:szCs w:val="18"/>
              </w:rPr>
              <w:t>⑤</w:t>
            </w:r>
            <w:r>
              <w:rPr>
                <w:rFonts w:hAnsi="仿宋"/>
                <w:color w:val="000000"/>
                <w:kern w:val="0"/>
                <w:sz w:val="18"/>
                <w:szCs w:val="18"/>
              </w:rPr>
              <w:t>资金使用无截留、挤占、挪用、虚列支出等情况。以上情况每出现一例不符合要求的扣</w:t>
            </w:r>
            <w:r>
              <w:rPr>
                <w:rStyle w:val="22"/>
              </w:rPr>
              <w:t>1</w:t>
            </w:r>
            <w:r>
              <w:rPr>
                <w:rStyle w:val="22"/>
                <w:rFonts w:hAnsi="仿宋"/>
              </w:rPr>
              <w:t>分，扣完为止。</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资金使用合规性：支出符合国家财经法规和财务管理制度规定以及有关专项资金管理办法的规定；资金拨付有完整的审批程序和手续；项目支出按规定经过评估论证。存在支出不符合部门预算批复的用途；存在未按财政预算指标文件规定使用资金，预算指标资金混合使用，项目资金用于行政运行支出的情况，通过综合评定本项扣2分，得4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kern w:val="0"/>
                <w:sz w:val="18"/>
                <w:szCs w:val="18"/>
              </w:rPr>
              <w:t>4</w:t>
            </w:r>
          </w:p>
        </w:tc>
      </w:tr>
      <w:tr>
        <w:tblPrEx>
          <w:tblCellMar>
            <w:top w:w="0" w:type="dxa"/>
            <w:left w:w="0" w:type="dxa"/>
            <w:bottom w:w="0" w:type="dxa"/>
            <w:right w:w="0" w:type="dxa"/>
          </w:tblCellMar>
        </w:tblPrEx>
        <w:trPr>
          <w:trHeight w:val="3247"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预决算信息公开性</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ascii="仿宋" w:hAnsi="仿宋"/>
                <w:color w:val="000000"/>
                <w:kern w:val="0"/>
                <w:sz w:val="18"/>
                <w:szCs w:val="18"/>
              </w:rPr>
              <w:t>①</w:t>
            </w:r>
            <w:r>
              <w:rPr>
                <w:rFonts w:hAnsi="仿宋"/>
                <w:color w:val="000000"/>
                <w:kern w:val="0"/>
                <w:sz w:val="18"/>
                <w:szCs w:val="18"/>
              </w:rPr>
              <w:t>按规定内容公开预决算信息，</w:t>
            </w:r>
            <w:r>
              <w:rPr>
                <w:rStyle w:val="22"/>
              </w:rPr>
              <w:t>1</w:t>
            </w:r>
            <w:r>
              <w:rPr>
                <w:rStyle w:val="22"/>
                <w:rFonts w:hAnsi="仿宋"/>
              </w:rPr>
              <w:t>分；</w:t>
            </w:r>
            <w:r>
              <w:rPr>
                <w:rStyle w:val="22"/>
                <w:rFonts w:ascii="仿宋" w:hAnsi="仿宋"/>
              </w:rPr>
              <w:t>②</w:t>
            </w:r>
            <w:r>
              <w:rPr>
                <w:rStyle w:val="22"/>
                <w:rFonts w:hAnsi="仿宋"/>
              </w:rPr>
              <w:t>按规定时限公开预决算信息，</w:t>
            </w:r>
            <w:r>
              <w:rPr>
                <w:rStyle w:val="22"/>
              </w:rPr>
              <w:t>1</w:t>
            </w:r>
            <w:r>
              <w:rPr>
                <w:rStyle w:val="22"/>
                <w:rFonts w:hAnsi="仿宋"/>
              </w:rPr>
              <w:t>分；</w:t>
            </w:r>
            <w:r>
              <w:rPr>
                <w:rStyle w:val="22"/>
                <w:rFonts w:ascii="仿宋" w:hAnsi="仿宋"/>
              </w:rPr>
              <w:t>③</w:t>
            </w:r>
            <w:r>
              <w:rPr>
                <w:rStyle w:val="22"/>
                <w:rFonts w:hAnsi="仿宋"/>
              </w:rPr>
              <w:t>基础数据信息和会计信息资料真实，</w:t>
            </w:r>
            <w:r>
              <w:rPr>
                <w:rStyle w:val="22"/>
              </w:rPr>
              <w:t>1</w:t>
            </w:r>
            <w:r>
              <w:rPr>
                <w:rStyle w:val="22"/>
                <w:rFonts w:hAnsi="仿宋"/>
              </w:rPr>
              <w:t>分；</w:t>
            </w:r>
            <w:r>
              <w:rPr>
                <w:rStyle w:val="22"/>
                <w:rFonts w:ascii="仿宋" w:hAnsi="仿宋"/>
              </w:rPr>
              <w:t>④</w:t>
            </w:r>
            <w:r>
              <w:rPr>
                <w:rStyle w:val="22"/>
                <w:rFonts w:hAnsi="仿宋"/>
              </w:rPr>
              <w:t>基础数据信息和会计信息资料完整，</w:t>
            </w:r>
            <w:r>
              <w:rPr>
                <w:rStyle w:val="22"/>
              </w:rPr>
              <w:t>1</w:t>
            </w:r>
            <w:r>
              <w:rPr>
                <w:rStyle w:val="22"/>
                <w:rFonts w:hAnsi="仿宋"/>
              </w:rPr>
              <w:t>分；</w:t>
            </w:r>
            <w:r>
              <w:rPr>
                <w:rStyle w:val="22"/>
                <w:rFonts w:ascii="仿宋" w:hAnsi="仿宋"/>
              </w:rPr>
              <w:t>⑤</w:t>
            </w:r>
            <w:r>
              <w:rPr>
                <w:rStyle w:val="22"/>
                <w:rFonts w:hAnsi="仿宋"/>
              </w:rPr>
              <w:t>基础数据信息和汇集信息资料准确，</w:t>
            </w:r>
            <w:r>
              <w:rPr>
                <w:rStyle w:val="22"/>
              </w:rPr>
              <w:t>1</w:t>
            </w:r>
            <w:r>
              <w:rPr>
                <w:rStyle w:val="22"/>
                <w:rFonts w:hAnsi="仿宋"/>
              </w:rPr>
              <w:t>分。</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预决算信息是指与部门预算、执行、决算、监督、绩效等管理相关的信息。</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2019年</w:t>
            </w:r>
            <w:r>
              <w:rPr>
                <w:rStyle w:val="22"/>
                <w:rFonts w:hAnsi="仿宋"/>
              </w:rPr>
              <w:t>预算、决算已按时公布在单位门户网站上，资料真实、完整、准确，得</w:t>
            </w:r>
            <w:r>
              <w:rPr>
                <w:rStyle w:val="22"/>
              </w:rPr>
              <w:t>5</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2640" w:hRule="atLeast"/>
        </w:trPr>
        <w:tc>
          <w:tcPr>
            <w:tcW w:w="361"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产出及效率</w:t>
            </w:r>
            <w:r>
              <w:rPr>
                <w:rStyle w:val="22"/>
              </w:rPr>
              <w:t>30</w:t>
            </w:r>
            <w:r>
              <w:rPr>
                <w:rStyle w:val="22"/>
                <w:rFonts w:hAnsi="仿宋"/>
              </w:rPr>
              <w:t>分</w:t>
            </w:r>
          </w:p>
        </w:tc>
        <w:tc>
          <w:tcPr>
            <w:tcW w:w="37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职责履行</w:t>
            </w:r>
            <w:r>
              <w:rPr>
                <w:rStyle w:val="22"/>
              </w:rPr>
              <w:t>8</w:t>
            </w:r>
            <w:r>
              <w:rPr>
                <w:rStyle w:val="22"/>
                <w:rFonts w:hAnsi="仿宋"/>
              </w:rPr>
              <w:t>分</w:t>
            </w: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重点工作实际完成率</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根据市绩效办</w:t>
            </w:r>
            <w:r>
              <w:rPr>
                <w:rStyle w:val="22"/>
              </w:rPr>
              <w:t>2019</w:t>
            </w:r>
            <w:r>
              <w:rPr>
                <w:rStyle w:val="22"/>
                <w:rFonts w:hAnsi="仿宋"/>
              </w:rPr>
              <w:t>年对各部门为民办实事和部门重点工程与重点工作考核分数折算。该项得分</w:t>
            </w:r>
            <w:r>
              <w:rPr>
                <w:rStyle w:val="22"/>
              </w:rPr>
              <w:t>=</w:t>
            </w:r>
            <w:r>
              <w:rPr>
                <w:rStyle w:val="22"/>
                <w:rFonts w:hAnsi="仿宋"/>
              </w:rPr>
              <w:t>（绩效办对应部分考核得分</w:t>
            </w:r>
            <w:r>
              <w:rPr>
                <w:rStyle w:val="22"/>
              </w:rPr>
              <w:t>/</w:t>
            </w:r>
            <w:r>
              <w:rPr>
                <w:rStyle w:val="22"/>
                <w:rFonts w:hAnsi="仿宋"/>
              </w:rPr>
              <w:t>该部分总分）</w:t>
            </w:r>
            <w:r>
              <w:rPr>
                <w:rStyle w:val="22"/>
              </w:rPr>
              <w:t>×8</w:t>
            </w:r>
            <w:r>
              <w:rPr>
                <w:rStyle w:val="22"/>
                <w:rFonts w:hAnsi="仿宋"/>
              </w:rPr>
              <w:t>。</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中国共产党衡山县委员会宣传部</w:t>
            </w:r>
            <w:r>
              <w:rPr>
                <w:rStyle w:val="22"/>
              </w:rPr>
              <w:t>2019年</w:t>
            </w:r>
            <w:r>
              <w:rPr>
                <w:rStyle w:val="22"/>
                <w:rFonts w:hAnsi="仿宋"/>
              </w:rPr>
              <w:t>部门重点工作均已完成，本项无扣分，得</w:t>
            </w:r>
            <w:r>
              <w:rPr>
                <w:rStyle w:val="22"/>
              </w:rPr>
              <w:t>8</w:t>
            </w:r>
            <w:r>
              <w:rPr>
                <w:rStyle w:val="22"/>
                <w:rFonts w:hAnsi="仿宋"/>
              </w:rPr>
              <w:t>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8</w:t>
            </w:r>
          </w:p>
        </w:tc>
      </w:tr>
      <w:tr>
        <w:tblPrEx>
          <w:tblCellMar>
            <w:top w:w="0" w:type="dxa"/>
            <w:left w:w="0" w:type="dxa"/>
            <w:bottom w:w="0" w:type="dxa"/>
            <w:right w:w="0" w:type="dxa"/>
          </w:tblCellMar>
        </w:tblPrEx>
        <w:trPr>
          <w:trHeight w:val="288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履职效益</w:t>
            </w:r>
            <w:r>
              <w:rPr>
                <w:rStyle w:val="22"/>
              </w:rPr>
              <w:t>22</w:t>
            </w:r>
            <w:r>
              <w:rPr>
                <w:rStyle w:val="22"/>
                <w:rFonts w:hAnsi="仿宋"/>
              </w:rPr>
              <w:t>分</w:t>
            </w: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经济效益</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效益比较明显计满分；效益一般计</w:t>
            </w:r>
            <w:r>
              <w:rPr>
                <w:rStyle w:val="22"/>
              </w:rPr>
              <w:t>3</w:t>
            </w:r>
            <w:r>
              <w:rPr>
                <w:rStyle w:val="22"/>
                <w:rFonts w:hAnsi="仿宋"/>
              </w:rPr>
              <w:t>分；无效益或者效益不明显计</w:t>
            </w:r>
            <w:r>
              <w:rPr>
                <w:rStyle w:val="22"/>
              </w:rPr>
              <w:t>0</w:t>
            </w:r>
            <w:r>
              <w:rPr>
                <w:rStyle w:val="22"/>
                <w:rFonts w:hAnsi="仿宋"/>
              </w:rPr>
              <w:t>分</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int="eastAsia" w:hAnsi="仿宋"/>
                <w:color w:val="000000"/>
                <w:kern w:val="0"/>
                <w:sz w:val="18"/>
                <w:szCs w:val="18"/>
              </w:rPr>
              <w:t>中国共产党衡山县委员会宣传部大力推动文旅产业的发展，带动了全县各项经济的发展，2019年度总接待人次46.19万人次，比去年增长32%。我县全年游客接待量增长25%，旅游收入增长18%，经济效益显著，该单位本项指标得分5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144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社会效益</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效益比较明显计满分；效益一般计</w:t>
            </w:r>
            <w:r>
              <w:rPr>
                <w:rStyle w:val="22"/>
              </w:rPr>
              <w:t>3</w:t>
            </w:r>
            <w:r>
              <w:rPr>
                <w:rStyle w:val="22"/>
                <w:rFonts w:hAnsi="仿宋"/>
              </w:rPr>
              <w:t>分；无效益或者效益不明显计</w:t>
            </w:r>
            <w:r>
              <w:rPr>
                <w:rStyle w:val="22"/>
              </w:rPr>
              <w:t>0</w:t>
            </w:r>
            <w:r>
              <w:rPr>
                <w:rStyle w:val="22"/>
                <w:rFonts w:hAnsi="仿宋"/>
              </w:rPr>
              <w:t>分</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int="eastAsia" w:hAnsi="仿宋"/>
                <w:color w:val="000000"/>
                <w:kern w:val="0"/>
                <w:sz w:val="18"/>
                <w:szCs w:val="18"/>
              </w:rPr>
              <w:t>中国共产党衡山县委员会宣传部深入开展精神文明创建活动和丰富文化体育活动，使百姓幸福指数不断提升，社会效益显著，该单位本项指标得分5分。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5</w:t>
            </w:r>
          </w:p>
        </w:tc>
      </w:tr>
      <w:tr>
        <w:tblPrEx>
          <w:tblCellMar>
            <w:top w:w="0" w:type="dxa"/>
            <w:left w:w="0" w:type="dxa"/>
            <w:bottom w:w="0" w:type="dxa"/>
            <w:right w:w="0" w:type="dxa"/>
          </w:tblCellMar>
        </w:tblPrEx>
        <w:trPr>
          <w:trHeight w:val="288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行政效能</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促进部门改进文风会风，加强经费及资产管理，推动网上办事，提高行政效率，降低行政成本效果较好的计</w:t>
            </w:r>
            <w:r>
              <w:rPr>
                <w:rStyle w:val="22"/>
              </w:rPr>
              <w:t>6</w:t>
            </w:r>
            <w:r>
              <w:rPr>
                <w:rStyle w:val="22"/>
                <w:rFonts w:hAnsi="仿宋"/>
              </w:rPr>
              <w:t>分；一般</w:t>
            </w:r>
            <w:r>
              <w:rPr>
                <w:rStyle w:val="22"/>
              </w:rPr>
              <w:t>3</w:t>
            </w:r>
            <w:r>
              <w:rPr>
                <w:rStyle w:val="22"/>
                <w:rFonts w:hAnsi="仿宋"/>
              </w:rPr>
              <w:t>分；无效果或者效果不明显</w:t>
            </w:r>
            <w:r>
              <w:rPr>
                <w:rStyle w:val="22"/>
              </w:rPr>
              <w:t>0</w:t>
            </w:r>
            <w:r>
              <w:rPr>
                <w:rStyle w:val="22"/>
                <w:rFonts w:hAnsi="仿宋"/>
              </w:rPr>
              <w:t>分。</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Ansi="仿宋"/>
                <w:color w:val="000000"/>
                <w:kern w:val="0"/>
                <w:sz w:val="18"/>
                <w:szCs w:val="18"/>
              </w:rPr>
              <w:t>根据部门自评材料评定。</w:t>
            </w: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该部门在促进部门改进文风会风，加强经费及资产管理，推动网上办事，提高行政效率，降低行政成本等方面取得了较好效果。</w:t>
            </w:r>
            <w:r>
              <w:rPr>
                <w:rFonts w:hint="eastAsia" w:hAnsi="仿宋"/>
                <w:color w:val="000000"/>
                <w:kern w:val="0"/>
                <w:sz w:val="18"/>
                <w:szCs w:val="18"/>
              </w:rPr>
              <w:t>该单位本项指标得分6分。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r>
      <w:tr>
        <w:tblPrEx>
          <w:tblCellMar>
            <w:top w:w="0" w:type="dxa"/>
            <w:left w:w="0" w:type="dxa"/>
            <w:bottom w:w="0" w:type="dxa"/>
            <w:right w:w="0" w:type="dxa"/>
          </w:tblCellMar>
        </w:tblPrEx>
        <w:trPr>
          <w:trHeight w:val="1920" w:hRule="atLeast"/>
        </w:trPr>
        <w:tc>
          <w:tcPr>
            <w:tcW w:w="361"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center"/>
              <w:rPr>
                <w:color w:val="000000"/>
                <w:sz w:val="18"/>
                <w:szCs w:val="18"/>
              </w:rPr>
            </w:pPr>
          </w:p>
        </w:tc>
        <w:tc>
          <w:tcPr>
            <w:tcW w:w="54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社会公众或服务对象满意度</w:t>
            </w:r>
          </w:p>
        </w:tc>
        <w:tc>
          <w:tcPr>
            <w:tcW w:w="264"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left"/>
              <w:textAlignment w:val="center"/>
              <w:rPr>
                <w:color w:val="000000"/>
                <w:sz w:val="18"/>
                <w:szCs w:val="18"/>
              </w:rPr>
            </w:pPr>
            <w:r>
              <w:rPr>
                <w:rFonts w:hint="eastAsia" w:hAnsi="仿宋"/>
                <w:color w:val="000000"/>
                <w:kern w:val="0"/>
                <w:sz w:val="18"/>
                <w:szCs w:val="18"/>
              </w:rPr>
              <w:t>90%（含）以上计6分；80%（含）-90%，计4分；70%（含）-80%，计2分；低于70%计0分。</w:t>
            </w:r>
          </w:p>
        </w:tc>
        <w:tc>
          <w:tcPr>
            <w:tcW w:w="109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ind w:firstLine="0" w:firstLineChars="0"/>
              <w:jc w:val="left"/>
              <w:rPr>
                <w:color w:val="000000"/>
                <w:sz w:val="18"/>
                <w:szCs w:val="18"/>
              </w:rPr>
            </w:pPr>
          </w:p>
        </w:tc>
        <w:tc>
          <w:tcPr>
            <w:tcW w:w="1033"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hAnsi="仿宋"/>
                <w:color w:val="000000"/>
                <w:kern w:val="0"/>
                <w:sz w:val="18"/>
                <w:szCs w:val="18"/>
              </w:rPr>
              <w:t>通过向社会公众发放问卷调查，经统计对本单位的履职效果、厉行节约、信息公开等情况满意度，社会群众对该单位工作开展情况、社会效益等关注程度高、满意度较好，根据评分标准，该单位本项指标得分6分。</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color w:val="000000"/>
                <w:kern w:val="0"/>
                <w:sz w:val="18"/>
                <w:szCs w:val="18"/>
              </w:rPr>
              <w:t>6</w:t>
            </w:r>
          </w:p>
        </w:tc>
      </w:tr>
      <w:tr>
        <w:tblPrEx>
          <w:tblCellMar>
            <w:top w:w="0" w:type="dxa"/>
            <w:left w:w="0" w:type="dxa"/>
            <w:bottom w:w="0" w:type="dxa"/>
            <w:right w:w="0" w:type="dxa"/>
          </w:tblCellMar>
        </w:tblPrEx>
        <w:trPr>
          <w:trHeight w:val="280" w:hRule="atLeast"/>
        </w:trPr>
        <w:tc>
          <w:tcPr>
            <w:tcW w:w="4672" w:type="pct"/>
            <w:gridSpan w:val="7"/>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Ansi="仿宋"/>
                <w:color w:val="000000"/>
                <w:kern w:val="0"/>
                <w:sz w:val="18"/>
                <w:szCs w:val="18"/>
              </w:rPr>
              <w:t>合</w:t>
            </w:r>
            <w:r>
              <w:rPr>
                <w:rStyle w:val="22"/>
                <w:rFonts w:hAnsi="仿宋"/>
              </w:rPr>
              <w:t>计</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ind w:firstLine="0" w:firstLineChars="0"/>
              <w:jc w:val="center"/>
              <w:textAlignment w:val="center"/>
              <w:rPr>
                <w:color w:val="000000"/>
                <w:sz w:val="18"/>
                <w:szCs w:val="18"/>
              </w:rPr>
            </w:pPr>
            <w:r>
              <w:rPr>
                <w:rFonts w:hint="eastAsia"/>
                <w:color w:val="000000"/>
                <w:sz w:val="18"/>
                <w:szCs w:val="18"/>
              </w:rPr>
              <w:t>77</w:t>
            </w:r>
          </w:p>
        </w:tc>
      </w:tr>
    </w:tbl>
    <w:p>
      <w:pPr>
        <w:ind w:firstLine="640"/>
        <w:rPr>
          <w:rFonts w:ascii="黑体" w:hAnsi="黑体" w:eastAsia="黑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fldChar w:fldCharType="begin"/>
    </w:r>
    <w:r>
      <w:instrText xml:space="preserve">PAGE   \* MERGEFORMAT</w:instrText>
    </w:r>
    <w:r>
      <w:fldChar w:fldCharType="separate"/>
    </w:r>
    <w:r>
      <w:rPr>
        <w:rFonts w:ascii="Times New Roman" w:hAnsi="Times New Roman"/>
        <w:lang w:val="zh-CN"/>
      </w:rPr>
      <w:t>2</w:t>
    </w:r>
    <w:r>
      <w:rPr>
        <w:lang w:val="zh-CN"/>
      </w:rPr>
      <w:fldChar w:fldCharType="end"/>
    </w:r>
  </w:p>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fldChar w:fldCharType="begin"/>
    </w:r>
    <w:r>
      <w:instrText xml:space="preserve">PAGE   \* MERGEFORMAT</w:instrText>
    </w:r>
    <w:r>
      <w:fldChar w:fldCharType="separate"/>
    </w:r>
    <w:r>
      <w:rPr>
        <w:rFonts w:ascii="Times New Roman" w:hAnsi="Times New Roman"/>
        <w:lang w:val="zh-CN"/>
      </w:rPr>
      <w:t>1</w:t>
    </w:r>
    <w:r>
      <w:rPr>
        <w:lang w:val="zh-CN"/>
      </w:rPr>
      <w:fldChar w:fldCharType="end"/>
    </w:r>
  </w:p>
  <w:p>
    <w:pPr>
      <w:pStyle w:val="7"/>
      <w:ind w:right="360" w:firstLine="560"/>
      <w:jc w:val="right"/>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rPr>
        <w:rFonts w:hint="eastAsia"/>
      </w:rPr>
      <w:t>第</w:t>
    </w:r>
    <w:r>
      <w:fldChar w:fldCharType="begin"/>
    </w:r>
    <w:r>
      <w:instrText xml:space="preserve">PAGE   \* MERGEFORMAT</w:instrText>
    </w:r>
    <w:r>
      <w:fldChar w:fldCharType="separate"/>
    </w:r>
    <w:r>
      <w:rPr>
        <w:rFonts w:ascii="Times New Roman" w:hAnsi="Times New Roman"/>
        <w:lang w:val="zh-CN"/>
      </w:rPr>
      <w:t>1</w:t>
    </w:r>
    <w:r>
      <w:rPr>
        <w:lang w:val="zh-CN"/>
      </w:rPr>
      <w:fldChar w:fldCharType="end"/>
    </w:r>
    <w:r>
      <w:rPr>
        <w:lang w:val="zh-CN"/>
      </w:rPr>
      <w:t>页</w:t>
    </w:r>
    <w:r>
      <w:rPr>
        <w:rFonts w:hint="eastAsia"/>
        <w:lang w:val="zh-CN"/>
      </w:rPr>
      <w:t>，</w:t>
    </w:r>
    <w:r>
      <w:t>共</w:t>
    </w:r>
    <w:r>
      <w:rPr>
        <w:rFonts w:hint="eastAsia" w:ascii="Times New Roman" w:hAnsi="Times New Roman"/>
      </w:rPr>
      <w:t>18页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right"/>
    </w:pPr>
    <w:r>
      <w:rPr>
        <w:rFonts w:hint="eastAsia"/>
      </w:rPr>
      <w:t>2019年度中国共产党衡山县委员会宣传部部门整体支出绩效评价报告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297"/>
  <w:drawingGridVerticalSpacing w:val="317"/>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82374"/>
    <w:rsid w:val="0000285D"/>
    <w:rsid w:val="000118E6"/>
    <w:rsid w:val="00021BF7"/>
    <w:rsid w:val="00021D9F"/>
    <w:rsid w:val="00032435"/>
    <w:rsid w:val="0003604D"/>
    <w:rsid w:val="0005568A"/>
    <w:rsid w:val="00062013"/>
    <w:rsid w:val="000630E5"/>
    <w:rsid w:val="00063AC9"/>
    <w:rsid w:val="00064007"/>
    <w:rsid w:val="000753A2"/>
    <w:rsid w:val="000A0B9E"/>
    <w:rsid w:val="000A1EEB"/>
    <w:rsid w:val="000A274D"/>
    <w:rsid w:val="000B39E1"/>
    <w:rsid w:val="000B71DF"/>
    <w:rsid w:val="000B7B58"/>
    <w:rsid w:val="000D2F25"/>
    <w:rsid w:val="000D55CA"/>
    <w:rsid w:val="000D7A24"/>
    <w:rsid w:val="000F4110"/>
    <w:rsid w:val="0010297A"/>
    <w:rsid w:val="00107439"/>
    <w:rsid w:val="00110D24"/>
    <w:rsid w:val="00115B4B"/>
    <w:rsid w:val="0012383F"/>
    <w:rsid w:val="00151FF7"/>
    <w:rsid w:val="00157006"/>
    <w:rsid w:val="00161A97"/>
    <w:rsid w:val="0017049B"/>
    <w:rsid w:val="00174237"/>
    <w:rsid w:val="001938BC"/>
    <w:rsid w:val="001A2630"/>
    <w:rsid w:val="001A287C"/>
    <w:rsid w:val="001B1CA5"/>
    <w:rsid w:val="001B34C3"/>
    <w:rsid w:val="001C3F11"/>
    <w:rsid w:val="001D6B37"/>
    <w:rsid w:val="001F6CF0"/>
    <w:rsid w:val="00211488"/>
    <w:rsid w:val="00211EBC"/>
    <w:rsid w:val="0021425F"/>
    <w:rsid w:val="00242155"/>
    <w:rsid w:val="00254B9B"/>
    <w:rsid w:val="00260663"/>
    <w:rsid w:val="002647AB"/>
    <w:rsid w:val="002766B8"/>
    <w:rsid w:val="002813F2"/>
    <w:rsid w:val="002A1A11"/>
    <w:rsid w:val="002A55A1"/>
    <w:rsid w:val="002A58A3"/>
    <w:rsid w:val="002A7A6F"/>
    <w:rsid w:val="002B038A"/>
    <w:rsid w:val="002B19FB"/>
    <w:rsid w:val="002B2127"/>
    <w:rsid w:val="002B4469"/>
    <w:rsid w:val="002B4BA5"/>
    <w:rsid w:val="002C05E2"/>
    <w:rsid w:val="002C0D02"/>
    <w:rsid w:val="002C2EE1"/>
    <w:rsid w:val="002C313A"/>
    <w:rsid w:val="002E47F0"/>
    <w:rsid w:val="002E4BA5"/>
    <w:rsid w:val="002F378C"/>
    <w:rsid w:val="0030638E"/>
    <w:rsid w:val="0033348D"/>
    <w:rsid w:val="0033617D"/>
    <w:rsid w:val="003402B5"/>
    <w:rsid w:val="00342C1E"/>
    <w:rsid w:val="003562A9"/>
    <w:rsid w:val="0036045F"/>
    <w:rsid w:val="00361D02"/>
    <w:rsid w:val="00381B66"/>
    <w:rsid w:val="00387CCC"/>
    <w:rsid w:val="003911DA"/>
    <w:rsid w:val="003A44A3"/>
    <w:rsid w:val="003B0994"/>
    <w:rsid w:val="003B0ACA"/>
    <w:rsid w:val="003B634B"/>
    <w:rsid w:val="003E48FF"/>
    <w:rsid w:val="00405FCF"/>
    <w:rsid w:val="00415801"/>
    <w:rsid w:val="004363B9"/>
    <w:rsid w:val="0044104D"/>
    <w:rsid w:val="00441094"/>
    <w:rsid w:val="004453D7"/>
    <w:rsid w:val="004608BF"/>
    <w:rsid w:val="00462C35"/>
    <w:rsid w:val="00464A52"/>
    <w:rsid w:val="00470929"/>
    <w:rsid w:val="00474EBD"/>
    <w:rsid w:val="00482374"/>
    <w:rsid w:val="004845AC"/>
    <w:rsid w:val="00492380"/>
    <w:rsid w:val="004C47EB"/>
    <w:rsid w:val="004C4B30"/>
    <w:rsid w:val="004D5429"/>
    <w:rsid w:val="004D55EA"/>
    <w:rsid w:val="0050113B"/>
    <w:rsid w:val="00502B59"/>
    <w:rsid w:val="00502D18"/>
    <w:rsid w:val="005125B8"/>
    <w:rsid w:val="0051288A"/>
    <w:rsid w:val="00516587"/>
    <w:rsid w:val="00516F12"/>
    <w:rsid w:val="005242D6"/>
    <w:rsid w:val="0054022B"/>
    <w:rsid w:val="00542841"/>
    <w:rsid w:val="0055092F"/>
    <w:rsid w:val="005535D6"/>
    <w:rsid w:val="0057080E"/>
    <w:rsid w:val="005931F9"/>
    <w:rsid w:val="005A05A3"/>
    <w:rsid w:val="005A2EBB"/>
    <w:rsid w:val="005A7E4C"/>
    <w:rsid w:val="005B178A"/>
    <w:rsid w:val="005B3924"/>
    <w:rsid w:val="005B4DC8"/>
    <w:rsid w:val="005C197B"/>
    <w:rsid w:val="005C44B0"/>
    <w:rsid w:val="005C6E43"/>
    <w:rsid w:val="005D1F23"/>
    <w:rsid w:val="005E2965"/>
    <w:rsid w:val="005E4404"/>
    <w:rsid w:val="005F3476"/>
    <w:rsid w:val="005F3D77"/>
    <w:rsid w:val="00601A53"/>
    <w:rsid w:val="00606DDC"/>
    <w:rsid w:val="006117B8"/>
    <w:rsid w:val="00612D58"/>
    <w:rsid w:val="00613F28"/>
    <w:rsid w:val="00623FEC"/>
    <w:rsid w:val="00632F9B"/>
    <w:rsid w:val="0065183F"/>
    <w:rsid w:val="00660C4B"/>
    <w:rsid w:val="006668A5"/>
    <w:rsid w:val="00670EF3"/>
    <w:rsid w:val="00674754"/>
    <w:rsid w:val="006749C1"/>
    <w:rsid w:val="00677317"/>
    <w:rsid w:val="00682E74"/>
    <w:rsid w:val="00683BC2"/>
    <w:rsid w:val="00687E02"/>
    <w:rsid w:val="006958B6"/>
    <w:rsid w:val="006A2298"/>
    <w:rsid w:val="006B13D6"/>
    <w:rsid w:val="006B31E0"/>
    <w:rsid w:val="006C014E"/>
    <w:rsid w:val="006D723A"/>
    <w:rsid w:val="006D7D55"/>
    <w:rsid w:val="006E15F7"/>
    <w:rsid w:val="006E2B48"/>
    <w:rsid w:val="006E3D48"/>
    <w:rsid w:val="006F1C27"/>
    <w:rsid w:val="006F4B22"/>
    <w:rsid w:val="006F5FFC"/>
    <w:rsid w:val="00701AE7"/>
    <w:rsid w:val="007202F2"/>
    <w:rsid w:val="00725880"/>
    <w:rsid w:val="00727DB8"/>
    <w:rsid w:val="00733B78"/>
    <w:rsid w:val="00742836"/>
    <w:rsid w:val="007536E2"/>
    <w:rsid w:val="007568F3"/>
    <w:rsid w:val="0076065C"/>
    <w:rsid w:val="00764B47"/>
    <w:rsid w:val="00765918"/>
    <w:rsid w:val="00773387"/>
    <w:rsid w:val="00774366"/>
    <w:rsid w:val="00776E19"/>
    <w:rsid w:val="00785E0A"/>
    <w:rsid w:val="00787711"/>
    <w:rsid w:val="007948FC"/>
    <w:rsid w:val="00795414"/>
    <w:rsid w:val="007C1C04"/>
    <w:rsid w:val="007C2051"/>
    <w:rsid w:val="007D6A3D"/>
    <w:rsid w:val="007E676D"/>
    <w:rsid w:val="007F25E3"/>
    <w:rsid w:val="008019BA"/>
    <w:rsid w:val="00802864"/>
    <w:rsid w:val="00804B7D"/>
    <w:rsid w:val="00805FAC"/>
    <w:rsid w:val="00811F6D"/>
    <w:rsid w:val="008217F8"/>
    <w:rsid w:val="0082646A"/>
    <w:rsid w:val="00826607"/>
    <w:rsid w:val="00827C5B"/>
    <w:rsid w:val="00827E70"/>
    <w:rsid w:val="0083449A"/>
    <w:rsid w:val="0084095B"/>
    <w:rsid w:val="0086373B"/>
    <w:rsid w:val="00871C10"/>
    <w:rsid w:val="00882741"/>
    <w:rsid w:val="008A2852"/>
    <w:rsid w:val="008A630B"/>
    <w:rsid w:val="008B002C"/>
    <w:rsid w:val="008B121B"/>
    <w:rsid w:val="008B606B"/>
    <w:rsid w:val="008B6532"/>
    <w:rsid w:val="008E28EE"/>
    <w:rsid w:val="008E38B3"/>
    <w:rsid w:val="008F1D1C"/>
    <w:rsid w:val="008F3530"/>
    <w:rsid w:val="00903280"/>
    <w:rsid w:val="009128A6"/>
    <w:rsid w:val="009210B0"/>
    <w:rsid w:val="00922BDA"/>
    <w:rsid w:val="00930948"/>
    <w:rsid w:val="0093354B"/>
    <w:rsid w:val="00944182"/>
    <w:rsid w:val="0095735E"/>
    <w:rsid w:val="009576F3"/>
    <w:rsid w:val="009608B3"/>
    <w:rsid w:val="0097184C"/>
    <w:rsid w:val="00973388"/>
    <w:rsid w:val="00977C61"/>
    <w:rsid w:val="0098305A"/>
    <w:rsid w:val="009964EF"/>
    <w:rsid w:val="009A09B7"/>
    <w:rsid w:val="009A28CD"/>
    <w:rsid w:val="009B79CB"/>
    <w:rsid w:val="009C07F1"/>
    <w:rsid w:val="009C0F60"/>
    <w:rsid w:val="009C571A"/>
    <w:rsid w:val="00A01DD1"/>
    <w:rsid w:val="00A10B81"/>
    <w:rsid w:val="00A2160A"/>
    <w:rsid w:val="00A31504"/>
    <w:rsid w:val="00A40AA4"/>
    <w:rsid w:val="00A55D68"/>
    <w:rsid w:val="00A601C2"/>
    <w:rsid w:val="00A671B5"/>
    <w:rsid w:val="00A95536"/>
    <w:rsid w:val="00A973D6"/>
    <w:rsid w:val="00AA097C"/>
    <w:rsid w:val="00AA1949"/>
    <w:rsid w:val="00AA2136"/>
    <w:rsid w:val="00AA2AA1"/>
    <w:rsid w:val="00AA55E0"/>
    <w:rsid w:val="00AD6E1E"/>
    <w:rsid w:val="00AF1743"/>
    <w:rsid w:val="00B07442"/>
    <w:rsid w:val="00B129F1"/>
    <w:rsid w:val="00B22783"/>
    <w:rsid w:val="00B23767"/>
    <w:rsid w:val="00B37878"/>
    <w:rsid w:val="00B37F3F"/>
    <w:rsid w:val="00B542F2"/>
    <w:rsid w:val="00B575F5"/>
    <w:rsid w:val="00B57B7B"/>
    <w:rsid w:val="00B70567"/>
    <w:rsid w:val="00B71B7D"/>
    <w:rsid w:val="00B73593"/>
    <w:rsid w:val="00B75780"/>
    <w:rsid w:val="00B80076"/>
    <w:rsid w:val="00B80606"/>
    <w:rsid w:val="00B80FEE"/>
    <w:rsid w:val="00B816A7"/>
    <w:rsid w:val="00B81B1C"/>
    <w:rsid w:val="00B82FCF"/>
    <w:rsid w:val="00B92DBB"/>
    <w:rsid w:val="00BA3491"/>
    <w:rsid w:val="00BA73BB"/>
    <w:rsid w:val="00BA75B4"/>
    <w:rsid w:val="00BC6CCE"/>
    <w:rsid w:val="00BD4F7F"/>
    <w:rsid w:val="00BE79BE"/>
    <w:rsid w:val="00C00367"/>
    <w:rsid w:val="00C01C0B"/>
    <w:rsid w:val="00C0655B"/>
    <w:rsid w:val="00C12746"/>
    <w:rsid w:val="00C2114C"/>
    <w:rsid w:val="00C214FE"/>
    <w:rsid w:val="00C32E51"/>
    <w:rsid w:val="00C42603"/>
    <w:rsid w:val="00C54778"/>
    <w:rsid w:val="00C613F1"/>
    <w:rsid w:val="00C74D08"/>
    <w:rsid w:val="00C75487"/>
    <w:rsid w:val="00C75B46"/>
    <w:rsid w:val="00C76315"/>
    <w:rsid w:val="00C84E6C"/>
    <w:rsid w:val="00C852FE"/>
    <w:rsid w:val="00C94FED"/>
    <w:rsid w:val="00CB0A32"/>
    <w:rsid w:val="00CB1901"/>
    <w:rsid w:val="00CC3403"/>
    <w:rsid w:val="00CC41F7"/>
    <w:rsid w:val="00CD0D84"/>
    <w:rsid w:val="00CD1044"/>
    <w:rsid w:val="00CD2750"/>
    <w:rsid w:val="00CD4A7F"/>
    <w:rsid w:val="00CD51B2"/>
    <w:rsid w:val="00CE3958"/>
    <w:rsid w:val="00CF0046"/>
    <w:rsid w:val="00CF0AA8"/>
    <w:rsid w:val="00CF37A2"/>
    <w:rsid w:val="00D00C5A"/>
    <w:rsid w:val="00D05E54"/>
    <w:rsid w:val="00D071E1"/>
    <w:rsid w:val="00D14554"/>
    <w:rsid w:val="00D25BE9"/>
    <w:rsid w:val="00D25C4D"/>
    <w:rsid w:val="00D36765"/>
    <w:rsid w:val="00D44306"/>
    <w:rsid w:val="00D56ABF"/>
    <w:rsid w:val="00D63A6E"/>
    <w:rsid w:val="00D64A32"/>
    <w:rsid w:val="00D65C8C"/>
    <w:rsid w:val="00D748B0"/>
    <w:rsid w:val="00D971C2"/>
    <w:rsid w:val="00DB3B4E"/>
    <w:rsid w:val="00DB3BE0"/>
    <w:rsid w:val="00DF16B6"/>
    <w:rsid w:val="00DF174E"/>
    <w:rsid w:val="00DF268C"/>
    <w:rsid w:val="00E0130A"/>
    <w:rsid w:val="00E0490B"/>
    <w:rsid w:val="00E05DD9"/>
    <w:rsid w:val="00E15799"/>
    <w:rsid w:val="00E16EB0"/>
    <w:rsid w:val="00E174A8"/>
    <w:rsid w:val="00E25A6B"/>
    <w:rsid w:val="00E35A19"/>
    <w:rsid w:val="00E35B6D"/>
    <w:rsid w:val="00E40291"/>
    <w:rsid w:val="00E4092A"/>
    <w:rsid w:val="00E40F97"/>
    <w:rsid w:val="00E456E3"/>
    <w:rsid w:val="00E52FF9"/>
    <w:rsid w:val="00E5425A"/>
    <w:rsid w:val="00E86BEB"/>
    <w:rsid w:val="00E91F8F"/>
    <w:rsid w:val="00EA5FD8"/>
    <w:rsid w:val="00EB18AE"/>
    <w:rsid w:val="00EB3165"/>
    <w:rsid w:val="00EB573E"/>
    <w:rsid w:val="00EC639B"/>
    <w:rsid w:val="00ED16D9"/>
    <w:rsid w:val="00ED6AA0"/>
    <w:rsid w:val="00EE6484"/>
    <w:rsid w:val="00EF3226"/>
    <w:rsid w:val="00EF44CC"/>
    <w:rsid w:val="00EF650B"/>
    <w:rsid w:val="00EF679E"/>
    <w:rsid w:val="00EF7805"/>
    <w:rsid w:val="00F06849"/>
    <w:rsid w:val="00F1337B"/>
    <w:rsid w:val="00F16080"/>
    <w:rsid w:val="00F1750B"/>
    <w:rsid w:val="00F24C71"/>
    <w:rsid w:val="00F318D2"/>
    <w:rsid w:val="00F33192"/>
    <w:rsid w:val="00F335F5"/>
    <w:rsid w:val="00F33902"/>
    <w:rsid w:val="00F73C4E"/>
    <w:rsid w:val="00F95865"/>
    <w:rsid w:val="00FA0CC1"/>
    <w:rsid w:val="00FB1FC3"/>
    <w:rsid w:val="00FC1F8A"/>
    <w:rsid w:val="00FC2342"/>
    <w:rsid w:val="00FD18B7"/>
    <w:rsid w:val="00FD4D07"/>
    <w:rsid w:val="00FD6763"/>
    <w:rsid w:val="00FF1E37"/>
    <w:rsid w:val="00FF60F4"/>
    <w:rsid w:val="00FF685E"/>
    <w:rsid w:val="245E500B"/>
    <w:rsid w:val="61683A7F"/>
    <w:rsid w:val="68D419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ind w:firstLine="20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20"/>
    <w:qFormat/>
    <w:uiPriority w:val="9"/>
    <w:pPr>
      <w:outlineLvl w:val="0"/>
    </w:pPr>
    <w:rPr>
      <w:rFonts w:eastAsia="黑体"/>
      <w:bCs/>
      <w:kern w:val="44"/>
      <w:szCs w:val="44"/>
    </w:rPr>
  </w:style>
  <w:style w:type="paragraph" w:styleId="3">
    <w:name w:val="heading 2"/>
    <w:basedOn w:val="1"/>
    <w:next w:val="1"/>
    <w:link w:val="23"/>
    <w:unhideWhenUsed/>
    <w:qFormat/>
    <w:uiPriority w:val="9"/>
    <w:pPr>
      <w:outlineLvl w:val="1"/>
    </w:pPr>
    <w:rPr>
      <w:rFonts w:eastAsia="楷体" w:asciiTheme="majorHAnsi" w:hAnsiTheme="majorHAnsi" w:cstheme="majorBidi"/>
      <w:b/>
      <w:bCs/>
      <w:szCs w:val="32"/>
    </w:rPr>
  </w:style>
  <w:style w:type="paragraph" w:styleId="4">
    <w:name w:val="heading 3"/>
    <w:basedOn w:val="1"/>
    <w:next w:val="1"/>
    <w:link w:val="21"/>
    <w:unhideWhenUsed/>
    <w:qFormat/>
    <w:uiPriority w:val="9"/>
    <w:pPr>
      <w:outlineLvl w:val="2"/>
    </w:pPr>
    <w:rPr>
      <w:b/>
      <w:bCs/>
      <w:szCs w:val="32"/>
    </w:rPr>
  </w:style>
  <w:style w:type="character" w:default="1" w:styleId="13">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toc 3"/>
    <w:basedOn w:val="1"/>
    <w:next w:val="1"/>
    <w:unhideWhenUsed/>
    <w:uiPriority w:val="39"/>
    <w:pPr>
      <w:ind w:left="840" w:leftChars="400"/>
    </w:pPr>
  </w:style>
  <w:style w:type="paragraph" w:styleId="6">
    <w:name w:val="Balloon Text"/>
    <w:basedOn w:val="1"/>
    <w:link w:val="19"/>
    <w:semiHidden/>
    <w:unhideWhenUsed/>
    <w:uiPriority w:val="99"/>
    <w:rPr>
      <w:sz w:val="18"/>
      <w:szCs w:val="18"/>
    </w:rPr>
  </w:style>
  <w:style w:type="paragraph" w:styleId="7">
    <w:name w:val="footer"/>
    <w:basedOn w:val="1"/>
    <w:link w:val="16"/>
    <w:unhideWhenUsed/>
    <w:uiPriority w:val="99"/>
    <w:pPr>
      <w:tabs>
        <w:tab w:val="center" w:pos="4153"/>
        <w:tab w:val="right" w:pos="8306"/>
      </w:tabs>
      <w:snapToGrid w:val="0"/>
      <w:jc w:val="left"/>
    </w:pPr>
    <w:rPr>
      <w:rFonts w:ascii="Calibri" w:hAnsi="Calibri"/>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9">
    <w:name w:val="toc 1"/>
    <w:basedOn w:val="1"/>
    <w:next w:val="1"/>
    <w:unhideWhenUsed/>
    <w:uiPriority w:val="39"/>
    <w:pPr>
      <w:tabs>
        <w:tab w:val="right" w:leader="dot" w:pos="8949"/>
      </w:tabs>
      <w:spacing w:line="280" w:lineRule="exact"/>
      <w:ind w:firstLine="0" w:firstLineChars="0"/>
    </w:pPr>
  </w:style>
  <w:style w:type="paragraph" w:styleId="10">
    <w:name w:val="toc 2"/>
    <w:basedOn w:val="1"/>
    <w:next w:val="1"/>
    <w:unhideWhenUsed/>
    <w:uiPriority w:val="39"/>
    <w:pPr>
      <w:ind w:left="420" w:leftChars="200"/>
    </w:pPr>
  </w:style>
  <w:style w:type="paragraph" w:styleId="11">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14">
    <w:name w:val="Hyperlink"/>
    <w:basedOn w:val="13"/>
    <w:unhideWhenUsed/>
    <w:uiPriority w:val="99"/>
    <w:rPr>
      <w:color w:val="0000FF" w:themeColor="hyperlink"/>
      <w:u w:val="single"/>
    </w:rPr>
  </w:style>
  <w:style w:type="character" w:customStyle="1" w:styleId="15">
    <w:name w:val="页眉 字符"/>
    <w:link w:val="8"/>
    <w:uiPriority w:val="99"/>
    <w:rPr>
      <w:sz w:val="18"/>
      <w:szCs w:val="18"/>
    </w:rPr>
  </w:style>
  <w:style w:type="character" w:customStyle="1" w:styleId="16">
    <w:name w:val="页脚 字符1"/>
    <w:link w:val="7"/>
    <w:semiHidden/>
    <w:qFormat/>
    <w:uiPriority w:val="99"/>
    <w:rPr>
      <w:sz w:val="18"/>
      <w:szCs w:val="18"/>
    </w:rPr>
  </w:style>
  <w:style w:type="character" w:customStyle="1" w:styleId="17">
    <w:name w:val="页脚 字符"/>
    <w:qFormat/>
    <w:uiPriority w:val="99"/>
    <w:rPr>
      <w:kern w:val="2"/>
      <w:sz w:val="18"/>
      <w:szCs w:val="18"/>
    </w:rPr>
  </w:style>
  <w:style w:type="paragraph" w:styleId="18">
    <w:name w:val="List Paragraph"/>
    <w:basedOn w:val="1"/>
    <w:qFormat/>
    <w:uiPriority w:val="34"/>
    <w:pPr>
      <w:ind w:firstLine="420"/>
    </w:pPr>
  </w:style>
  <w:style w:type="character" w:customStyle="1" w:styleId="19">
    <w:name w:val="批注框文本 字符"/>
    <w:link w:val="6"/>
    <w:semiHidden/>
    <w:uiPriority w:val="99"/>
    <w:rPr>
      <w:rFonts w:ascii="Times New Roman" w:hAnsi="Times New Roman" w:eastAsia="宋体" w:cs="Times New Roman"/>
      <w:sz w:val="18"/>
      <w:szCs w:val="18"/>
    </w:rPr>
  </w:style>
  <w:style w:type="character" w:customStyle="1" w:styleId="20">
    <w:name w:val="标题 1 字符"/>
    <w:link w:val="2"/>
    <w:uiPriority w:val="9"/>
    <w:rPr>
      <w:rFonts w:eastAsia="黑体"/>
      <w:bCs/>
      <w:kern w:val="44"/>
      <w:sz w:val="32"/>
      <w:szCs w:val="44"/>
    </w:rPr>
  </w:style>
  <w:style w:type="character" w:customStyle="1" w:styleId="21">
    <w:name w:val="标题 3 字符"/>
    <w:link w:val="4"/>
    <w:qFormat/>
    <w:uiPriority w:val="9"/>
    <w:rPr>
      <w:rFonts w:eastAsia="仿宋"/>
      <w:b/>
      <w:bCs/>
      <w:kern w:val="2"/>
      <w:sz w:val="32"/>
      <w:szCs w:val="32"/>
    </w:rPr>
  </w:style>
  <w:style w:type="character" w:customStyle="1" w:styleId="22">
    <w:name w:val="font11"/>
    <w:basedOn w:val="13"/>
    <w:uiPriority w:val="0"/>
    <w:rPr>
      <w:rFonts w:hint="default" w:ascii="Times New Roman" w:hAnsi="Times New Roman" w:cs="Times New Roman"/>
      <w:color w:val="000000"/>
      <w:sz w:val="18"/>
      <w:szCs w:val="18"/>
      <w:u w:val="none"/>
    </w:rPr>
  </w:style>
  <w:style w:type="character" w:customStyle="1" w:styleId="23">
    <w:name w:val="标题 2 字符"/>
    <w:basedOn w:val="13"/>
    <w:link w:val="3"/>
    <w:uiPriority w:val="9"/>
    <w:rPr>
      <w:rFonts w:eastAsia="楷体"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49869C-1215-4359-A91A-7E25174A598B}">
  <ds:schemaRefs/>
</ds:datastoreItem>
</file>

<file path=docProps/app.xml><?xml version="1.0" encoding="utf-8"?>
<Properties xmlns="http://schemas.openxmlformats.org/officeDocument/2006/extended-properties" xmlns:vt="http://schemas.openxmlformats.org/officeDocument/2006/docPropsVTypes">
  <Template>Normal</Template>
  <Pages>20</Pages>
  <Words>1552</Words>
  <Characters>8848</Characters>
  <Lines>73</Lines>
  <Paragraphs>20</Paragraphs>
  <TotalTime>1311</TotalTime>
  <ScaleCrop>false</ScaleCrop>
  <LinksUpToDate>false</LinksUpToDate>
  <CharactersWithSpaces>10380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2019-08-23T03:32:00Z</dcterms:created>
  <dc:creator>Admin</dc:creator>
  <cp:lastModifiedBy>shenji</cp:lastModifiedBy>
  <cp:lastPrinted>2019-08-30T02:55:00Z</cp:lastPrinted>
  <dcterms:modified xsi:type="dcterms:W3CDTF">2020-12-21T15:09:20Z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