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0"/>
        <w:jc w:val="center"/>
        <w:rPr>
          <w:rFonts w:ascii="黑体" w:hAnsi="黑体" w:eastAsia="黑体"/>
          <w:sz w:val="52"/>
          <w:szCs w:val="52"/>
        </w:rPr>
      </w:pPr>
      <w:bookmarkStart w:id="74" w:name="_GoBack"/>
      <w:bookmarkEnd w:id="74"/>
    </w:p>
    <w:p>
      <w:pPr>
        <w:ind w:firstLine="1040"/>
        <w:jc w:val="center"/>
        <w:rPr>
          <w:rFonts w:ascii="黑体" w:hAnsi="黑体" w:eastAsia="黑体"/>
          <w:sz w:val="52"/>
          <w:szCs w:val="52"/>
        </w:rPr>
      </w:pPr>
      <w:r>
        <w:rPr>
          <w:rFonts w:hint="eastAsia" w:ascii="黑体" w:hAnsi="黑体" w:eastAsia="黑体"/>
          <w:sz w:val="52"/>
          <w:szCs w:val="52"/>
        </w:rPr>
        <w:t>绩效评价报告</w:t>
      </w:r>
    </w:p>
    <w:p>
      <w:pPr>
        <w:ind w:firstLine="880"/>
        <w:jc w:val="center"/>
        <w:rPr>
          <w:rFonts w:ascii="黑体" w:hAnsi="黑体" w:eastAsia="黑体"/>
          <w:sz w:val="44"/>
          <w:szCs w:val="44"/>
        </w:rPr>
      </w:pPr>
      <w:r>
        <w:rPr>
          <w:rFonts w:hint="eastAsia" w:ascii="黑体" w:hAnsi="黑体" w:eastAsia="黑体"/>
          <w:sz w:val="44"/>
          <w:szCs w:val="44"/>
        </w:rPr>
        <w:t>（征求意见稿）</w:t>
      </w:r>
    </w:p>
    <w:p>
      <w:pPr>
        <w:ind w:firstLine="1040"/>
        <w:jc w:val="center"/>
        <w:rPr>
          <w:rFonts w:ascii="黑体" w:hAnsi="黑体" w:eastAsia="黑体"/>
          <w:sz w:val="52"/>
          <w:szCs w:val="52"/>
        </w:rPr>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rPr>
          <w:u w:val="single"/>
        </w:rPr>
      </w:pPr>
    </w:p>
    <w:p>
      <w:pPr>
        <w:ind w:firstLine="640"/>
        <w:rPr>
          <w:u w:val="single"/>
        </w:rPr>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spacing w:line="600" w:lineRule="exact"/>
        <w:ind w:firstLine="320" w:firstLineChars="100"/>
        <w:rPr>
          <w:rFonts w:eastAsia="仿宋_GB2312"/>
          <w:szCs w:val="32"/>
          <w:u w:val="single"/>
        </w:rPr>
      </w:pPr>
      <w:r>
        <w:rPr>
          <w:rFonts w:hint="eastAsia" w:ascii="黑体" w:hAnsi="黑体" w:eastAsia="黑体"/>
          <w:szCs w:val="32"/>
        </w:rPr>
        <w:t>项目名称：</w:t>
      </w:r>
      <w:r>
        <w:rPr>
          <w:rFonts w:hint="eastAsia" w:eastAsia="仿宋_GB2312"/>
          <w:szCs w:val="32"/>
          <w:u w:val="single"/>
        </w:rPr>
        <w:t>2019年度衡山县统计局部门整体支出绩效评价</w:t>
      </w:r>
    </w:p>
    <w:p>
      <w:pPr>
        <w:spacing w:line="600" w:lineRule="exact"/>
        <w:ind w:firstLine="320" w:firstLineChars="100"/>
        <w:jc w:val="left"/>
        <w:rPr>
          <w:rFonts w:eastAsia="仿宋_GB2312"/>
          <w:szCs w:val="32"/>
          <w:u w:val="single"/>
        </w:rPr>
      </w:pPr>
      <w:r>
        <w:rPr>
          <w:rFonts w:hint="eastAsia" w:ascii="黑体" w:hAnsi="黑体" w:eastAsia="黑体"/>
          <w:szCs w:val="32"/>
        </w:rPr>
        <w:t>主管部门：</w:t>
      </w:r>
      <w:r>
        <w:rPr>
          <w:rFonts w:hint="eastAsia" w:eastAsia="仿宋_GB2312"/>
          <w:szCs w:val="32"/>
          <w:u w:val="single"/>
        </w:rPr>
        <w:t>衡山县统计局</w:t>
      </w:r>
    </w:p>
    <w:p>
      <w:pPr>
        <w:spacing w:line="600" w:lineRule="exact"/>
        <w:ind w:firstLine="320" w:firstLineChars="100"/>
        <w:jc w:val="left"/>
        <w:rPr>
          <w:rFonts w:eastAsia="仿宋_GB2312"/>
          <w:szCs w:val="32"/>
          <w:u w:val="single"/>
        </w:rPr>
      </w:pPr>
      <w:r>
        <w:rPr>
          <w:rFonts w:hint="eastAsia" w:ascii="黑体" w:hAnsi="黑体" w:eastAsia="黑体"/>
          <w:szCs w:val="32"/>
        </w:rPr>
        <w:t>组织单位：</w:t>
      </w:r>
      <w:r>
        <w:rPr>
          <w:rFonts w:hint="eastAsia" w:eastAsia="仿宋_GB2312"/>
          <w:szCs w:val="32"/>
          <w:u w:val="single"/>
        </w:rPr>
        <w:t>衡山县财政局</w:t>
      </w:r>
    </w:p>
    <w:p>
      <w:pPr>
        <w:spacing w:line="600" w:lineRule="exact"/>
        <w:ind w:firstLine="320" w:firstLineChars="100"/>
        <w:jc w:val="left"/>
        <w:rPr>
          <w:rFonts w:eastAsia="仿宋_GB2312"/>
          <w:szCs w:val="32"/>
          <w:u w:val="single"/>
        </w:rPr>
      </w:pPr>
      <w:r>
        <w:rPr>
          <w:rFonts w:hint="eastAsia" w:ascii="黑体" w:hAnsi="黑体" w:eastAsia="黑体"/>
          <w:szCs w:val="32"/>
        </w:rPr>
        <w:t>实施机构：</w:t>
      </w:r>
      <w:r>
        <w:rPr>
          <w:rFonts w:hint="eastAsia" w:eastAsia="仿宋_GB2312"/>
          <w:szCs w:val="32"/>
          <w:u w:val="single"/>
        </w:rPr>
        <w:t>湖南宏丰益联合会计师事务所</w:t>
      </w:r>
    </w:p>
    <w:p>
      <w:pPr>
        <w:ind w:firstLine="320" w:firstLineChars="100"/>
        <w:jc w:val="left"/>
        <w:rPr>
          <w:rFonts w:ascii="黑体" w:hAnsi="黑体" w:eastAsia="黑体"/>
          <w:szCs w:val="32"/>
          <w:u w:val="single"/>
        </w:rPr>
      </w:pPr>
    </w:p>
    <w:p>
      <w:pPr>
        <w:ind w:firstLine="320" w:firstLineChars="100"/>
        <w:jc w:val="left"/>
        <w:rPr>
          <w:rFonts w:ascii="黑体" w:hAnsi="黑体" w:eastAsia="黑体"/>
          <w:szCs w:val="32"/>
          <w:u w:val="single"/>
        </w:rPr>
      </w:pPr>
    </w:p>
    <w:p>
      <w:pPr>
        <w:ind w:firstLine="321" w:firstLineChars="100"/>
        <w:jc w:val="center"/>
        <w:rPr>
          <w:rFonts w:ascii="黑体" w:hAnsi="黑体" w:eastAsia="黑体"/>
          <w:b/>
          <w:szCs w:val="32"/>
        </w:rPr>
      </w:pPr>
      <w:r>
        <w:rPr>
          <w:rFonts w:hint="eastAsia" w:eastAsia="黑体"/>
          <w:b/>
          <w:szCs w:val="32"/>
        </w:rPr>
        <w:t>20</w:t>
      </w:r>
      <w:r>
        <w:rPr>
          <w:rFonts w:eastAsia="黑体"/>
          <w:b/>
          <w:szCs w:val="32"/>
        </w:rPr>
        <w:t>20</w:t>
      </w:r>
      <w:r>
        <w:rPr>
          <w:rFonts w:hint="eastAsia" w:ascii="黑体" w:hAnsi="黑体" w:eastAsia="黑体"/>
          <w:b/>
          <w:szCs w:val="32"/>
        </w:rPr>
        <w:t>年</w:t>
      </w:r>
      <w:r>
        <w:rPr>
          <w:rFonts w:hint="eastAsia" w:eastAsia="黑体"/>
          <w:b/>
          <w:szCs w:val="32"/>
        </w:rPr>
        <w:t>10</w:t>
      </w:r>
      <w:r>
        <w:rPr>
          <w:rFonts w:hint="eastAsia" w:ascii="黑体" w:hAnsi="黑体" w:eastAsia="黑体"/>
          <w:b/>
          <w:szCs w:val="32"/>
        </w:rPr>
        <w:t>月</w:t>
      </w:r>
      <w:r>
        <w:rPr>
          <w:rFonts w:eastAsia="黑体"/>
          <w:b/>
          <w:szCs w:val="32"/>
        </w:rPr>
        <w:t>30</w:t>
      </w:r>
      <w:r>
        <w:rPr>
          <w:rFonts w:hint="eastAsia" w:ascii="黑体" w:hAnsi="黑体" w:eastAsia="黑体"/>
          <w:b/>
          <w:szCs w:val="32"/>
        </w:rPr>
        <w:t>日</w:t>
      </w:r>
    </w:p>
    <w:p>
      <w:pPr>
        <w:spacing w:line="600" w:lineRule="exact"/>
        <w:ind w:firstLine="197" w:firstLineChars="63"/>
        <w:jc w:val="left"/>
        <w:rPr>
          <w:rFonts w:ascii="黑体" w:hAnsi="黑体" w:eastAsia="黑体"/>
          <w:b/>
          <w:color w:val="000000"/>
          <w:spacing w:val="-4"/>
          <w:szCs w:val="32"/>
        </w:rPr>
        <w:sectPr>
          <w:headerReference r:id="rId7" w:type="first"/>
          <w:footerReference r:id="rId10" w:type="first"/>
          <w:headerReference r:id="rId5" w:type="default"/>
          <w:footerReference r:id="rId8" w:type="default"/>
          <w:headerReference r:id="rId6" w:type="even"/>
          <w:footerReference r:id="rId9" w:type="even"/>
          <w:pgSz w:w="11907" w:h="16840"/>
          <w:pgMar w:top="1134" w:right="1474" w:bottom="1134" w:left="1474" w:header="851" w:footer="1701" w:gutter="0"/>
          <w:pgNumType w:start="1"/>
          <w:cols w:space="720" w:num="1"/>
          <w:docGrid w:linePitch="312" w:charSpace="0"/>
        </w:sectPr>
      </w:pPr>
    </w:p>
    <w:p>
      <w:pPr>
        <w:pStyle w:val="12"/>
        <w:tabs>
          <w:tab w:val="right" w:leader="dot" w:pos="8949"/>
          <w:tab w:val="clear" w:pos="8302"/>
        </w:tabs>
        <w:spacing w:before="0" w:after="0" w:line="352" w:lineRule="exact"/>
        <w:rPr>
          <w:rFonts w:ascii="Times New Roman" w:hAnsi="Times New Roman" w:cs="Times New Roman"/>
          <w:b w:val="0"/>
          <w:bCs w:val="0"/>
          <w:sz w:val="32"/>
          <w:szCs w:val="24"/>
        </w:rPr>
      </w:pPr>
    </w:p>
    <w:p>
      <w:pPr>
        <w:spacing w:line="600" w:lineRule="exact"/>
        <w:ind w:firstLine="0" w:firstLineChars="0"/>
        <w:jc w:val="center"/>
        <w:rPr>
          <w:rFonts w:ascii="黑体" w:hAnsi="黑体" w:eastAsia="黑体"/>
          <w:b/>
          <w:color w:val="000000"/>
          <w:spacing w:val="-4"/>
          <w:sz w:val="44"/>
          <w:szCs w:val="44"/>
        </w:rPr>
      </w:pPr>
      <w:bookmarkStart w:id="0" w:name="_Hlk57746421"/>
      <w:r>
        <w:rPr>
          <w:rFonts w:hint="eastAsia" w:eastAsia="黑体"/>
          <w:b/>
          <w:color w:val="000000"/>
          <w:spacing w:val="-4"/>
          <w:sz w:val="44"/>
          <w:szCs w:val="44"/>
        </w:rPr>
        <w:t>2019年</w:t>
      </w:r>
      <w:r>
        <w:rPr>
          <w:rFonts w:hint="eastAsia" w:ascii="黑体" w:hAnsi="黑体" w:eastAsia="黑体"/>
          <w:b/>
          <w:color w:val="000000"/>
          <w:spacing w:val="-4"/>
          <w:sz w:val="44"/>
          <w:szCs w:val="44"/>
        </w:rPr>
        <w:t>度衡山县统计局部门整体支出</w:t>
      </w:r>
    </w:p>
    <w:p>
      <w:pPr>
        <w:spacing w:line="600" w:lineRule="exact"/>
        <w:ind w:firstLine="0" w:firstLineChars="0"/>
        <w:jc w:val="center"/>
        <w:rPr>
          <w:rFonts w:ascii="黑体" w:hAnsi="黑体" w:eastAsia="黑体"/>
          <w:b/>
          <w:color w:val="000000"/>
          <w:sz w:val="44"/>
          <w:szCs w:val="44"/>
        </w:rPr>
      </w:pPr>
      <w:r>
        <w:rPr>
          <w:rFonts w:ascii="黑体" w:hAnsi="黑体" w:eastAsia="黑体"/>
          <w:b/>
          <w:color w:val="000000"/>
          <w:spacing w:val="-4"/>
          <w:sz w:val="44"/>
          <w:szCs w:val="44"/>
        </w:rPr>
        <w:t>绩效评价</w:t>
      </w:r>
      <w:r>
        <w:rPr>
          <w:rFonts w:hint="eastAsia" w:ascii="黑体" w:hAnsi="黑体" w:eastAsia="黑体"/>
          <w:b/>
          <w:color w:val="000000"/>
          <w:spacing w:val="-4"/>
          <w:sz w:val="44"/>
          <w:szCs w:val="44"/>
        </w:rPr>
        <w:t>报告</w:t>
      </w:r>
    </w:p>
    <w:bookmarkEnd w:id="0"/>
    <w:p>
      <w:pPr>
        <w:widowControl/>
        <w:adjustRightInd w:val="0"/>
        <w:snapToGrid w:val="0"/>
        <w:spacing w:line="600" w:lineRule="exact"/>
        <w:ind w:firstLine="0" w:firstLineChars="0"/>
        <w:jc w:val="left"/>
        <w:rPr>
          <w:rFonts w:ascii="黑体" w:hAnsi="黑体" w:eastAsia="黑体"/>
          <w:b/>
          <w:kern w:val="0"/>
          <w:szCs w:val="32"/>
        </w:rPr>
      </w:pPr>
    </w:p>
    <w:p>
      <w:pPr>
        <w:widowControl/>
        <w:adjustRightInd w:val="0"/>
        <w:snapToGrid w:val="0"/>
        <w:spacing w:line="600" w:lineRule="exact"/>
        <w:ind w:firstLine="0" w:firstLineChars="0"/>
        <w:jc w:val="left"/>
        <w:rPr>
          <w:rFonts w:ascii="黑体" w:hAnsi="黑体" w:eastAsia="黑体"/>
          <w:b/>
          <w:kern w:val="0"/>
          <w:szCs w:val="32"/>
        </w:rPr>
      </w:pPr>
      <w:r>
        <w:rPr>
          <w:rFonts w:hint="eastAsia" w:ascii="黑体" w:hAnsi="黑体" w:eastAsia="黑体"/>
          <w:b/>
          <w:kern w:val="0"/>
          <w:szCs w:val="32"/>
        </w:rPr>
        <w:t>衡山县</w:t>
      </w:r>
      <w:r>
        <w:rPr>
          <w:rFonts w:ascii="黑体" w:hAnsi="黑体" w:eastAsia="黑体"/>
          <w:b/>
          <w:kern w:val="0"/>
          <w:szCs w:val="32"/>
        </w:rPr>
        <w:t>财政局：</w:t>
      </w:r>
    </w:p>
    <w:p>
      <w:pPr>
        <w:ind w:firstLine="594"/>
        <w:rPr>
          <w:kern w:val="0"/>
        </w:rPr>
      </w:pPr>
      <w:r>
        <w:rPr>
          <w:rFonts w:hint="eastAsia"/>
          <w:kern w:val="0"/>
        </w:rPr>
        <w:t>为进一步规范财政资金管理，强化绩效和责任意识，切实提高财政资金使用效益，根据《中华人民共和国预算法》、《中共中央国务院关于全面实施预算绩效管理的意见》（中发﹝2018﹞34号）、《衡山县财政局关于对2019年度部分县级财政支出项目及部门整体支出开展现场绩效评价的通知》（山财绩﹝20</w:t>
      </w:r>
      <w:r>
        <w:rPr>
          <w:kern w:val="0"/>
        </w:rPr>
        <w:t>20</w:t>
      </w:r>
      <w:r>
        <w:rPr>
          <w:rFonts w:hint="eastAsia"/>
          <w:kern w:val="0"/>
        </w:rPr>
        <w:t>﹞</w:t>
      </w:r>
      <w:r>
        <w:rPr>
          <w:kern w:val="0"/>
        </w:rPr>
        <w:t>18</w:t>
      </w:r>
      <w:r>
        <w:rPr>
          <w:rFonts w:hint="eastAsia"/>
          <w:kern w:val="0"/>
        </w:rPr>
        <w:t>0号）等文件精神，受衡山县财政局委托，湖南宏丰益联合会计师事务所成立绩效评价工作组（简称“评价工作组”），于20</w:t>
      </w:r>
      <w:r>
        <w:rPr>
          <w:kern w:val="0"/>
        </w:rPr>
        <w:t>20</w:t>
      </w:r>
      <w:r>
        <w:rPr>
          <w:rFonts w:hint="eastAsia"/>
          <w:kern w:val="0"/>
        </w:rPr>
        <w:t>年</w:t>
      </w:r>
      <w:r>
        <w:rPr>
          <w:kern w:val="0"/>
        </w:rPr>
        <w:t>10</w:t>
      </w:r>
      <w:r>
        <w:rPr>
          <w:rFonts w:hint="eastAsia"/>
          <w:kern w:val="0"/>
        </w:rPr>
        <w:t>月</w:t>
      </w:r>
      <w:r>
        <w:rPr>
          <w:kern w:val="0"/>
        </w:rPr>
        <w:t>2</w:t>
      </w:r>
      <w:r>
        <w:rPr>
          <w:rFonts w:hint="eastAsia"/>
          <w:kern w:val="0"/>
        </w:rPr>
        <w:t>8日至20</w:t>
      </w:r>
      <w:r>
        <w:rPr>
          <w:kern w:val="0"/>
        </w:rPr>
        <w:t>20</w:t>
      </w:r>
      <w:r>
        <w:rPr>
          <w:rFonts w:hint="eastAsia"/>
          <w:kern w:val="0"/>
        </w:rPr>
        <w:t>年1</w:t>
      </w:r>
      <w:r>
        <w:rPr>
          <w:kern w:val="0"/>
        </w:rPr>
        <w:t>0</w:t>
      </w:r>
      <w:r>
        <w:rPr>
          <w:rFonts w:hint="eastAsia"/>
          <w:kern w:val="0"/>
        </w:rPr>
        <w:t>月</w:t>
      </w:r>
      <w:r>
        <w:rPr>
          <w:kern w:val="0"/>
        </w:rPr>
        <w:t>2</w:t>
      </w:r>
      <w:r>
        <w:rPr>
          <w:rFonts w:hint="eastAsia"/>
          <w:kern w:val="0"/>
        </w:rPr>
        <w:t>9日对衡山县统计局2019年度部门整体支出资金项目实施了绩效评价。评价采用定量分析和定性分析相结合的方法，从预算配置、预算执行、预算管理、职责履行和履职效益等方面对部门整体进行了综合评价。现将绩效评价情况报告如下：</w:t>
      </w:r>
    </w:p>
    <w:p>
      <w:pPr>
        <w:pStyle w:val="2"/>
        <w:ind w:firstLine="594"/>
      </w:pPr>
      <w:bookmarkStart w:id="1" w:name="_Toc29044588"/>
      <w:bookmarkStart w:id="2" w:name="_Toc57403707"/>
      <w:r>
        <w:t>一、</w:t>
      </w:r>
      <w:r>
        <w:rPr>
          <w:rFonts w:hint="eastAsia"/>
        </w:rPr>
        <w:t>部门</w:t>
      </w:r>
      <w:r>
        <w:t>概况</w:t>
      </w:r>
      <w:bookmarkEnd w:id="1"/>
      <w:bookmarkEnd w:id="2"/>
    </w:p>
    <w:p>
      <w:pPr>
        <w:ind w:firstLine="596"/>
        <w:outlineLvl w:val="1"/>
        <w:rPr>
          <w:rFonts w:ascii="Cambria" w:hAnsi="Cambria" w:eastAsia="楷体"/>
          <w:b/>
          <w:bCs/>
          <w:kern w:val="0"/>
          <w:szCs w:val="32"/>
        </w:rPr>
      </w:pPr>
      <w:bookmarkStart w:id="3" w:name="_Toc29637026"/>
      <w:bookmarkStart w:id="4" w:name="_Toc57403708"/>
      <w:bookmarkStart w:id="5" w:name="_Toc29044589"/>
      <w:r>
        <w:rPr>
          <w:rFonts w:ascii="Cambria" w:hAnsi="Cambria" w:eastAsia="楷体"/>
          <w:b/>
          <w:bCs/>
          <w:kern w:val="0"/>
          <w:szCs w:val="32"/>
        </w:rPr>
        <w:t>（一）</w:t>
      </w:r>
      <w:r>
        <w:rPr>
          <w:rFonts w:hint="eastAsia" w:ascii="Cambria" w:hAnsi="Cambria" w:eastAsia="楷体"/>
          <w:b/>
          <w:bCs/>
          <w:kern w:val="0"/>
          <w:szCs w:val="32"/>
        </w:rPr>
        <w:t>部门基本情况</w:t>
      </w:r>
      <w:bookmarkEnd w:id="3"/>
      <w:bookmarkEnd w:id="4"/>
    </w:p>
    <w:p>
      <w:pPr>
        <w:ind w:firstLine="594"/>
        <w:rPr>
          <w:kern w:val="0"/>
        </w:rPr>
      </w:pPr>
      <w:r>
        <w:fldChar w:fldCharType="begin"/>
      </w:r>
      <w:r>
        <w:instrText xml:space="preserve"> HYPERLINK "https://baike.so.com/doc/5330026-5565200.html" \t "_blank" </w:instrText>
      </w:r>
      <w:r>
        <w:fldChar w:fldCharType="separate"/>
      </w:r>
      <w:r>
        <w:rPr>
          <w:rFonts w:hint="eastAsia"/>
        </w:rPr>
        <w:t>衡山县</w:t>
      </w:r>
      <w:r>
        <w:rPr>
          <w:rFonts w:hint="eastAsia"/>
        </w:rPr>
        <w:fldChar w:fldCharType="end"/>
      </w:r>
      <w:r>
        <w:fldChar w:fldCharType="begin"/>
      </w:r>
      <w:r>
        <w:instrText xml:space="preserve"> HYPERLINK "https://baike.so.com/doc/5412475-5650601.html" \t "_blank" </w:instrText>
      </w:r>
      <w:r>
        <w:fldChar w:fldCharType="separate"/>
      </w:r>
      <w:r>
        <w:rPr>
          <w:rFonts w:hint="eastAsia"/>
        </w:rPr>
        <w:t>统计局</w:t>
      </w:r>
      <w:r>
        <w:rPr>
          <w:rFonts w:hint="eastAsia"/>
        </w:rPr>
        <w:fldChar w:fldCharType="end"/>
      </w:r>
      <w:r>
        <w:rPr>
          <w:rFonts w:hint="eastAsia"/>
        </w:rPr>
        <w:t>是县政府工作部门，机构性质为机关，为正科级单位。负责人：李涌文，机构地址：衡山县开云镇解放南路99号，统一社会信用代码</w:t>
      </w:r>
      <w:r>
        <w:t>11430423006278</w:t>
      </w:r>
      <w:r>
        <w:rPr>
          <w:rFonts w:hint="eastAsia"/>
        </w:rPr>
        <w:t>521X。</w:t>
      </w:r>
    </w:p>
    <w:p>
      <w:pPr>
        <w:ind w:firstLine="596"/>
        <w:outlineLvl w:val="1"/>
        <w:rPr>
          <w:rFonts w:ascii="Cambria" w:hAnsi="Cambria" w:eastAsia="楷体"/>
          <w:b/>
          <w:bCs/>
          <w:kern w:val="0"/>
          <w:szCs w:val="32"/>
        </w:rPr>
      </w:pPr>
      <w:bookmarkStart w:id="6" w:name="_Toc29637027"/>
      <w:bookmarkStart w:id="7" w:name="_Toc57403709"/>
      <w:r>
        <w:rPr>
          <w:rFonts w:hint="eastAsia" w:ascii="Cambria" w:hAnsi="Cambria" w:eastAsia="楷体"/>
          <w:b/>
          <w:bCs/>
          <w:kern w:val="0"/>
          <w:szCs w:val="32"/>
        </w:rPr>
        <w:t>（二）机构设置情况</w:t>
      </w:r>
      <w:bookmarkEnd w:id="6"/>
      <w:bookmarkEnd w:id="7"/>
    </w:p>
    <w:p>
      <w:pPr>
        <w:ind w:firstLine="594"/>
      </w:pPr>
      <w:bookmarkStart w:id="8" w:name="_Toc29637028"/>
      <w:r>
        <w:rPr>
          <w:rFonts w:hint="eastAsia"/>
        </w:rPr>
        <w:t>衡山县统计局内设构5个股室，分别为办公室、一产业股、二产业股、三产业股、法规及行政审批服务股。</w:t>
      </w:r>
    </w:p>
    <w:p>
      <w:pPr>
        <w:ind w:firstLine="594"/>
      </w:pPr>
      <w:r>
        <w:rPr>
          <w:rFonts w:hint="eastAsia"/>
        </w:rPr>
        <w:t>所属副科级公益类事业单位3个，分别为衡山县社会经济调查队、衡山县普查中心、衡山县数据处理中心。</w:t>
      </w:r>
    </w:p>
    <w:p>
      <w:pPr>
        <w:ind w:firstLine="596"/>
        <w:outlineLvl w:val="1"/>
        <w:rPr>
          <w:rFonts w:ascii="Cambria" w:hAnsi="Cambria" w:eastAsia="楷体"/>
          <w:b/>
          <w:bCs/>
          <w:kern w:val="0"/>
          <w:szCs w:val="32"/>
        </w:rPr>
      </w:pPr>
      <w:bookmarkStart w:id="9" w:name="_Toc57403710"/>
      <w:r>
        <w:rPr>
          <w:rFonts w:hint="eastAsia" w:ascii="Cambria" w:hAnsi="Cambria" w:eastAsia="楷体"/>
          <w:b/>
          <w:bCs/>
          <w:kern w:val="0"/>
          <w:szCs w:val="32"/>
        </w:rPr>
        <w:t>（三）人员编制情况</w:t>
      </w:r>
      <w:bookmarkEnd w:id="8"/>
      <w:bookmarkEnd w:id="9"/>
    </w:p>
    <w:p>
      <w:pPr>
        <w:ind w:firstLine="274"/>
      </w:pPr>
      <w:r>
        <w:rPr>
          <w:rFonts w:ascii="Arial" w:hAnsi="Arial" w:cs="Arial"/>
          <w:color w:val="333333"/>
          <w:kern w:val="0"/>
          <w:sz w:val="16"/>
          <w:szCs w:val="16"/>
        </w:rPr>
        <w:t>　</w:t>
      </w:r>
      <w:bookmarkStart w:id="10" w:name="_Hlk55933398"/>
      <w:r>
        <w:rPr>
          <w:rFonts w:hint="eastAsia"/>
        </w:rPr>
        <w:t>截止</w:t>
      </w:r>
      <w:r>
        <w:t>2019</w:t>
      </w:r>
      <w:r>
        <w:rPr>
          <w:rFonts w:hint="eastAsia"/>
        </w:rPr>
        <w:t>年</w:t>
      </w:r>
      <w:r>
        <w:t>12</w:t>
      </w:r>
      <w:r>
        <w:rPr>
          <w:rFonts w:hint="eastAsia"/>
        </w:rPr>
        <w:t>月</w:t>
      </w:r>
      <w:r>
        <w:t>31</w:t>
      </w:r>
      <w:r>
        <w:rPr>
          <w:rFonts w:hint="eastAsia"/>
        </w:rPr>
        <w:t>日，衡山县统计局编制人数26人，其中行政编制8人，事业编制18人；在职人员20人，其中一般公共预算财政补助开支人数20人。</w:t>
      </w:r>
      <w:bookmarkEnd w:id="10"/>
    </w:p>
    <w:p>
      <w:pPr>
        <w:ind w:firstLine="596"/>
        <w:outlineLvl w:val="1"/>
        <w:rPr>
          <w:rFonts w:ascii="Cambria" w:hAnsi="Cambria" w:eastAsia="楷体"/>
          <w:b/>
          <w:bCs/>
          <w:kern w:val="0"/>
          <w:szCs w:val="32"/>
        </w:rPr>
      </w:pPr>
      <w:bookmarkStart w:id="11" w:name="_Toc57403711"/>
      <w:r>
        <w:rPr>
          <w:rFonts w:ascii="Cambria" w:hAnsi="Cambria" w:eastAsia="楷体"/>
          <w:b/>
          <w:bCs/>
          <w:kern w:val="0"/>
          <w:szCs w:val="32"/>
        </w:rPr>
        <w:t>（</w:t>
      </w:r>
      <w:r>
        <w:rPr>
          <w:rFonts w:hint="eastAsia" w:ascii="Cambria" w:hAnsi="Cambria" w:eastAsia="楷体"/>
          <w:b/>
          <w:bCs/>
          <w:kern w:val="0"/>
          <w:szCs w:val="32"/>
        </w:rPr>
        <w:t>四</w:t>
      </w:r>
      <w:r>
        <w:rPr>
          <w:rFonts w:ascii="Cambria" w:hAnsi="Cambria" w:eastAsia="楷体"/>
          <w:b/>
          <w:bCs/>
          <w:kern w:val="0"/>
          <w:szCs w:val="32"/>
        </w:rPr>
        <w:t>）</w:t>
      </w:r>
      <w:r>
        <w:rPr>
          <w:rFonts w:hint="eastAsia" w:ascii="Cambria" w:hAnsi="Cambria" w:eastAsia="楷体"/>
          <w:b/>
          <w:bCs/>
          <w:kern w:val="0"/>
          <w:szCs w:val="32"/>
        </w:rPr>
        <w:t>部门职能职责</w:t>
      </w:r>
      <w:bookmarkEnd w:id="5"/>
      <w:bookmarkEnd w:id="11"/>
    </w:p>
    <w:p>
      <w:pPr>
        <w:ind w:firstLine="594"/>
      </w:pPr>
      <w:r>
        <w:t>1</w:t>
      </w:r>
      <w:r>
        <w:rPr>
          <w:rFonts w:hint="eastAsia"/>
        </w:rPr>
        <w:t>.</w:t>
      </w:r>
      <w:r>
        <w:t xml:space="preserve"> </w:t>
      </w:r>
      <w:r>
        <w:rPr>
          <w:rFonts w:hint="eastAsia"/>
        </w:rPr>
        <w:t>贯彻执行国家统计工作的方针政策、法律法规，研究统计制度和统计方法的改革，完成国家、省和地方统计调查任务。承担组织领导和协调全县统计工作，确保统计数据真实、准确、及时。</w:t>
      </w:r>
    </w:p>
    <w:p>
      <w:pPr>
        <w:ind w:firstLine="594"/>
      </w:pPr>
      <w:r>
        <w:t>2</w:t>
      </w:r>
      <w:r>
        <w:rPr>
          <w:rFonts w:hint="eastAsia"/>
        </w:rPr>
        <w:t>.</w:t>
      </w:r>
      <w:r>
        <w:t xml:space="preserve"> </w:t>
      </w:r>
      <w:r>
        <w:rPr>
          <w:rFonts w:hint="eastAsia"/>
        </w:rPr>
        <w:t>贯彻全国统一的基本统计制度，执行国家统计标准，组织实施统计改革、统计现代化建设规划和统计调查计划。组织管理全县统计调查项目，指导和协调上级驻衡山单位统计工作，监督检查统计法律法规的实施情况，查处各类统计违法行为。</w:t>
      </w:r>
    </w:p>
    <w:p>
      <w:pPr>
        <w:ind w:firstLine="594"/>
      </w:pPr>
      <w:r>
        <w:t>3</w:t>
      </w:r>
      <w:r>
        <w:rPr>
          <w:rFonts w:hint="eastAsia"/>
        </w:rPr>
        <w:t>.</w:t>
      </w:r>
      <w:r>
        <w:t xml:space="preserve"> </w:t>
      </w:r>
      <w:r>
        <w:rPr>
          <w:rFonts w:hint="eastAsia"/>
        </w:rPr>
        <w:t>对全县国民经济、社会发展、科技进步和资源环境等情况进行统计调查、分析和监督，为县委、县政府制订政策、编制国民经济和社会发展规划等提供统计资料和建议。负责上级政*府对县级重点民生实事等重点工作考核数据的核查和认定。负责县级对县直部门、乡镇下达的发展指标完成情况的数据核查和认定。</w:t>
      </w:r>
    </w:p>
    <w:p>
      <w:pPr>
        <w:ind w:firstLine="594"/>
      </w:pPr>
      <w:r>
        <w:t>4</w:t>
      </w:r>
      <w:r>
        <w:rPr>
          <w:rFonts w:hint="eastAsia"/>
        </w:rPr>
        <w:t>.</w:t>
      </w:r>
      <w:r>
        <w:t xml:space="preserve"> </w:t>
      </w:r>
      <w:r>
        <w:rPr>
          <w:rFonts w:hint="eastAsia"/>
        </w:rPr>
        <w:t>组织实施全县人口、经济、农业等大型普查，会同有关部门拟订县级普查计划与方案，汇总、整理、提供和发布有关县级普查公报</w:t>
      </w:r>
      <w:r>
        <w:t>。</w:t>
      </w:r>
    </w:p>
    <w:p>
      <w:pPr>
        <w:ind w:firstLine="594"/>
      </w:pPr>
      <w:r>
        <w:t>5</w:t>
      </w:r>
      <w:r>
        <w:rPr>
          <w:rFonts w:hint="eastAsia"/>
        </w:rPr>
        <w:t>.</w:t>
      </w:r>
      <w:r>
        <w:t xml:space="preserve"> </w:t>
      </w:r>
      <w:r>
        <w:rPr>
          <w:rFonts w:hint="eastAsia"/>
        </w:rPr>
        <w:t>组织实施全县国民经济核算制度和全县投入产出调查，核算全县生产总值，搜集、整理和提供国民经济核算有关资料。组织实施以农林牧渔业为重点的一产业调查。组织实施以工业、交通运输、能源、建筑、固定资产投资、房地产为重点内容的二产业发展调查。组织实施以批发零售、住宿餐饮、人口、劳动工资、科教文卫、社会服务为重点的三产业发展调查，收集汇总、整理和提供有关调查统计数据。</w:t>
      </w:r>
    </w:p>
    <w:p>
      <w:pPr>
        <w:ind w:firstLine="594"/>
      </w:pPr>
      <w:r>
        <w:t>6</w:t>
      </w:r>
      <w:r>
        <w:rPr>
          <w:rFonts w:hint="eastAsia"/>
        </w:rPr>
        <w:t>.</w:t>
      </w:r>
      <w:r>
        <w:t xml:space="preserve"> </w:t>
      </w:r>
      <w:r>
        <w:rPr>
          <w:rFonts w:hint="eastAsia"/>
        </w:rPr>
        <w:t>组织并审查乡镇和县级各部门经济、社会、科技、资源环境统计调查计划及调查方案，管理乡镇和县级各部门制发的统计调查表。统一检查、审定、管理、公布全县性的基本统计资料，定期向社会公众发布国民经济和社会发展情况的统计信息;指导专业统计基础工作及统计基层业务基础建设工作，建立健全统计数据资源质量审核、监控和评估制度;加强对各乡镇、各部门统计工作的指导和综合协调，加强对统计调查项目、统计标准和统计数据发布的管理。</w:t>
      </w:r>
    </w:p>
    <w:p>
      <w:pPr>
        <w:ind w:firstLine="594"/>
      </w:pPr>
      <w:r>
        <w:rPr>
          <w:rFonts w:hint="eastAsia"/>
        </w:rPr>
        <w:t>7. 建立健全和管理全县统计信息自动化系统及统计数据库系统，组织、推广计算机和传输技术在全县统计工作中的运用。</w:t>
      </w:r>
    </w:p>
    <w:p>
      <w:pPr>
        <w:ind w:firstLine="594"/>
      </w:pPr>
      <w:r>
        <w:rPr>
          <w:rFonts w:hint="eastAsia"/>
        </w:rPr>
        <w:t>8. 按照规定的权限和责任，组织指导统计人员教育、培训、职务评聘、资格认定和业务考核、统计普法工作;监督管理中央、省、市、县财政安排的统计专项经费以及中央和省财政安排的基本建设投资。</w:t>
      </w:r>
    </w:p>
    <w:p>
      <w:pPr>
        <w:ind w:firstLine="594"/>
      </w:pPr>
      <w:r>
        <w:rPr>
          <w:rFonts w:hint="eastAsia"/>
        </w:rPr>
        <w:t>9. 负责省、市国家调查队的日常业务工作和专项调查工作，依法管理全县涉外调查活动和统计咨询中介组织。</w:t>
      </w:r>
    </w:p>
    <w:p>
      <w:pPr>
        <w:ind w:firstLine="594"/>
      </w:pPr>
      <w:r>
        <w:rPr>
          <w:rFonts w:hint="eastAsia"/>
        </w:rPr>
        <w:t>10. 负责本行业、领域的应急管理工作，对本行业、领域的安全生产工作实施监督管理。</w:t>
      </w:r>
    </w:p>
    <w:p>
      <w:pPr>
        <w:ind w:firstLine="594"/>
      </w:pPr>
      <w:r>
        <w:rPr>
          <w:rFonts w:hint="eastAsia"/>
        </w:rPr>
        <w:t>11. 完成县委、县政府交办的其他任务。</w:t>
      </w:r>
    </w:p>
    <w:p>
      <w:pPr>
        <w:pStyle w:val="2"/>
        <w:ind w:firstLine="594"/>
        <w:rPr>
          <w:kern w:val="0"/>
        </w:rPr>
      </w:pPr>
      <w:bookmarkStart w:id="12" w:name="_Toc57403712"/>
      <w:bookmarkStart w:id="13" w:name="_Toc29044592"/>
      <w:r>
        <w:rPr>
          <w:kern w:val="0"/>
        </w:rPr>
        <w:t>二、</w:t>
      </w:r>
      <w:r>
        <w:rPr>
          <w:rFonts w:hint="eastAsia"/>
          <w:kern w:val="0"/>
        </w:rPr>
        <w:t>部门</w:t>
      </w:r>
      <w:r>
        <w:rPr>
          <w:kern w:val="0"/>
        </w:rPr>
        <w:t>整体支出管理及使用情况</w:t>
      </w:r>
      <w:bookmarkEnd w:id="12"/>
      <w:bookmarkEnd w:id="13"/>
    </w:p>
    <w:p>
      <w:pPr>
        <w:pStyle w:val="3"/>
        <w:ind w:firstLine="596"/>
        <w:rPr>
          <w:kern w:val="0"/>
        </w:rPr>
      </w:pPr>
      <w:bookmarkStart w:id="14" w:name="_Toc57403713"/>
      <w:bookmarkStart w:id="15" w:name="_Toc29044593"/>
      <w:r>
        <w:rPr>
          <w:kern w:val="0"/>
        </w:rPr>
        <w:t>（一）</w:t>
      </w:r>
      <w:bookmarkStart w:id="16" w:name="_Hlk518291918"/>
      <w:r>
        <w:rPr>
          <w:rFonts w:hint="eastAsia" w:ascii="Times New Roman" w:hAnsi="Times New Roman"/>
          <w:kern w:val="0"/>
        </w:rPr>
        <w:t>2019年</w:t>
      </w:r>
      <w:r>
        <w:rPr>
          <w:rFonts w:hint="eastAsia"/>
          <w:kern w:val="0"/>
        </w:rPr>
        <w:t>部门预算情况</w:t>
      </w:r>
      <w:bookmarkEnd w:id="14"/>
      <w:bookmarkEnd w:id="15"/>
    </w:p>
    <w:bookmarkEnd w:id="16"/>
    <w:p>
      <w:pPr>
        <w:ind w:firstLine="594"/>
      </w:pPr>
      <w:bookmarkStart w:id="17" w:name="_Toc29044594"/>
      <w:r>
        <w:rPr>
          <w:rFonts w:hint="eastAsia"/>
        </w:rPr>
        <w:t>经衡山县财政局通过的</w:t>
      </w:r>
      <w:r>
        <w:t>201</w:t>
      </w:r>
      <w:r>
        <w:rPr>
          <w:rFonts w:hint="eastAsia"/>
        </w:rPr>
        <w:t>9年部门预算批复，全年收入预算总计166.37万元，其中：经费拨款</w:t>
      </w:r>
      <w:r>
        <w:t>1</w:t>
      </w:r>
      <w:r>
        <w:rPr>
          <w:rFonts w:hint="eastAsia"/>
        </w:rPr>
        <w:t>66.37万元，纳入预算管理的非税收入拨款100万元，转移支付安排</w:t>
      </w:r>
      <w:r>
        <w:t>0</w:t>
      </w:r>
      <w:r>
        <w:rPr>
          <w:rFonts w:hint="eastAsia"/>
        </w:rPr>
        <w:t>万元，基金预算拨款</w:t>
      </w:r>
      <w:r>
        <w:t>0</w:t>
      </w:r>
      <w:r>
        <w:rPr>
          <w:rFonts w:hint="eastAsia"/>
        </w:rPr>
        <w:t>万元，财政专户管理的非税收入拨款</w:t>
      </w:r>
      <w:r>
        <w:t>0</w:t>
      </w:r>
      <w:r>
        <w:rPr>
          <w:rFonts w:hint="eastAsia"/>
        </w:rPr>
        <w:t>万元，经营收入</w:t>
      </w:r>
      <w:r>
        <w:t>0</w:t>
      </w:r>
      <w:r>
        <w:rPr>
          <w:rFonts w:hint="eastAsia"/>
        </w:rPr>
        <w:t>万元，上级补助收入</w:t>
      </w:r>
      <w:r>
        <w:t>0</w:t>
      </w:r>
      <w:r>
        <w:rPr>
          <w:rFonts w:hint="eastAsia"/>
        </w:rPr>
        <w:t>万元，附属单位缴款</w:t>
      </w:r>
      <w:r>
        <w:t>0</w:t>
      </w:r>
      <w:r>
        <w:rPr>
          <w:rFonts w:hint="eastAsia"/>
        </w:rPr>
        <w:t>万元，其他收入</w:t>
      </w:r>
      <w:r>
        <w:t>0</w:t>
      </w:r>
      <w:r>
        <w:rPr>
          <w:rFonts w:hint="eastAsia"/>
        </w:rPr>
        <w:t>万元。</w:t>
      </w:r>
    </w:p>
    <w:p>
      <w:pPr>
        <w:ind w:firstLine="594"/>
        <w:rPr>
          <w:b/>
          <w:bCs/>
          <w:kern w:val="0"/>
        </w:rPr>
      </w:pPr>
      <w:r>
        <w:rPr>
          <w:rFonts w:hint="eastAsia"/>
        </w:rPr>
        <w:t>全年支出预算总计166.37万元，其中：基本支出</w:t>
      </w:r>
      <w:r>
        <w:t>139.83</w:t>
      </w:r>
      <w:r>
        <w:rPr>
          <w:rFonts w:hint="eastAsia"/>
        </w:rPr>
        <w:t>万元（工资福利支出</w:t>
      </w:r>
      <w:r>
        <w:t>119.89</w:t>
      </w:r>
      <w:r>
        <w:rPr>
          <w:rFonts w:hint="eastAsia"/>
        </w:rPr>
        <w:t>万元、一般商品和服务支出</w:t>
      </w:r>
      <w:r>
        <w:t>19.6</w:t>
      </w:r>
      <w:r>
        <w:rPr>
          <w:rFonts w:hint="eastAsia"/>
        </w:rPr>
        <w:t>万元、对个人和家庭的补助0.34万元），项目支出</w:t>
      </w:r>
      <w:r>
        <w:t>26.54</w:t>
      </w:r>
      <w:r>
        <w:rPr>
          <w:rFonts w:hint="eastAsia"/>
        </w:rPr>
        <w:t>万元、经营支出</w:t>
      </w:r>
      <w:r>
        <w:t>0</w:t>
      </w:r>
      <w:r>
        <w:rPr>
          <w:rFonts w:hint="eastAsia"/>
        </w:rPr>
        <w:t>万元，对附属单位补助支出</w:t>
      </w:r>
      <w:r>
        <w:t>0</w:t>
      </w:r>
      <w:r>
        <w:rPr>
          <w:rFonts w:hint="eastAsia"/>
        </w:rPr>
        <w:t>万元，上缴上级支出</w:t>
      </w:r>
      <w:r>
        <w:t>0</w:t>
      </w:r>
      <w:r>
        <w:rPr>
          <w:rFonts w:hint="eastAsia"/>
        </w:rPr>
        <w:t>万元，结转自筹基建</w:t>
      </w:r>
      <w:r>
        <w:t>0</w:t>
      </w:r>
      <w:r>
        <w:rPr>
          <w:rFonts w:hint="eastAsia"/>
        </w:rPr>
        <w:t>万元。全年预算收支平衡。</w:t>
      </w:r>
    </w:p>
    <w:p>
      <w:pPr>
        <w:pStyle w:val="3"/>
        <w:ind w:firstLine="596"/>
      </w:pPr>
      <w:bookmarkStart w:id="18" w:name="_Toc57403714"/>
      <w:r>
        <w:t>（二）</w:t>
      </w:r>
      <w:r>
        <w:rPr>
          <w:rFonts w:hint="eastAsia" w:ascii="Times New Roman" w:hAnsi="Times New Roman"/>
        </w:rPr>
        <w:t>2019年</w:t>
      </w:r>
      <w:r>
        <w:rPr>
          <w:rFonts w:hint="eastAsia"/>
        </w:rPr>
        <w:t>部门决算情况</w:t>
      </w:r>
      <w:bookmarkEnd w:id="17"/>
      <w:bookmarkEnd w:id="18"/>
    </w:p>
    <w:p>
      <w:pPr>
        <w:ind w:firstLine="594"/>
      </w:pPr>
      <w:bookmarkStart w:id="19" w:name="_Toc29044595"/>
      <w:r>
        <w:t>2019年</w:t>
      </w:r>
      <w:r>
        <w:rPr>
          <w:rFonts w:hint="eastAsia"/>
        </w:rPr>
        <w:t>度决算总收入346.32万元，其中：财政拨款收入346.32万元（其中：县级财政拨款346.32万元、上级财政拨款0万元）、事业收入0万元。</w:t>
      </w:r>
    </w:p>
    <w:p>
      <w:pPr>
        <w:ind w:firstLine="594"/>
      </w:pPr>
      <w:r>
        <w:t>2019年</w:t>
      </w:r>
      <w:r>
        <w:rPr>
          <w:rFonts w:hint="eastAsia"/>
        </w:rPr>
        <w:t>度决算总支出269.57万元，其中：基本支出192.46万元，占总支出的71.40</w:t>
      </w:r>
      <w:r>
        <w:t>%</w:t>
      </w:r>
      <w:r>
        <w:rPr>
          <w:rFonts w:hint="eastAsia"/>
        </w:rPr>
        <w:t>；项目支出77.11万元，占总支出的28.60</w:t>
      </w:r>
      <w:r>
        <w:t>%</w:t>
      </w:r>
      <w:r>
        <w:rPr>
          <w:rFonts w:hint="eastAsia"/>
        </w:rPr>
        <w:t>。</w:t>
      </w:r>
    </w:p>
    <w:p>
      <w:pPr>
        <w:ind w:firstLine="594"/>
      </w:pPr>
      <w:r>
        <w:t>2019年</w:t>
      </w:r>
      <w:r>
        <w:rPr>
          <w:rFonts w:hint="eastAsia"/>
        </w:rPr>
        <w:t>年初结转和结余58.30万元，</w:t>
      </w:r>
      <w:r>
        <w:t>2019年</w:t>
      </w:r>
      <w:r>
        <w:rPr>
          <w:rFonts w:hint="eastAsia"/>
        </w:rPr>
        <w:t>年末结转和结余135.05万元。</w:t>
      </w:r>
    </w:p>
    <w:p>
      <w:pPr>
        <w:pStyle w:val="3"/>
        <w:ind w:firstLine="596"/>
      </w:pPr>
      <w:bookmarkStart w:id="20" w:name="_Toc57403715"/>
      <w:r>
        <w:t>（</w:t>
      </w:r>
      <w:r>
        <w:rPr>
          <w:rFonts w:hint="eastAsia"/>
        </w:rPr>
        <w:t>三</w:t>
      </w:r>
      <w:r>
        <w:t>）</w:t>
      </w:r>
      <w:r>
        <w:rPr>
          <w:rFonts w:hint="eastAsia" w:ascii="Times New Roman" w:hAnsi="Times New Roman"/>
        </w:rPr>
        <w:t>2019年</w:t>
      </w:r>
      <w:r>
        <w:rPr>
          <w:rFonts w:hint="eastAsia"/>
        </w:rPr>
        <w:t>支出分类情况</w:t>
      </w:r>
      <w:bookmarkEnd w:id="19"/>
      <w:bookmarkEnd w:id="20"/>
    </w:p>
    <w:p>
      <w:pPr>
        <w:pStyle w:val="4"/>
        <w:ind w:firstLine="596"/>
        <w:rPr>
          <w:kern w:val="0"/>
        </w:rPr>
      </w:pPr>
      <w:bookmarkStart w:id="21" w:name="_Toc29044596"/>
      <w:bookmarkStart w:id="22" w:name="_Toc57403716"/>
      <w:r>
        <w:rPr>
          <w:rFonts w:hint="eastAsia"/>
          <w:kern w:val="0"/>
        </w:rPr>
        <w:t>1.</w:t>
      </w:r>
      <w:r>
        <w:rPr>
          <w:kern w:val="0"/>
        </w:rPr>
        <w:t>基本支出</w:t>
      </w:r>
      <w:bookmarkEnd w:id="21"/>
      <w:bookmarkEnd w:id="22"/>
    </w:p>
    <w:p>
      <w:pPr>
        <w:ind w:firstLine="594"/>
      </w:pPr>
      <w:bookmarkStart w:id="23" w:name="_Toc29044598"/>
      <w:r>
        <w:rPr>
          <w:rFonts w:hint="eastAsia"/>
        </w:rPr>
        <w:t>基本支出是指为保障单位机构正常运转、完成日常工作任务而发生的各项支出，包括用于在职和离退休人员基本工资、津贴补贴等人员经费以及办公费、印刷费、水电费、差旅费、维修（护）费等日常公用经费。衡山县统计局</w:t>
      </w:r>
      <w:r>
        <w:t>2019年</w:t>
      </w:r>
      <w:r>
        <w:rPr>
          <w:rFonts w:hint="eastAsia"/>
        </w:rPr>
        <w:t>基本支出192.46万元，较上年增加1.13万元，增长0.59</w:t>
      </w:r>
      <w:r>
        <w:t>%</w:t>
      </w:r>
      <w:r>
        <w:rPr>
          <w:rFonts w:hint="eastAsia"/>
        </w:rPr>
        <w:t>。基本支出中人员经费158.70万元，占基本支出的82.46</w:t>
      </w:r>
      <w:r>
        <w:t>%</w:t>
      </w:r>
      <w:r>
        <w:rPr>
          <w:rFonts w:hint="eastAsia"/>
        </w:rPr>
        <w:t>，较上年增长6.85</w:t>
      </w:r>
      <w:r>
        <w:t>%</w:t>
      </w:r>
      <w:r>
        <w:rPr>
          <w:rFonts w:hint="eastAsia"/>
        </w:rPr>
        <w:t>，日常公用经费33.76万元，占基本支出的17.54</w:t>
      </w:r>
      <w:r>
        <w:t>%</w:t>
      </w:r>
      <w:r>
        <w:rPr>
          <w:rFonts w:hint="eastAsia"/>
        </w:rPr>
        <w:t>，较上年下降21.14</w:t>
      </w:r>
      <w:r>
        <w:t>%</w:t>
      </w:r>
      <w:r>
        <w:rPr>
          <w:rFonts w:hint="eastAsia"/>
        </w:rPr>
        <w:t>。</w:t>
      </w:r>
    </w:p>
    <w:p>
      <w:pPr>
        <w:pStyle w:val="4"/>
        <w:ind w:firstLine="596"/>
        <w:rPr>
          <w:kern w:val="0"/>
        </w:rPr>
      </w:pPr>
      <w:bookmarkStart w:id="24" w:name="_Toc57403717"/>
      <w:r>
        <w:rPr>
          <w:rFonts w:hint="eastAsia"/>
          <w:kern w:val="0"/>
        </w:rPr>
        <w:t>2.项目支出</w:t>
      </w:r>
      <w:bookmarkEnd w:id="24"/>
    </w:p>
    <w:p>
      <w:pPr>
        <w:ind w:firstLine="594"/>
      </w:pPr>
      <w:bookmarkStart w:id="25" w:name="_Hlk55933518"/>
      <w:r>
        <w:rPr>
          <w:rFonts w:hint="eastAsia"/>
        </w:rPr>
        <w:t>项目支出指单位为完成特定工作任务或事业发展目标而发生的支出，包括基本建设类项目支出和行政事业类项目支出。衡山县统计局</w:t>
      </w:r>
      <w:r>
        <w:t>2019年</w:t>
      </w:r>
      <w:r>
        <w:rPr>
          <w:rFonts w:hint="eastAsia"/>
        </w:rPr>
        <w:t>项目支出77.11万元，比上年减少180.00万元，下降70.01</w:t>
      </w:r>
      <w:r>
        <w:t>%</w:t>
      </w:r>
      <w:r>
        <w:rPr>
          <w:rFonts w:hint="eastAsia"/>
        </w:rPr>
        <w:t>，其中基本建设类项目支出0万元。</w:t>
      </w:r>
    </w:p>
    <w:bookmarkEnd w:id="23"/>
    <w:bookmarkEnd w:id="25"/>
    <w:p>
      <w:pPr>
        <w:pStyle w:val="4"/>
        <w:ind w:firstLine="596"/>
        <w:rPr>
          <w:kern w:val="0"/>
        </w:rPr>
      </w:pPr>
      <w:bookmarkStart w:id="26" w:name="_Toc57403718"/>
      <w:bookmarkStart w:id="27" w:name="_Toc29044599"/>
      <w:r>
        <w:rPr>
          <w:rFonts w:hint="eastAsia"/>
          <w:kern w:val="0"/>
        </w:rPr>
        <w:t>3</w:t>
      </w:r>
      <w:r>
        <w:rPr>
          <w:kern w:val="0"/>
        </w:rPr>
        <w:t>.</w:t>
      </w:r>
      <w:r>
        <w:rPr>
          <w:rFonts w:hint="eastAsia"/>
          <w:kern w:val="0"/>
        </w:rPr>
        <w:t>“三公”经费情况</w:t>
      </w:r>
      <w:bookmarkEnd w:id="26"/>
    </w:p>
    <w:p>
      <w:pPr>
        <w:ind w:firstLine="594"/>
        <w:rPr>
          <w:kern w:val="0"/>
        </w:rPr>
      </w:pPr>
      <w:bookmarkStart w:id="28" w:name="_Hlk55933533"/>
      <w:r>
        <w:rPr>
          <w:kern w:val="0"/>
        </w:rPr>
        <w:t>2</w:t>
      </w:r>
      <w:r>
        <w:t>019年</w:t>
      </w:r>
      <w:r>
        <w:rPr>
          <w:rFonts w:hint="eastAsia"/>
        </w:rPr>
        <w:t>“三公”经费支出1.92万元，其中公务接待0.59万元、公务用车运行维护费1.33万元，“三公”经费年初预算2万元，其中公务接待费2万元、公务用车运行维护费</w:t>
      </w:r>
      <w:r>
        <w:t>0</w:t>
      </w:r>
      <w:r>
        <w:rPr>
          <w:rFonts w:hint="eastAsia"/>
        </w:rPr>
        <w:t>万元，“三公”经费实际支出占年初预算的96.00</w:t>
      </w:r>
      <w:r>
        <w:t>%</w:t>
      </w:r>
      <w:r>
        <w:rPr>
          <w:rFonts w:hint="eastAsia"/>
        </w:rPr>
        <w:t>，同比上年增加46.56</w:t>
      </w:r>
      <w:r>
        <w:t>%</w:t>
      </w:r>
      <w:r>
        <w:rPr>
          <w:rFonts w:hint="eastAsia"/>
        </w:rPr>
        <w:t>。增加的主要原因是公务用车运行维护费增加。</w:t>
      </w:r>
    </w:p>
    <w:bookmarkEnd w:id="28"/>
    <w:p>
      <w:pPr>
        <w:pStyle w:val="2"/>
        <w:ind w:firstLine="594"/>
        <w:rPr>
          <w:kern w:val="0"/>
        </w:rPr>
      </w:pPr>
      <w:bookmarkStart w:id="29" w:name="_Toc57403719"/>
      <w:r>
        <w:rPr>
          <w:rFonts w:hint="eastAsia"/>
          <w:kern w:val="0"/>
        </w:rPr>
        <w:t>三、资产管理情况</w:t>
      </w:r>
      <w:bookmarkEnd w:id="27"/>
      <w:bookmarkEnd w:id="29"/>
    </w:p>
    <w:p>
      <w:pPr>
        <w:ind w:firstLine="594"/>
      </w:pPr>
      <w:bookmarkStart w:id="30" w:name="_Hlk54693602"/>
      <w:bookmarkStart w:id="31" w:name="_Toc29044600"/>
      <w:r>
        <w:rPr>
          <w:rFonts w:hint="eastAsia"/>
        </w:rPr>
        <w:t>截至</w:t>
      </w:r>
      <w:r>
        <w:t>2019年12</w:t>
      </w:r>
      <w:r>
        <w:rPr>
          <w:rFonts w:hint="eastAsia"/>
        </w:rPr>
        <w:t>月</w:t>
      </w:r>
      <w:r>
        <w:t>31</w:t>
      </w:r>
      <w:r>
        <w:rPr>
          <w:rFonts w:hint="eastAsia"/>
        </w:rPr>
        <w:t>日，资产总额为217.74万元，其中：流动资产135.05万元，占62.02</w:t>
      </w:r>
      <w:r>
        <w:t>%</w:t>
      </w:r>
      <w:r>
        <w:rPr>
          <w:rFonts w:hint="eastAsia"/>
        </w:rPr>
        <w:t>；固定资产净值82.70万元，占37.98</w:t>
      </w:r>
      <w:r>
        <w:t>%</w:t>
      </w:r>
      <w:r>
        <w:rPr>
          <w:rFonts w:hint="eastAsia"/>
        </w:rPr>
        <w:t>，其中轿车1辆，价值0万元，占固定资产的0</w:t>
      </w:r>
      <w:r>
        <w:t>%</w:t>
      </w:r>
      <w:r>
        <w:rPr>
          <w:rFonts w:hint="eastAsia"/>
        </w:rPr>
        <w:t>；其他固定资产82.70万元，占固定资产的100</w:t>
      </w:r>
      <w:r>
        <w:t>%</w:t>
      </w:r>
      <w:r>
        <w:rPr>
          <w:rFonts w:hint="eastAsia"/>
        </w:rPr>
        <w:t>；无单价</w:t>
      </w:r>
      <w:r>
        <w:t>50.00</w:t>
      </w:r>
      <w:r>
        <w:rPr>
          <w:rFonts w:hint="eastAsia"/>
        </w:rPr>
        <w:t>万元以上的通用设备；无单价</w:t>
      </w:r>
      <w:r>
        <w:t>100.00</w:t>
      </w:r>
      <w:r>
        <w:rPr>
          <w:rFonts w:hint="eastAsia"/>
        </w:rPr>
        <w:t>万元以上的专用设备；在建工程15.55万元，占1.02</w:t>
      </w:r>
      <w:r>
        <w:t>%</w:t>
      </w:r>
      <w:r>
        <w:rPr>
          <w:rFonts w:hint="eastAsia"/>
        </w:rPr>
        <w:t>；其他资产0万元。</w:t>
      </w:r>
    </w:p>
    <w:p>
      <w:pPr>
        <w:ind w:firstLine="594"/>
      </w:pPr>
      <w:r>
        <w:t>2019年</w:t>
      </w:r>
      <w:r>
        <w:rPr>
          <w:rFonts w:hint="eastAsia"/>
        </w:rPr>
        <w:t>新固定资产15.81万元，其中通用设备15.81万元。</w:t>
      </w:r>
    </w:p>
    <w:p>
      <w:pPr>
        <w:pStyle w:val="2"/>
        <w:ind w:firstLine="594"/>
        <w:rPr>
          <w:rFonts w:eastAsia="仿宋"/>
          <w:bCs w:val="0"/>
          <w:kern w:val="2"/>
          <w:szCs w:val="24"/>
        </w:rPr>
      </w:pPr>
      <w:bookmarkStart w:id="32" w:name="_Toc57363314"/>
      <w:bookmarkStart w:id="33" w:name="_Toc57363950"/>
      <w:bookmarkStart w:id="34" w:name="_Toc57403720"/>
      <w:r>
        <w:rPr>
          <w:rFonts w:hint="eastAsia" w:eastAsia="仿宋"/>
          <w:bCs w:val="0"/>
          <w:kern w:val="2"/>
          <w:szCs w:val="24"/>
        </w:rPr>
        <w:t>2019年固定资产计提折旧88.01万元，其中土地、房屋及构筑物0万元，通用设备82.68万元、家具、用具、具及动植物5.34万元。</w:t>
      </w:r>
      <w:bookmarkEnd w:id="30"/>
      <w:bookmarkEnd w:id="32"/>
      <w:bookmarkEnd w:id="33"/>
      <w:bookmarkEnd w:id="34"/>
    </w:p>
    <w:p>
      <w:pPr>
        <w:pStyle w:val="2"/>
        <w:ind w:firstLine="594"/>
        <w:rPr>
          <w:kern w:val="0"/>
        </w:rPr>
      </w:pPr>
      <w:bookmarkStart w:id="35" w:name="_Toc57403721"/>
      <w:r>
        <w:rPr>
          <w:rFonts w:hint="eastAsia"/>
          <w:kern w:val="0"/>
        </w:rPr>
        <w:t>四、部门整体绩效情况</w:t>
      </w:r>
      <w:bookmarkEnd w:id="31"/>
      <w:bookmarkEnd w:id="35"/>
    </w:p>
    <w:p>
      <w:pPr>
        <w:pStyle w:val="3"/>
        <w:ind w:firstLine="596"/>
      </w:pPr>
      <w:bookmarkStart w:id="36" w:name="_Toc29044601"/>
      <w:bookmarkStart w:id="37" w:name="_Toc57403722"/>
      <w:r>
        <w:rPr>
          <w:rFonts w:hint="eastAsia"/>
        </w:rPr>
        <w:t>（一）部门整体绩效目标</w:t>
      </w:r>
      <w:bookmarkEnd w:id="36"/>
      <w:bookmarkEnd w:id="37"/>
    </w:p>
    <w:p>
      <w:pPr>
        <w:ind w:firstLine="594"/>
      </w:pPr>
      <w:r>
        <w:rPr>
          <w:rFonts w:hint="eastAsia"/>
        </w:rPr>
        <w:t>1. 着力推进重点工作。深入基层，开展统计联网直报工作认真做好专业数据采集工作；积极开展各项统计调查任务。认真搞好粮食监测、畜禽监测、城乡一体化经济调查、1%人口抽样调查等工作；扎实完成全面小康监测工作；全力做好第四次全国经济普查工作。举全局之力，稳步推进普查各阶段的工作；</w:t>
      </w:r>
    </w:p>
    <w:p>
      <w:pPr>
        <w:ind w:firstLine="594"/>
      </w:pPr>
      <w:r>
        <w:rPr>
          <w:rFonts w:hint="eastAsia"/>
        </w:rPr>
        <w:t>2. 全力提升决策服务水平。做好统计预警监测，反映经济运行趋势；做好统计咨询服务，反映经济发展成果；健全落实联席会议制度；</w:t>
      </w:r>
    </w:p>
    <w:p>
      <w:pPr>
        <w:ind w:firstLine="594"/>
      </w:pPr>
      <w:r>
        <w:rPr>
          <w:rFonts w:hint="eastAsia"/>
        </w:rPr>
        <w:t>3. 扎实提高业务能力，积极参加各种培训。</w:t>
      </w:r>
    </w:p>
    <w:p>
      <w:pPr>
        <w:ind w:firstLine="594"/>
      </w:pPr>
      <w:r>
        <w:rPr>
          <w:rFonts w:hint="eastAsia"/>
        </w:rPr>
        <w:t>4. 切实加强队伍建设。规范完善机关各类制度；加强党风廉政建设；充实队伍；</w:t>
      </w:r>
    </w:p>
    <w:p>
      <w:pPr>
        <w:pStyle w:val="3"/>
        <w:ind w:firstLine="596"/>
      </w:pPr>
      <w:bookmarkStart w:id="38" w:name="_Toc29044602"/>
      <w:bookmarkStart w:id="39" w:name="_Toc57403723"/>
      <w:r>
        <w:rPr>
          <w:rFonts w:hint="eastAsia"/>
        </w:rPr>
        <w:t>（二）部门整体绩效情况</w:t>
      </w:r>
      <w:bookmarkEnd w:id="38"/>
      <w:bookmarkEnd w:id="39"/>
    </w:p>
    <w:p>
      <w:pPr>
        <w:ind w:firstLine="594"/>
      </w:pPr>
      <w:bookmarkStart w:id="40" w:name="_Toc29044603"/>
      <w:r>
        <w:rPr>
          <w:rFonts w:hint="eastAsia"/>
          <w:kern w:val="0"/>
        </w:rPr>
        <w:t>1</w:t>
      </w:r>
      <w:r>
        <w:rPr>
          <w:rFonts w:hint="eastAsia"/>
        </w:rPr>
        <w:t>.采取上门核实、电话查询、专业关联审核、查遗补漏等形式，准确、及时地完成了全年各项统计报表任务，较好的反映了县域经济社会发展状况，预计全年各主要经济指标完成情况：地区生产总值增长8.8%；规模以上工业增加值增长9.5%；固定资产投资增长13.5%；社会消费品零售总额增长10.5%；预计城乡居民人均可支配收入分别增长8.2、8.4%；按阶段实施粮食监测工作，做好畜禽监测布点核查。认真开展城乡经济调查工作，同步做好城乡一体化经济调查样本管理工作；启动并完成了12个乡镇153 个村(居)委会180户一套表单位、2226户非一套表单位和1291户个体经营户的三类普查表上门登记，查遗补漏单位及个体76户，审核纠错20万余笔，异常数据排查、核查工作顺利完成，现已按要求通过省市事后质量抽检验收；</w:t>
      </w:r>
    </w:p>
    <w:p>
      <w:pPr>
        <w:ind w:firstLine="594"/>
      </w:pPr>
      <w:r>
        <w:rPr>
          <w:rFonts w:hint="eastAsia"/>
        </w:rPr>
        <w:t>2.</w:t>
      </w:r>
      <w:r>
        <w:t xml:space="preserve"> </w:t>
      </w:r>
      <w:r>
        <w:rPr>
          <w:rFonts w:hint="eastAsia"/>
        </w:rPr>
        <w:t>盯紧主要经济指标，对发现的一些苗头性、趋势性问题及时向县委、政府及相关部门进行预警。对全面建成小康社会统计监测弱项指标进行重点监控、重点推进。指导督促相关部门精准发力，为完成目标任务奠定了基础；及时公布《衡山县2018年国民经济和社会发展统计公报》，编印《统计月报》10期，每月以短信的形式向</w:t>
      </w:r>
      <w:r>
        <w:rPr>
          <w:rFonts w:hint="eastAsia"/>
          <w:lang w:eastAsia="zh-CN"/>
        </w:rPr>
        <w:t>县委县政府</w:t>
      </w:r>
      <w:r>
        <w:rPr>
          <w:rFonts w:hint="eastAsia"/>
        </w:rPr>
        <w:t>主要领导汇报全县经济运行情况，向</w:t>
      </w:r>
      <w:r>
        <w:rPr>
          <w:rFonts w:hint="eastAsia"/>
          <w:lang w:eastAsia="zh-CN"/>
        </w:rPr>
        <w:t>县委县政府</w:t>
      </w:r>
      <w:r>
        <w:rPr>
          <w:rFonts w:hint="eastAsia"/>
        </w:rPr>
        <w:t>提供经济运行统计分析12篇，为县主要领导决策提供合理化建议。 到目前截止，我局总共撰写了动态信息40多篇，统计分析30余篇；由县政府牵头，我局具体承办，召集园区、 发改、经科信、商粮、住建等经济主管部门主要领导、分管领导和业务人员召开了3次季度联席会议，分析经济情况，商讨解决办法，清晰落实责任，助力县域经济社会向好发展。</w:t>
      </w:r>
    </w:p>
    <w:p>
      <w:pPr>
        <w:ind w:firstLine="594"/>
      </w:pPr>
      <w:r>
        <w:rPr>
          <w:rFonts w:hint="eastAsia"/>
        </w:rPr>
        <w:t>3.参加市级对县级的专业性培训，通过培训，提升机关干部业务素质，同时为指导基层人员实际工作打好基础；利用统计年报会、四经普、 联网直报、城乡一体化、专业统计培训等方式对基层统计人员进行针对性的专业培训，截止目前累计培训达到300多人(次)；切实加强执法培训和执行。以四经普入户登记为契机，强化统计法治宣传学习。利用各专业年报会、四经普、“一套表”调查单位大清查活动等方式，深入到12个乡镇、170家“四上”企业宣传统计法律法规；结合“一套表”调查单位大清查活动、统计基层基础建设等工作对全县12家企业、单位进行执法检查，重点检查“四上”企业和项目报表单位，切实提高统计数据质量。</w:t>
      </w:r>
    </w:p>
    <w:p>
      <w:pPr>
        <w:ind w:firstLine="594"/>
      </w:pPr>
      <w:r>
        <w:rPr>
          <w:rFonts w:hint="eastAsia"/>
        </w:rPr>
        <w:t>4. 完善财务制度、 差旅用车制度、会议制度、统计调研制度，用制度规范行为， 令行禁止，一视同仁。通过严肃工作作风，确保令行禁止，行风转变；坚持以构建有统计系统特色的惩治和预防腐败体系为目标，以落实党风廉政建设责任制为抓手，把反腐倡廉工作融入统计改革和发展之中。开展廉洁从政、依法行政教育6次，加强落实责任制的监督和检查3次，努力完善和规范廉政教育的长效机制、反腐倡廉制度体系、权力运行监督机制、反腐倡廉建设工作的组织管理机制，切实提高党风廉政建设和反腐败工作成效；今年我局新调入两名班子成员，申报事业单位招考计划三名，着力充实队伍建设；</w:t>
      </w:r>
    </w:p>
    <w:p>
      <w:pPr>
        <w:pStyle w:val="2"/>
        <w:ind w:firstLine="594"/>
        <w:rPr>
          <w:kern w:val="0"/>
        </w:rPr>
      </w:pPr>
      <w:bookmarkStart w:id="41" w:name="_Toc57403724"/>
      <w:r>
        <w:rPr>
          <w:rFonts w:hint="eastAsia"/>
          <w:kern w:val="0"/>
        </w:rPr>
        <w:t>五、综合评价情况及评价结论</w:t>
      </w:r>
      <w:bookmarkEnd w:id="40"/>
      <w:bookmarkEnd w:id="41"/>
    </w:p>
    <w:p>
      <w:pPr>
        <w:pStyle w:val="3"/>
        <w:ind w:firstLine="596"/>
      </w:pPr>
      <w:bookmarkStart w:id="42" w:name="_Toc57403725"/>
      <w:bookmarkStart w:id="43" w:name="_Toc29044604"/>
      <w:r>
        <w:rPr>
          <w:rFonts w:hint="eastAsia"/>
        </w:rPr>
        <w:t>（一）绩效评价结论</w:t>
      </w:r>
      <w:bookmarkEnd w:id="42"/>
      <w:bookmarkEnd w:id="43"/>
    </w:p>
    <w:p>
      <w:pPr>
        <w:ind w:firstLine="594"/>
      </w:pPr>
      <w:r>
        <w:rPr>
          <w:rFonts w:hint="eastAsia"/>
        </w:rPr>
        <w:t>经评价工作组从预算配置、预算执行、预算管理、职责履行和履职效益等方面对衡山县统计局2019年度部门整体支出资金项目进行综合评定，该项目绩效评价得分为</w:t>
      </w:r>
      <w:r>
        <w:rPr>
          <w:rFonts w:hint="eastAsia"/>
          <w:lang w:val="en-US" w:eastAsia="zh-CN"/>
        </w:rPr>
        <w:t>72</w:t>
      </w:r>
      <w:r>
        <w:rPr>
          <w:rFonts w:hint="eastAsia"/>
        </w:rPr>
        <w:t>分。具体指标评分情况见附件一。</w:t>
      </w:r>
    </w:p>
    <w:p>
      <w:pPr>
        <w:pStyle w:val="3"/>
        <w:ind w:firstLine="596"/>
      </w:pPr>
      <w:bookmarkStart w:id="44" w:name="_Toc29044605"/>
      <w:bookmarkStart w:id="45" w:name="_Toc57403726"/>
      <w:r>
        <w:rPr>
          <w:rFonts w:hint="eastAsia"/>
        </w:rPr>
        <w:t>（二）简析指标评分情况</w:t>
      </w:r>
      <w:bookmarkEnd w:id="44"/>
      <w:bookmarkEnd w:id="45"/>
    </w:p>
    <w:p>
      <w:pPr>
        <w:pStyle w:val="4"/>
        <w:ind w:firstLine="596"/>
        <w:rPr>
          <w:kern w:val="0"/>
        </w:rPr>
      </w:pPr>
      <w:bookmarkStart w:id="46" w:name="_Toc29044606"/>
      <w:bookmarkStart w:id="47" w:name="_Toc57403727"/>
      <w:r>
        <w:rPr>
          <w:rFonts w:hint="eastAsia"/>
          <w:kern w:val="0"/>
        </w:rPr>
        <w:t>1、预算配置控制较好，得分为</w:t>
      </w:r>
      <w:r>
        <w:rPr>
          <w:kern w:val="0"/>
        </w:rPr>
        <w:t>10</w:t>
      </w:r>
      <w:r>
        <w:rPr>
          <w:rFonts w:hint="eastAsia"/>
          <w:kern w:val="0"/>
        </w:rPr>
        <w:t>分</w:t>
      </w:r>
      <w:bookmarkEnd w:id="46"/>
      <w:bookmarkEnd w:id="47"/>
    </w:p>
    <w:p>
      <w:pPr>
        <w:ind w:firstLine="594"/>
      </w:pPr>
      <w:r>
        <w:rPr>
          <w:rFonts w:hint="eastAsia"/>
          <w:kern w:val="0"/>
        </w:rPr>
        <w:t>（</w:t>
      </w:r>
      <w:r>
        <w:rPr>
          <w:rFonts w:hint="eastAsia"/>
        </w:rPr>
        <w:t>1）在职人员控制率=（在职人员20人/编制26人）×100%=76.92%，≦100%得满分5分，每超过一个百分点扣0.5分，扣完为止。本项不扣分，得</w:t>
      </w:r>
      <w:r>
        <w:t>5</w:t>
      </w:r>
      <w:r>
        <w:rPr>
          <w:rFonts w:hint="eastAsia"/>
        </w:rPr>
        <w:t>分。</w:t>
      </w:r>
    </w:p>
    <w:p>
      <w:pPr>
        <w:ind w:firstLine="594"/>
      </w:pPr>
      <w:r>
        <w:rPr>
          <w:rFonts w:hint="eastAsia"/>
        </w:rPr>
        <w:t>（2）“三公经费”变动率=（本年度“三公经费”预算数12.04万元-上年度“三公经费”预算数12.04万元）/上年度“三公经费”预算数12.04万元×100%=0%，“三公经费”变动率≦0，得5分。</w:t>
      </w:r>
    </w:p>
    <w:p>
      <w:pPr>
        <w:pStyle w:val="4"/>
        <w:ind w:firstLine="596"/>
        <w:rPr>
          <w:kern w:val="0"/>
        </w:rPr>
      </w:pPr>
      <w:bookmarkStart w:id="48" w:name="_Toc57403728"/>
      <w:bookmarkStart w:id="49" w:name="_Toc29044607"/>
      <w:r>
        <w:rPr>
          <w:rFonts w:hint="eastAsia"/>
          <w:kern w:val="0"/>
        </w:rPr>
        <w:t>2、预算执行存在较大不足之处，得分为</w:t>
      </w:r>
      <w:r>
        <w:rPr>
          <w:kern w:val="0"/>
        </w:rPr>
        <w:t>10</w:t>
      </w:r>
      <w:r>
        <w:rPr>
          <w:rFonts w:hint="eastAsia"/>
          <w:kern w:val="0"/>
        </w:rPr>
        <w:t>分</w:t>
      </w:r>
      <w:bookmarkEnd w:id="48"/>
      <w:bookmarkEnd w:id="49"/>
    </w:p>
    <w:p>
      <w:pPr>
        <w:ind w:firstLine="594"/>
        <w:rPr>
          <w:kern w:val="0"/>
        </w:rPr>
      </w:pPr>
      <w:r>
        <w:rPr>
          <w:rFonts w:hint="eastAsia"/>
          <w:kern w:val="0"/>
        </w:rPr>
        <w:t>（1）预算完成率=（上年结转58.30万元+年初预算数166.37万元+本年追加预算179.95万元-年末结余135.05万元）/(上年结转58.30万元+年初预算数166.37万元+本年追加预算179.95万元)×100%=66.62%，100%记满分，每低于5%扣2分，本项扣5分，得</w:t>
      </w:r>
      <w:r>
        <w:rPr>
          <w:kern w:val="0"/>
        </w:rPr>
        <w:t>0</w:t>
      </w:r>
      <w:r>
        <w:rPr>
          <w:rFonts w:hint="eastAsia"/>
          <w:kern w:val="0"/>
        </w:rPr>
        <w:t>分。</w:t>
      </w:r>
    </w:p>
    <w:p>
      <w:pPr>
        <w:ind w:firstLine="594"/>
        <w:rPr>
          <w:kern w:val="0"/>
        </w:rPr>
      </w:pPr>
      <w:r>
        <w:rPr>
          <w:rFonts w:hint="eastAsia"/>
          <w:kern w:val="0"/>
        </w:rPr>
        <w:t>（2）预算控制率=（本年追加预算179.95万元/年初预算数166.37万元）×100%=108.16%，大于30%不得分，本项扣5分，得0分。</w:t>
      </w:r>
    </w:p>
    <w:p>
      <w:pPr>
        <w:ind w:firstLine="594"/>
        <w:rPr>
          <w:kern w:val="0"/>
        </w:rPr>
      </w:pPr>
      <w:r>
        <w:rPr>
          <w:rFonts w:hint="eastAsia"/>
          <w:kern w:val="0"/>
        </w:rPr>
        <w:t>（3）新建楼堂馆所面积控制率=实际建设面积/批准建设面积*100%。衡山县统计局2019年无新建楼堂馆所，本项目不扣分，得</w:t>
      </w:r>
      <w:r>
        <w:rPr>
          <w:kern w:val="0"/>
        </w:rPr>
        <w:t>5</w:t>
      </w:r>
      <w:r>
        <w:rPr>
          <w:rFonts w:hint="eastAsia"/>
          <w:kern w:val="0"/>
        </w:rPr>
        <w:t>分。</w:t>
      </w:r>
    </w:p>
    <w:p>
      <w:pPr>
        <w:ind w:firstLine="594"/>
        <w:rPr>
          <w:kern w:val="0"/>
        </w:rPr>
      </w:pPr>
      <w:r>
        <w:rPr>
          <w:rFonts w:hint="eastAsia"/>
          <w:kern w:val="0"/>
        </w:rPr>
        <w:t>（4）新建楼堂馆所投资概算控制率=实际投资金额/批准投资金额*100%。衡山县统计局2019年无新建楼堂馆所，本项目不扣分，得5分。</w:t>
      </w:r>
    </w:p>
    <w:p>
      <w:pPr>
        <w:pStyle w:val="4"/>
        <w:ind w:firstLine="596"/>
        <w:rPr>
          <w:kern w:val="0"/>
        </w:rPr>
      </w:pPr>
      <w:bookmarkStart w:id="50" w:name="_Toc29044608"/>
      <w:bookmarkStart w:id="51" w:name="_Toc57403729"/>
      <w:r>
        <w:rPr>
          <w:rFonts w:hint="eastAsia"/>
          <w:kern w:val="0"/>
        </w:rPr>
        <w:t>3、预算管理不太理想，得分为</w:t>
      </w:r>
      <w:r>
        <w:rPr>
          <w:rFonts w:hint="eastAsia"/>
          <w:kern w:val="0"/>
          <w:lang w:val="en-US" w:eastAsia="zh-CN"/>
        </w:rPr>
        <w:t>22</w:t>
      </w:r>
      <w:r>
        <w:rPr>
          <w:rFonts w:hint="eastAsia"/>
          <w:kern w:val="0"/>
        </w:rPr>
        <w:t>分</w:t>
      </w:r>
      <w:bookmarkEnd w:id="50"/>
      <w:bookmarkEnd w:id="51"/>
    </w:p>
    <w:p>
      <w:pPr>
        <w:ind w:firstLine="594"/>
        <w:rPr>
          <w:kern w:val="0"/>
        </w:rPr>
      </w:pPr>
      <w:r>
        <w:rPr>
          <w:rFonts w:hint="eastAsia"/>
          <w:kern w:val="0"/>
        </w:rPr>
        <w:t>（1）</w:t>
      </w:r>
      <w:bookmarkStart w:id="52" w:name="_Hlk57746829"/>
      <w:r>
        <w:rPr>
          <w:rFonts w:hint="eastAsia"/>
          <w:kern w:val="0"/>
        </w:rPr>
        <w:t>公用经费</w:t>
      </w:r>
      <w:bookmarkEnd w:id="52"/>
      <w:r>
        <w:rPr>
          <w:rFonts w:hint="eastAsia"/>
          <w:kern w:val="0"/>
        </w:rPr>
        <w:t>控制率=（实际支出公用经费总额33.76万元/预算安排公用经费总额19.60万元）×100%=172.24%，100%以下得满分8分。本项扣8分，得0分。</w:t>
      </w:r>
    </w:p>
    <w:p>
      <w:pPr>
        <w:ind w:firstLine="594"/>
        <w:rPr>
          <w:kern w:val="0"/>
        </w:rPr>
      </w:pPr>
      <w:r>
        <w:rPr>
          <w:rFonts w:hint="eastAsia"/>
          <w:kern w:val="0"/>
        </w:rPr>
        <w:t>（2）“三公”经费总体控制较好，“三公”经费控制率=（“三公经费”实际支出数1.92万元/“三公经费”预算安排数12.04万元）×100%=15.95%，100%以下计满分7分。本项无扣分，得7分。</w:t>
      </w:r>
    </w:p>
    <w:p>
      <w:pPr>
        <w:ind w:firstLine="594"/>
        <w:rPr>
          <w:kern w:val="0"/>
        </w:rPr>
      </w:pPr>
      <w:r>
        <w:rPr>
          <w:rFonts w:hint="eastAsia"/>
          <w:kern w:val="0"/>
        </w:rPr>
        <w:t>（3）</w:t>
      </w:r>
      <w:bookmarkStart w:id="53" w:name="_Hlk57667530"/>
      <w:r>
        <w:rPr>
          <w:rFonts w:hint="eastAsia"/>
          <w:kern w:val="0"/>
        </w:rPr>
        <w:t>政府采购执行率=（实际政府采购金额10.81万元/政府采购预算金额25万元）×100%=43.24%</w:t>
      </w:r>
      <w:bookmarkEnd w:id="53"/>
      <w:r>
        <w:rPr>
          <w:rFonts w:hint="eastAsia"/>
          <w:kern w:val="0"/>
        </w:rPr>
        <w:t>，100%计满分6分，每超过（降低）5%扣2分。本项扣6分，得0分。</w:t>
      </w:r>
    </w:p>
    <w:p>
      <w:pPr>
        <w:ind w:firstLine="594"/>
        <w:rPr>
          <w:kern w:val="0"/>
        </w:rPr>
      </w:pPr>
      <w:r>
        <w:rPr>
          <w:rFonts w:hint="eastAsia"/>
          <w:kern w:val="0"/>
        </w:rPr>
        <w:t>（4）管理制度健全性：衡山县统计局制定了内部财务管理制度、会计核算制度等管理制度，</w:t>
      </w:r>
      <w:r>
        <w:rPr>
          <w:rFonts w:hint="eastAsia"/>
          <w:kern w:val="0"/>
          <w:lang w:val="en-US" w:eastAsia="zh-CN"/>
        </w:rPr>
        <w:t>得2</w:t>
      </w:r>
      <w:r>
        <w:rPr>
          <w:rFonts w:hint="eastAsia"/>
          <w:kern w:val="0"/>
        </w:rPr>
        <w:t>分；制定了相关厉行节约制度，但未具体对费用支出进行细化，</w:t>
      </w:r>
      <w:r>
        <w:rPr>
          <w:rFonts w:hint="eastAsia"/>
          <w:kern w:val="0"/>
          <w:lang w:val="en-US" w:eastAsia="zh-CN"/>
        </w:rPr>
        <w:t>得2</w:t>
      </w:r>
      <w:r>
        <w:rPr>
          <w:rFonts w:hint="eastAsia"/>
          <w:kern w:val="0"/>
        </w:rPr>
        <w:t>分；制定的管理制度符合相关法律法规的规定，得2分；相关管理制度未得到有效执行，公用经费超预算，扣2分。本项扣</w:t>
      </w:r>
      <w:r>
        <w:rPr>
          <w:rFonts w:hint="eastAsia"/>
          <w:kern w:val="0"/>
          <w:lang w:val="en-US" w:eastAsia="zh-CN"/>
        </w:rPr>
        <w:t>2</w:t>
      </w:r>
      <w:r>
        <w:rPr>
          <w:rFonts w:hint="eastAsia"/>
          <w:kern w:val="0"/>
        </w:rPr>
        <w:t>分，得</w:t>
      </w:r>
      <w:r>
        <w:rPr>
          <w:rFonts w:hint="eastAsia"/>
          <w:kern w:val="0"/>
          <w:lang w:val="en-US" w:eastAsia="zh-CN"/>
        </w:rPr>
        <w:t>6</w:t>
      </w:r>
      <w:r>
        <w:rPr>
          <w:rFonts w:hint="eastAsia"/>
          <w:kern w:val="0"/>
        </w:rPr>
        <w:t>分。</w:t>
      </w:r>
    </w:p>
    <w:p>
      <w:pPr>
        <w:ind w:firstLine="594"/>
        <w:rPr>
          <w:kern w:val="0"/>
        </w:rPr>
      </w:pPr>
      <w:r>
        <w:rPr>
          <w:rFonts w:hint="eastAsia"/>
          <w:kern w:val="0"/>
        </w:rPr>
        <w:t>（5）资金使用合规性：支出符合国家财经法规和财务管理制度规定以及有关专项资金管理办法的规定；资金拨付有完整的审批程序和手续；项目支出按规定经过评估论证。存在支出不符合部门预算批复的用途；存在未按财政预算指标文件规定使用资金，项目资金用于行政运行支出的情况，本项扣2分，得4分。</w:t>
      </w:r>
    </w:p>
    <w:p>
      <w:pPr>
        <w:ind w:firstLine="594"/>
        <w:rPr>
          <w:kern w:val="0"/>
        </w:rPr>
      </w:pPr>
      <w:r>
        <w:rPr>
          <w:rFonts w:hint="eastAsia"/>
          <w:kern w:val="0"/>
        </w:rPr>
        <w:t>（6）预决算信息公开性：衡山县统计局已按要求完成2019年度部门预</w:t>
      </w:r>
      <w:r>
        <w:rPr>
          <w:rFonts w:hint="eastAsia"/>
          <w:kern w:val="0"/>
          <w:lang w:val="en-US" w:eastAsia="zh-CN"/>
        </w:rPr>
        <w:t>决算</w:t>
      </w:r>
      <w:r>
        <w:rPr>
          <w:rFonts w:hint="eastAsia"/>
          <w:kern w:val="0"/>
        </w:rPr>
        <w:t>公开，基础数据信息和会计信息资料真实、完整、准确，得</w:t>
      </w:r>
      <w:r>
        <w:rPr>
          <w:rFonts w:hint="eastAsia"/>
          <w:kern w:val="0"/>
          <w:lang w:val="en-US" w:eastAsia="zh-CN"/>
        </w:rPr>
        <w:t>5</w:t>
      </w:r>
      <w:r>
        <w:rPr>
          <w:rFonts w:hint="eastAsia"/>
          <w:kern w:val="0"/>
        </w:rPr>
        <w:t>分。</w:t>
      </w:r>
    </w:p>
    <w:p>
      <w:pPr>
        <w:pStyle w:val="4"/>
        <w:ind w:firstLine="596"/>
        <w:rPr>
          <w:kern w:val="0"/>
        </w:rPr>
      </w:pPr>
      <w:bookmarkStart w:id="54" w:name="_Toc29044609"/>
      <w:bookmarkStart w:id="55" w:name="_Toc57403730"/>
      <w:r>
        <w:rPr>
          <w:rFonts w:hint="eastAsia"/>
          <w:kern w:val="0"/>
        </w:rPr>
        <w:t>4、</w:t>
      </w:r>
      <w:bookmarkEnd w:id="54"/>
      <w:r>
        <w:rPr>
          <w:rFonts w:hint="eastAsia"/>
          <w:kern w:val="0"/>
        </w:rPr>
        <w:t>职责已全部履行，得分为8分。</w:t>
      </w:r>
      <w:bookmarkEnd w:id="55"/>
    </w:p>
    <w:p>
      <w:pPr>
        <w:ind w:firstLine="594"/>
        <w:rPr>
          <w:kern w:val="0"/>
        </w:rPr>
      </w:pPr>
      <w:r>
        <w:rPr>
          <w:rFonts w:hint="eastAsia"/>
          <w:kern w:val="0"/>
        </w:rPr>
        <w:t>衡山县统计局2019年部门重点工作均已完成，本项无扣分，得8分。</w:t>
      </w:r>
    </w:p>
    <w:p>
      <w:pPr>
        <w:pStyle w:val="4"/>
        <w:ind w:firstLine="596"/>
        <w:rPr>
          <w:kern w:val="0"/>
        </w:rPr>
      </w:pPr>
      <w:bookmarkStart w:id="56" w:name="_Toc57403731"/>
      <w:bookmarkStart w:id="57" w:name="_Toc29044610"/>
      <w:r>
        <w:rPr>
          <w:rFonts w:hint="eastAsia"/>
          <w:kern w:val="0"/>
        </w:rPr>
        <w:t>5、履职效益显著，得分为2</w:t>
      </w:r>
      <w:r>
        <w:rPr>
          <w:kern w:val="0"/>
        </w:rPr>
        <w:t>2</w:t>
      </w:r>
      <w:r>
        <w:rPr>
          <w:rFonts w:hint="eastAsia"/>
          <w:kern w:val="0"/>
        </w:rPr>
        <w:t>分。</w:t>
      </w:r>
      <w:bookmarkEnd w:id="56"/>
      <w:bookmarkEnd w:id="57"/>
    </w:p>
    <w:p>
      <w:pPr>
        <w:ind w:firstLine="594"/>
        <w:rPr>
          <w:kern w:val="0"/>
        </w:rPr>
      </w:pPr>
      <w:r>
        <w:rPr>
          <w:rFonts w:hint="eastAsia"/>
          <w:kern w:val="0"/>
        </w:rPr>
        <w:t>（1）经济效益</w:t>
      </w:r>
    </w:p>
    <w:p>
      <w:pPr>
        <w:ind w:firstLine="594"/>
        <w:rPr>
          <w:kern w:val="0"/>
        </w:rPr>
      </w:pPr>
      <w:r>
        <w:rPr>
          <w:rFonts w:hint="eastAsia"/>
          <w:kern w:val="0"/>
        </w:rPr>
        <w:t>衡山县统计局通过开展统计联网直报工作，准确、及时的完成了全年的各项统计报表任务，较好的反映了县城经济社会发展状况，统计出来的各项经济指标为以后年度的县城经济社会发展规划具有一定的指导作用，经济效益可观，根据评分标准，该单位本项指标得分5分。</w:t>
      </w:r>
    </w:p>
    <w:p>
      <w:pPr>
        <w:ind w:firstLine="594"/>
        <w:rPr>
          <w:kern w:val="0"/>
        </w:rPr>
      </w:pPr>
      <w:r>
        <w:rPr>
          <w:rFonts w:hint="eastAsia"/>
          <w:kern w:val="0"/>
        </w:rPr>
        <w:t>（2）社会效益</w:t>
      </w:r>
    </w:p>
    <w:p>
      <w:pPr>
        <w:ind w:firstLine="594"/>
        <w:rPr>
          <w:kern w:val="0"/>
        </w:rPr>
      </w:pPr>
      <w:r>
        <w:rPr>
          <w:rFonts w:hint="eastAsia"/>
          <w:kern w:val="0"/>
        </w:rPr>
        <w:t>衡山县统计局对粮食、畜禽监测有利于粮食价格的调剂和畜禽安全的监管，民众的切身利益得到有效的保障，社会效益显著，根据评分标准，该单位本项指标得分5分。</w:t>
      </w:r>
    </w:p>
    <w:p>
      <w:pPr>
        <w:ind w:firstLine="594"/>
        <w:rPr>
          <w:kern w:val="0"/>
        </w:rPr>
      </w:pPr>
      <w:r>
        <w:rPr>
          <w:rFonts w:hint="eastAsia"/>
          <w:kern w:val="0"/>
        </w:rPr>
        <w:t>（3）行政效能（根据部门自评材料评定）</w:t>
      </w:r>
    </w:p>
    <w:p>
      <w:pPr>
        <w:ind w:firstLine="594"/>
        <w:rPr>
          <w:bCs/>
          <w:kern w:val="0"/>
        </w:rPr>
      </w:pPr>
      <w:r>
        <w:rPr>
          <w:rFonts w:hint="eastAsia"/>
          <w:kern w:val="0"/>
        </w:rPr>
        <w:t>该部门在促进部门改进文风会风，加强经费及资产管理，推动网上办事，提高行政效率，降低行政成本等方面取得了较好效果，根据评分标准，该单位本项指标得分6分。</w:t>
      </w:r>
    </w:p>
    <w:p>
      <w:pPr>
        <w:ind w:firstLine="594"/>
        <w:rPr>
          <w:kern w:val="0"/>
        </w:rPr>
      </w:pPr>
      <w:bookmarkStart w:id="58" w:name="_Toc29044611"/>
      <w:r>
        <w:rPr>
          <w:rFonts w:hint="eastAsia"/>
          <w:kern w:val="0"/>
        </w:rPr>
        <w:t>（4）社会公众或服务对象满意度</w:t>
      </w:r>
    </w:p>
    <w:p>
      <w:pPr>
        <w:ind w:firstLine="594"/>
        <w:rPr>
          <w:bCs/>
          <w:kern w:val="0"/>
        </w:rPr>
      </w:pPr>
      <w:r>
        <w:rPr>
          <w:rFonts w:hint="eastAsia"/>
          <w:kern w:val="0"/>
        </w:rPr>
        <w:t>通过向社会公众发放问卷调查，经统计对本单位的履职效果、厉行节约、信息公开等情况满意度，社会群众对该单位工作开展情况、社会效益等关注程度高、满意度较好，根据评分标准，该单位本项指标得分6分。</w:t>
      </w:r>
    </w:p>
    <w:p>
      <w:pPr>
        <w:pStyle w:val="2"/>
        <w:ind w:firstLine="594"/>
        <w:rPr>
          <w:kern w:val="0"/>
        </w:rPr>
      </w:pPr>
      <w:bookmarkStart w:id="59" w:name="_Toc57403732"/>
      <w:r>
        <w:rPr>
          <w:rFonts w:hint="eastAsia"/>
          <w:kern w:val="0"/>
        </w:rPr>
        <w:t>六、存在的问题</w:t>
      </w:r>
      <w:bookmarkEnd w:id="58"/>
      <w:bookmarkEnd w:id="59"/>
    </w:p>
    <w:p>
      <w:pPr>
        <w:pStyle w:val="3"/>
        <w:ind w:firstLine="596"/>
      </w:pPr>
      <w:bookmarkStart w:id="60" w:name="_Toc29044612"/>
      <w:bookmarkStart w:id="61" w:name="_Toc57403733"/>
      <w:bookmarkStart w:id="62" w:name="_Hlk29052081"/>
      <w:r>
        <w:rPr>
          <w:rFonts w:hint="eastAsia"/>
        </w:rPr>
        <w:t>（一）</w:t>
      </w:r>
      <w:r>
        <w:t>预算编制</w:t>
      </w:r>
      <w:r>
        <w:rPr>
          <w:rFonts w:hint="eastAsia"/>
        </w:rPr>
        <w:t>不够</w:t>
      </w:r>
      <w:r>
        <w:t>严谨</w:t>
      </w:r>
      <w:r>
        <w:rPr>
          <w:rFonts w:hint="eastAsia"/>
        </w:rPr>
        <w:t>，</w:t>
      </w:r>
      <w:bookmarkEnd w:id="60"/>
      <w:r>
        <w:rPr>
          <w:rFonts w:hint="eastAsia"/>
        </w:rPr>
        <w:t>年末存在结余资金</w:t>
      </w:r>
      <w:bookmarkEnd w:id="61"/>
    </w:p>
    <w:p>
      <w:pPr>
        <w:pStyle w:val="4"/>
        <w:ind w:firstLine="596"/>
        <w:rPr>
          <w:kern w:val="0"/>
        </w:rPr>
      </w:pPr>
      <w:bookmarkStart w:id="63" w:name="_Toc29044613"/>
      <w:bookmarkStart w:id="64" w:name="_Toc57403734"/>
      <w:r>
        <w:rPr>
          <w:rFonts w:hint="eastAsia"/>
          <w:kern w:val="0"/>
        </w:rPr>
        <w:t>1、预算完成率偏低</w:t>
      </w:r>
      <w:bookmarkEnd w:id="63"/>
      <w:bookmarkEnd w:id="64"/>
    </w:p>
    <w:p>
      <w:pPr>
        <w:ind w:firstLine="594"/>
        <w:rPr>
          <w:kern w:val="0"/>
        </w:rPr>
      </w:pPr>
      <w:r>
        <w:rPr>
          <w:rFonts w:hint="eastAsia"/>
          <w:kern w:val="0"/>
        </w:rPr>
        <w:t>结合201</w:t>
      </w:r>
      <w:r>
        <w:rPr>
          <w:kern w:val="0"/>
        </w:rPr>
        <w:t>8</w:t>
      </w:r>
      <w:r>
        <w:rPr>
          <w:rFonts w:hint="eastAsia"/>
          <w:kern w:val="0"/>
        </w:rPr>
        <w:t>年和2019年预算执行情况，其中上年结转数58.30万元，年初预算数166.37万元，本年追加预算数179.95万元，年末结余135.05万元。根据预算完成率=（上年结转数+年初预算数+本年追加预算数-年末结余数）/(上年结转数+年初预算数+本年追加预算数)×100%，2019年预算完成率为66.62%，预算完成率偏低。</w:t>
      </w:r>
    </w:p>
    <w:p>
      <w:pPr>
        <w:pStyle w:val="4"/>
        <w:ind w:firstLine="596"/>
        <w:rPr>
          <w:kern w:val="0"/>
        </w:rPr>
      </w:pPr>
      <w:bookmarkStart w:id="65" w:name="_Toc29044614"/>
      <w:bookmarkStart w:id="66" w:name="_Toc57403735"/>
      <w:r>
        <w:rPr>
          <w:rFonts w:hint="eastAsia"/>
          <w:kern w:val="0"/>
        </w:rPr>
        <w:t>2、年末存在结余资金</w:t>
      </w:r>
      <w:bookmarkEnd w:id="65"/>
      <w:bookmarkEnd w:id="66"/>
    </w:p>
    <w:p>
      <w:pPr>
        <w:ind w:firstLine="594"/>
        <w:rPr>
          <w:kern w:val="0"/>
        </w:rPr>
      </w:pPr>
      <w:r>
        <w:rPr>
          <w:rFonts w:hint="eastAsia"/>
          <w:kern w:val="0"/>
        </w:rPr>
        <w:t>结合2018年和2019年预算执行情况，截至2019年12月31日结余资金135.05万元，结余资金135.05万元占年初预算数166.37万元的81.17%。2018年结余资金58.30万元，占2</w:t>
      </w:r>
      <w:r>
        <w:rPr>
          <w:kern w:val="0"/>
        </w:rPr>
        <w:t>01</w:t>
      </w:r>
      <w:r>
        <w:rPr>
          <w:rFonts w:hint="eastAsia"/>
          <w:kern w:val="0"/>
        </w:rPr>
        <w:t>8年年初预算数156.53万元的37.23%，2019年结余资金占年初预算数比例同比2018年增加了43.94%。</w:t>
      </w:r>
    </w:p>
    <w:p>
      <w:pPr>
        <w:pStyle w:val="4"/>
        <w:ind w:firstLine="596"/>
        <w:rPr>
          <w:kern w:val="0"/>
        </w:rPr>
      </w:pPr>
      <w:bookmarkStart w:id="67" w:name="_Toc57402067"/>
      <w:bookmarkStart w:id="68" w:name="_Toc57403736"/>
      <w:r>
        <w:rPr>
          <w:rFonts w:hint="eastAsia"/>
          <w:kern w:val="0"/>
        </w:rPr>
        <w:t>3</w:t>
      </w:r>
      <w:bookmarkEnd w:id="67"/>
      <w:r>
        <w:rPr>
          <w:rFonts w:hint="eastAsia"/>
          <w:kern w:val="0"/>
        </w:rPr>
        <w:t>、公用经费超预算</w:t>
      </w:r>
      <w:bookmarkEnd w:id="68"/>
    </w:p>
    <w:p>
      <w:pPr>
        <w:ind w:firstLine="594"/>
        <w:rPr>
          <w:kern w:val="0"/>
        </w:rPr>
      </w:pPr>
      <w:r>
        <w:rPr>
          <w:rFonts w:hint="eastAsia"/>
          <w:kern w:val="0"/>
        </w:rPr>
        <w:t>2</w:t>
      </w:r>
      <w:r>
        <w:rPr>
          <w:kern w:val="0"/>
        </w:rPr>
        <w:t>019</w:t>
      </w:r>
      <w:r>
        <w:rPr>
          <w:rFonts w:hint="eastAsia"/>
          <w:kern w:val="0"/>
        </w:rPr>
        <w:t>年公用经费预算安排公用经费总额19.60万元，实际支出公用经费总额</w:t>
      </w:r>
      <w:r>
        <w:rPr>
          <w:kern w:val="0"/>
        </w:rPr>
        <w:t>33.76</w:t>
      </w:r>
      <w:r>
        <w:rPr>
          <w:rFonts w:hint="eastAsia"/>
          <w:kern w:val="0"/>
        </w:rPr>
        <w:t>万元，超预算金额1</w:t>
      </w:r>
      <w:r>
        <w:rPr>
          <w:kern w:val="0"/>
        </w:rPr>
        <w:t>4.16</w:t>
      </w:r>
      <w:r>
        <w:rPr>
          <w:rFonts w:hint="eastAsia"/>
          <w:kern w:val="0"/>
        </w:rPr>
        <w:t>万元。</w:t>
      </w:r>
    </w:p>
    <w:p>
      <w:pPr>
        <w:pStyle w:val="4"/>
        <w:ind w:firstLine="596"/>
        <w:rPr>
          <w:kern w:val="0"/>
        </w:rPr>
      </w:pPr>
      <w:r>
        <w:rPr>
          <w:rFonts w:hint="eastAsia"/>
          <w:kern w:val="0"/>
        </w:rPr>
        <w:t>4、政府采购预算编制不够精细</w:t>
      </w:r>
    </w:p>
    <w:p>
      <w:pPr>
        <w:ind w:firstLine="594"/>
        <w:rPr>
          <w:kern w:val="0"/>
        </w:rPr>
      </w:pPr>
      <w:r>
        <w:rPr>
          <w:rFonts w:hint="eastAsia"/>
          <w:kern w:val="0"/>
        </w:rPr>
        <w:t>2019年政府采购预算数</w:t>
      </w:r>
      <w:r>
        <w:rPr>
          <w:kern w:val="0"/>
        </w:rPr>
        <w:t>25.00</w:t>
      </w:r>
      <w:r>
        <w:rPr>
          <w:rFonts w:hint="eastAsia"/>
          <w:kern w:val="0"/>
        </w:rPr>
        <w:t>万元，实际执行政府采购金额为</w:t>
      </w:r>
      <w:r>
        <w:rPr>
          <w:kern w:val="0"/>
        </w:rPr>
        <w:t>10.81</w:t>
      </w:r>
      <w:r>
        <w:rPr>
          <w:rFonts w:hint="eastAsia"/>
          <w:kern w:val="0"/>
        </w:rPr>
        <w:t>万元，政府采购执行率4</w:t>
      </w:r>
      <w:r>
        <w:rPr>
          <w:kern w:val="0"/>
        </w:rPr>
        <w:t>3</w:t>
      </w:r>
      <w:r>
        <w:rPr>
          <w:rFonts w:hint="eastAsia"/>
          <w:kern w:val="0"/>
        </w:rPr>
        <w:t>.</w:t>
      </w:r>
      <w:r>
        <w:rPr>
          <w:kern w:val="0"/>
        </w:rPr>
        <w:t>24</w:t>
      </w:r>
      <w:r>
        <w:rPr>
          <w:rFonts w:hint="eastAsia"/>
          <w:kern w:val="0"/>
        </w:rPr>
        <w:t>%。实际执行政府采购金额与预算金额差异较大。单位编制年度预算时，未按预算管理要求，将精准编制部门预算，存在超编预算采购的问题。</w:t>
      </w:r>
    </w:p>
    <w:bookmarkEnd w:id="62"/>
    <w:p>
      <w:pPr>
        <w:pStyle w:val="2"/>
        <w:ind w:firstLine="594"/>
        <w:rPr>
          <w:kern w:val="0"/>
        </w:rPr>
      </w:pPr>
      <w:bookmarkStart w:id="69" w:name="_Toc57403740"/>
      <w:bookmarkStart w:id="70" w:name="_Toc29044629"/>
      <w:r>
        <w:rPr>
          <w:rFonts w:hint="eastAsia"/>
          <w:kern w:val="0"/>
        </w:rPr>
        <w:t>七、建议</w:t>
      </w:r>
      <w:bookmarkEnd w:id="69"/>
      <w:bookmarkEnd w:id="70"/>
    </w:p>
    <w:p>
      <w:pPr>
        <w:ind w:firstLine="594"/>
      </w:pPr>
      <w:bookmarkStart w:id="71" w:name="_Hlk29051928"/>
      <w:r>
        <w:rPr>
          <w:rFonts w:hint="eastAsia"/>
        </w:rPr>
        <w:t>细化预算编制工作，认真做好预算的编制，进一步加强单位内部工作人员预算管理意识，建议按照《预算法》及其实施条例的相关规定，参考上一年的预算执行情况、年初资金结余情况和年度中的收支预测科学编制预算，使编制的预算更加细化便于操作，尽量减少对预算的调整，提高预算的执行率。强化预算执行，分析财务收支执行进度，合理调度资金，减少期末存量资金，不断提高资金使用效益。</w:t>
      </w:r>
    </w:p>
    <w:bookmarkEnd w:id="71"/>
    <w:p>
      <w:pPr>
        <w:ind w:firstLine="594"/>
        <w:rPr>
          <w:rFonts w:hAnsi="仿宋"/>
          <w:kern w:val="0"/>
          <w:szCs w:val="32"/>
        </w:rPr>
      </w:pPr>
    </w:p>
    <w:p>
      <w:pPr>
        <w:ind w:firstLine="594"/>
        <w:rPr>
          <w:rFonts w:hAnsi="仿宋"/>
          <w:kern w:val="0"/>
          <w:szCs w:val="32"/>
        </w:rPr>
      </w:pPr>
      <w:r>
        <w:rPr>
          <w:rFonts w:hint="eastAsia" w:hAnsi="仿宋"/>
          <w:kern w:val="0"/>
          <w:szCs w:val="32"/>
        </w:rPr>
        <w:t>附件一：</w:t>
      </w:r>
      <w:r>
        <w:rPr>
          <w:rFonts w:hint="eastAsia"/>
          <w:kern w:val="0"/>
          <w:szCs w:val="32"/>
        </w:rPr>
        <w:t>2019年</w:t>
      </w:r>
      <w:r>
        <w:rPr>
          <w:rFonts w:hint="eastAsia" w:hAnsi="仿宋"/>
          <w:kern w:val="0"/>
          <w:szCs w:val="32"/>
        </w:rPr>
        <w:t>度衡山县统计局整体支出资金项目绩效评价指标及评分表</w:t>
      </w:r>
    </w:p>
    <w:p>
      <w:pPr>
        <w:ind w:firstLine="594"/>
        <w:rPr>
          <w:rFonts w:hAnsi="仿宋"/>
          <w:kern w:val="0"/>
          <w:szCs w:val="32"/>
        </w:rPr>
      </w:pPr>
    </w:p>
    <w:p>
      <w:pPr>
        <w:ind w:firstLine="594"/>
        <w:rPr>
          <w:rFonts w:hAnsi="仿宋"/>
          <w:kern w:val="0"/>
          <w:szCs w:val="32"/>
        </w:rPr>
      </w:pPr>
    </w:p>
    <w:tbl>
      <w:tblPr>
        <w:tblStyle w:val="18"/>
        <w:tblW w:w="0" w:type="auto"/>
        <w:jc w:val="center"/>
        <w:tblLayout w:type="fixed"/>
        <w:tblCellMar>
          <w:top w:w="0" w:type="dxa"/>
          <w:left w:w="108" w:type="dxa"/>
          <w:bottom w:w="0" w:type="dxa"/>
          <w:right w:w="108" w:type="dxa"/>
        </w:tblCellMar>
      </w:tblPr>
      <w:tblGrid>
        <w:gridCol w:w="4814"/>
        <w:gridCol w:w="3402"/>
      </w:tblGrid>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r>
              <w:rPr>
                <w:rFonts w:hAnsi="仿宋"/>
                <w:kern w:val="0"/>
                <w:szCs w:val="32"/>
              </w:rPr>
              <w:t>湖南宏丰益联合会计师事务所</w:t>
            </w:r>
          </w:p>
        </w:tc>
        <w:tc>
          <w:tcPr>
            <w:tcW w:w="3402" w:type="dxa"/>
            <w:vAlign w:val="center"/>
          </w:tcPr>
          <w:p>
            <w:pPr>
              <w:ind w:firstLine="0" w:firstLineChars="0"/>
              <w:rPr>
                <w:rFonts w:hAnsi="仿宋"/>
                <w:kern w:val="0"/>
                <w:szCs w:val="32"/>
              </w:rPr>
            </w:pPr>
            <w:r>
              <w:rPr>
                <w:rFonts w:hAnsi="仿宋"/>
                <w:kern w:val="0"/>
                <w:szCs w:val="32"/>
              </w:rPr>
              <w:t>中国注册会计师：</w:t>
            </w: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p>
          <w:p>
            <w:pPr>
              <w:ind w:firstLine="0" w:firstLineChars="0"/>
              <w:rPr>
                <w:rFonts w:hAnsi="仿宋"/>
                <w:kern w:val="0"/>
                <w:szCs w:val="32"/>
              </w:rPr>
            </w:pPr>
          </w:p>
          <w:p>
            <w:pPr>
              <w:ind w:firstLine="0" w:firstLineChars="0"/>
              <w:rPr>
                <w:rFonts w:hAnsi="仿宋"/>
                <w:kern w:val="0"/>
                <w:szCs w:val="32"/>
              </w:rPr>
            </w:pPr>
          </w:p>
          <w:p>
            <w:pPr>
              <w:ind w:firstLine="0" w:firstLineChars="0"/>
              <w:rPr>
                <w:rFonts w:hAnsi="仿宋"/>
                <w:kern w:val="0"/>
                <w:szCs w:val="32"/>
              </w:rPr>
            </w:pPr>
          </w:p>
        </w:tc>
        <w:tc>
          <w:tcPr>
            <w:tcW w:w="3402" w:type="dxa"/>
            <w:vAlign w:val="center"/>
          </w:tcPr>
          <w:p>
            <w:pPr>
              <w:ind w:firstLine="0" w:firstLineChars="0"/>
              <w:rPr>
                <w:rFonts w:hAnsi="仿宋"/>
                <w:kern w:val="0"/>
                <w:szCs w:val="32"/>
              </w:rPr>
            </w:pP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p>
        </w:tc>
        <w:tc>
          <w:tcPr>
            <w:tcW w:w="3402" w:type="dxa"/>
            <w:vAlign w:val="center"/>
          </w:tcPr>
          <w:p>
            <w:pPr>
              <w:ind w:firstLine="0" w:firstLineChars="0"/>
              <w:rPr>
                <w:rFonts w:hAnsi="仿宋"/>
                <w:kern w:val="0"/>
                <w:szCs w:val="32"/>
              </w:rPr>
            </w:pPr>
            <w:r>
              <w:rPr>
                <w:rFonts w:hAnsi="仿宋"/>
                <w:kern w:val="0"/>
                <w:szCs w:val="32"/>
              </w:rPr>
              <w:t>中国注册会计师：</w:t>
            </w:r>
          </w:p>
        </w:tc>
      </w:tr>
      <w:tr>
        <w:tblPrEx>
          <w:tblCellMar>
            <w:top w:w="0" w:type="dxa"/>
            <w:left w:w="108" w:type="dxa"/>
            <w:bottom w:w="0" w:type="dxa"/>
            <w:right w:w="108" w:type="dxa"/>
          </w:tblCellMar>
        </w:tblPrEx>
        <w:trPr>
          <w:gridAfter w:val="1"/>
          <w:wAfter w:w="3402" w:type="dxa"/>
          <w:trHeight w:val="284" w:hRule="atLeast"/>
          <w:jc w:val="center"/>
        </w:trPr>
        <w:tc>
          <w:tcPr>
            <w:tcW w:w="4814" w:type="dxa"/>
            <w:vAlign w:val="center"/>
          </w:tcPr>
          <w:p>
            <w:pPr>
              <w:ind w:firstLine="0" w:firstLineChars="0"/>
              <w:rPr>
                <w:rFonts w:hAnsi="仿宋"/>
                <w:kern w:val="0"/>
                <w:szCs w:val="32"/>
              </w:rPr>
            </w:pPr>
          </w:p>
          <w:p>
            <w:pPr>
              <w:ind w:firstLine="0" w:firstLineChars="0"/>
              <w:rPr>
                <w:rFonts w:hAnsi="仿宋"/>
                <w:kern w:val="0"/>
                <w:szCs w:val="32"/>
              </w:rPr>
            </w:pPr>
          </w:p>
          <w:p>
            <w:pPr>
              <w:ind w:firstLine="0" w:firstLineChars="0"/>
              <w:rPr>
                <w:rFonts w:hAnsi="仿宋"/>
                <w:kern w:val="0"/>
                <w:szCs w:val="32"/>
              </w:rPr>
            </w:pPr>
          </w:p>
        </w:tc>
      </w:tr>
      <w:tr>
        <w:tblPrEx>
          <w:tblCellMar>
            <w:top w:w="0" w:type="dxa"/>
            <w:left w:w="108" w:type="dxa"/>
            <w:bottom w:w="0" w:type="dxa"/>
            <w:right w:w="108" w:type="dxa"/>
          </w:tblCellMar>
        </w:tblPrEx>
        <w:trPr>
          <w:trHeight w:val="284" w:hRule="atLeast"/>
          <w:jc w:val="center"/>
        </w:trPr>
        <w:tc>
          <w:tcPr>
            <w:tcW w:w="8216" w:type="dxa"/>
            <w:gridSpan w:val="2"/>
            <w:vAlign w:val="center"/>
          </w:tcPr>
          <w:p>
            <w:pPr>
              <w:ind w:firstLine="0" w:firstLineChars="0"/>
              <w:rPr>
                <w:rFonts w:hAnsi="仿宋"/>
                <w:kern w:val="0"/>
                <w:szCs w:val="32"/>
              </w:rPr>
            </w:pPr>
            <w:r>
              <w:rPr>
                <w:rFonts w:hAnsi="仿宋"/>
                <w:kern w:val="0"/>
                <w:szCs w:val="32"/>
              </w:rPr>
              <w:t>地址：湖南·长沙</w:t>
            </w:r>
            <w:r>
              <w:rPr>
                <w:rFonts w:hint="eastAsia" w:hAnsi="仿宋"/>
                <w:kern w:val="0"/>
                <w:szCs w:val="32"/>
              </w:rPr>
              <w:t xml:space="preserve"> </w:t>
            </w:r>
            <w:r>
              <w:rPr>
                <w:rFonts w:hAnsi="仿宋"/>
                <w:kern w:val="0"/>
                <w:szCs w:val="32"/>
              </w:rPr>
              <w:t xml:space="preserve">               二○二○年</w:t>
            </w:r>
            <w:r>
              <w:rPr>
                <w:rFonts w:hint="eastAsia" w:hAnsi="仿宋"/>
                <w:kern w:val="0"/>
                <w:szCs w:val="32"/>
              </w:rPr>
              <w:t>十</w:t>
            </w:r>
            <w:r>
              <w:rPr>
                <w:rFonts w:hAnsi="仿宋"/>
                <w:kern w:val="0"/>
                <w:szCs w:val="32"/>
              </w:rPr>
              <w:t>月</w:t>
            </w:r>
            <w:r>
              <w:rPr>
                <w:rFonts w:hint="eastAsia" w:hAnsi="仿宋"/>
                <w:kern w:val="0"/>
                <w:szCs w:val="32"/>
              </w:rPr>
              <w:t>三十</w:t>
            </w:r>
            <w:r>
              <w:rPr>
                <w:rFonts w:hAnsi="仿宋"/>
                <w:kern w:val="0"/>
                <w:szCs w:val="32"/>
              </w:rPr>
              <w:t>日</w:t>
            </w:r>
          </w:p>
        </w:tc>
      </w:tr>
    </w:tbl>
    <w:p>
      <w:pPr>
        <w:ind w:firstLine="594"/>
        <w:rPr>
          <w:rFonts w:ascii="黑体" w:hAnsi="黑体" w:eastAsia="黑体"/>
        </w:rPr>
        <w:sectPr>
          <w:footerReference r:id="rId11" w:type="default"/>
          <w:pgSz w:w="11906" w:h="16838"/>
          <w:pgMar w:top="1440" w:right="1797" w:bottom="1440" w:left="1797" w:header="851" w:footer="992" w:gutter="0"/>
          <w:pgNumType w:start="1"/>
          <w:cols w:space="425" w:num="1"/>
          <w:docGrid w:type="linesAndChars" w:linePitch="634" w:charSpace="-4740"/>
        </w:sectPr>
      </w:pPr>
    </w:p>
    <w:p>
      <w:pPr>
        <w:pStyle w:val="3"/>
        <w:ind w:firstLine="0" w:firstLineChars="0"/>
        <w:rPr>
          <w:sz w:val="28"/>
          <w:szCs w:val="28"/>
        </w:rPr>
      </w:pPr>
      <w:bookmarkStart w:id="72" w:name="_Toc29044632"/>
      <w:bookmarkStart w:id="73" w:name="_Toc57403743"/>
      <w:r>
        <w:rPr>
          <w:rFonts w:hint="eastAsia"/>
          <w:sz w:val="28"/>
          <w:szCs w:val="28"/>
        </w:rPr>
        <w:t>附件一：</w:t>
      </w:r>
      <w:bookmarkEnd w:id="72"/>
      <w:bookmarkEnd w:id="73"/>
    </w:p>
    <w:tbl>
      <w:tblPr>
        <w:tblStyle w:val="18"/>
        <w:tblW w:w="5761" w:type="pct"/>
        <w:jc w:val="center"/>
        <w:tblLayout w:type="autofit"/>
        <w:tblCellMar>
          <w:top w:w="0" w:type="dxa"/>
          <w:left w:w="0" w:type="dxa"/>
          <w:bottom w:w="0" w:type="dxa"/>
          <w:right w:w="0" w:type="dxa"/>
        </w:tblCellMar>
      </w:tblPr>
      <w:tblGrid>
        <w:gridCol w:w="652"/>
        <w:gridCol w:w="675"/>
        <w:gridCol w:w="982"/>
        <w:gridCol w:w="480"/>
        <w:gridCol w:w="1825"/>
        <w:gridCol w:w="1980"/>
        <w:gridCol w:w="2272"/>
        <w:gridCol w:w="727"/>
      </w:tblGrid>
      <w:tr>
        <w:tblPrEx>
          <w:tblCellMar>
            <w:top w:w="0" w:type="dxa"/>
            <w:left w:w="0" w:type="dxa"/>
            <w:bottom w:w="0" w:type="dxa"/>
            <w:right w:w="0" w:type="dxa"/>
          </w:tblCellMar>
        </w:tblPrEx>
        <w:trPr>
          <w:trHeight w:val="340" w:hRule="atLeast"/>
          <w:tblHeader/>
          <w:jc w:val="cent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pPr>
              <w:widowControl/>
              <w:ind w:firstLine="0" w:firstLineChars="0"/>
              <w:jc w:val="center"/>
              <w:textAlignment w:val="center"/>
              <w:rPr>
                <w:rFonts w:ascii="方正小标宋_GBK" w:hAnsi="方正小标宋_GBK" w:eastAsia="方正小标宋_GBK" w:cs="方正小标宋_GBK"/>
                <w:color w:val="000000"/>
                <w:szCs w:val="32"/>
              </w:rPr>
            </w:pPr>
            <w:r>
              <w:rPr>
                <w:rFonts w:eastAsia="方正小标宋_GBK" w:cs="方正小标宋_GBK"/>
                <w:color w:val="000000"/>
                <w:kern w:val="0"/>
                <w:szCs w:val="32"/>
              </w:rPr>
              <w:t>2019年</w:t>
            </w:r>
            <w:r>
              <w:rPr>
                <w:rFonts w:ascii="方正小标宋_GBK" w:hAnsi="方正小标宋_GBK" w:eastAsia="方正小标宋_GBK" w:cs="方正小标宋_GBK"/>
                <w:color w:val="000000"/>
                <w:kern w:val="0"/>
                <w:szCs w:val="32"/>
              </w:rPr>
              <w:t>度衡山县统计局部门整体支出资金项目</w:t>
            </w:r>
          </w:p>
        </w:tc>
      </w:tr>
      <w:tr>
        <w:tblPrEx>
          <w:tblCellMar>
            <w:top w:w="0" w:type="dxa"/>
            <w:left w:w="0" w:type="dxa"/>
            <w:bottom w:w="0" w:type="dxa"/>
            <w:right w:w="0" w:type="dxa"/>
          </w:tblCellMar>
        </w:tblPrEx>
        <w:trPr>
          <w:trHeight w:val="340" w:hRule="atLeast"/>
          <w:tblHeader/>
          <w:jc w:val="cent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pPr>
              <w:widowControl/>
              <w:ind w:firstLine="0" w:firstLineChars="0"/>
              <w:jc w:val="center"/>
              <w:textAlignment w:val="center"/>
              <w:rPr>
                <w:rFonts w:ascii="方正小标宋_GBK" w:hAnsi="方正小标宋_GBK" w:eastAsia="方正小标宋_GBK" w:cs="方正小标宋_GBK"/>
                <w:color w:val="000000"/>
                <w:szCs w:val="32"/>
              </w:rPr>
            </w:pPr>
            <w:r>
              <w:rPr>
                <w:rFonts w:ascii="方正小标宋_GBK" w:hAnsi="方正小标宋_GBK" w:eastAsia="方正小标宋_GBK" w:cs="方正小标宋_GBK"/>
                <w:color w:val="000000"/>
                <w:kern w:val="0"/>
                <w:szCs w:val="32"/>
              </w:rPr>
              <w:t>绩效评价指标及评分表</w:t>
            </w:r>
          </w:p>
        </w:tc>
      </w:tr>
      <w:tr>
        <w:tblPrEx>
          <w:tblCellMar>
            <w:top w:w="0" w:type="dxa"/>
            <w:left w:w="0" w:type="dxa"/>
            <w:bottom w:w="0" w:type="dxa"/>
            <w:right w:w="0" w:type="dxa"/>
          </w:tblCellMar>
        </w:tblPrEx>
        <w:trPr>
          <w:trHeight w:val="280" w:hRule="atLeast"/>
          <w:tblHeader/>
          <w:jc w:val="center"/>
        </w:trPr>
        <w:tc>
          <w:tcPr>
            <w:tcW w:w="34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kern w:val="0"/>
                <w:sz w:val="18"/>
                <w:szCs w:val="18"/>
              </w:rPr>
            </w:pPr>
            <w:r>
              <w:rPr>
                <w:rFonts w:hAnsi="仿宋"/>
                <w:b/>
                <w:color w:val="000000"/>
                <w:kern w:val="0"/>
                <w:sz w:val="18"/>
                <w:szCs w:val="18"/>
              </w:rPr>
              <w:t>一级</w:t>
            </w:r>
          </w:p>
          <w:p>
            <w:pPr>
              <w:widowControl/>
              <w:ind w:firstLine="0" w:firstLineChars="0"/>
              <w:jc w:val="center"/>
              <w:textAlignment w:val="center"/>
              <w:rPr>
                <w:b/>
                <w:color w:val="000000"/>
                <w:sz w:val="18"/>
                <w:szCs w:val="18"/>
              </w:rPr>
            </w:pPr>
            <w:r>
              <w:rPr>
                <w:rFonts w:hAnsi="仿宋"/>
                <w:b/>
                <w:color w:val="000000"/>
                <w:kern w:val="0"/>
                <w:sz w:val="18"/>
                <w:szCs w:val="18"/>
              </w:rPr>
              <w:t>指标</w:t>
            </w:r>
          </w:p>
        </w:tc>
        <w:tc>
          <w:tcPr>
            <w:tcW w:w="35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kern w:val="0"/>
                <w:sz w:val="18"/>
                <w:szCs w:val="18"/>
              </w:rPr>
            </w:pPr>
            <w:r>
              <w:rPr>
                <w:rFonts w:hAnsi="仿宋"/>
                <w:b/>
                <w:color w:val="000000"/>
                <w:kern w:val="0"/>
                <w:sz w:val="18"/>
                <w:szCs w:val="18"/>
              </w:rPr>
              <w:t>二级</w:t>
            </w:r>
          </w:p>
          <w:p>
            <w:pPr>
              <w:widowControl/>
              <w:ind w:firstLine="0" w:firstLineChars="0"/>
              <w:jc w:val="center"/>
              <w:textAlignment w:val="center"/>
              <w:rPr>
                <w:b/>
                <w:color w:val="000000"/>
                <w:sz w:val="18"/>
                <w:szCs w:val="18"/>
              </w:rPr>
            </w:pPr>
            <w:r>
              <w:rPr>
                <w:rFonts w:hAnsi="仿宋"/>
                <w:b/>
                <w:color w:val="000000"/>
                <w:kern w:val="0"/>
                <w:sz w:val="18"/>
                <w:szCs w:val="18"/>
              </w:rPr>
              <w:t>指标</w:t>
            </w: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三级指标</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分值</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评价标准</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指标说明</w:t>
            </w: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得分说明</w:t>
            </w:r>
          </w:p>
        </w:tc>
        <w:tc>
          <w:tcPr>
            <w:tcW w:w="37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得分</w:t>
            </w:r>
          </w:p>
        </w:tc>
      </w:tr>
      <w:tr>
        <w:tblPrEx>
          <w:tblCellMar>
            <w:top w:w="0" w:type="dxa"/>
            <w:left w:w="0" w:type="dxa"/>
            <w:bottom w:w="0" w:type="dxa"/>
            <w:right w:w="0" w:type="dxa"/>
          </w:tblCellMar>
        </w:tblPrEx>
        <w:trPr>
          <w:trHeight w:val="2552" w:hRule="atLeast"/>
          <w:jc w:val="center"/>
        </w:trPr>
        <w:tc>
          <w:tcPr>
            <w:tcW w:w="340"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投入</w:t>
            </w:r>
            <w:r>
              <w:rPr>
                <w:rStyle w:val="28"/>
              </w:rPr>
              <w:t>10</w:t>
            </w:r>
            <w:r>
              <w:rPr>
                <w:rStyle w:val="28"/>
                <w:rFonts w:hAnsi="仿宋"/>
              </w:rPr>
              <w:t>分</w:t>
            </w:r>
          </w:p>
        </w:tc>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预算配置</w:t>
            </w:r>
            <w:r>
              <w:rPr>
                <w:rStyle w:val="28"/>
              </w:rPr>
              <w:t>10</w:t>
            </w:r>
            <w:r>
              <w:rPr>
                <w:rStyle w:val="28"/>
                <w:rFonts w:hAnsi="仿宋"/>
              </w:rPr>
              <w:t>分</w:t>
            </w: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在职人员控制率</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以</w:t>
            </w:r>
            <w:r>
              <w:rPr>
                <w:rStyle w:val="28"/>
              </w:rPr>
              <w:t>100%</w:t>
            </w:r>
            <w:r>
              <w:rPr>
                <w:rStyle w:val="28"/>
                <w:rFonts w:hAnsi="仿宋"/>
              </w:rPr>
              <w:t>为标准。在职人员控制率</w:t>
            </w:r>
            <w:r>
              <w:rPr>
                <w:rStyle w:val="28"/>
                <w:rFonts w:ascii="仿宋" w:hAnsi="仿宋"/>
              </w:rPr>
              <w:t>≦</w:t>
            </w:r>
            <w:r>
              <w:rPr>
                <w:rStyle w:val="28"/>
              </w:rPr>
              <w:t>100%</w:t>
            </w:r>
            <w:r>
              <w:rPr>
                <w:rStyle w:val="28"/>
                <w:rFonts w:hAnsi="仿宋"/>
              </w:rPr>
              <w:t>，计</w:t>
            </w:r>
            <w:r>
              <w:rPr>
                <w:rStyle w:val="28"/>
              </w:rPr>
              <w:t>5</w:t>
            </w:r>
            <w:r>
              <w:rPr>
                <w:rStyle w:val="28"/>
                <w:rFonts w:hAnsi="仿宋"/>
              </w:rPr>
              <w:t>分；每超过一个百分点扣</w:t>
            </w:r>
            <w:r>
              <w:rPr>
                <w:rStyle w:val="28"/>
              </w:rPr>
              <w:t>0.5</w:t>
            </w:r>
            <w:r>
              <w:rPr>
                <w:rStyle w:val="28"/>
                <w:rFonts w:hAnsi="仿宋"/>
              </w:rPr>
              <w:t>分，扣完为止。</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在职人员控制率</w:t>
            </w:r>
            <w:r>
              <w:rPr>
                <w:rStyle w:val="28"/>
              </w:rPr>
              <w:t>=</w:t>
            </w:r>
            <w:r>
              <w:rPr>
                <w:rStyle w:val="28"/>
                <w:rFonts w:hAnsi="仿宋"/>
              </w:rPr>
              <w:t>（在职人员数</w:t>
            </w:r>
            <w:r>
              <w:rPr>
                <w:rStyle w:val="28"/>
              </w:rPr>
              <w:t>/</w:t>
            </w:r>
            <w:r>
              <w:rPr>
                <w:rStyle w:val="28"/>
                <w:rFonts w:hAnsi="仿宋"/>
              </w:rPr>
              <w:t>编制数）</w:t>
            </w:r>
            <w:r>
              <w:rPr>
                <w:rStyle w:val="28"/>
              </w:rPr>
              <w:t>×100%</w:t>
            </w:r>
            <w:r>
              <w:rPr>
                <w:rStyle w:val="28"/>
                <w:rFonts w:hAnsi="仿宋"/>
              </w:rPr>
              <w:t>，在职人员数：部门（单位）实际在职人数，以财政局确定的部门决算编制口径为准。编制数：机构编制部门核定批复的部门（单位）的人员编制数。</w:t>
            </w: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kern w:val="0"/>
                <w:sz w:val="18"/>
                <w:szCs w:val="18"/>
              </w:rPr>
            </w:pPr>
            <w:r>
              <w:rPr>
                <w:rFonts w:hAnsi="仿宋"/>
                <w:color w:val="000000"/>
                <w:kern w:val="0"/>
                <w:sz w:val="18"/>
                <w:szCs w:val="18"/>
              </w:rPr>
              <w:t>（在职人员</w:t>
            </w:r>
            <w:r>
              <w:rPr>
                <w:rStyle w:val="28"/>
                <w:rFonts w:hint="eastAsia"/>
              </w:rPr>
              <w:t>20</w:t>
            </w:r>
            <w:r>
              <w:rPr>
                <w:rStyle w:val="28"/>
                <w:rFonts w:hAnsi="仿宋"/>
              </w:rPr>
              <w:t>人</w:t>
            </w:r>
            <w:r>
              <w:rPr>
                <w:rStyle w:val="28"/>
              </w:rPr>
              <w:t>/</w:t>
            </w:r>
            <w:r>
              <w:rPr>
                <w:rStyle w:val="28"/>
                <w:rFonts w:hAnsi="仿宋"/>
              </w:rPr>
              <w:t>编制</w:t>
            </w:r>
            <w:r>
              <w:rPr>
                <w:rStyle w:val="28"/>
                <w:rFonts w:hint="eastAsia"/>
              </w:rPr>
              <w:t>26</w:t>
            </w:r>
            <w:r>
              <w:rPr>
                <w:rStyle w:val="28"/>
                <w:rFonts w:hAnsi="仿宋"/>
              </w:rPr>
              <w:t>人）</w:t>
            </w:r>
            <w:r>
              <w:rPr>
                <w:rStyle w:val="28"/>
              </w:rPr>
              <w:t>×100%=</w:t>
            </w:r>
            <w:r>
              <w:rPr>
                <w:rStyle w:val="28"/>
                <w:rFonts w:hint="eastAsia"/>
              </w:rPr>
              <w:t>76.92</w:t>
            </w:r>
            <w:r>
              <w:rPr>
                <w:rStyle w:val="28"/>
              </w:rPr>
              <w:t>%</w:t>
            </w:r>
            <w:r>
              <w:rPr>
                <w:rStyle w:val="28"/>
                <w:rFonts w:hAnsi="仿宋"/>
              </w:rPr>
              <w:t>，</w:t>
            </w:r>
          </w:p>
          <w:p>
            <w:pPr>
              <w:widowControl/>
              <w:ind w:firstLine="0" w:firstLineChars="0"/>
              <w:jc w:val="center"/>
              <w:textAlignment w:val="center"/>
              <w:rPr>
                <w:color w:val="000000"/>
                <w:sz w:val="18"/>
                <w:szCs w:val="18"/>
              </w:rPr>
            </w:pPr>
            <w:r>
              <w:rPr>
                <w:rFonts w:hAnsi="仿宋"/>
                <w:color w:val="000000"/>
                <w:kern w:val="0"/>
                <w:sz w:val="18"/>
                <w:szCs w:val="18"/>
              </w:rPr>
              <w:t>在职人员控制率</w:t>
            </w:r>
            <w:r>
              <w:rPr>
                <w:rFonts w:ascii="仿宋" w:hAnsi="仿宋"/>
                <w:color w:val="000000"/>
                <w:kern w:val="0"/>
                <w:sz w:val="18"/>
                <w:szCs w:val="18"/>
              </w:rPr>
              <w:t>≦</w:t>
            </w:r>
            <w:r>
              <w:rPr>
                <w:rStyle w:val="28"/>
              </w:rPr>
              <w:t>100%</w:t>
            </w:r>
            <w:r>
              <w:rPr>
                <w:rStyle w:val="28"/>
                <w:rFonts w:hAnsi="仿宋"/>
              </w:rPr>
              <w:t>，本项不扣分，得</w:t>
            </w:r>
            <w:r>
              <w:rPr>
                <w:rStyle w:val="28"/>
              </w:rPr>
              <w:t>5</w:t>
            </w:r>
            <w:r>
              <w:rPr>
                <w:rStyle w:val="28"/>
                <w:rFonts w:hAnsi="仿宋"/>
              </w:rPr>
              <w:t>分</w:t>
            </w:r>
          </w:p>
        </w:tc>
        <w:tc>
          <w:tcPr>
            <w:tcW w:w="379"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168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8"/>
                <w:rFonts w:hAnsi="仿宋"/>
              </w:rPr>
              <w:t>三公经费</w:t>
            </w:r>
            <w:r>
              <w:rPr>
                <w:rStyle w:val="28"/>
              </w:rPr>
              <w:t>”</w:t>
            </w:r>
            <w:r>
              <w:rPr>
                <w:rStyle w:val="28"/>
                <w:rFonts w:hAnsi="仿宋"/>
              </w:rPr>
              <w:t>变动率</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8"/>
                <w:rFonts w:hAnsi="仿宋"/>
              </w:rPr>
              <w:t>三公经费</w:t>
            </w:r>
            <w:r>
              <w:rPr>
                <w:rStyle w:val="28"/>
              </w:rPr>
              <w:t>”</w:t>
            </w:r>
            <w:r>
              <w:rPr>
                <w:rStyle w:val="28"/>
                <w:rFonts w:hAnsi="仿宋"/>
              </w:rPr>
              <w:t>变动率</w:t>
            </w:r>
            <w:r>
              <w:rPr>
                <w:rStyle w:val="28"/>
                <w:rFonts w:ascii="仿宋" w:hAnsi="仿宋"/>
              </w:rPr>
              <w:t>≦</w:t>
            </w:r>
            <w:r>
              <w:rPr>
                <w:rStyle w:val="28"/>
              </w:rPr>
              <w:t>0,</w:t>
            </w:r>
            <w:r>
              <w:rPr>
                <w:rStyle w:val="28"/>
                <w:rFonts w:hAnsi="仿宋"/>
              </w:rPr>
              <w:t>计</w:t>
            </w:r>
            <w:r>
              <w:rPr>
                <w:rStyle w:val="28"/>
              </w:rPr>
              <w:t>8</w:t>
            </w:r>
            <w:r>
              <w:rPr>
                <w:rStyle w:val="28"/>
                <w:rFonts w:hAnsi="仿宋"/>
              </w:rPr>
              <w:t>分；</w:t>
            </w:r>
            <w:r>
              <w:rPr>
                <w:rStyle w:val="28"/>
              </w:rPr>
              <w:t>“</w:t>
            </w:r>
            <w:r>
              <w:rPr>
                <w:rStyle w:val="28"/>
                <w:rFonts w:hAnsi="仿宋"/>
              </w:rPr>
              <w:t>三公经费</w:t>
            </w:r>
            <w:r>
              <w:rPr>
                <w:rStyle w:val="28"/>
              </w:rPr>
              <w:t>”</w:t>
            </w:r>
            <w:r>
              <w:rPr>
                <w:rStyle w:val="28"/>
                <w:rFonts w:hAnsi="仿宋"/>
              </w:rPr>
              <w:t>＞</w:t>
            </w:r>
            <w:r>
              <w:rPr>
                <w:rStyle w:val="28"/>
              </w:rPr>
              <w:t>0</w:t>
            </w:r>
            <w:r>
              <w:rPr>
                <w:rStyle w:val="28"/>
                <w:rFonts w:hAnsi="仿宋"/>
              </w:rPr>
              <w:t>，每超过一个百分点扣</w:t>
            </w:r>
            <w:r>
              <w:rPr>
                <w:rStyle w:val="28"/>
              </w:rPr>
              <w:t>0.8</w:t>
            </w:r>
            <w:r>
              <w:rPr>
                <w:rStyle w:val="28"/>
                <w:rFonts w:hAnsi="仿宋"/>
              </w:rPr>
              <w:t>分，扣完为止。</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8"/>
                <w:rFonts w:hAnsi="仿宋"/>
              </w:rPr>
              <w:t>三公经费</w:t>
            </w:r>
            <w:r>
              <w:rPr>
                <w:rStyle w:val="28"/>
              </w:rPr>
              <w:t>”</w:t>
            </w:r>
            <w:r>
              <w:rPr>
                <w:rStyle w:val="28"/>
                <w:rFonts w:hAnsi="仿宋"/>
              </w:rPr>
              <w:t>变动率</w:t>
            </w:r>
            <w:r>
              <w:rPr>
                <w:rStyle w:val="28"/>
              </w:rPr>
              <w:t>=[</w:t>
            </w:r>
            <w:r>
              <w:rPr>
                <w:rStyle w:val="28"/>
                <w:rFonts w:hAnsi="仿宋"/>
              </w:rPr>
              <w:t>（本年度</w:t>
            </w:r>
            <w:r>
              <w:rPr>
                <w:rStyle w:val="28"/>
              </w:rPr>
              <w:t>“</w:t>
            </w:r>
            <w:r>
              <w:rPr>
                <w:rStyle w:val="28"/>
                <w:rFonts w:hAnsi="仿宋"/>
              </w:rPr>
              <w:t>三公经费</w:t>
            </w:r>
            <w:r>
              <w:rPr>
                <w:rStyle w:val="28"/>
              </w:rPr>
              <w:t>”</w:t>
            </w:r>
            <w:r>
              <w:rPr>
                <w:rStyle w:val="28"/>
                <w:rFonts w:hAnsi="仿宋"/>
              </w:rPr>
              <w:t>预算数</w:t>
            </w:r>
            <w:r>
              <w:rPr>
                <w:rStyle w:val="28"/>
              </w:rPr>
              <w:t>-</w:t>
            </w:r>
            <w:r>
              <w:rPr>
                <w:rStyle w:val="28"/>
                <w:rFonts w:hAnsi="仿宋"/>
              </w:rPr>
              <w:t>上年度</w:t>
            </w:r>
            <w:r>
              <w:rPr>
                <w:rStyle w:val="28"/>
              </w:rPr>
              <w:t>“</w:t>
            </w:r>
            <w:r>
              <w:rPr>
                <w:rStyle w:val="28"/>
                <w:rFonts w:hAnsi="仿宋"/>
              </w:rPr>
              <w:t>三公经费</w:t>
            </w:r>
            <w:r>
              <w:rPr>
                <w:rStyle w:val="28"/>
              </w:rPr>
              <w:t>”</w:t>
            </w:r>
            <w:r>
              <w:rPr>
                <w:rStyle w:val="28"/>
                <w:rFonts w:hAnsi="仿宋"/>
              </w:rPr>
              <w:t>预算数）</w:t>
            </w:r>
            <w:r>
              <w:rPr>
                <w:rStyle w:val="28"/>
              </w:rPr>
              <w:t>/</w:t>
            </w:r>
            <w:r>
              <w:rPr>
                <w:rStyle w:val="28"/>
                <w:rFonts w:hAnsi="仿宋"/>
              </w:rPr>
              <w:t>上年度</w:t>
            </w:r>
            <w:r>
              <w:rPr>
                <w:rStyle w:val="28"/>
              </w:rPr>
              <w:t>“</w:t>
            </w:r>
            <w:r>
              <w:rPr>
                <w:rStyle w:val="28"/>
                <w:rFonts w:hAnsi="仿宋"/>
              </w:rPr>
              <w:t>三公经费</w:t>
            </w:r>
            <w:r>
              <w:rPr>
                <w:rStyle w:val="28"/>
              </w:rPr>
              <w:t>”</w:t>
            </w:r>
            <w:r>
              <w:rPr>
                <w:rStyle w:val="28"/>
                <w:rFonts w:hAnsi="仿宋"/>
              </w:rPr>
              <w:t>预算数</w:t>
            </w:r>
            <w:r>
              <w:rPr>
                <w:rStyle w:val="28"/>
              </w:rPr>
              <w:t>]×100%</w:t>
            </w: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8"/>
                <w:rFonts w:hAnsi="仿宋"/>
              </w:rPr>
              <w:t>三公经费</w:t>
            </w:r>
            <w:r>
              <w:rPr>
                <w:rStyle w:val="28"/>
              </w:rPr>
              <w:t>”</w:t>
            </w:r>
            <w:r>
              <w:rPr>
                <w:rStyle w:val="28"/>
                <w:rFonts w:hAnsi="仿宋"/>
              </w:rPr>
              <w:t>变动率</w:t>
            </w:r>
            <w:r>
              <w:rPr>
                <w:rStyle w:val="28"/>
              </w:rPr>
              <w:t>=[</w:t>
            </w:r>
            <w:r>
              <w:rPr>
                <w:rStyle w:val="28"/>
                <w:rFonts w:hAnsi="仿宋"/>
              </w:rPr>
              <w:t>（</w:t>
            </w:r>
            <w:r>
              <w:rPr>
                <w:rStyle w:val="28"/>
                <w:rFonts w:hint="eastAsia"/>
              </w:rPr>
              <w:t>12.04</w:t>
            </w:r>
            <w:r>
              <w:rPr>
                <w:rStyle w:val="28"/>
              </w:rPr>
              <w:t>0</w:t>
            </w:r>
            <w:r>
              <w:rPr>
                <w:rStyle w:val="28"/>
                <w:rFonts w:hAnsi="仿宋"/>
              </w:rPr>
              <w:t>万元</w:t>
            </w:r>
            <w:r>
              <w:rPr>
                <w:rStyle w:val="28"/>
              </w:rPr>
              <w:t>-</w:t>
            </w:r>
            <w:r>
              <w:rPr>
                <w:rStyle w:val="28"/>
                <w:rFonts w:hint="eastAsia"/>
              </w:rPr>
              <w:t>12.04</w:t>
            </w:r>
            <w:r>
              <w:rPr>
                <w:rStyle w:val="28"/>
                <w:rFonts w:hAnsi="仿宋"/>
              </w:rPr>
              <w:t>万元）</w:t>
            </w:r>
            <w:r>
              <w:rPr>
                <w:rStyle w:val="28"/>
              </w:rPr>
              <w:t>/</w:t>
            </w:r>
            <w:r>
              <w:rPr>
                <w:rStyle w:val="28"/>
                <w:rFonts w:hint="eastAsia"/>
              </w:rPr>
              <w:t>12.04</w:t>
            </w:r>
            <w:r>
              <w:rPr>
                <w:rStyle w:val="28"/>
                <w:rFonts w:hAnsi="仿宋"/>
              </w:rPr>
              <w:t>万元</w:t>
            </w:r>
            <w:r>
              <w:rPr>
                <w:rStyle w:val="28"/>
              </w:rPr>
              <w:t>=0%</w:t>
            </w:r>
            <w:r>
              <w:rPr>
                <w:rStyle w:val="28"/>
                <w:rFonts w:hAnsi="仿宋"/>
              </w:rPr>
              <w:t>。本项无扣分，得</w:t>
            </w:r>
            <w:r>
              <w:rPr>
                <w:rStyle w:val="28"/>
              </w:rPr>
              <w:t>5</w:t>
            </w:r>
            <w:r>
              <w:rPr>
                <w:rStyle w:val="28"/>
                <w:rFonts w:hAnsi="仿宋"/>
              </w:rPr>
              <w:t>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1680" w:hRule="atLeast"/>
          <w:jc w:val="center"/>
        </w:trPr>
        <w:tc>
          <w:tcPr>
            <w:tcW w:w="340"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过程</w:t>
            </w:r>
            <w:r>
              <w:rPr>
                <w:rStyle w:val="28"/>
              </w:rPr>
              <w:t>60</w:t>
            </w:r>
            <w:r>
              <w:rPr>
                <w:rStyle w:val="28"/>
                <w:rFonts w:hAnsi="仿宋"/>
              </w:rPr>
              <w:t>分</w:t>
            </w:r>
          </w:p>
        </w:tc>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预算执行</w:t>
            </w:r>
            <w:r>
              <w:rPr>
                <w:rStyle w:val="28"/>
              </w:rPr>
              <w:t>25</w:t>
            </w:r>
            <w:r>
              <w:rPr>
                <w:rStyle w:val="28"/>
                <w:rFonts w:hAnsi="仿宋"/>
              </w:rPr>
              <w:t>分</w:t>
            </w: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预算完成率</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100%</w:t>
            </w:r>
            <w:r>
              <w:rPr>
                <w:rStyle w:val="28"/>
                <w:rFonts w:hAnsi="仿宋"/>
              </w:rPr>
              <w:t>计满分，每低于</w:t>
            </w:r>
            <w:r>
              <w:rPr>
                <w:rStyle w:val="28"/>
              </w:rPr>
              <w:t>5%</w:t>
            </w:r>
            <w:r>
              <w:rPr>
                <w:rStyle w:val="28"/>
                <w:rFonts w:hAnsi="仿宋"/>
              </w:rPr>
              <w:t>扣</w:t>
            </w:r>
            <w:r>
              <w:rPr>
                <w:rStyle w:val="28"/>
              </w:rPr>
              <w:t>2</w:t>
            </w:r>
            <w:r>
              <w:rPr>
                <w:rStyle w:val="28"/>
                <w:rFonts w:hAnsi="仿宋"/>
              </w:rPr>
              <w:t>分，扣完为止。</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预算完成率</w:t>
            </w:r>
            <w:r>
              <w:rPr>
                <w:rStyle w:val="28"/>
              </w:rPr>
              <w:t>=</w:t>
            </w:r>
            <w:r>
              <w:rPr>
                <w:rStyle w:val="28"/>
                <w:rFonts w:hAnsi="仿宋"/>
              </w:rPr>
              <w:t>（上年结转</w:t>
            </w:r>
            <w:r>
              <w:rPr>
                <w:rStyle w:val="28"/>
              </w:rPr>
              <w:t>+</w:t>
            </w:r>
            <w:r>
              <w:rPr>
                <w:rStyle w:val="28"/>
                <w:rFonts w:hAnsi="仿宋"/>
              </w:rPr>
              <w:t>年初预算</w:t>
            </w:r>
            <w:r>
              <w:rPr>
                <w:rStyle w:val="28"/>
              </w:rPr>
              <w:t>+</w:t>
            </w:r>
            <w:r>
              <w:rPr>
                <w:rStyle w:val="28"/>
                <w:rFonts w:hAnsi="仿宋"/>
              </w:rPr>
              <w:t>本年追加预算</w:t>
            </w:r>
            <w:r>
              <w:rPr>
                <w:rStyle w:val="28"/>
              </w:rPr>
              <w:t>-</w:t>
            </w:r>
            <w:r>
              <w:rPr>
                <w:rStyle w:val="28"/>
                <w:rFonts w:hAnsi="仿宋"/>
              </w:rPr>
              <w:t>年末结余）</w:t>
            </w:r>
            <w:r>
              <w:rPr>
                <w:rStyle w:val="28"/>
              </w:rPr>
              <w:t>/</w:t>
            </w:r>
            <w:r>
              <w:rPr>
                <w:rStyle w:val="28"/>
                <w:rFonts w:hAnsi="仿宋"/>
              </w:rPr>
              <w:t>（上年结转</w:t>
            </w:r>
            <w:r>
              <w:rPr>
                <w:rStyle w:val="28"/>
              </w:rPr>
              <w:t>+</w:t>
            </w:r>
            <w:r>
              <w:rPr>
                <w:rStyle w:val="28"/>
                <w:rFonts w:hAnsi="仿宋"/>
              </w:rPr>
              <w:t>年初预算</w:t>
            </w:r>
            <w:r>
              <w:rPr>
                <w:rStyle w:val="28"/>
              </w:rPr>
              <w:t>+</w:t>
            </w:r>
            <w:r>
              <w:rPr>
                <w:rStyle w:val="28"/>
                <w:rFonts w:hAnsi="仿宋"/>
              </w:rPr>
              <w:t>本年追加预算）</w:t>
            </w:r>
            <w:r>
              <w:rPr>
                <w:rStyle w:val="28"/>
              </w:rPr>
              <w:t>×100%</w:t>
            </w:r>
            <w:r>
              <w:rPr>
                <w:rStyle w:val="28"/>
                <w:rFonts w:hAnsi="仿宋"/>
              </w:rPr>
              <w:t>。</w:t>
            </w: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预算完成率</w:t>
            </w:r>
            <w:r>
              <w:rPr>
                <w:rStyle w:val="28"/>
              </w:rPr>
              <w:t>=</w:t>
            </w:r>
            <w:r>
              <w:rPr>
                <w:rStyle w:val="28"/>
                <w:rFonts w:hAnsi="仿宋"/>
              </w:rPr>
              <w:t>（</w:t>
            </w:r>
            <w:r>
              <w:rPr>
                <w:rStyle w:val="28"/>
                <w:rFonts w:hint="eastAsia"/>
              </w:rPr>
              <w:t>58.30</w:t>
            </w:r>
            <w:r>
              <w:rPr>
                <w:rStyle w:val="28"/>
                <w:rFonts w:hAnsi="仿宋"/>
              </w:rPr>
              <w:t>万元</w:t>
            </w:r>
            <w:r>
              <w:rPr>
                <w:rStyle w:val="28"/>
              </w:rPr>
              <w:t>+</w:t>
            </w:r>
            <w:r>
              <w:rPr>
                <w:rStyle w:val="28"/>
                <w:rFonts w:hint="eastAsia"/>
              </w:rPr>
              <w:t>166.37</w:t>
            </w:r>
            <w:r>
              <w:rPr>
                <w:rStyle w:val="28"/>
                <w:rFonts w:hAnsi="仿宋"/>
              </w:rPr>
              <w:t>万元</w:t>
            </w:r>
            <w:r>
              <w:rPr>
                <w:rStyle w:val="28"/>
              </w:rPr>
              <w:t>+</w:t>
            </w:r>
            <w:r>
              <w:rPr>
                <w:rStyle w:val="28"/>
                <w:rFonts w:hint="eastAsia"/>
              </w:rPr>
              <w:t>179.95</w:t>
            </w:r>
            <w:r>
              <w:rPr>
                <w:rStyle w:val="28"/>
                <w:rFonts w:hAnsi="仿宋"/>
              </w:rPr>
              <w:t>万元</w:t>
            </w:r>
            <w:r>
              <w:rPr>
                <w:rStyle w:val="28"/>
              </w:rPr>
              <w:t>-</w:t>
            </w:r>
            <w:r>
              <w:rPr>
                <w:rStyle w:val="28"/>
                <w:rFonts w:hint="eastAsia"/>
              </w:rPr>
              <w:t>135.05</w:t>
            </w:r>
            <w:r>
              <w:rPr>
                <w:rStyle w:val="28"/>
                <w:rFonts w:hAnsi="仿宋"/>
              </w:rPr>
              <w:t>万元）</w:t>
            </w:r>
            <w:r>
              <w:rPr>
                <w:rStyle w:val="28"/>
              </w:rPr>
              <w:t>/(</w:t>
            </w:r>
            <w:r>
              <w:rPr>
                <w:rStyle w:val="28"/>
                <w:rFonts w:hint="eastAsia"/>
              </w:rPr>
              <w:t>58.30</w:t>
            </w:r>
            <w:r>
              <w:rPr>
                <w:rStyle w:val="28"/>
              </w:rPr>
              <w:t>8</w:t>
            </w:r>
            <w:r>
              <w:rPr>
                <w:rStyle w:val="28"/>
                <w:rFonts w:hAnsi="仿宋"/>
              </w:rPr>
              <w:t>万元</w:t>
            </w:r>
            <w:r>
              <w:rPr>
                <w:rStyle w:val="28"/>
              </w:rPr>
              <w:t>+</w:t>
            </w:r>
            <w:r>
              <w:rPr>
                <w:rStyle w:val="28"/>
                <w:rFonts w:hint="eastAsia"/>
              </w:rPr>
              <w:t>166.37</w:t>
            </w:r>
            <w:r>
              <w:rPr>
                <w:rStyle w:val="28"/>
                <w:rFonts w:hAnsi="仿宋"/>
              </w:rPr>
              <w:t>万元</w:t>
            </w:r>
            <w:r>
              <w:rPr>
                <w:rStyle w:val="28"/>
              </w:rPr>
              <w:t>+</w:t>
            </w:r>
            <w:r>
              <w:rPr>
                <w:rStyle w:val="28"/>
                <w:rFonts w:hint="eastAsia"/>
              </w:rPr>
              <w:t>179.95</w:t>
            </w:r>
            <w:r>
              <w:rPr>
                <w:rStyle w:val="28"/>
                <w:rFonts w:hAnsi="仿宋"/>
              </w:rPr>
              <w:t>万元</w:t>
            </w:r>
            <w:r>
              <w:rPr>
                <w:rStyle w:val="28"/>
              </w:rPr>
              <w:t>)×100%=</w:t>
            </w:r>
            <w:r>
              <w:rPr>
                <w:rStyle w:val="28"/>
                <w:rFonts w:hint="eastAsia"/>
              </w:rPr>
              <w:t>108.16</w:t>
            </w:r>
            <w:r>
              <w:rPr>
                <w:rStyle w:val="28"/>
              </w:rPr>
              <w:t>%</w:t>
            </w:r>
            <w:r>
              <w:rPr>
                <w:rStyle w:val="28"/>
                <w:rFonts w:hAnsi="仿宋"/>
              </w:rPr>
              <w:t>。每低于</w:t>
            </w:r>
            <w:r>
              <w:rPr>
                <w:rStyle w:val="28"/>
              </w:rPr>
              <w:t>5%</w:t>
            </w:r>
            <w:r>
              <w:rPr>
                <w:rStyle w:val="28"/>
                <w:rFonts w:hAnsi="仿宋"/>
              </w:rPr>
              <w:t>扣</w:t>
            </w:r>
            <w:r>
              <w:rPr>
                <w:rStyle w:val="28"/>
              </w:rPr>
              <w:t>2</w:t>
            </w:r>
            <w:r>
              <w:rPr>
                <w:rStyle w:val="28"/>
                <w:rFonts w:hAnsi="仿宋"/>
              </w:rPr>
              <w:t>分，本项扣</w:t>
            </w:r>
            <w:r>
              <w:rPr>
                <w:rStyle w:val="28"/>
              </w:rPr>
              <w:t>5</w:t>
            </w:r>
            <w:r>
              <w:rPr>
                <w:rStyle w:val="28"/>
                <w:rFonts w:hAnsi="仿宋"/>
              </w:rPr>
              <w:t>分，得</w:t>
            </w:r>
            <w:r>
              <w:rPr>
                <w:rStyle w:val="28"/>
              </w:rPr>
              <w:t>0</w:t>
            </w:r>
            <w:r>
              <w:rPr>
                <w:rStyle w:val="28"/>
                <w:rFonts w:hAnsi="仿宋"/>
              </w:rPr>
              <w:t>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0</w:t>
            </w:r>
          </w:p>
        </w:tc>
      </w:tr>
      <w:tr>
        <w:tblPrEx>
          <w:tblCellMar>
            <w:top w:w="0" w:type="dxa"/>
            <w:left w:w="0" w:type="dxa"/>
            <w:bottom w:w="0" w:type="dxa"/>
            <w:right w:w="0" w:type="dxa"/>
          </w:tblCellMar>
        </w:tblPrEx>
        <w:trPr>
          <w:trHeight w:val="216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预算控制率</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预算控制率</w:t>
            </w:r>
            <w:r>
              <w:rPr>
                <w:rStyle w:val="28"/>
              </w:rPr>
              <w:t>=0</w:t>
            </w:r>
            <w:r>
              <w:rPr>
                <w:rStyle w:val="28"/>
                <w:rFonts w:hAnsi="仿宋"/>
              </w:rPr>
              <w:t>，计</w:t>
            </w:r>
            <w:r>
              <w:rPr>
                <w:rStyle w:val="28"/>
              </w:rPr>
              <w:t>5</w:t>
            </w:r>
            <w:r>
              <w:rPr>
                <w:rStyle w:val="28"/>
                <w:rFonts w:hAnsi="仿宋"/>
              </w:rPr>
              <w:t>分；</w:t>
            </w:r>
            <w:r>
              <w:rPr>
                <w:rStyle w:val="28"/>
              </w:rPr>
              <w:t>0-10%</w:t>
            </w:r>
            <w:r>
              <w:rPr>
                <w:rStyle w:val="28"/>
                <w:rFonts w:hAnsi="仿宋"/>
              </w:rPr>
              <w:t>（含），计</w:t>
            </w:r>
            <w:r>
              <w:rPr>
                <w:rStyle w:val="28"/>
              </w:rPr>
              <w:t>4</w:t>
            </w:r>
            <w:r>
              <w:rPr>
                <w:rStyle w:val="28"/>
                <w:rFonts w:hAnsi="仿宋"/>
              </w:rPr>
              <w:t>分；</w:t>
            </w:r>
            <w:r>
              <w:rPr>
                <w:rStyle w:val="28"/>
              </w:rPr>
              <w:t>10-20%</w:t>
            </w:r>
            <w:r>
              <w:rPr>
                <w:rStyle w:val="28"/>
                <w:rFonts w:hAnsi="仿宋"/>
              </w:rPr>
              <w:t>（含），计</w:t>
            </w:r>
            <w:r>
              <w:rPr>
                <w:rStyle w:val="28"/>
              </w:rPr>
              <w:t>3</w:t>
            </w:r>
            <w:r>
              <w:rPr>
                <w:rStyle w:val="28"/>
                <w:rFonts w:hAnsi="仿宋"/>
              </w:rPr>
              <w:t>分；</w:t>
            </w:r>
            <w:r>
              <w:rPr>
                <w:rStyle w:val="28"/>
              </w:rPr>
              <w:t>20-30%</w:t>
            </w:r>
            <w:r>
              <w:rPr>
                <w:rStyle w:val="28"/>
                <w:rFonts w:hAnsi="仿宋"/>
              </w:rPr>
              <w:t>（含），计</w:t>
            </w:r>
            <w:r>
              <w:rPr>
                <w:rStyle w:val="28"/>
              </w:rPr>
              <w:t>2</w:t>
            </w:r>
            <w:r>
              <w:rPr>
                <w:rStyle w:val="28"/>
                <w:rFonts w:hAnsi="仿宋"/>
              </w:rPr>
              <w:t>分；大于</w:t>
            </w:r>
            <w:r>
              <w:rPr>
                <w:rStyle w:val="28"/>
              </w:rPr>
              <w:t>30%</w:t>
            </w:r>
            <w:r>
              <w:rPr>
                <w:rStyle w:val="28"/>
                <w:rFonts w:hAnsi="仿宋"/>
              </w:rPr>
              <w:t>不得分。</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预算控制率</w:t>
            </w:r>
            <w:r>
              <w:rPr>
                <w:rStyle w:val="28"/>
              </w:rPr>
              <w:t>=</w:t>
            </w:r>
            <w:r>
              <w:rPr>
                <w:rStyle w:val="28"/>
                <w:rFonts w:hAnsi="仿宋"/>
              </w:rPr>
              <w:t>（本年追加预算</w:t>
            </w:r>
            <w:r>
              <w:rPr>
                <w:rStyle w:val="28"/>
              </w:rPr>
              <w:t>/</w:t>
            </w:r>
            <w:r>
              <w:rPr>
                <w:rStyle w:val="28"/>
                <w:rFonts w:hAnsi="仿宋"/>
              </w:rPr>
              <w:t>年初预算）</w:t>
            </w:r>
            <w:r>
              <w:rPr>
                <w:rStyle w:val="28"/>
              </w:rPr>
              <w:t>×100%</w:t>
            </w:r>
            <w:r>
              <w:rPr>
                <w:rStyle w:val="28"/>
                <w:rFonts w:hAnsi="仿宋"/>
              </w:rPr>
              <w:t>。</w:t>
            </w: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预算控制率</w:t>
            </w:r>
            <w:r>
              <w:rPr>
                <w:rStyle w:val="28"/>
              </w:rPr>
              <w:t>=</w:t>
            </w:r>
            <w:r>
              <w:rPr>
                <w:rStyle w:val="28"/>
                <w:rFonts w:hAnsi="仿宋"/>
              </w:rPr>
              <w:t>（本年追加预算</w:t>
            </w:r>
            <w:r>
              <w:rPr>
                <w:rStyle w:val="28"/>
                <w:rFonts w:hint="eastAsia"/>
              </w:rPr>
              <w:t>179.95</w:t>
            </w:r>
            <w:r>
              <w:rPr>
                <w:rStyle w:val="28"/>
                <w:rFonts w:hAnsi="仿宋"/>
              </w:rPr>
              <w:t>万元</w:t>
            </w:r>
            <w:r>
              <w:rPr>
                <w:rStyle w:val="28"/>
              </w:rPr>
              <w:t>/</w:t>
            </w:r>
            <w:r>
              <w:rPr>
                <w:rStyle w:val="28"/>
                <w:rFonts w:hAnsi="仿宋"/>
              </w:rPr>
              <w:t>年初预算数</w:t>
            </w:r>
            <w:r>
              <w:rPr>
                <w:rStyle w:val="28"/>
                <w:rFonts w:hint="eastAsia"/>
              </w:rPr>
              <w:t>166.37</w:t>
            </w:r>
            <w:r>
              <w:rPr>
                <w:rStyle w:val="28"/>
                <w:rFonts w:hAnsi="仿宋"/>
              </w:rPr>
              <w:t>万元）</w:t>
            </w:r>
            <w:r>
              <w:rPr>
                <w:rStyle w:val="28"/>
              </w:rPr>
              <w:t>×100%=</w:t>
            </w:r>
            <w:r>
              <w:rPr>
                <w:rStyle w:val="28"/>
                <w:rFonts w:hint="eastAsia"/>
              </w:rPr>
              <w:t>136.87</w:t>
            </w:r>
            <w:r>
              <w:rPr>
                <w:rStyle w:val="28"/>
              </w:rPr>
              <w:t>%</w:t>
            </w:r>
            <w:r>
              <w:rPr>
                <w:rStyle w:val="28"/>
                <w:rFonts w:hAnsi="仿宋"/>
              </w:rPr>
              <w:t>，大于</w:t>
            </w:r>
            <w:r>
              <w:rPr>
                <w:rStyle w:val="28"/>
              </w:rPr>
              <w:t>30%</w:t>
            </w:r>
            <w:r>
              <w:rPr>
                <w:rStyle w:val="28"/>
                <w:rFonts w:hAnsi="仿宋"/>
              </w:rPr>
              <w:t>不得分，本项扣</w:t>
            </w:r>
            <w:r>
              <w:rPr>
                <w:rStyle w:val="28"/>
                <w:rFonts w:hint="eastAsia"/>
              </w:rPr>
              <w:t>5</w:t>
            </w:r>
            <w:r>
              <w:rPr>
                <w:rStyle w:val="28"/>
                <w:rFonts w:hAnsi="仿宋"/>
              </w:rPr>
              <w:t>分，得</w:t>
            </w:r>
            <w:r>
              <w:rPr>
                <w:rStyle w:val="28"/>
                <w:rFonts w:hint="eastAsia"/>
              </w:rPr>
              <w:t>0</w:t>
            </w:r>
            <w:r>
              <w:rPr>
                <w:rStyle w:val="28"/>
                <w:rFonts w:hAnsi="仿宋"/>
              </w:rPr>
              <w:t>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0</w:t>
            </w:r>
          </w:p>
        </w:tc>
      </w:tr>
      <w:tr>
        <w:tblPrEx>
          <w:tblCellMar>
            <w:top w:w="0" w:type="dxa"/>
            <w:left w:w="0" w:type="dxa"/>
            <w:bottom w:w="0" w:type="dxa"/>
            <w:right w:w="0" w:type="dxa"/>
          </w:tblCellMar>
        </w:tblPrEx>
        <w:trPr>
          <w:trHeight w:val="192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新建楼堂馆所面积控制率</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100%</w:t>
            </w:r>
            <w:r>
              <w:rPr>
                <w:rStyle w:val="28"/>
                <w:rFonts w:hAnsi="仿宋"/>
              </w:rPr>
              <w:t>以下（含）计满分，每超出</w:t>
            </w:r>
            <w:r>
              <w:rPr>
                <w:rStyle w:val="28"/>
              </w:rPr>
              <w:t>5%</w:t>
            </w:r>
            <w:r>
              <w:rPr>
                <w:rStyle w:val="28"/>
                <w:rFonts w:hAnsi="仿宋"/>
              </w:rPr>
              <w:t>扣</w:t>
            </w:r>
            <w:r>
              <w:rPr>
                <w:rStyle w:val="28"/>
              </w:rPr>
              <w:t>2</w:t>
            </w:r>
            <w:r>
              <w:rPr>
                <w:rStyle w:val="28"/>
                <w:rFonts w:hAnsi="仿宋"/>
              </w:rPr>
              <w:t>分，扣完为止，没有新建楼堂馆所项目的部门按满分计算。</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楼堂馆所面积控制率</w:t>
            </w:r>
            <w:r>
              <w:rPr>
                <w:rStyle w:val="28"/>
              </w:rPr>
              <w:t>=</w:t>
            </w:r>
            <w:r>
              <w:rPr>
                <w:rStyle w:val="28"/>
                <w:rFonts w:hAnsi="仿宋"/>
              </w:rPr>
              <w:t>实际建设面积</w:t>
            </w:r>
            <w:r>
              <w:rPr>
                <w:rStyle w:val="28"/>
              </w:rPr>
              <w:t>/</w:t>
            </w:r>
            <w:r>
              <w:rPr>
                <w:rStyle w:val="28"/>
                <w:rFonts w:hAnsi="仿宋"/>
              </w:rPr>
              <w:t>批准建设面积</w:t>
            </w:r>
            <w:r>
              <w:rPr>
                <w:rStyle w:val="28"/>
              </w:rPr>
              <w:t>*100%</w:t>
            </w:r>
            <w:r>
              <w:rPr>
                <w:rStyle w:val="28"/>
                <w:rFonts w:hAnsi="仿宋"/>
              </w:rPr>
              <w:t>。该指标以</w:t>
            </w:r>
            <w:r>
              <w:rPr>
                <w:rStyle w:val="28"/>
              </w:rPr>
              <w:t>2019年</w:t>
            </w:r>
            <w:r>
              <w:rPr>
                <w:rStyle w:val="28"/>
                <w:rFonts w:hAnsi="仿宋"/>
              </w:rPr>
              <w:t>完工的新建楼堂馆所为评价内容。</w:t>
            </w: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衡山县统计局</w:t>
            </w:r>
            <w:r>
              <w:rPr>
                <w:rStyle w:val="28"/>
              </w:rPr>
              <w:t>2019年</w:t>
            </w:r>
            <w:r>
              <w:rPr>
                <w:rStyle w:val="28"/>
                <w:rFonts w:hAnsi="仿宋"/>
              </w:rPr>
              <w:t>无新建楼堂，得</w:t>
            </w:r>
            <w:r>
              <w:rPr>
                <w:rStyle w:val="28"/>
              </w:rPr>
              <w:t>5</w:t>
            </w:r>
            <w:r>
              <w:rPr>
                <w:rStyle w:val="28"/>
                <w:rFonts w:hAnsi="仿宋"/>
              </w:rPr>
              <w:t>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120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新建楼堂馆所投资概算控制率</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100%</w:t>
            </w:r>
            <w:r>
              <w:rPr>
                <w:rStyle w:val="28"/>
                <w:rFonts w:hAnsi="仿宋"/>
              </w:rPr>
              <w:t>以下（含）计满分，每超出</w:t>
            </w:r>
            <w:r>
              <w:rPr>
                <w:rStyle w:val="28"/>
              </w:rPr>
              <w:t>5%</w:t>
            </w:r>
            <w:r>
              <w:rPr>
                <w:rStyle w:val="28"/>
                <w:rFonts w:hAnsi="仿宋"/>
              </w:rPr>
              <w:t>扣</w:t>
            </w:r>
            <w:r>
              <w:rPr>
                <w:rStyle w:val="28"/>
              </w:rPr>
              <w:t>2</w:t>
            </w:r>
            <w:r>
              <w:rPr>
                <w:rStyle w:val="28"/>
                <w:rFonts w:hAnsi="仿宋"/>
              </w:rPr>
              <w:t>分，扣完为止。</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楼堂馆所投资预算控制率</w:t>
            </w:r>
            <w:r>
              <w:rPr>
                <w:rStyle w:val="28"/>
              </w:rPr>
              <w:t>=</w:t>
            </w:r>
            <w:r>
              <w:rPr>
                <w:rStyle w:val="28"/>
                <w:rFonts w:hAnsi="仿宋"/>
              </w:rPr>
              <w:t>实际投资金额</w:t>
            </w:r>
            <w:r>
              <w:rPr>
                <w:rStyle w:val="28"/>
              </w:rPr>
              <w:t>/</w:t>
            </w:r>
            <w:r>
              <w:rPr>
                <w:rStyle w:val="28"/>
                <w:rFonts w:hAnsi="仿宋"/>
              </w:rPr>
              <w:t>批准投资金额</w:t>
            </w:r>
            <w:r>
              <w:rPr>
                <w:rStyle w:val="28"/>
              </w:rPr>
              <w:t>*100%</w:t>
            </w:r>
            <w:r>
              <w:rPr>
                <w:rStyle w:val="28"/>
                <w:rFonts w:hAnsi="仿宋"/>
              </w:rPr>
              <w:t>。该指标以</w:t>
            </w:r>
            <w:r>
              <w:rPr>
                <w:rStyle w:val="28"/>
              </w:rPr>
              <w:t>2019年</w:t>
            </w:r>
            <w:r>
              <w:rPr>
                <w:rStyle w:val="28"/>
                <w:rFonts w:hAnsi="仿宋"/>
              </w:rPr>
              <w:t>完工的新建楼堂馆所为评价内容。</w:t>
            </w: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衡山县统计局</w:t>
            </w:r>
            <w:r>
              <w:rPr>
                <w:rStyle w:val="28"/>
              </w:rPr>
              <w:t>2019年</w:t>
            </w:r>
            <w:r>
              <w:rPr>
                <w:rStyle w:val="28"/>
                <w:rFonts w:hAnsi="仿宋"/>
              </w:rPr>
              <w:t>无新建楼堂，得</w:t>
            </w:r>
            <w:r>
              <w:rPr>
                <w:rStyle w:val="28"/>
              </w:rPr>
              <w:t>5</w:t>
            </w:r>
            <w:r>
              <w:rPr>
                <w:rStyle w:val="28"/>
                <w:rFonts w:hAnsi="仿宋"/>
              </w:rPr>
              <w:t>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96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预算管理</w:t>
            </w:r>
            <w:r>
              <w:rPr>
                <w:rStyle w:val="28"/>
              </w:rPr>
              <w:t>40</w:t>
            </w:r>
            <w:r>
              <w:rPr>
                <w:rStyle w:val="28"/>
                <w:rFonts w:hAnsi="仿宋"/>
              </w:rPr>
              <w:t>分</w:t>
            </w:r>
          </w:p>
        </w:tc>
        <w:tc>
          <w:tcPr>
            <w:tcW w:w="51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公用经费控制率</w:t>
            </w:r>
          </w:p>
        </w:tc>
        <w:tc>
          <w:tcPr>
            <w:tcW w:w="250"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951"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100%</w:t>
            </w:r>
            <w:r>
              <w:rPr>
                <w:rStyle w:val="28"/>
                <w:rFonts w:hAnsi="仿宋"/>
              </w:rPr>
              <w:t>以下（含）计满分，每超出</w:t>
            </w:r>
            <w:r>
              <w:rPr>
                <w:rStyle w:val="28"/>
              </w:rPr>
              <w:t>1%</w:t>
            </w:r>
            <w:r>
              <w:rPr>
                <w:rStyle w:val="28"/>
                <w:rFonts w:hAnsi="仿宋"/>
              </w:rPr>
              <w:t>扣</w:t>
            </w:r>
            <w:r>
              <w:rPr>
                <w:rStyle w:val="28"/>
              </w:rPr>
              <w:t>1</w:t>
            </w:r>
            <w:r>
              <w:rPr>
                <w:rStyle w:val="28"/>
                <w:rFonts w:hAnsi="仿宋"/>
              </w:rPr>
              <w:t>分，扣完为止。</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公用经费控制率</w:t>
            </w:r>
            <w:r>
              <w:rPr>
                <w:rStyle w:val="28"/>
              </w:rPr>
              <w:t>=</w:t>
            </w:r>
            <w:r>
              <w:rPr>
                <w:rStyle w:val="28"/>
                <w:rFonts w:hAnsi="仿宋"/>
              </w:rPr>
              <w:t>（实际支出公用经费总额</w:t>
            </w:r>
            <w:r>
              <w:rPr>
                <w:rStyle w:val="28"/>
              </w:rPr>
              <w:t>/</w:t>
            </w:r>
            <w:r>
              <w:rPr>
                <w:rStyle w:val="28"/>
                <w:rFonts w:hAnsi="仿宋"/>
              </w:rPr>
              <w:t>预算安排公用经费总额）</w:t>
            </w:r>
            <w:r>
              <w:rPr>
                <w:rStyle w:val="28"/>
              </w:rPr>
              <w:t>×100%</w:t>
            </w:r>
            <w:r>
              <w:rPr>
                <w:rStyle w:val="28"/>
                <w:rFonts w:hAnsi="仿宋"/>
              </w:rPr>
              <w:t>。</w:t>
            </w:r>
          </w:p>
        </w:tc>
        <w:tc>
          <w:tcPr>
            <w:tcW w:w="1184"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（实际支出公用经费总额</w:t>
            </w:r>
            <w:r>
              <w:rPr>
                <w:rStyle w:val="28"/>
                <w:rFonts w:hint="eastAsia"/>
              </w:rPr>
              <w:t>33.76</w:t>
            </w:r>
            <w:r>
              <w:rPr>
                <w:rStyle w:val="28"/>
                <w:rFonts w:hAnsi="仿宋"/>
              </w:rPr>
              <w:t>万元</w:t>
            </w:r>
            <w:r>
              <w:rPr>
                <w:rStyle w:val="28"/>
              </w:rPr>
              <w:t>/</w:t>
            </w:r>
            <w:r>
              <w:rPr>
                <w:rStyle w:val="28"/>
                <w:rFonts w:hAnsi="仿宋"/>
              </w:rPr>
              <w:t>预算安排公用经费总额</w:t>
            </w:r>
            <w:r>
              <w:rPr>
                <w:rStyle w:val="28"/>
                <w:rFonts w:hint="eastAsia"/>
              </w:rPr>
              <w:t>19.60</w:t>
            </w:r>
            <w:r>
              <w:rPr>
                <w:rStyle w:val="28"/>
                <w:rFonts w:hAnsi="仿宋"/>
              </w:rPr>
              <w:t>万元</w:t>
            </w:r>
            <w:r>
              <w:rPr>
                <w:rStyle w:val="28"/>
              </w:rPr>
              <w:t>×100%=</w:t>
            </w:r>
            <w:r>
              <w:rPr>
                <w:rStyle w:val="28"/>
                <w:rFonts w:hint="eastAsia"/>
              </w:rPr>
              <w:t>172.24</w:t>
            </w:r>
            <w:r>
              <w:rPr>
                <w:rStyle w:val="28"/>
              </w:rPr>
              <w:t>%</w:t>
            </w:r>
            <w:r>
              <w:rPr>
                <w:rStyle w:val="28"/>
                <w:rFonts w:hAnsi="仿宋"/>
              </w:rPr>
              <w:t>，</w:t>
            </w:r>
            <w:r>
              <w:rPr>
                <w:rStyle w:val="28"/>
              </w:rPr>
              <w:t>100%</w:t>
            </w:r>
            <w:r>
              <w:rPr>
                <w:rStyle w:val="28"/>
                <w:rFonts w:hAnsi="仿宋"/>
              </w:rPr>
              <w:t>以下得满分</w:t>
            </w:r>
            <w:r>
              <w:rPr>
                <w:rStyle w:val="28"/>
              </w:rPr>
              <w:t>8</w:t>
            </w:r>
            <w:r>
              <w:rPr>
                <w:rStyle w:val="28"/>
                <w:rFonts w:hAnsi="仿宋"/>
              </w:rPr>
              <w:t>分；每超出</w:t>
            </w:r>
            <w:r>
              <w:rPr>
                <w:rStyle w:val="28"/>
              </w:rPr>
              <w:t>1%</w:t>
            </w:r>
            <w:r>
              <w:rPr>
                <w:rStyle w:val="28"/>
                <w:rFonts w:hAnsi="仿宋"/>
              </w:rPr>
              <w:t>扣</w:t>
            </w:r>
            <w:r>
              <w:rPr>
                <w:rStyle w:val="28"/>
              </w:rPr>
              <w:t>1</w:t>
            </w:r>
            <w:r>
              <w:rPr>
                <w:rStyle w:val="28"/>
                <w:rFonts w:hAnsi="仿宋"/>
              </w:rPr>
              <w:t>分，本项扣</w:t>
            </w:r>
            <w:r>
              <w:rPr>
                <w:rStyle w:val="28"/>
                <w:rFonts w:hint="eastAsia" w:hAnsi="仿宋"/>
              </w:rPr>
              <w:t>8</w:t>
            </w:r>
            <w:r>
              <w:rPr>
                <w:rStyle w:val="28"/>
                <w:rFonts w:hAnsi="仿宋"/>
              </w:rPr>
              <w:t>分，得</w:t>
            </w:r>
            <w:r>
              <w:rPr>
                <w:rStyle w:val="28"/>
                <w:rFonts w:hint="eastAsia"/>
              </w:rPr>
              <w:t>0</w:t>
            </w:r>
            <w:r>
              <w:rPr>
                <w:rStyle w:val="28"/>
                <w:rFonts w:hAnsi="仿宋"/>
              </w:rPr>
              <w:t>分。</w:t>
            </w:r>
          </w:p>
        </w:tc>
        <w:tc>
          <w:tcPr>
            <w:tcW w:w="379"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0</w:t>
            </w:r>
          </w:p>
        </w:tc>
      </w:tr>
      <w:tr>
        <w:tblPrEx>
          <w:tblCellMar>
            <w:top w:w="0" w:type="dxa"/>
            <w:left w:w="0" w:type="dxa"/>
            <w:bottom w:w="0" w:type="dxa"/>
            <w:right w:w="0" w:type="dxa"/>
          </w:tblCellMar>
        </w:tblPrEx>
        <w:trPr>
          <w:trHeight w:val="72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25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9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公用经费支出是指部门基本支出中的一般商品和服务支出。</w:t>
            </w:r>
          </w:p>
        </w:tc>
        <w:tc>
          <w:tcPr>
            <w:tcW w:w="118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color w:val="000000"/>
                <w:sz w:val="18"/>
                <w:szCs w:val="18"/>
              </w:rPr>
            </w:pPr>
          </w:p>
        </w:tc>
      </w:tr>
      <w:tr>
        <w:tblPrEx>
          <w:tblCellMar>
            <w:top w:w="0" w:type="dxa"/>
            <w:left w:w="0" w:type="dxa"/>
            <w:bottom w:w="0" w:type="dxa"/>
            <w:right w:w="0" w:type="dxa"/>
          </w:tblCellMar>
        </w:tblPrEx>
        <w:trPr>
          <w:trHeight w:val="144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8"/>
                <w:rFonts w:hAnsi="仿宋"/>
              </w:rPr>
              <w:t>三公经费</w:t>
            </w:r>
            <w:r>
              <w:rPr>
                <w:rStyle w:val="28"/>
              </w:rPr>
              <w:t>”</w:t>
            </w:r>
            <w:r>
              <w:rPr>
                <w:rStyle w:val="28"/>
                <w:rFonts w:hAnsi="仿宋"/>
              </w:rPr>
              <w:t>控制率</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7</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100%</w:t>
            </w:r>
            <w:r>
              <w:rPr>
                <w:rStyle w:val="28"/>
                <w:rFonts w:hAnsi="仿宋"/>
              </w:rPr>
              <w:t>以下（含）计满分，每超出</w:t>
            </w:r>
            <w:r>
              <w:rPr>
                <w:rStyle w:val="28"/>
              </w:rPr>
              <w:t>1%</w:t>
            </w:r>
            <w:r>
              <w:rPr>
                <w:rStyle w:val="28"/>
                <w:rFonts w:hAnsi="仿宋"/>
              </w:rPr>
              <w:t>扣</w:t>
            </w:r>
            <w:r>
              <w:rPr>
                <w:rStyle w:val="28"/>
              </w:rPr>
              <w:t>1</w:t>
            </w:r>
            <w:r>
              <w:rPr>
                <w:rStyle w:val="28"/>
                <w:rFonts w:hAnsi="仿宋"/>
              </w:rPr>
              <w:t>分，扣完为止。</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8"/>
                <w:rFonts w:hAnsi="仿宋"/>
              </w:rPr>
              <w:t>三公经费</w:t>
            </w:r>
            <w:r>
              <w:rPr>
                <w:rStyle w:val="28"/>
              </w:rPr>
              <w:t>”</w:t>
            </w:r>
            <w:r>
              <w:rPr>
                <w:rStyle w:val="28"/>
                <w:rFonts w:hAnsi="仿宋"/>
              </w:rPr>
              <w:t>控制率</w:t>
            </w:r>
            <w:r>
              <w:rPr>
                <w:rStyle w:val="28"/>
              </w:rPr>
              <w:t>-</w:t>
            </w:r>
            <w:r>
              <w:rPr>
                <w:rStyle w:val="28"/>
                <w:rFonts w:hAnsi="仿宋"/>
              </w:rPr>
              <w:t>（</w:t>
            </w:r>
            <w:r>
              <w:rPr>
                <w:rStyle w:val="28"/>
              </w:rPr>
              <w:t>“</w:t>
            </w:r>
            <w:r>
              <w:rPr>
                <w:rStyle w:val="28"/>
                <w:rFonts w:hAnsi="仿宋"/>
              </w:rPr>
              <w:t>三公经费</w:t>
            </w:r>
            <w:r>
              <w:rPr>
                <w:rStyle w:val="28"/>
              </w:rPr>
              <w:t>”</w:t>
            </w:r>
            <w:r>
              <w:rPr>
                <w:rStyle w:val="28"/>
                <w:rFonts w:hAnsi="仿宋"/>
              </w:rPr>
              <w:t>实际支出数</w:t>
            </w:r>
            <w:r>
              <w:rPr>
                <w:rStyle w:val="28"/>
              </w:rPr>
              <w:t>/“</w:t>
            </w:r>
            <w:r>
              <w:rPr>
                <w:rStyle w:val="28"/>
                <w:rFonts w:hAnsi="仿宋"/>
              </w:rPr>
              <w:t>三公经费</w:t>
            </w:r>
            <w:r>
              <w:rPr>
                <w:rStyle w:val="28"/>
              </w:rPr>
              <w:t>”</w:t>
            </w:r>
            <w:r>
              <w:rPr>
                <w:rStyle w:val="28"/>
                <w:rFonts w:hAnsi="仿宋"/>
              </w:rPr>
              <w:t>预算安排数）</w:t>
            </w:r>
            <w:r>
              <w:rPr>
                <w:rStyle w:val="28"/>
              </w:rPr>
              <w:t>×100%</w:t>
            </w:r>
            <w:r>
              <w:rPr>
                <w:rStyle w:val="28"/>
                <w:rFonts w:hAnsi="仿宋"/>
              </w:rPr>
              <w:t>。</w:t>
            </w: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w:t>
            </w:r>
            <w:r>
              <w:rPr>
                <w:rStyle w:val="28"/>
              </w:rPr>
              <w:t>“</w:t>
            </w:r>
            <w:r>
              <w:rPr>
                <w:rStyle w:val="28"/>
                <w:rFonts w:hAnsi="仿宋"/>
              </w:rPr>
              <w:t>三公经费</w:t>
            </w:r>
            <w:r>
              <w:rPr>
                <w:rStyle w:val="28"/>
              </w:rPr>
              <w:t>”</w:t>
            </w:r>
            <w:r>
              <w:rPr>
                <w:rStyle w:val="28"/>
                <w:rFonts w:hAnsi="仿宋"/>
              </w:rPr>
              <w:t>实际支出数</w:t>
            </w:r>
            <w:r>
              <w:rPr>
                <w:rStyle w:val="28"/>
                <w:rFonts w:hint="eastAsia"/>
              </w:rPr>
              <w:t>1.92</w:t>
            </w:r>
            <w:r>
              <w:rPr>
                <w:rStyle w:val="28"/>
                <w:rFonts w:hAnsi="仿宋"/>
              </w:rPr>
              <w:t>万元</w:t>
            </w:r>
            <w:r>
              <w:rPr>
                <w:rStyle w:val="28"/>
              </w:rPr>
              <w:t>/“</w:t>
            </w:r>
            <w:r>
              <w:rPr>
                <w:rStyle w:val="28"/>
                <w:rFonts w:hAnsi="仿宋"/>
              </w:rPr>
              <w:t>三公经费</w:t>
            </w:r>
            <w:r>
              <w:rPr>
                <w:rStyle w:val="28"/>
              </w:rPr>
              <w:t>”</w:t>
            </w:r>
            <w:r>
              <w:rPr>
                <w:rStyle w:val="28"/>
                <w:rFonts w:hAnsi="仿宋"/>
              </w:rPr>
              <w:t>预算安排数</w:t>
            </w:r>
            <w:r>
              <w:rPr>
                <w:rStyle w:val="28"/>
                <w:rFonts w:hint="eastAsia"/>
              </w:rPr>
              <w:t>12.04</w:t>
            </w:r>
            <w:r>
              <w:rPr>
                <w:rStyle w:val="28"/>
                <w:rFonts w:hAnsi="仿宋"/>
              </w:rPr>
              <w:t>万元）</w:t>
            </w:r>
            <w:r>
              <w:rPr>
                <w:rStyle w:val="28"/>
              </w:rPr>
              <w:t>×100%=</w:t>
            </w:r>
            <w:r>
              <w:rPr>
                <w:rStyle w:val="28"/>
                <w:rFonts w:hint="eastAsia"/>
              </w:rPr>
              <w:t>15.95</w:t>
            </w:r>
            <w:r>
              <w:rPr>
                <w:rStyle w:val="28"/>
              </w:rPr>
              <w:t>%</w:t>
            </w:r>
            <w:r>
              <w:rPr>
                <w:rStyle w:val="28"/>
                <w:rFonts w:hAnsi="仿宋"/>
              </w:rPr>
              <w:t>，</w:t>
            </w:r>
            <w:r>
              <w:rPr>
                <w:rStyle w:val="28"/>
              </w:rPr>
              <w:t>100%</w:t>
            </w:r>
            <w:r>
              <w:rPr>
                <w:rStyle w:val="28"/>
                <w:rFonts w:hAnsi="仿宋"/>
              </w:rPr>
              <w:t>以下计满分</w:t>
            </w:r>
            <w:r>
              <w:rPr>
                <w:rStyle w:val="28"/>
              </w:rPr>
              <w:t>7</w:t>
            </w:r>
            <w:r>
              <w:rPr>
                <w:rStyle w:val="28"/>
                <w:rFonts w:hAnsi="仿宋"/>
              </w:rPr>
              <w:t>分。本项无扣分，得</w:t>
            </w:r>
            <w:r>
              <w:rPr>
                <w:rStyle w:val="28"/>
              </w:rPr>
              <w:t>7</w:t>
            </w:r>
            <w:r>
              <w:rPr>
                <w:rStyle w:val="28"/>
                <w:rFonts w:hAnsi="仿宋"/>
              </w:rPr>
              <w:t>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7</w:t>
            </w:r>
          </w:p>
        </w:tc>
      </w:tr>
      <w:tr>
        <w:tblPrEx>
          <w:tblCellMar>
            <w:top w:w="0" w:type="dxa"/>
            <w:left w:w="0" w:type="dxa"/>
            <w:bottom w:w="0" w:type="dxa"/>
            <w:right w:w="0" w:type="dxa"/>
          </w:tblCellMar>
        </w:tblPrEx>
        <w:trPr>
          <w:trHeight w:val="168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政府采购执行率</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100%</w:t>
            </w:r>
            <w:r>
              <w:rPr>
                <w:rStyle w:val="28"/>
                <w:rFonts w:hAnsi="仿宋"/>
              </w:rPr>
              <w:t>计满分，每超过（降低）</w:t>
            </w:r>
            <w:r>
              <w:rPr>
                <w:rStyle w:val="28"/>
              </w:rPr>
              <w:t>5%</w:t>
            </w:r>
            <w:r>
              <w:rPr>
                <w:rStyle w:val="28"/>
                <w:rFonts w:hAnsi="仿宋"/>
              </w:rPr>
              <w:t>扣</w:t>
            </w:r>
            <w:r>
              <w:rPr>
                <w:rStyle w:val="28"/>
              </w:rPr>
              <w:t>2</w:t>
            </w:r>
            <w:r>
              <w:rPr>
                <w:rStyle w:val="28"/>
                <w:rFonts w:hAnsi="仿宋"/>
              </w:rPr>
              <w:t>分。扣完为止。</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政府采购执行率</w:t>
            </w:r>
            <w:r>
              <w:rPr>
                <w:rStyle w:val="28"/>
              </w:rPr>
              <w:t>=</w:t>
            </w:r>
            <w:r>
              <w:rPr>
                <w:rStyle w:val="28"/>
                <w:rFonts w:hAnsi="仿宋"/>
              </w:rPr>
              <w:t>（实际政府采购金额</w:t>
            </w:r>
            <w:r>
              <w:rPr>
                <w:rStyle w:val="28"/>
              </w:rPr>
              <w:t>/</w:t>
            </w:r>
            <w:r>
              <w:rPr>
                <w:rStyle w:val="28"/>
                <w:rFonts w:hAnsi="仿宋"/>
              </w:rPr>
              <w:t>政府采购预算数）</w:t>
            </w:r>
            <w:r>
              <w:rPr>
                <w:rStyle w:val="28"/>
              </w:rPr>
              <w:t>×100%</w:t>
            </w: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（实际政府采购金额</w:t>
            </w:r>
            <w:r>
              <w:rPr>
                <w:rStyle w:val="28"/>
                <w:rFonts w:hint="eastAsia"/>
              </w:rPr>
              <w:t>10.81</w:t>
            </w:r>
            <w:r>
              <w:rPr>
                <w:rStyle w:val="28"/>
                <w:rFonts w:hAnsi="仿宋"/>
              </w:rPr>
              <w:t>万元</w:t>
            </w:r>
            <w:r>
              <w:rPr>
                <w:rStyle w:val="28"/>
              </w:rPr>
              <w:t>/</w:t>
            </w:r>
            <w:r>
              <w:rPr>
                <w:rStyle w:val="28"/>
                <w:rFonts w:hAnsi="仿宋"/>
              </w:rPr>
              <w:t>政府采购预算金额</w:t>
            </w:r>
            <w:r>
              <w:rPr>
                <w:rStyle w:val="28"/>
                <w:rFonts w:hint="eastAsia"/>
              </w:rPr>
              <w:t>25</w:t>
            </w:r>
            <w:r>
              <w:rPr>
                <w:rStyle w:val="28"/>
                <w:rFonts w:hAnsi="仿宋"/>
              </w:rPr>
              <w:t>万元）</w:t>
            </w:r>
            <w:r>
              <w:rPr>
                <w:rStyle w:val="28"/>
              </w:rPr>
              <w:t>×100%=</w:t>
            </w:r>
            <w:r>
              <w:rPr>
                <w:rStyle w:val="28"/>
                <w:rFonts w:hint="eastAsia"/>
              </w:rPr>
              <w:t>43.24</w:t>
            </w:r>
            <w:r>
              <w:rPr>
                <w:rStyle w:val="28"/>
              </w:rPr>
              <w:t>%</w:t>
            </w:r>
            <w:r>
              <w:rPr>
                <w:rStyle w:val="28"/>
                <w:rFonts w:hAnsi="仿宋"/>
              </w:rPr>
              <w:t>，</w:t>
            </w:r>
            <w:r>
              <w:rPr>
                <w:rStyle w:val="28"/>
              </w:rPr>
              <w:t>100%</w:t>
            </w:r>
            <w:r>
              <w:rPr>
                <w:rStyle w:val="28"/>
                <w:rFonts w:hAnsi="仿宋"/>
              </w:rPr>
              <w:t>计满分</w:t>
            </w:r>
            <w:r>
              <w:rPr>
                <w:rStyle w:val="28"/>
              </w:rPr>
              <w:t>6</w:t>
            </w:r>
            <w:r>
              <w:rPr>
                <w:rStyle w:val="28"/>
                <w:rFonts w:hAnsi="仿宋"/>
              </w:rPr>
              <w:t>分，每超过（降低）</w:t>
            </w:r>
            <w:r>
              <w:rPr>
                <w:rStyle w:val="28"/>
              </w:rPr>
              <w:t>5%</w:t>
            </w:r>
            <w:r>
              <w:rPr>
                <w:rStyle w:val="28"/>
                <w:rFonts w:hAnsi="仿宋"/>
              </w:rPr>
              <w:t>扣</w:t>
            </w:r>
            <w:r>
              <w:rPr>
                <w:rStyle w:val="28"/>
              </w:rPr>
              <w:t>2</w:t>
            </w:r>
            <w:r>
              <w:rPr>
                <w:rStyle w:val="28"/>
                <w:rFonts w:hAnsi="仿宋"/>
              </w:rPr>
              <w:t>分。本项扣</w:t>
            </w:r>
            <w:r>
              <w:rPr>
                <w:rStyle w:val="28"/>
                <w:rFonts w:hint="eastAsia" w:hAnsi="仿宋"/>
              </w:rPr>
              <w:t>6</w:t>
            </w:r>
            <w:r>
              <w:rPr>
                <w:rStyle w:val="28"/>
                <w:rFonts w:hAnsi="仿宋"/>
              </w:rPr>
              <w:t>分，得</w:t>
            </w:r>
            <w:r>
              <w:rPr>
                <w:rStyle w:val="28"/>
                <w:rFonts w:hint="eastAsia"/>
              </w:rPr>
              <w:t>0</w:t>
            </w:r>
            <w:r>
              <w:rPr>
                <w:rStyle w:val="28"/>
                <w:rFonts w:hAnsi="仿宋"/>
              </w:rPr>
              <w:t>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0</w:t>
            </w:r>
          </w:p>
        </w:tc>
      </w:tr>
      <w:tr>
        <w:tblPrEx>
          <w:tblCellMar>
            <w:top w:w="0" w:type="dxa"/>
            <w:left w:w="0" w:type="dxa"/>
            <w:bottom w:w="0" w:type="dxa"/>
            <w:right w:w="0" w:type="dxa"/>
          </w:tblCellMar>
        </w:tblPrEx>
        <w:trPr>
          <w:trHeight w:val="120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管理制度健全性</w:t>
            </w:r>
          </w:p>
        </w:tc>
        <w:tc>
          <w:tcPr>
            <w:tcW w:w="250"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有内部财务管理制度、会计核算制度等管理制度，</w:t>
            </w:r>
            <w:r>
              <w:rPr>
                <w:rStyle w:val="28"/>
              </w:rPr>
              <w:t>2</w:t>
            </w:r>
            <w:r>
              <w:rPr>
                <w:rStyle w:val="28"/>
                <w:rFonts w:hAnsi="仿宋"/>
              </w:rPr>
              <w:t>分；</w:t>
            </w:r>
          </w:p>
        </w:tc>
        <w:tc>
          <w:tcPr>
            <w:tcW w:w="103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184"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hAnsi="仿宋"/>
                <w:color w:val="000000"/>
                <w:kern w:val="0"/>
                <w:sz w:val="18"/>
                <w:szCs w:val="18"/>
              </w:rPr>
              <w:t>衡山县统计局制定了内部财务管理制度、会计核算制度等管理制度，</w:t>
            </w:r>
            <w:r>
              <w:rPr>
                <w:rFonts w:hint="eastAsia" w:hAnsi="仿宋"/>
                <w:color w:val="000000"/>
                <w:kern w:val="0"/>
                <w:sz w:val="18"/>
                <w:szCs w:val="18"/>
                <w:lang w:val="en-US" w:eastAsia="zh-CN"/>
              </w:rPr>
              <w:t>得2</w:t>
            </w:r>
            <w:r>
              <w:rPr>
                <w:rFonts w:hint="eastAsia" w:hAnsi="仿宋"/>
                <w:color w:val="000000"/>
                <w:kern w:val="0"/>
                <w:sz w:val="18"/>
                <w:szCs w:val="18"/>
              </w:rPr>
              <w:t>分；制定了相关厉行节约制度，</w:t>
            </w:r>
            <w:r>
              <w:rPr>
                <w:rFonts w:hint="eastAsia" w:hAnsi="仿宋"/>
                <w:color w:val="000000"/>
                <w:kern w:val="0"/>
                <w:sz w:val="18"/>
                <w:szCs w:val="18"/>
                <w:lang w:val="en-US" w:eastAsia="zh-CN"/>
              </w:rPr>
              <w:t>得2</w:t>
            </w:r>
            <w:r>
              <w:rPr>
                <w:rFonts w:hint="eastAsia" w:hAnsi="仿宋"/>
                <w:color w:val="000000"/>
                <w:kern w:val="0"/>
                <w:sz w:val="18"/>
                <w:szCs w:val="18"/>
              </w:rPr>
              <w:t>分；制定的管理制度符合相关法律法规的规定，得2分；相关管理制度未得到有效执行，公用经费超预算，扣2分。本项扣</w:t>
            </w:r>
            <w:r>
              <w:rPr>
                <w:rFonts w:hint="eastAsia" w:hAnsi="仿宋"/>
                <w:color w:val="000000"/>
                <w:kern w:val="0"/>
                <w:sz w:val="18"/>
                <w:szCs w:val="18"/>
                <w:lang w:val="en-US" w:eastAsia="zh-CN"/>
              </w:rPr>
              <w:t>2</w:t>
            </w:r>
            <w:r>
              <w:rPr>
                <w:rFonts w:hint="eastAsia" w:hAnsi="仿宋"/>
                <w:color w:val="000000"/>
                <w:kern w:val="0"/>
                <w:sz w:val="18"/>
                <w:szCs w:val="18"/>
              </w:rPr>
              <w:t>分，得</w:t>
            </w:r>
            <w:r>
              <w:rPr>
                <w:rFonts w:hint="eastAsia" w:hAnsi="仿宋"/>
                <w:color w:val="000000"/>
                <w:kern w:val="0"/>
                <w:sz w:val="18"/>
                <w:szCs w:val="18"/>
                <w:lang w:val="en-US" w:eastAsia="zh-CN"/>
              </w:rPr>
              <w:t>6</w:t>
            </w:r>
            <w:r>
              <w:rPr>
                <w:rFonts w:hint="eastAsia" w:hAnsi="仿宋"/>
                <w:color w:val="000000"/>
                <w:kern w:val="0"/>
                <w:sz w:val="18"/>
                <w:szCs w:val="18"/>
              </w:rPr>
              <w:t>分。</w:t>
            </w:r>
          </w:p>
        </w:tc>
        <w:tc>
          <w:tcPr>
            <w:tcW w:w="379"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int="eastAsia" w:eastAsia="仿宋"/>
                <w:color w:val="000000"/>
                <w:sz w:val="18"/>
                <w:szCs w:val="18"/>
                <w:lang w:eastAsia="zh-CN"/>
              </w:rPr>
            </w:pPr>
            <w:r>
              <w:rPr>
                <w:rFonts w:hint="eastAsia"/>
                <w:color w:val="000000"/>
                <w:kern w:val="0"/>
                <w:sz w:val="18"/>
                <w:szCs w:val="18"/>
                <w:lang w:val="en-US" w:eastAsia="zh-CN"/>
              </w:rPr>
              <w:t>6</w:t>
            </w:r>
          </w:p>
        </w:tc>
      </w:tr>
      <w:tr>
        <w:tblPrEx>
          <w:tblCellMar>
            <w:top w:w="0" w:type="dxa"/>
            <w:left w:w="0" w:type="dxa"/>
            <w:bottom w:w="0" w:type="dxa"/>
            <w:right w:w="0" w:type="dxa"/>
          </w:tblCellMar>
        </w:tblPrEx>
        <w:trPr>
          <w:trHeight w:val="72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25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ascii="仿宋" w:hAnsi="仿宋"/>
                <w:color w:val="000000"/>
                <w:kern w:val="0"/>
                <w:sz w:val="18"/>
                <w:szCs w:val="18"/>
              </w:rPr>
              <w:t>②</w:t>
            </w:r>
            <w:r>
              <w:rPr>
                <w:rFonts w:hAnsi="仿宋"/>
                <w:color w:val="000000"/>
                <w:kern w:val="0"/>
                <w:sz w:val="18"/>
                <w:szCs w:val="18"/>
              </w:rPr>
              <w:t>有本部门厉行节约制度</w:t>
            </w:r>
            <w:r>
              <w:rPr>
                <w:rStyle w:val="28"/>
              </w:rPr>
              <w:t>,2</w:t>
            </w:r>
            <w:r>
              <w:rPr>
                <w:rStyle w:val="28"/>
                <w:rFonts w:hAnsi="仿宋"/>
              </w:rPr>
              <w:t>分；</w:t>
            </w:r>
          </w:p>
        </w:tc>
        <w:tc>
          <w:tcPr>
            <w:tcW w:w="10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18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color w:val="000000"/>
                <w:sz w:val="18"/>
                <w:szCs w:val="18"/>
              </w:rPr>
            </w:pPr>
          </w:p>
        </w:tc>
      </w:tr>
      <w:tr>
        <w:tblPrEx>
          <w:tblCellMar>
            <w:top w:w="0" w:type="dxa"/>
            <w:left w:w="0" w:type="dxa"/>
            <w:bottom w:w="0" w:type="dxa"/>
            <w:right w:w="0" w:type="dxa"/>
          </w:tblCellMar>
        </w:tblPrEx>
        <w:trPr>
          <w:trHeight w:val="144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25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ascii="仿宋" w:hAnsi="仿宋"/>
                <w:color w:val="000000"/>
                <w:kern w:val="0"/>
                <w:sz w:val="18"/>
                <w:szCs w:val="18"/>
              </w:rPr>
              <w:t>③</w:t>
            </w:r>
            <w:r>
              <w:rPr>
                <w:rFonts w:hAnsi="仿宋"/>
                <w:color w:val="000000"/>
                <w:kern w:val="0"/>
                <w:sz w:val="18"/>
                <w:szCs w:val="18"/>
              </w:rPr>
              <w:t>相关管理制度合法、合规、完整，</w:t>
            </w:r>
            <w:r>
              <w:rPr>
                <w:rStyle w:val="28"/>
              </w:rPr>
              <w:t>2</w:t>
            </w:r>
            <w:r>
              <w:rPr>
                <w:rStyle w:val="28"/>
                <w:rFonts w:hAnsi="仿宋"/>
              </w:rPr>
              <w:t>分；</w:t>
            </w:r>
            <w:r>
              <w:rPr>
                <w:rStyle w:val="28"/>
                <w:rFonts w:ascii="仿宋" w:hAnsi="仿宋"/>
              </w:rPr>
              <w:t>④</w:t>
            </w:r>
            <w:r>
              <w:rPr>
                <w:rStyle w:val="28"/>
                <w:rFonts w:hAnsi="仿宋"/>
              </w:rPr>
              <w:t>相关管理制度得到有效执行，</w:t>
            </w:r>
            <w:r>
              <w:rPr>
                <w:rStyle w:val="28"/>
              </w:rPr>
              <w:t>2</w:t>
            </w:r>
            <w:r>
              <w:rPr>
                <w:rStyle w:val="28"/>
                <w:rFonts w:hAnsi="仿宋"/>
              </w:rPr>
              <w:t>分。</w:t>
            </w:r>
          </w:p>
        </w:tc>
        <w:tc>
          <w:tcPr>
            <w:tcW w:w="10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18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color w:val="000000"/>
                <w:sz w:val="18"/>
                <w:szCs w:val="18"/>
              </w:rPr>
            </w:pPr>
          </w:p>
        </w:tc>
      </w:tr>
      <w:tr>
        <w:tblPrEx>
          <w:tblCellMar>
            <w:top w:w="0" w:type="dxa"/>
            <w:left w:w="0" w:type="dxa"/>
            <w:bottom w:w="0" w:type="dxa"/>
            <w:right w:w="0" w:type="dxa"/>
          </w:tblCellMar>
        </w:tblPrEx>
        <w:trPr>
          <w:trHeight w:val="4032"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资金使用合规性</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支出符合国家财经法规和财务管理制度规定以及有关专项资金管理办法的规定；</w:t>
            </w:r>
            <w:r>
              <w:rPr>
                <w:rFonts w:ascii="仿宋" w:hAnsi="仿宋"/>
                <w:color w:val="000000"/>
                <w:kern w:val="0"/>
                <w:sz w:val="18"/>
                <w:szCs w:val="18"/>
              </w:rPr>
              <w:t>②</w:t>
            </w:r>
            <w:r>
              <w:rPr>
                <w:rFonts w:hAnsi="仿宋"/>
                <w:color w:val="000000"/>
                <w:kern w:val="0"/>
                <w:sz w:val="18"/>
                <w:szCs w:val="18"/>
              </w:rPr>
              <w:t>资金拨付有完整的审批程序和手续；</w:t>
            </w:r>
            <w:r>
              <w:rPr>
                <w:rFonts w:ascii="仿宋" w:hAnsi="仿宋"/>
                <w:color w:val="000000"/>
                <w:kern w:val="0"/>
                <w:sz w:val="18"/>
                <w:szCs w:val="18"/>
              </w:rPr>
              <w:t>③</w:t>
            </w:r>
            <w:r>
              <w:rPr>
                <w:rFonts w:hAnsi="仿宋"/>
                <w:color w:val="000000"/>
                <w:kern w:val="0"/>
                <w:sz w:val="18"/>
                <w:szCs w:val="18"/>
              </w:rPr>
              <w:t>项目支出按规定经过评估论证；</w:t>
            </w:r>
            <w:r>
              <w:rPr>
                <w:rFonts w:ascii="仿宋" w:hAnsi="仿宋"/>
                <w:color w:val="000000"/>
                <w:kern w:val="0"/>
                <w:sz w:val="18"/>
                <w:szCs w:val="18"/>
              </w:rPr>
              <w:t>④</w:t>
            </w:r>
            <w:r>
              <w:rPr>
                <w:rFonts w:hAnsi="仿宋"/>
                <w:color w:val="000000"/>
                <w:kern w:val="0"/>
                <w:sz w:val="18"/>
                <w:szCs w:val="18"/>
              </w:rPr>
              <w:t>支出符合部门预算批复的用途；</w:t>
            </w:r>
            <w:r>
              <w:rPr>
                <w:rFonts w:ascii="仿宋" w:hAnsi="仿宋"/>
                <w:color w:val="000000"/>
                <w:kern w:val="0"/>
                <w:sz w:val="18"/>
                <w:szCs w:val="18"/>
              </w:rPr>
              <w:t>⑤</w:t>
            </w:r>
            <w:r>
              <w:rPr>
                <w:rFonts w:hAnsi="仿宋"/>
                <w:color w:val="000000"/>
                <w:kern w:val="0"/>
                <w:sz w:val="18"/>
                <w:szCs w:val="18"/>
              </w:rPr>
              <w:t>资金使用无截留、挤占、挪用、虚列支出等情况。以上情况每出现一例不符合要求的扣</w:t>
            </w:r>
            <w:r>
              <w:rPr>
                <w:rStyle w:val="28"/>
              </w:rPr>
              <w:t>1</w:t>
            </w:r>
            <w:r>
              <w:rPr>
                <w:rStyle w:val="28"/>
                <w:rFonts w:hAnsi="仿宋"/>
              </w:rPr>
              <w:t>分，扣完为止。</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hAnsi="仿宋"/>
                <w:color w:val="000000"/>
                <w:kern w:val="0"/>
                <w:sz w:val="18"/>
                <w:szCs w:val="18"/>
              </w:rPr>
              <w:t>支出符合国家财经法规和财务管理制度规定以及有关专项资金管理办法的规定；资金拨付有完整的审批程序和手续；项目支出按规定经过评估论证。存在支出不符合部门预算批复的用途；存在未按财政预算指标文件规定使用资金，项目资金用于行政运行支出的情况，本项扣2分，得4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4</w:t>
            </w:r>
          </w:p>
        </w:tc>
      </w:tr>
      <w:tr>
        <w:tblPrEx>
          <w:tblCellMar>
            <w:top w:w="0" w:type="dxa"/>
            <w:left w:w="0" w:type="dxa"/>
            <w:bottom w:w="0" w:type="dxa"/>
            <w:right w:w="0" w:type="dxa"/>
          </w:tblCellMar>
        </w:tblPrEx>
        <w:trPr>
          <w:trHeight w:val="2787"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预决算信息公开性</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按规定内容公开预决算信息，</w:t>
            </w:r>
            <w:r>
              <w:rPr>
                <w:rStyle w:val="28"/>
              </w:rPr>
              <w:t>1</w:t>
            </w:r>
            <w:r>
              <w:rPr>
                <w:rStyle w:val="28"/>
                <w:rFonts w:hAnsi="仿宋"/>
              </w:rPr>
              <w:t>分；</w:t>
            </w:r>
            <w:r>
              <w:rPr>
                <w:rStyle w:val="28"/>
                <w:rFonts w:ascii="仿宋" w:hAnsi="仿宋"/>
              </w:rPr>
              <w:t>②</w:t>
            </w:r>
            <w:r>
              <w:rPr>
                <w:rStyle w:val="28"/>
                <w:rFonts w:hAnsi="仿宋"/>
              </w:rPr>
              <w:t>按规定时限公开预决算信息，</w:t>
            </w:r>
            <w:r>
              <w:rPr>
                <w:rStyle w:val="28"/>
              </w:rPr>
              <w:t>1</w:t>
            </w:r>
            <w:r>
              <w:rPr>
                <w:rStyle w:val="28"/>
                <w:rFonts w:hAnsi="仿宋"/>
              </w:rPr>
              <w:t>分；</w:t>
            </w:r>
            <w:r>
              <w:rPr>
                <w:rStyle w:val="28"/>
                <w:rFonts w:ascii="仿宋" w:hAnsi="仿宋"/>
              </w:rPr>
              <w:t>③</w:t>
            </w:r>
            <w:r>
              <w:rPr>
                <w:rStyle w:val="28"/>
                <w:rFonts w:hAnsi="仿宋"/>
              </w:rPr>
              <w:t>基础数据信息和会计信息资料真实，</w:t>
            </w:r>
            <w:r>
              <w:rPr>
                <w:rStyle w:val="28"/>
              </w:rPr>
              <w:t>1</w:t>
            </w:r>
            <w:r>
              <w:rPr>
                <w:rStyle w:val="28"/>
                <w:rFonts w:hAnsi="仿宋"/>
              </w:rPr>
              <w:t>分；</w:t>
            </w:r>
            <w:r>
              <w:rPr>
                <w:rStyle w:val="28"/>
                <w:rFonts w:ascii="仿宋" w:hAnsi="仿宋"/>
              </w:rPr>
              <w:t>④</w:t>
            </w:r>
            <w:r>
              <w:rPr>
                <w:rStyle w:val="28"/>
                <w:rFonts w:hAnsi="仿宋"/>
              </w:rPr>
              <w:t>基础数据信息和会计信息资料完整，</w:t>
            </w:r>
            <w:r>
              <w:rPr>
                <w:rStyle w:val="28"/>
              </w:rPr>
              <w:t>1</w:t>
            </w:r>
            <w:r>
              <w:rPr>
                <w:rStyle w:val="28"/>
                <w:rFonts w:hAnsi="仿宋"/>
              </w:rPr>
              <w:t>分；</w:t>
            </w:r>
            <w:r>
              <w:rPr>
                <w:rStyle w:val="28"/>
                <w:rFonts w:ascii="仿宋" w:hAnsi="仿宋"/>
              </w:rPr>
              <w:t>⑤</w:t>
            </w:r>
            <w:r>
              <w:rPr>
                <w:rStyle w:val="28"/>
                <w:rFonts w:hAnsi="仿宋"/>
              </w:rPr>
              <w:t>基础数据信息和汇集信息资料准确，</w:t>
            </w:r>
            <w:r>
              <w:rPr>
                <w:rStyle w:val="28"/>
              </w:rPr>
              <w:t>1</w:t>
            </w:r>
            <w:r>
              <w:rPr>
                <w:rStyle w:val="28"/>
                <w:rFonts w:hAnsi="仿宋"/>
              </w:rPr>
              <w:t>分。</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预决算信息是指与部门预算、执行、决算、监督、绩效等管理相关的信息。</w:t>
            </w: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Style w:val="28"/>
                <w:rFonts w:hint="eastAsia" w:hAnsi="仿宋"/>
              </w:rPr>
              <w:t>截止绩效评价审计日，已完成2019年度部门预</w:t>
            </w:r>
            <w:r>
              <w:rPr>
                <w:rStyle w:val="28"/>
                <w:rFonts w:hint="eastAsia" w:hAnsi="仿宋"/>
                <w:lang w:val="en-US" w:eastAsia="zh-CN"/>
              </w:rPr>
              <w:t>决</w:t>
            </w:r>
            <w:r>
              <w:rPr>
                <w:rStyle w:val="28"/>
                <w:rFonts w:hint="eastAsia" w:hAnsi="仿宋"/>
              </w:rPr>
              <w:t>算的公开，基础数据信息和会计信息资料真实、完整、准确，得</w:t>
            </w:r>
            <w:r>
              <w:rPr>
                <w:rStyle w:val="28"/>
                <w:rFonts w:hint="eastAsia" w:hAnsi="仿宋"/>
                <w:lang w:val="en-US" w:eastAsia="zh-CN"/>
              </w:rPr>
              <w:t>5</w:t>
            </w:r>
            <w:r>
              <w:rPr>
                <w:rStyle w:val="28"/>
                <w:rFonts w:hint="eastAsia" w:hAnsi="仿宋"/>
              </w:rPr>
              <w:t>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int="eastAsia" w:eastAsia="仿宋"/>
                <w:color w:val="000000"/>
                <w:sz w:val="18"/>
                <w:szCs w:val="18"/>
                <w:lang w:eastAsia="zh-CN"/>
              </w:rPr>
            </w:pPr>
            <w:r>
              <w:rPr>
                <w:rFonts w:hint="eastAsia"/>
                <w:color w:val="000000"/>
                <w:kern w:val="0"/>
                <w:sz w:val="18"/>
                <w:szCs w:val="18"/>
                <w:lang w:val="en-US" w:eastAsia="zh-CN"/>
              </w:rPr>
              <w:t>5</w:t>
            </w:r>
          </w:p>
        </w:tc>
      </w:tr>
      <w:tr>
        <w:tblPrEx>
          <w:tblCellMar>
            <w:top w:w="0" w:type="dxa"/>
            <w:left w:w="0" w:type="dxa"/>
            <w:bottom w:w="0" w:type="dxa"/>
            <w:right w:w="0" w:type="dxa"/>
          </w:tblCellMar>
        </w:tblPrEx>
        <w:trPr>
          <w:trHeight w:val="2640" w:hRule="atLeast"/>
          <w:jc w:val="center"/>
        </w:trPr>
        <w:tc>
          <w:tcPr>
            <w:tcW w:w="340"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产出及效率</w:t>
            </w:r>
            <w:r>
              <w:rPr>
                <w:rStyle w:val="28"/>
              </w:rPr>
              <w:t>30</w:t>
            </w:r>
            <w:r>
              <w:rPr>
                <w:rStyle w:val="28"/>
                <w:rFonts w:hAnsi="仿宋"/>
              </w:rPr>
              <w:t>分</w:t>
            </w:r>
          </w:p>
        </w:tc>
        <w:tc>
          <w:tcPr>
            <w:tcW w:w="35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职责履行</w:t>
            </w:r>
            <w:r>
              <w:rPr>
                <w:rStyle w:val="28"/>
              </w:rPr>
              <w:t>8</w:t>
            </w:r>
            <w:r>
              <w:rPr>
                <w:rStyle w:val="28"/>
                <w:rFonts w:hAnsi="仿宋"/>
              </w:rPr>
              <w:t>分</w:t>
            </w: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重点工作实际完成率</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根据市绩效办</w:t>
            </w:r>
            <w:r>
              <w:rPr>
                <w:rStyle w:val="28"/>
              </w:rPr>
              <w:t>2019</w:t>
            </w:r>
            <w:r>
              <w:rPr>
                <w:rStyle w:val="28"/>
                <w:rFonts w:hAnsi="仿宋"/>
              </w:rPr>
              <w:t>年对各部门为民办实事和部门重点工程与重点工作考核分数折算。该项得分</w:t>
            </w:r>
            <w:r>
              <w:rPr>
                <w:rStyle w:val="28"/>
              </w:rPr>
              <w:t>=</w:t>
            </w:r>
            <w:r>
              <w:rPr>
                <w:rStyle w:val="28"/>
                <w:rFonts w:hAnsi="仿宋"/>
              </w:rPr>
              <w:t>（绩效办对应部分考核得分</w:t>
            </w:r>
            <w:r>
              <w:rPr>
                <w:rStyle w:val="28"/>
              </w:rPr>
              <w:t>/</w:t>
            </w:r>
            <w:r>
              <w:rPr>
                <w:rStyle w:val="28"/>
                <w:rFonts w:hAnsi="仿宋"/>
              </w:rPr>
              <w:t>该部分总分）</w:t>
            </w:r>
            <w:r>
              <w:rPr>
                <w:rStyle w:val="28"/>
              </w:rPr>
              <w:t>×8</w:t>
            </w:r>
            <w:r>
              <w:rPr>
                <w:rStyle w:val="28"/>
                <w:rFonts w:hAnsi="仿宋"/>
              </w:rPr>
              <w:t>。</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衡山县统计局</w:t>
            </w:r>
            <w:r>
              <w:rPr>
                <w:rStyle w:val="28"/>
              </w:rPr>
              <w:t>2019年</w:t>
            </w:r>
            <w:r>
              <w:rPr>
                <w:rStyle w:val="28"/>
                <w:rFonts w:hAnsi="仿宋"/>
              </w:rPr>
              <w:t>部门重点工作均已完成，本项无扣分，得</w:t>
            </w:r>
            <w:r>
              <w:rPr>
                <w:rStyle w:val="28"/>
              </w:rPr>
              <w:t>8</w:t>
            </w:r>
            <w:r>
              <w:rPr>
                <w:rStyle w:val="28"/>
                <w:rFonts w:hAnsi="仿宋"/>
              </w:rPr>
              <w:t>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r>
      <w:tr>
        <w:tblPrEx>
          <w:tblCellMar>
            <w:top w:w="0" w:type="dxa"/>
            <w:left w:w="0" w:type="dxa"/>
            <w:bottom w:w="0" w:type="dxa"/>
            <w:right w:w="0" w:type="dxa"/>
          </w:tblCellMar>
        </w:tblPrEx>
        <w:trPr>
          <w:trHeight w:val="288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履职效益</w:t>
            </w:r>
            <w:r>
              <w:rPr>
                <w:rStyle w:val="28"/>
              </w:rPr>
              <w:t>22</w:t>
            </w:r>
            <w:r>
              <w:rPr>
                <w:rStyle w:val="28"/>
                <w:rFonts w:hAnsi="仿宋"/>
              </w:rPr>
              <w:t>分</w:t>
            </w: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经济效益</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效益比较明显计满分；效益一般计</w:t>
            </w:r>
            <w:r>
              <w:rPr>
                <w:rStyle w:val="28"/>
              </w:rPr>
              <w:t>3</w:t>
            </w:r>
            <w:r>
              <w:rPr>
                <w:rStyle w:val="28"/>
                <w:rFonts w:hAnsi="仿宋"/>
              </w:rPr>
              <w:t>分；无效益或者效益不明显计</w:t>
            </w:r>
            <w:r>
              <w:rPr>
                <w:rStyle w:val="28"/>
              </w:rPr>
              <w:t>0</w:t>
            </w:r>
            <w:r>
              <w:rPr>
                <w:rStyle w:val="28"/>
                <w:rFonts w:hAnsi="仿宋"/>
              </w:rPr>
              <w:t>分</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hAnsi="仿宋"/>
                <w:color w:val="000000"/>
                <w:kern w:val="0"/>
                <w:sz w:val="18"/>
                <w:szCs w:val="18"/>
              </w:rPr>
              <w:t>衡山县统计局通过开展统计联网直报工作，准确、及时的完成了全年的各项统计报表任务，较好的反映了县城经济社会发展状况，统计出来的各项经济指标为以后年度的县城经济社会发展规划具有一定的指导作用，该单位本项指标得分5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144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社会效益</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效益比较明显计满分；效益一般计</w:t>
            </w:r>
            <w:r>
              <w:rPr>
                <w:rStyle w:val="28"/>
              </w:rPr>
              <w:t>3</w:t>
            </w:r>
            <w:r>
              <w:rPr>
                <w:rStyle w:val="28"/>
                <w:rFonts w:hAnsi="仿宋"/>
              </w:rPr>
              <w:t>分；无效益或者效益不明显计</w:t>
            </w:r>
            <w:r>
              <w:rPr>
                <w:rStyle w:val="28"/>
              </w:rPr>
              <w:t>0</w:t>
            </w:r>
            <w:r>
              <w:rPr>
                <w:rStyle w:val="28"/>
                <w:rFonts w:hAnsi="仿宋"/>
              </w:rPr>
              <w:t>分</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hAnsi="仿宋"/>
                <w:color w:val="000000"/>
                <w:kern w:val="0"/>
                <w:sz w:val="18"/>
                <w:szCs w:val="18"/>
              </w:rPr>
              <w:t>衡山县统计局对粮食、畜禽监测有利于粮食价格的调剂和畜禽安全的监管，民众的切身利益得到有效保障，社会效益显著，该单位本项指标得分5分。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288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行政效能</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促进部门改进文风会风，加强经费及资产管理，推动网上办事，提高行政效率，降低行政成本效果较好的计</w:t>
            </w:r>
            <w:r>
              <w:rPr>
                <w:rStyle w:val="28"/>
              </w:rPr>
              <w:t>6</w:t>
            </w:r>
            <w:r>
              <w:rPr>
                <w:rStyle w:val="28"/>
                <w:rFonts w:hAnsi="仿宋"/>
              </w:rPr>
              <w:t>分；一般</w:t>
            </w:r>
            <w:r>
              <w:rPr>
                <w:rStyle w:val="28"/>
              </w:rPr>
              <w:t>3</w:t>
            </w:r>
            <w:r>
              <w:rPr>
                <w:rStyle w:val="28"/>
                <w:rFonts w:hAnsi="仿宋"/>
              </w:rPr>
              <w:t>分；无效果或者效果不明显</w:t>
            </w:r>
            <w:r>
              <w:rPr>
                <w:rStyle w:val="28"/>
              </w:rPr>
              <w:t>0</w:t>
            </w:r>
            <w:r>
              <w:rPr>
                <w:rStyle w:val="28"/>
                <w:rFonts w:hAnsi="仿宋"/>
              </w:rPr>
              <w:t>分。</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根据部门自评材料评定。</w:t>
            </w: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该部门在促进部门改进文风会风，加强经费及资产管理，推动网上办事，提高行政效率，降低行政成本等方面取得了较好效果</w:t>
            </w:r>
            <w:r>
              <w:rPr>
                <w:rFonts w:hint="eastAsia" w:hAnsi="仿宋"/>
                <w:color w:val="000000"/>
                <w:kern w:val="0"/>
                <w:sz w:val="18"/>
                <w:szCs w:val="18"/>
              </w:rPr>
              <w:t>，根据评分标准，该单位本项指标得分6分。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r>
      <w:tr>
        <w:tblPrEx>
          <w:tblCellMar>
            <w:top w:w="0" w:type="dxa"/>
            <w:left w:w="0" w:type="dxa"/>
            <w:bottom w:w="0" w:type="dxa"/>
            <w:right w:w="0" w:type="dxa"/>
          </w:tblCellMar>
        </w:tblPrEx>
        <w:trPr>
          <w:trHeight w:val="1920" w:hRule="atLeast"/>
          <w:jc w:val="center"/>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1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hAnsi="仿宋"/>
                <w:color w:val="000000"/>
                <w:kern w:val="0"/>
                <w:sz w:val="18"/>
                <w:szCs w:val="18"/>
              </w:rPr>
              <w:t>社会公众或服务对象满意度</w:t>
            </w:r>
          </w:p>
        </w:tc>
        <w:tc>
          <w:tcPr>
            <w:tcW w:w="250"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9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hAnsi="仿宋"/>
                <w:color w:val="000000"/>
                <w:kern w:val="0"/>
                <w:sz w:val="18"/>
                <w:szCs w:val="18"/>
              </w:rPr>
              <w:t>90%（含）以上计6分；80%（含）-90%，计4分；70%（含）-80%，计2分；低于70%计0分。</w:t>
            </w:r>
          </w:p>
        </w:tc>
        <w:tc>
          <w:tcPr>
            <w:tcW w:w="10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18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hAnsi="仿宋"/>
                <w:color w:val="000000"/>
                <w:kern w:val="0"/>
                <w:sz w:val="18"/>
                <w:szCs w:val="18"/>
              </w:rPr>
              <w:t>通过向社会公众发放问卷调查，经统计对本单位的履职效果、厉行节约、信息公开等情况满意度，社会群众对该单位工作开展情况、社会效益等关注程度高、满意度较好，根据评分标准，该单位本项指标得分6分。</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r>
      <w:tr>
        <w:tblPrEx>
          <w:tblCellMar>
            <w:top w:w="0" w:type="dxa"/>
            <w:left w:w="0" w:type="dxa"/>
            <w:bottom w:w="0" w:type="dxa"/>
            <w:right w:w="0" w:type="dxa"/>
          </w:tblCellMar>
        </w:tblPrEx>
        <w:trPr>
          <w:trHeight w:val="478" w:hRule="atLeast"/>
          <w:jc w:val="center"/>
        </w:trPr>
        <w:tc>
          <w:tcPr>
            <w:tcW w:w="4621" w:type="pct"/>
            <w:gridSpan w:val="7"/>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合</w:t>
            </w:r>
            <w:r>
              <w:rPr>
                <w:rStyle w:val="28"/>
                <w:rFonts w:hAnsi="仿宋"/>
              </w:rPr>
              <w:t>计</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rFonts w:hint="default" w:eastAsia="仿宋"/>
                <w:color w:val="000000"/>
                <w:sz w:val="18"/>
                <w:szCs w:val="18"/>
                <w:lang w:val="en-US" w:eastAsia="zh-CN"/>
              </w:rPr>
            </w:pPr>
            <w:r>
              <w:rPr>
                <w:rFonts w:hint="eastAsia"/>
                <w:color w:val="000000"/>
                <w:sz w:val="18"/>
                <w:szCs w:val="18"/>
                <w:lang w:val="en-US" w:eastAsia="zh-CN"/>
              </w:rPr>
              <w:t>72</w:t>
            </w:r>
          </w:p>
        </w:tc>
      </w:tr>
    </w:tbl>
    <w:p>
      <w:pPr>
        <w:ind w:firstLine="640"/>
        <w:jc w:val="center"/>
        <w:rPr>
          <w:rFonts w:ascii="黑体" w:hAnsi="黑体" w:eastAsia="黑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center"/>
    </w:pPr>
    <w:r>
      <w:fldChar w:fldCharType="begin"/>
    </w:r>
    <w:r>
      <w:instrText xml:space="preserve">PAGE   \* MERGEFORMAT</w:instrText>
    </w:r>
    <w:r>
      <w:fldChar w:fldCharType="separate"/>
    </w:r>
    <w:r>
      <w:rPr>
        <w:rFonts w:ascii="Times New Roman" w:hAnsi="Times New Roman"/>
        <w:lang w:val="zh-CN"/>
      </w:rPr>
      <w:t>2</w:t>
    </w:r>
    <w:r>
      <w:rPr>
        <w:lang w:val="zh-CN"/>
      </w:rPr>
      <w:fldChar w:fldCharType="end"/>
    </w:r>
  </w:p>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center"/>
    </w:pPr>
    <w:r>
      <w:fldChar w:fldCharType="begin"/>
    </w:r>
    <w:r>
      <w:instrText xml:space="preserve">PAGE   \* MERGEFORMAT</w:instrText>
    </w:r>
    <w:r>
      <w:fldChar w:fldCharType="separate"/>
    </w:r>
    <w:r>
      <w:rPr>
        <w:rFonts w:ascii="Times New Roman" w:hAnsi="Times New Roman"/>
        <w:lang w:val="zh-CN"/>
      </w:rPr>
      <w:t>1</w:t>
    </w:r>
    <w:r>
      <w:rPr>
        <w:lang w:val="zh-CN"/>
      </w:rPr>
      <w:fldChar w:fldCharType="end"/>
    </w:r>
  </w:p>
  <w:p>
    <w:pPr>
      <w:pStyle w:val="10"/>
      <w:ind w:right="360" w:firstLine="560"/>
      <w:jc w:val="right"/>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center"/>
    </w:pPr>
    <w:r>
      <w:rPr>
        <w:rFonts w:hint="eastAsia"/>
      </w:rPr>
      <w:t>第</w:t>
    </w:r>
    <w:r>
      <w:fldChar w:fldCharType="begin"/>
    </w:r>
    <w:r>
      <w:instrText xml:space="preserve">PAGE   \* MERGEFORMAT</w:instrText>
    </w:r>
    <w:r>
      <w:fldChar w:fldCharType="separate"/>
    </w:r>
    <w:r>
      <w:rPr>
        <w:rFonts w:ascii="Times New Roman" w:hAnsi="Times New Roman"/>
        <w:lang w:val="zh-CN"/>
      </w:rPr>
      <w:t>19</w:t>
    </w:r>
    <w:r>
      <w:rPr>
        <w:lang w:val="zh-CN"/>
      </w:rPr>
      <w:fldChar w:fldCharType="end"/>
    </w:r>
    <w:r>
      <w:rPr>
        <w:lang w:val="zh-CN"/>
      </w:rPr>
      <w:t>页</w:t>
    </w:r>
    <w:r>
      <w:rPr>
        <w:rFonts w:hint="eastAsia"/>
        <w:lang w:val="zh-CN"/>
      </w:rPr>
      <w:t>，</w:t>
    </w:r>
    <w:r>
      <w:t>共</w:t>
    </w:r>
    <w:r>
      <w:rPr>
        <w:rFonts w:hint="eastAsia" w:ascii="Times New Roman" w:hAnsi="Times New Roman"/>
        <w:lang w:val="en-US" w:eastAsia="zh-CN"/>
      </w:rPr>
      <w:t>18</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right"/>
    </w:pPr>
    <w:r>
      <w:rPr>
        <w:rFonts w:hint="eastAsia"/>
      </w:rPr>
      <w:t>2019年度衡山县统计局部门整体支出绩效评价报告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297"/>
  <w:drawingGridVerticalSpacing w:val="317"/>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GJjNmQxYjM4ZTM0ZjAwY2E5MzIxZDk1YTRhNGQ1OTQifQ=="/>
    <w:docVar w:name="KSO_WPS_MARK_KEY" w:val="ebfdea90-94a1-4ce9-b736-96a97125c75a"/>
  </w:docVars>
  <w:rsids>
    <w:rsidRoot w:val="00482374"/>
    <w:rsid w:val="000118E6"/>
    <w:rsid w:val="00021BF7"/>
    <w:rsid w:val="00022D35"/>
    <w:rsid w:val="00027D49"/>
    <w:rsid w:val="0003604D"/>
    <w:rsid w:val="000544C9"/>
    <w:rsid w:val="00062013"/>
    <w:rsid w:val="000627EA"/>
    <w:rsid w:val="000630E5"/>
    <w:rsid w:val="00063AC9"/>
    <w:rsid w:val="00064007"/>
    <w:rsid w:val="000753A2"/>
    <w:rsid w:val="0009249F"/>
    <w:rsid w:val="000A0B9E"/>
    <w:rsid w:val="000A274D"/>
    <w:rsid w:val="000B71DF"/>
    <w:rsid w:val="000B7B58"/>
    <w:rsid w:val="000D2F25"/>
    <w:rsid w:val="000D38EE"/>
    <w:rsid w:val="000D7A24"/>
    <w:rsid w:val="000F4110"/>
    <w:rsid w:val="00104F1A"/>
    <w:rsid w:val="00107439"/>
    <w:rsid w:val="00110D24"/>
    <w:rsid w:val="00115B4B"/>
    <w:rsid w:val="0012383F"/>
    <w:rsid w:val="001330E9"/>
    <w:rsid w:val="00157006"/>
    <w:rsid w:val="00161A97"/>
    <w:rsid w:val="0017049B"/>
    <w:rsid w:val="00174237"/>
    <w:rsid w:val="001938BC"/>
    <w:rsid w:val="001A287C"/>
    <w:rsid w:val="001B1CA5"/>
    <w:rsid w:val="001B34C3"/>
    <w:rsid w:val="001C3F11"/>
    <w:rsid w:val="001C5164"/>
    <w:rsid w:val="001F6CF0"/>
    <w:rsid w:val="00211488"/>
    <w:rsid w:val="00211EBC"/>
    <w:rsid w:val="0021425F"/>
    <w:rsid w:val="00223C54"/>
    <w:rsid w:val="002303AA"/>
    <w:rsid w:val="00242155"/>
    <w:rsid w:val="002473A0"/>
    <w:rsid w:val="00254B9B"/>
    <w:rsid w:val="00260663"/>
    <w:rsid w:val="002647AB"/>
    <w:rsid w:val="002766B8"/>
    <w:rsid w:val="002813F2"/>
    <w:rsid w:val="00293769"/>
    <w:rsid w:val="002A1A11"/>
    <w:rsid w:val="002A58A3"/>
    <w:rsid w:val="002A7A6F"/>
    <w:rsid w:val="002B038A"/>
    <w:rsid w:val="002B2127"/>
    <w:rsid w:val="002B4469"/>
    <w:rsid w:val="002B4BA5"/>
    <w:rsid w:val="002C05E2"/>
    <w:rsid w:val="002C0D02"/>
    <w:rsid w:val="002C2EE1"/>
    <w:rsid w:val="002C313A"/>
    <w:rsid w:val="002C4538"/>
    <w:rsid w:val="002E47F0"/>
    <w:rsid w:val="002E4BA5"/>
    <w:rsid w:val="002E55FE"/>
    <w:rsid w:val="002F378C"/>
    <w:rsid w:val="0030252F"/>
    <w:rsid w:val="0030638E"/>
    <w:rsid w:val="0033348D"/>
    <w:rsid w:val="003402B5"/>
    <w:rsid w:val="0034501F"/>
    <w:rsid w:val="0036045F"/>
    <w:rsid w:val="00381B66"/>
    <w:rsid w:val="00387CCC"/>
    <w:rsid w:val="003911DA"/>
    <w:rsid w:val="003A44A3"/>
    <w:rsid w:val="003B0994"/>
    <w:rsid w:val="003B0ACA"/>
    <w:rsid w:val="003E48FF"/>
    <w:rsid w:val="00405FCF"/>
    <w:rsid w:val="00415801"/>
    <w:rsid w:val="0044104D"/>
    <w:rsid w:val="00441094"/>
    <w:rsid w:val="004453D7"/>
    <w:rsid w:val="0045662E"/>
    <w:rsid w:val="004608BF"/>
    <w:rsid w:val="0046097A"/>
    <w:rsid w:val="00462C35"/>
    <w:rsid w:val="00464A52"/>
    <w:rsid w:val="00474EBD"/>
    <w:rsid w:val="00482374"/>
    <w:rsid w:val="004845AC"/>
    <w:rsid w:val="004D55EA"/>
    <w:rsid w:val="004E2135"/>
    <w:rsid w:val="0050113B"/>
    <w:rsid w:val="00502B59"/>
    <w:rsid w:val="00502D18"/>
    <w:rsid w:val="005125B8"/>
    <w:rsid w:val="00516587"/>
    <w:rsid w:val="00516F12"/>
    <w:rsid w:val="005242D6"/>
    <w:rsid w:val="0054022B"/>
    <w:rsid w:val="00542841"/>
    <w:rsid w:val="0055092F"/>
    <w:rsid w:val="005535D6"/>
    <w:rsid w:val="00570153"/>
    <w:rsid w:val="0057080E"/>
    <w:rsid w:val="00577B65"/>
    <w:rsid w:val="005815ED"/>
    <w:rsid w:val="005931F9"/>
    <w:rsid w:val="005A05A3"/>
    <w:rsid w:val="005A2EBB"/>
    <w:rsid w:val="005A7E4C"/>
    <w:rsid w:val="005B3924"/>
    <w:rsid w:val="005B4DC8"/>
    <w:rsid w:val="005C44B0"/>
    <w:rsid w:val="005C6E43"/>
    <w:rsid w:val="005D1F23"/>
    <w:rsid w:val="005E2965"/>
    <w:rsid w:val="005E4404"/>
    <w:rsid w:val="005F3D77"/>
    <w:rsid w:val="00601A53"/>
    <w:rsid w:val="00606DDC"/>
    <w:rsid w:val="006117B8"/>
    <w:rsid w:val="00613E44"/>
    <w:rsid w:val="00613E98"/>
    <w:rsid w:val="00613F28"/>
    <w:rsid w:val="00632F9B"/>
    <w:rsid w:val="00660C4B"/>
    <w:rsid w:val="006668A5"/>
    <w:rsid w:val="00670EF3"/>
    <w:rsid w:val="00674754"/>
    <w:rsid w:val="00683BC2"/>
    <w:rsid w:val="00687E02"/>
    <w:rsid w:val="006958B6"/>
    <w:rsid w:val="006A5890"/>
    <w:rsid w:val="006B13D6"/>
    <w:rsid w:val="006B31E0"/>
    <w:rsid w:val="006C014E"/>
    <w:rsid w:val="006C5E70"/>
    <w:rsid w:val="006D2DF4"/>
    <w:rsid w:val="006D723A"/>
    <w:rsid w:val="006D7D55"/>
    <w:rsid w:val="006E2B48"/>
    <w:rsid w:val="006E3D48"/>
    <w:rsid w:val="006F1332"/>
    <w:rsid w:val="006F1C27"/>
    <w:rsid w:val="006F4B22"/>
    <w:rsid w:val="006F5FFC"/>
    <w:rsid w:val="00701AE7"/>
    <w:rsid w:val="00715CAF"/>
    <w:rsid w:val="00727DB8"/>
    <w:rsid w:val="00733B78"/>
    <w:rsid w:val="00742836"/>
    <w:rsid w:val="00744C5C"/>
    <w:rsid w:val="007536E2"/>
    <w:rsid w:val="007568F3"/>
    <w:rsid w:val="0076065C"/>
    <w:rsid w:val="00764B47"/>
    <w:rsid w:val="00765918"/>
    <w:rsid w:val="00773387"/>
    <w:rsid w:val="00774366"/>
    <w:rsid w:val="00776E19"/>
    <w:rsid w:val="00785E0A"/>
    <w:rsid w:val="00787711"/>
    <w:rsid w:val="007948FC"/>
    <w:rsid w:val="00795414"/>
    <w:rsid w:val="007D3300"/>
    <w:rsid w:val="007D6A3D"/>
    <w:rsid w:val="007E3FE6"/>
    <w:rsid w:val="007E676D"/>
    <w:rsid w:val="007F25E3"/>
    <w:rsid w:val="008019BA"/>
    <w:rsid w:val="00802864"/>
    <w:rsid w:val="00811F6D"/>
    <w:rsid w:val="008217F8"/>
    <w:rsid w:val="00826607"/>
    <w:rsid w:val="00827E70"/>
    <w:rsid w:val="0083449A"/>
    <w:rsid w:val="0084095B"/>
    <w:rsid w:val="0086373B"/>
    <w:rsid w:val="00871C10"/>
    <w:rsid w:val="00875002"/>
    <w:rsid w:val="008A2852"/>
    <w:rsid w:val="008A630B"/>
    <w:rsid w:val="008B2815"/>
    <w:rsid w:val="008B606B"/>
    <w:rsid w:val="008E28EE"/>
    <w:rsid w:val="008E48D0"/>
    <w:rsid w:val="008F1D1C"/>
    <w:rsid w:val="008F2EE5"/>
    <w:rsid w:val="008F3530"/>
    <w:rsid w:val="00903280"/>
    <w:rsid w:val="00903E4E"/>
    <w:rsid w:val="009128A6"/>
    <w:rsid w:val="009210B0"/>
    <w:rsid w:val="00922BDA"/>
    <w:rsid w:val="009248B9"/>
    <w:rsid w:val="0093354B"/>
    <w:rsid w:val="00944182"/>
    <w:rsid w:val="00945BB7"/>
    <w:rsid w:val="0095730A"/>
    <w:rsid w:val="0095735E"/>
    <w:rsid w:val="009576F3"/>
    <w:rsid w:val="0097184C"/>
    <w:rsid w:val="00973388"/>
    <w:rsid w:val="00977141"/>
    <w:rsid w:val="00977C61"/>
    <w:rsid w:val="0098305A"/>
    <w:rsid w:val="00990488"/>
    <w:rsid w:val="009964EF"/>
    <w:rsid w:val="009A09B7"/>
    <w:rsid w:val="009A28CD"/>
    <w:rsid w:val="009C07F1"/>
    <w:rsid w:val="009C0F60"/>
    <w:rsid w:val="009C5095"/>
    <w:rsid w:val="009C571A"/>
    <w:rsid w:val="009D1181"/>
    <w:rsid w:val="009D4E60"/>
    <w:rsid w:val="00A01DD1"/>
    <w:rsid w:val="00A10B81"/>
    <w:rsid w:val="00A2160A"/>
    <w:rsid w:val="00A27E35"/>
    <w:rsid w:val="00A31118"/>
    <w:rsid w:val="00A31504"/>
    <w:rsid w:val="00A40AA4"/>
    <w:rsid w:val="00A441AD"/>
    <w:rsid w:val="00A55D68"/>
    <w:rsid w:val="00A601C2"/>
    <w:rsid w:val="00A671B5"/>
    <w:rsid w:val="00A7185C"/>
    <w:rsid w:val="00A93645"/>
    <w:rsid w:val="00A973D6"/>
    <w:rsid w:val="00AA1949"/>
    <w:rsid w:val="00AA2136"/>
    <w:rsid w:val="00AA2AA1"/>
    <w:rsid w:val="00AA55E0"/>
    <w:rsid w:val="00AF1743"/>
    <w:rsid w:val="00B07442"/>
    <w:rsid w:val="00B129F1"/>
    <w:rsid w:val="00B22783"/>
    <w:rsid w:val="00B23767"/>
    <w:rsid w:val="00B37878"/>
    <w:rsid w:val="00B37F3F"/>
    <w:rsid w:val="00B542F2"/>
    <w:rsid w:val="00B575F5"/>
    <w:rsid w:val="00B57B7B"/>
    <w:rsid w:val="00B6504E"/>
    <w:rsid w:val="00B70567"/>
    <w:rsid w:val="00B71B7D"/>
    <w:rsid w:val="00B73593"/>
    <w:rsid w:val="00B75780"/>
    <w:rsid w:val="00B80076"/>
    <w:rsid w:val="00B80606"/>
    <w:rsid w:val="00B80FEE"/>
    <w:rsid w:val="00B816A7"/>
    <w:rsid w:val="00B82FCF"/>
    <w:rsid w:val="00B92DBB"/>
    <w:rsid w:val="00BA3491"/>
    <w:rsid w:val="00BA73BB"/>
    <w:rsid w:val="00BA75B4"/>
    <w:rsid w:val="00BC6CCE"/>
    <w:rsid w:val="00BD4F7F"/>
    <w:rsid w:val="00BF71AD"/>
    <w:rsid w:val="00C00367"/>
    <w:rsid w:val="00C0037F"/>
    <w:rsid w:val="00C01C0B"/>
    <w:rsid w:val="00C0655B"/>
    <w:rsid w:val="00C12746"/>
    <w:rsid w:val="00C2114C"/>
    <w:rsid w:val="00C214FE"/>
    <w:rsid w:val="00C32BCF"/>
    <w:rsid w:val="00C32E51"/>
    <w:rsid w:val="00C42603"/>
    <w:rsid w:val="00C533DB"/>
    <w:rsid w:val="00C54778"/>
    <w:rsid w:val="00C54A4D"/>
    <w:rsid w:val="00C613F1"/>
    <w:rsid w:val="00C74D08"/>
    <w:rsid w:val="00C75B46"/>
    <w:rsid w:val="00C76315"/>
    <w:rsid w:val="00CA4B08"/>
    <w:rsid w:val="00CB0A32"/>
    <w:rsid w:val="00CC3403"/>
    <w:rsid w:val="00CD0D84"/>
    <w:rsid w:val="00CD1044"/>
    <w:rsid w:val="00CD2750"/>
    <w:rsid w:val="00CD4A7F"/>
    <w:rsid w:val="00CD51B2"/>
    <w:rsid w:val="00CE3958"/>
    <w:rsid w:val="00CF0046"/>
    <w:rsid w:val="00CF0AA8"/>
    <w:rsid w:val="00D05E54"/>
    <w:rsid w:val="00D071E1"/>
    <w:rsid w:val="00D23541"/>
    <w:rsid w:val="00D36765"/>
    <w:rsid w:val="00D369E6"/>
    <w:rsid w:val="00D4357C"/>
    <w:rsid w:val="00D47183"/>
    <w:rsid w:val="00D56ABF"/>
    <w:rsid w:val="00D64A32"/>
    <w:rsid w:val="00D65C8C"/>
    <w:rsid w:val="00D748B0"/>
    <w:rsid w:val="00D85861"/>
    <w:rsid w:val="00D971C2"/>
    <w:rsid w:val="00DB15E9"/>
    <w:rsid w:val="00DB3B4E"/>
    <w:rsid w:val="00DB3BE0"/>
    <w:rsid w:val="00DC1D5E"/>
    <w:rsid w:val="00DD1CA3"/>
    <w:rsid w:val="00DF16B6"/>
    <w:rsid w:val="00DF174E"/>
    <w:rsid w:val="00DF268C"/>
    <w:rsid w:val="00DF6BDB"/>
    <w:rsid w:val="00E006D4"/>
    <w:rsid w:val="00E0130A"/>
    <w:rsid w:val="00E05DD9"/>
    <w:rsid w:val="00E25A6B"/>
    <w:rsid w:val="00E270AE"/>
    <w:rsid w:val="00E35A19"/>
    <w:rsid w:val="00E36E82"/>
    <w:rsid w:val="00E40291"/>
    <w:rsid w:val="00E40F97"/>
    <w:rsid w:val="00E41B2E"/>
    <w:rsid w:val="00E52FF9"/>
    <w:rsid w:val="00E5425A"/>
    <w:rsid w:val="00E8365F"/>
    <w:rsid w:val="00EA5FD8"/>
    <w:rsid w:val="00EB18AE"/>
    <w:rsid w:val="00EB3165"/>
    <w:rsid w:val="00EB573E"/>
    <w:rsid w:val="00ED16D9"/>
    <w:rsid w:val="00ED6AA0"/>
    <w:rsid w:val="00EE6484"/>
    <w:rsid w:val="00EE6D1D"/>
    <w:rsid w:val="00EF3226"/>
    <w:rsid w:val="00F06849"/>
    <w:rsid w:val="00F1337B"/>
    <w:rsid w:val="00F16080"/>
    <w:rsid w:val="00F24C71"/>
    <w:rsid w:val="00F33192"/>
    <w:rsid w:val="00F335F5"/>
    <w:rsid w:val="00F33902"/>
    <w:rsid w:val="00F40393"/>
    <w:rsid w:val="00F73C4E"/>
    <w:rsid w:val="00F82B5F"/>
    <w:rsid w:val="00F95865"/>
    <w:rsid w:val="00FA0CC1"/>
    <w:rsid w:val="00FA7135"/>
    <w:rsid w:val="00FA7EF1"/>
    <w:rsid w:val="00FB1FC3"/>
    <w:rsid w:val="00FC2342"/>
    <w:rsid w:val="00FD4D07"/>
    <w:rsid w:val="00FD6763"/>
    <w:rsid w:val="00FE5928"/>
    <w:rsid w:val="00FF1E37"/>
    <w:rsid w:val="00FF60F4"/>
    <w:rsid w:val="0F6C0207"/>
    <w:rsid w:val="5D372417"/>
    <w:rsid w:val="61683A7F"/>
    <w:rsid w:val="68D41983"/>
    <w:rsid w:val="75920C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ind w:firstLine="200" w:firstLineChars="200"/>
      <w:jc w:val="both"/>
    </w:pPr>
    <w:rPr>
      <w:rFonts w:ascii="Times New Roman" w:hAnsi="Times New Roman" w:eastAsia="仿宋" w:cs="Times New Roman"/>
      <w:kern w:val="2"/>
      <w:sz w:val="32"/>
      <w:szCs w:val="24"/>
      <w:lang w:val="en-US" w:eastAsia="zh-CN" w:bidi="ar-SA"/>
    </w:rPr>
  </w:style>
  <w:style w:type="paragraph" w:styleId="2">
    <w:name w:val="heading 1"/>
    <w:basedOn w:val="1"/>
    <w:next w:val="1"/>
    <w:link w:val="26"/>
    <w:qFormat/>
    <w:uiPriority w:val="9"/>
    <w:pPr>
      <w:outlineLvl w:val="0"/>
    </w:pPr>
    <w:rPr>
      <w:rFonts w:eastAsia="黑体"/>
      <w:bCs/>
      <w:kern w:val="44"/>
      <w:szCs w:val="44"/>
    </w:rPr>
  </w:style>
  <w:style w:type="paragraph" w:styleId="3">
    <w:name w:val="heading 2"/>
    <w:basedOn w:val="1"/>
    <w:next w:val="1"/>
    <w:link w:val="29"/>
    <w:unhideWhenUsed/>
    <w:qFormat/>
    <w:uiPriority w:val="9"/>
    <w:pPr>
      <w:outlineLvl w:val="1"/>
    </w:pPr>
    <w:rPr>
      <w:rFonts w:eastAsia="楷体" w:asciiTheme="majorHAnsi" w:hAnsiTheme="majorHAnsi" w:cstheme="majorBidi"/>
      <w:b/>
      <w:bCs/>
      <w:szCs w:val="32"/>
    </w:rPr>
  </w:style>
  <w:style w:type="paragraph" w:styleId="4">
    <w:name w:val="heading 3"/>
    <w:basedOn w:val="1"/>
    <w:next w:val="1"/>
    <w:link w:val="27"/>
    <w:unhideWhenUsed/>
    <w:qFormat/>
    <w:uiPriority w:val="9"/>
    <w:pPr>
      <w:outlineLvl w:val="2"/>
    </w:pPr>
    <w:rPr>
      <w:b/>
      <w:bCs/>
      <w:szCs w:val="32"/>
    </w:rPr>
  </w:style>
  <w:style w:type="character" w:default="1" w:styleId="19">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1920"/>
      <w:jc w:val="left"/>
    </w:pPr>
    <w:rPr>
      <w:rFonts w:asciiTheme="minorHAnsi" w:hAnsiTheme="minorHAnsi" w:cstheme="minorHAnsi"/>
      <w:sz w:val="20"/>
      <w:szCs w:val="20"/>
    </w:rPr>
  </w:style>
  <w:style w:type="paragraph" w:styleId="6">
    <w:name w:val="toc 5"/>
    <w:basedOn w:val="1"/>
    <w:next w:val="1"/>
    <w:unhideWhenUsed/>
    <w:qFormat/>
    <w:uiPriority w:val="39"/>
    <w:pPr>
      <w:ind w:left="1280"/>
      <w:jc w:val="left"/>
    </w:pPr>
    <w:rPr>
      <w:rFonts w:asciiTheme="minorHAnsi" w:hAnsiTheme="minorHAnsi" w:cstheme="minorHAnsi"/>
      <w:sz w:val="20"/>
      <w:szCs w:val="20"/>
    </w:rPr>
  </w:style>
  <w:style w:type="paragraph" w:styleId="7">
    <w:name w:val="toc 3"/>
    <w:basedOn w:val="1"/>
    <w:next w:val="1"/>
    <w:unhideWhenUsed/>
    <w:qFormat/>
    <w:uiPriority w:val="39"/>
    <w:pPr>
      <w:ind w:left="640"/>
      <w:jc w:val="left"/>
    </w:pPr>
    <w:rPr>
      <w:rFonts w:asciiTheme="minorHAnsi" w:hAnsiTheme="minorHAnsi" w:cstheme="minorHAnsi"/>
      <w:sz w:val="20"/>
      <w:szCs w:val="20"/>
    </w:rPr>
  </w:style>
  <w:style w:type="paragraph" w:styleId="8">
    <w:name w:val="toc 8"/>
    <w:basedOn w:val="1"/>
    <w:next w:val="1"/>
    <w:unhideWhenUsed/>
    <w:qFormat/>
    <w:uiPriority w:val="39"/>
    <w:pPr>
      <w:ind w:left="2240"/>
      <w:jc w:val="left"/>
    </w:pPr>
    <w:rPr>
      <w:rFonts w:asciiTheme="minorHAnsi" w:hAnsiTheme="minorHAnsi" w:cstheme="minorHAnsi"/>
      <w:sz w:val="20"/>
      <w:szCs w:val="20"/>
    </w:rPr>
  </w:style>
  <w:style w:type="paragraph" w:styleId="9">
    <w:name w:val="Balloon Text"/>
    <w:basedOn w:val="1"/>
    <w:link w:val="25"/>
    <w:semiHidden/>
    <w:unhideWhenUsed/>
    <w:uiPriority w:val="99"/>
    <w:rPr>
      <w:sz w:val="18"/>
      <w:szCs w:val="18"/>
    </w:rPr>
  </w:style>
  <w:style w:type="paragraph" w:styleId="10">
    <w:name w:val="footer"/>
    <w:basedOn w:val="1"/>
    <w:link w:val="22"/>
    <w:unhideWhenUsed/>
    <w:qFormat/>
    <w:uiPriority w:val="99"/>
    <w:pPr>
      <w:tabs>
        <w:tab w:val="center" w:pos="4153"/>
        <w:tab w:val="right" w:pos="8306"/>
      </w:tabs>
      <w:snapToGrid w:val="0"/>
      <w:jc w:val="left"/>
    </w:pPr>
    <w:rPr>
      <w:rFonts w:ascii="Calibri" w:hAnsi="Calibri"/>
      <w:sz w:val="18"/>
      <w:szCs w:val="18"/>
    </w:rPr>
  </w:style>
  <w:style w:type="paragraph" w:styleId="11">
    <w:name w:val="header"/>
    <w:basedOn w:val="1"/>
    <w:link w:val="2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2">
    <w:name w:val="toc 1"/>
    <w:basedOn w:val="1"/>
    <w:next w:val="1"/>
    <w:unhideWhenUsed/>
    <w:qFormat/>
    <w:uiPriority w:val="39"/>
    <w:pPr>
      <w:tabs>
        <w:tab w:val="right" w:leader="dot" w:pos="8302"/>
      </w:tabs>
      <w:spacing w:before="240" w:after="120" w:line="280" w:lineRule="exact"/>
      <w:ind w:firstLine="0" w:firstLineChars="0"/>
    </w:pPr>
    <w:rPr>
      <w:rFonts w:asciiTheme="minorHAnsi" w:hAnsiTheme="minorHAnsi" w:cstheme="minorHAnsi"/>
      <w:b/>
      <w:bCs/>
      <w:sz w:val="20"/>
      <w:szCs w:val="20"/>
    </w:rPr>
  </w:style>
  <w:style w:type="paragraph" w:styleId="13">
    <w:name w:val="toc 4"/>
    <w:basedOn w:val="1"/>
    <w:next w:val="1"/>
    <w:unhideWhenUsed/>
    <w:qFormat/>
    <w:uiPriority w:val="39"/>
    <w:pPr>
      <w:ind w:left="960"/>
      <w:jc w:val="left"/>
    </w:pPr>
    <w:rPr>
      <w:rFonts w:asciiTheme="minorHAnsi" w:hAnsiTheme="minorHAnsi" w:cstheme="minorHAnsi"/>
      <w:sz w:val="20"/>
      <w:szCs w:val="20"/>
    </w:rPr>
  </w:style>
  <w:style w:type="paragraph" w:styleId="14">
    <w:name w:val="toc 6"/>
    <w:basedOn w:val="1"/>
    <w:next w:val="1"/>
    <w:unhideWhenUsed/>
    <w:qFormat/>
    <w:uiPriority w:val="39"/>
    <w:pPr>
      <w:ind w:left="1600"/>
      <w:jc w:val="left"/>
    </w:pPr>
    <w:rPr>
      <w:rFonts w:asciiTheme="minorHAnsi" w:hAnsiTheme="minorHAnsi" w:cstheme="minorHAnsi"/>
      <w:sz w:val="20"/>
      <w:szCs w:val="20"/>
    </w:rPr>
  </w:style>
  <w:style w:type="paragraph" w:styleId="15">
    <w:name w:val="toc 2"/>
    <w:basedOn w:val="1"/>
    <w:next w:val="1"/>
    <w:unhideWhenUsed/>
    <w:qFormat/>
    <w:uiPriority w:val="39"/>
    <w:pPr>
      <w:spacing w:before="120"/>
      <w:ind w:left="320"/>
      <w:jc w:val="left"/>
    </w:pPr>
    <w:rPr>
      <w:rFonts w:asciiTheme="minorHAnsi" w:hAnsiTheme="minorHAnsi" w:cstheme="minorHAnsi"/>
      <w:i/>
      <w:iCs/>
      <w:sz w:val="20"/>
      <w:szCs w:val="20"/>
    </w:rPr>
  </w:style>
  <w:style w:type="paragraph" w:styleId="16">
    <w:name w:val="toc 9"/>
    <w:basedOn w:val="1"/>
    <w:next w:val="1"/>
    <w:unhideWhenUsed/>
    <w:qFormat/>
    <w:uiPriority w:val="39"/>
    <w:pPr>
      <w:ind w:left="2560"/>
      <w:jc w:val="left"/>
    </w:pPr>
    <w:rPr>
      <w:rFonts w:asciiTheme="minorHAnsi" w:hAnsiTheme="minorHAnsi" w:cstheme="minorHAnsi"/>
      <w:sz w:val="20"/>
      <w:szCs w:val="20"/>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20">
    <w:name w:val="Hyperlink"/>
    <w:basedOn w:val="19"/>
    <w:unhideWhenUsed/>
    <w:qFormat/>
    <w:uiPriority w:val="99"/>
    <w:rPr>
      <w:color w:val="0000FF" w:themeColor="hyperlink"/>
      <w:u w:val="single"/>
    </w:rPr>
  </w:style>
  <w:style w:type="character" w:customStyle="1" w:styleId="21">
    <w:name w:val="页眉 字符"/>
    <w:link w:val="11"/>
    <w:qFormat/>
    <w:uiPriority w:val="99"/>
    <w:rPr>
      <w:sz w:val="18"/>
      <w:szCs w:val="18"/>
    </w:rPr>
  </w:style>
  <w:style w:type="character" w:customStyle="1" w:styleId="22">
    <w:name w:val="页脚 字符1"/>
    <w:link w:val="10"/>
    <w:semiHidden/>
    <w:qFormat/>
    <w:uiPriority w:val="99"/>
    <w:rPr>
      <w:sz w:val="18"/>
      <w:szCs w:val="18"/>
    </w:rPr>
  </w:style>
  <w:style w:type="character" w:customStyle="1" w:styleId="23">
    <w:name w:val="页脚 字符"/>
    <w:qFormat/>
    <w:uiPriority w:val="99"/>
    <w:rPr>
      <w:kern w:val="2"/>
      <w:sz w:val="18"/>
      <w:szCs w:val="18"/>
    </w:rPr>
  </w:style>
  <w:style w:type="paragraph" w:styleId="24">
    <w:name w:val="List Paragraph"/>
    <w:basedOn w:val="1"/>
    <w:qFormat/>
    <w:uiPriority w:val="34"/>
    <w:pPr>
      <w:ind w:firstLine="420"/>
    </w:pPr>
  </w:style>
  <w:style w:type="character" w:customStyle="1" w:styleId="25">
    <w:name w:val="批注框文本 字符"/>
    <w:link w:val="9"/>
    <w:semiHidden/>
    <w:qFormat/>
    <w:uiPriority w:val="99"/>
    <w:rPr>
      <w:rFonts w:ascii="Times New Roman" w:hAnsi="Times New Roman" w:eastAsia="宋体" w:cs="Times New Roman"/>
      <w:sz w:val="18"/>
      <w:szCs w:val="18"/>
    </w:rPr>
  </w:style>
  <w:style w:type="character" w:customStyle="1" w:styleId="26">
    <w:name w:val="标题 1 字符"/>
    <w:link w:val="2"/>
    <w:qFormat/>
    <w:uiPriority w:val="9"/>
    <w:rPr>
      <w:rFonts w:eastAsia="黑体"/>
      <w:bCs/>
      <w:kern w:val="44"/>
      <w:sz w:val="32"/>
      <w:szCs w:val="44"/>
    </w:rPr>
  </w:style>
  <w:style w:type="character" w:customStyle="1" w:styleId="27">
    <w:name w:val="标题 3 字符"/>
    <w:link w:val="4"/>
    <w:qFormat/>
    <w:uiPriority w:val="9"/>
    <w:rPr>
      <w:rFonts w:eastAsia="仿宋"/>
      <w:b/>
      <w:bCs/>
      <w:kern w:val="2"/>
      <w:sz w:val="32"/>
      <w:szCs w:val="32"/>
    </w:rPr>
  </w:style>
  <w:style w:type="character" w:customStyle="1" w:styleId="28">
    <w:name w:val="font11"/>
    <w:basedOn w:val="19"/>
    <w:qFormat/>
    <w:uiPriority w:val="0"/>
    <w:rPr>
      <w:rFonts w:hint="default" w:ascii="Times New Roman" w:hAnsi="Times New Roman" w:cs="Times New Roman"/>
      <w:color w:val="000000"/>
      <w:sz w:val="18"/>
      <w:szCs w:val="18"/>
      <w:u w:val="none"/>
    </w:rPr>
  </w:style>
  <w:style w:type="character" w:customStyle="1" w:styleId="29">
    <w:name w:val="标题 2 字符"/>
    <w:basedOn w:val="19"/>
    <w:link w:val="3"/>
    <w:qFormat/>
    <w:uiPriority w:val="9"/>
    <w:rPr>
      <w:rFonts w:eastAsia="楷体" w:asciiTheme="majorHAnsi" w:hAnsiTheme="majorHAnsi" w:cstheme="majorBidi"/>
      <w:b/>
      <w:bCs/>
      <w:kern w:val="2"/>
      <w:sz w:val="32"/>
      <w:szCs w:val="32"/>
    </w:rPr>
  </w:style>
  <w:style w:type="paragraph" w:customStyle="1" w:styleId="30">
    <w:name w:val="TOC Heading"/>
    <w:basedOn w:val="2"/>
    <w:next w:val="1"/>
    <w:semiHidden/>
    <w:unhideWhenUsed/>
    <w:qFormat/>
    <w:uiPriority w:val="39"/>
    <w:pPr>
      <w:keepNext/>
      <w:keepLines/>
      <w:widowControl/>
      <w:spacing w:before="480" w:line="276" w:lineRule="auto"/>
      <w:ind w:firstLine="0" w:firstLineChars="0"/>
      <w:jc w:val="left"/>
      <w:outlineLvl w:val="9"/>
    </w:pPr>
    <w:rPr>
      <w:rFonts w:asciiTheme="majorHAnsi" w:hAnsiTheme="majorHAnsi" w:eastAsiaTheme="majorEastAsia" w:cstheme="majorBidi"/>
      <w:b/>
      <w:color w:val="366091"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49C36-35A1-4BE7-AA73-52BA38125D5C}">
  <ds:schemaRefs/>
</ds:datastoreItem>
</file>

<file path=docProps/app.xml><?xml version="1.0" encoding="utf-8"?>
<Properties xmlns="http://schemas.openxmlformats.org/officeDocument/2006/extended-properties" xmlns:vt="http://schemas.openxmlformats.org/officeDocument/2006/docPropsVTypes">
  <Template>Normal</Template>
  <Pages>19</Pages>
  <Words>9052</Words>
  <Characters>10101</Characters>
  <Lines>78</Lines>
  <Paragraphs>22</Paragraphs>
  <TotalTime>1075</TotalTime>
  <ScaleCrop>false</ScaleCrop>
  <LinksUpToDate>false</LinksUpToDate>
  <CharactersWithSpaces>10141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2019-08-23T03:32:00Z</dcterms:created>
  <dc:creator>Admin</dc:creator>
  <cp:lastModifiedBy>蒋阔</cp:lastModifiedBy>
  <cp:lastPrinted>2019-08-30T02:55:00Z</cp:lastPrinted>
  <dcterms:modified xsi:type="dcterms:W3CDTF">2025-05-12T01:00:19Z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3F7688D1E79349049B87131B3DC7E6ED</vt:lpwstr>
  </property>
</Properties>
</file>