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衡山县应急管理局</w:t>
      </w:r>
      <w:r>
        <w:rPr>
          <w:rFonts w:eastAsia="方正小标宋简体"/>
          <w:color w:val="000000"/>
          <w:sz w:val="44"/>
          <w:szCs w:val="44"/>
        </w:rPr>
        <w:t>重大行政执法决定法制审核目录清单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52"/>
        <w:gridCol w:w="2661"/>
        <w:gridCol w:w="2867"/>
        <w:gridCol w:w="3512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执法项目大类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具体执法决定项目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依据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应提交的审核资料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 xml:space="preserve">审核重点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行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政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许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可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zh-CN"/>
              </w:rPr>
              <w:t>涉及重大公共利益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，</w:t>
            </w:r>
            <w:r>
              <w:rPr>
                <w:b w:val="0"/>
                <w:color w:val="000000"/>
                <w:sz w:val="24"/>
                <w:szCs w:val="24"/>
                <w:lang w:val="en-US" w:eastAsia="zh-CN"/>
              </w:rPr>
              <w:t>可能造成重大社会影响或引发社会风险的行政许可决定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《中华人民共和国行政许可法》第二十八、六十二条、六十八条、六十九条。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1.拟作出的重大执法决定的情况说明及意见；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2.相关的证据材料；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3.经过听证的，应当提交听证笔录；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4.经过评估、鉴定的，应当提交评估、鉴定报告；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5.许可承办部门及主管领导意见；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6.《重大行政执法决定法制审核申请表》等材料。</w:t>
            </w:r>
          </w:p>
        </w:tc>
        <w:tc>
          <w:tcPr>
            <w:tcW w:w="3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1.主体是否适格；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2.程序是否合法；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zh-CN"/>
              </w:rPr>
              <w:t>经过听证程序作出的行政许可决定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《中华人民共和国行政许可法》第四十六条。</w:t>
            </w:r>
          </w:p>
        </w:tc>
        <w:tc>
          <w:tcPr>
            <w:tcW w:w="35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撤销行政许可决定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《中华人民共和国行政许可法》第六十九条；《中华人民共和国安全生产法》第六十条。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1.许可承办部门对撤销许可项目审查情况说明；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2.许可承办部门及主管领导意见；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3.《重大行政执法决定法制审核申请表》等材料。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1.撤销行政许可决定的主要事实依据是否清楚，证据是否确凿、充分；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2.撤销行政许可是否对公共利益造成重大损害；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3.被许可人的合法权益是否受到损害；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行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政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处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罚</w:t>
            </w:r>
          </w:p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罚款或者没收违法所得、没收非法财物，对公民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/>
              </w:rPr>
              <w:t>仟</w:t>
            </w:r>
            <w:r>
              <w:rPr>
                <w:bCs/>
                <w:color w:val="000000"/>
                <w:kern w:val="0"/>
                <w:sz w:val="24"/>
              </w:rPr>
              <w:t>元以上，对法人或其他组织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bCs/>
                <w:color w:val="000000"/>
                <w:kern w:val="0"/>
                <w:sz w:val="24"/>
              </w:rPr>
              <w:t>万元以上的</w:t>
            </w:r>
          </w:p>
        </w:tc>
        <w:tc>
          <w:tcPr>
            <w:tcW w:w="28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《中华人民共和国行政处罚法》第八条、《安全生产违法行为行政处罚办法》第三十三条；《湖南省行政处罚听证程序规定》第七条。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1.现场检查记录、询问笔录等执法文书；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2.相关证据资料；案件调查终结报告；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3.拟制作的行政处罚决定类文书；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4.《重大行政执法决定法制审核申请表》等材料。</w:t>
            </w:r>
          </w:p>
        </w:tc>
        <w:tc>
          <w:tcPr>
            <w:tcW w:w="3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1.行政执法主体是否合法，行政执法人员是否具备执法资格；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2.当事人的基本情况是否清楚、准确；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3.违法事实是否清楚，证据是否确凿、充分，材料是否齐全；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4.适用法律、法规、规章是否准确，执行裁量基准适用是否得当；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5.行政执法决定是否适当；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6.程序是否合法，是否充分保障行政相对人权利；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7.是否有超越本机关职权范围或滥用职权的情形；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8.行政执法文书是否规范、齐备；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9.违法行为是否涉嫌犯罪需要移送司法机关；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10.其他依法应当审核的事项。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经过听证程序作出行政执法决定的</w:t>
            </w:r>
          </w:p>
        </w:tc>
        <w:tc>
          <w:tcPr>
            <w:tcW w:w="28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5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责令停止建设或者停产停业整顿的</w:t>
            </w:r>
          </w:p>
        </w:tc>
        <w:tc>
          <w:tcPr>
            <w:tcW w:w="28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《中华人民共和国安全生产法》第八十九条至第一百零九条。</w:t>
            </w:r>
          </w:p>
        </w:tc>
        <w:tc>
          <w:tcPr>
            <w:tcW w:w="35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责令停产停业的</w:t>
            </w:r>
          </w:p>
        </w:tc>
        <w:tc>
          <w:tcPr>
            <w:tcW w:w="28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5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吊销有关资质、证照的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《中华人民共和国安全生产法》第八十九条、第一百零八条。</w:t>
            </w:r>
          </w:p>
        </w:tc>
        <w:tc>
          <w:tcPr>
            <w:tcW w:w="35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color w:val="000000"/>
                <w:sz w:val="24"/>
              </w:rPr>
              <w:t>涉及重大公共利益，可能造成重大社会影响或引发社会风险的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35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强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制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通知有关单位停止供电、停止供应民用爆炸物品等措施的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《中华人民共和国安全生产法》第六十七条。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1.现场检查记录、询问笔录等执法文书；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2.相关证据资料；案件调查终结报告；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3.拟制的停止供电、停止供应民用爆炸物品类文书；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4.《重大行政执法决定法制审核申请表》等材料。</w:t>
            </w:r>
          </w:p>
        </w:tc>
        <w:tc>
          <w:tcPr>
            <w:tcW w:w="34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1.行政执法机关主体是否合法，行政执法人员是否具备执法资格；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2.主要事实是否清楚，证据是否确凿、充分；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3.适用法律、法规、规章是否准确；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4.是否符合采取强制措施的条件，程序是否合法，是否充分保障行政相对人权利；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5.是否有超越本机关职权范围或滥用职权的情形；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6.行政执法文书是否规范、齐备；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7.其他依法应当审核的事项。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对违法生产、储存、使用、经营危险物品予以查封或者扣押货值超过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bCs/>
                <w:color w:val="000000"/>
                <w:kern w:val="0"/>
                <w:sz w:val="24"/>
              </w:rPr>
              <w:t>万或者对作业场所予以查封的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《中华人民共和国安全生产法》第六十二条。</w:t>
            </w:r>
          </w:p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51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1.现场检查记录、询问笔录等执法文书；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</w:t>
            </w:r>
            <w:r>
              <w:rPr>
                <w:bCs/>
                <w:color w:val="000000"/>
                <w:spacing w:val="-2"/>
                <w:kern w:val="0"/>
                <w:sz w:val="24"/>
              </w:rPr>
              <w:t>相关证据资料；案件调查终结报告；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3.拟制的查封物品类文书；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4.《重大行政执法决定法制审核申请表》等材料。</w:t>
            </w:r>
          </w:p>
        </w:tc>
        <w:tc>
          <w:tcPr>
            <w:tcW w:w="343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涉及重大公共利益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color w:val="000000"/>
              </w:rPr>
              <w:t>可能造成重大社会影响或引发社会风险</w:t>
            </w:r>
            <w:r>
              <w:rPr>
                <w:color w:val="000000"/>
                <w:shd w:val="clear" w:color="auto" w:fill="FFFFFF"/>
              </w:rPr>
              <w:t>的行政强制。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《中华人民共和国行政强制法》第二条、三条。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1.现场检查记录、询问笔录等执法文书；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2.相关证据资料；案件调查终结报告；</w:t>
            </w:r>
          </w:p>
          <w:p>
            <w:pPr>
              <w:adjustRightInd w:val="0"/>
              <w:snapToGrid w:val="0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3.拟制的行政处罚决定类文书；</w:t>
            </w:r>
          </w:p>
          <w:p>
            <w:pPr>
              <w:adjustRightInd w:val="0"/>
              <w:snapToGrid w:val="0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4.《重大行政执法决定法制审核申请表》等材料。</w:t>
            </w:r>
          </w:p>
        </w:tc>
        <w:tc>
          <w:tcPr>
            <w:tcW w:w="34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32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color w:val="000000"/>
                <w:sz w:val="24"/>
                <w:shd w:val="clear" w:color="auto" w:fill="FFFFFF"/>
              </w:rPr>
              <w:t>法律、法规、规章规定和国家明确要求应当进行法制审核的其他情形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0484A"/>
    <w:rsid w:val="2EB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2020-09-23T04:41:00Z</dcterms:created>
  <dc:creator>Roshan___make great efforts</dc:creator>
  <cp:lastModifiedBy>Roshan___make great efforts</cp:lastModifiedBy>
  <dcterms:modified xsi:type="dcterms:W3CDTF">2020-09-23T04:41:54Z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