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jc w:val="center"/>
        <w:rPr>
          <w:kern w:val="0"/>
          <w:sz w:val="24"/>
        </w:rPr>
      </w:pPr>
      <w:bookmarkStart w:id="0" w:name="_GoBack"/>
      <w:bookmarkEnd w:id="0"/>
      <w:r>
        <w:rPr>
          <w:rFonts w:hint="eastAsia" w:eastAsia="方正小标宋_GBK"/>
          <w:kern w:val="0"/>
          <w:sz w:val="36"/>
          <w:szCs w:val="36"/>
        </w:rPr>
        <w:t>部门整体支出绩效评价指标评分表</w:t>
      </w:r>
    </w:p>
    <w:tbl>
      <w:tblPr>
        <w:tblStyle w:val="6"/>
        <w:tblW w:w="8930" w:type="dxa"/>
        <w:jc w:val="center"/>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三级</w:t>
            </w:r>
          </w:p>
          <w:p>
            <w:pPr>
              <w:widowControl/>
              <w:jc w:val="center"/>
              <w:rPr>
                <w:rFonts w:ascii="黑体" w:eastAsia="黑体"/>
                <w:kern w:val="0"/>
                <w:sz w:val="20"/>
                <w:szCs w:val="20"/>
              </w:rPr>
            </w:pPr>
            <w:r>
              <w:rPr>
                <w:rFonts w:hint="eastAsia" w:ascii="黑体" w:eastAsia="黑体"/>
                <w:kern w:val="0"/>
                <w:sz w:val="20"/>
                <w:szCs w:val="20"/>
              </w:rPr>
              <w:t>指标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分值</w:t>
            </w:r>
          </w:p>
        </w:tc>
        <w:tc>
          <w:tcPr>
            <w:tcW w:w="2436"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评价标准</w:t>
            </w:r>
          </w:p>
        </w:tc>
        <w:tc>
          <w:tcPr>
            <w:tcW w:w="249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指标说明</w:t>
            </w:r>
          </w:p>
        </w:tc>
        <w:tc>
          <w:tcPr>
            <w:tcW w:w="111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得分</w:t>
            </w:r>
          </w:p>
        </w:tc>
      </w:tr>
      <w:tr>
        <w:tblPrEx>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投入</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677" w:type="dxa"/>
            <w:vMerge w:val="restart"/>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在职人员控制率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noWrap w:val="0"/>
            <w:vAlign w:val="center"/>
          </w:tcPr>
          <w:p>
            <w:pPr>
              <w:widowControl/>
              <w:jc w:val="left"/>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249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，在职人员数：部门（单位）实际在职人数，以财政局确定的部门决算编制口径为准。</w:t>
            </w:r>
            <w:r>
              <w:rPr>
                <w:rFonts w:eastAsia="仿宋_GB2312"/>
                <w:kern w:val="0"/>
                <w:sz w:val="20"/>
                <w:szCs w:val="20"/>
              </w:rPr>
              <w:br w:type="textWrapping"/>
            </w:r>
            <w:r>
              <w:rPr>
                <w:rFonts w:hint="eastAsia" w:eastAsia="仿宋_GB2312"/>
                <w:kern w:val="0"/>
                <w:sz w:val="20"/>
                <w:szCs w:val="20"/>
              </w:rPr>
              <w:t>编制数：机构编制部门核定批复的部门（单位）的人员编制数。</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0</w:t>
            </w:r>
          </w:p>
        </w:tc>
      </w:tr>
      <w:tr>
        <w:tblPrEx>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widowControl/>
              <w:jc w:val="center"/>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预算执行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新建楼堂馆所面积控制率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分，扣完为止。没有楼堂馆所项目的部门按满分计算。</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新建楼堂馆所投资概算控制率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预算管理</w:t>
            </w:r>
          </w:p>
          <w:p>
            <w:pPr>
              <w:widowControl/>
              <w:jc w:val="center"/>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公用经费控制率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公用经费支出是指部门基本支出中的一般商品和服务支出。</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trHeight w:val="122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7</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7</w:t>
            </w:r>
          </w:p>
        </w:tc>
      </w:tr>
      <w:tr>
        <w:tblPrEx>
          <w:tblCellMar>
            <w:top w:w="0" w:type="dxa"/>
            <w:left w:w="108" w:type="dxa"/>
            <w:bottom w:w="0" w:type="dxa"/>
            <w:right w:w="108" w:type="dxa"/>
          </w:tblCellMar>
        </w:tblPrEx>
        <w:trPr>
          <w:trHeight w:val="1394"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政府采购执行率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×100%</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管理制度健全性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noWrap w:val="0"/>
            <w:vAlign w:val="center"/>
          </w:tcPr>
          <w:p>
            <w:pPr>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tc>
        <w:tc>
          <w:tcPr>
            <w:tcW w:w="677" w:type="dxa"/>
            <w:vMerge w:val="restart"/>
            <w:tcBorders>
              <w:top w:val="nil"/>
              <w:left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预算管理</w:t>
            </w:r>
          </w:p>
          <w:p>
            <w:pPr>
              <w:widowControl/>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资金使用合规性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hint="eastAsia" w:eastAsia="仿宋_GB2312"/>
                <w:kern w:val="0"/>
                <w:sz w:val="20"/>
                <w:szCs w:val="20"/>
              </w:rPr>
              <w:t>资金拨付有完整的审批程序和手续；</w:t>
            </w:r>
            <w:r>
              <w:rPr>
                <w:rFonts w:hint="eastAsia" w:ascii="宋体" w:hAnsi="宋体" w:cs="宋体"/>
                <w:kern w:val="0"/>
                <w:sz w:val="20"/>
                <w:szCs w:val="20"/>
              </w:rPr>
              <w:t>③</w:t>
            </w:r>
            <w:r>
              <w:rPr>
                <w:rFonts w:hint="eastAsia" w:eastAsia="仿宋_GB2312"/>
                <w:kern w:val="0"/>
                <w:sz w:val="20"/>
                <w:szCs w:val="20"/>
              </w:rPr>
              <w:t>项目支出按规定经过评估论证；</w:t>
            </w:r>
            <w:r>
              <w:rPr>
                <w:rFonts w:hint="eastAsia" w:ascii="宋体" w:hAnsi="宋体" w:cs="宋体"/>
                <w:kern w:val="0"/>
                <w:sz w:val="20"/>
                <w:szCs w:val="20"/>
              </w:rPr>
              <w:t>④</w:t>
            </w:r>
            <w:r>
              <w:rPr>
                <w:rFonts w:hint="eastAsia" w:eastAsia="仿宋_GB2312"/>
                <w:kern w:val="0"/>
                <w:sz w:val="20"/>
                <w:szCs w:val="20"/>
              </w:rPr>
              <w:t>支出符合部门预算批复的用途；</w:t>
            </w:r>
            <w:r>
              <w:rPr>
                <w:rFonts w:hint="eastAsia" w:ascii="宋体" w:hAnsi="宋体" w:cs="宋体"/>
                <w:kern w:val="0"/>
                <w:sz w:val="20"/>
                <w:szCs w:val="20"/>
              </w:rPr>
              <w:t>⑤</w:t>
            </w:r>
            <w:r>
              <w:rPr>
                <w:rFonts w:hint="eastAsia" w:eastAsia="仿宋_GB2312"/>
                <w:kern w:val="0"/>
                <w:sz w:val="20"/>
                <w:szCs w:val="20"/>
              </w:rPr>
              <w:t>资金使用无截留、挤占、挪用、虚列支出等情况。</w:t>
            </w:r>
            <w:r>
              <w:rPr>
                <w:rFonts w:eastAsia="仿宋_GB2312"/>
                <w:kern w:val="0"/>
                <w:sz w:val="20"/>
                <w:szCs w:val="20"/>
              </w:rPr>
              <w:br w:type="textWrapping"/>
            </w: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预决算信息公开性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预决算信息是指与部门预算、执行、决算、监督、绩效等管理相关的信息。</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产出及效率</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30</w:t>
            </w:r>
            <w:r>
              <w:rPr>
                <w:rFonts w:hint="eastAsia" w:eastAsia="仿宋_GB2312"/>
                <w:kern w:val="0"/>
                <w:sz w:val="20"/>
                <w:szCs w:val="20"/>
              </w:rPr>
              <w:t>分</w:t>
            </w:r>
          </w:p>
        </w:tc>
        <w:tc>
          <w:tcPr>
            <w:tcW w:w="677"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8</w:t>
            </w:r>
            <w:r>
              <w:rPr>
                <w:rFonts w:hint="eastAsia" w:eastAsia="仿宋_GB2312"/>
                <w:kern w:val="0"/>
                <w:sz w:val="20"/>
                <w:szCs w:val="20"/>
              </w:rPr>
              <w:t>分</w:t>
            </w:r>
          </w:p>
        </w:tc>
        <w:tc>
          <w:tcPr>
            <w:tcW w:w="1014"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重点工作实际完成率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根据市绩效办</w:t>
            </w:r>
            <w:r>
              <w:rPr>
                <w:rFonts w:eastAsia="仿宋_GB2312"/>
                <w:kern w:val="0"/>
                <w:sz w:val="20"/>
                <w:szCs w:val="20"/>
              </w:rPr>
              <w:t>2019</w:t>
            </w:r>
            <w:r>
              <w:rPr>
                <w:rFonts w:hint="eastAsia" w:eastAsia="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w:t>
            </w:r>
            <w:r>
              <w:rPr>
                <w:rFonts w:hint="eastAsia" w:eastAsia="仿宋_GB2312"/>
                <w:kern w:val="0"/>
                <w:sz w:val="20"/>
                <w:szCs w:val="20"/>
              </w:rPr>
              <w:t>该部分总分）</w:t>
            </w:r>
            <w:r>
              <w:rPr>
                <w:rFonts w:hint="eastAsia" w:ascii="仿宋_GB2312" w:eastAsia="仿宋_GB2312"/>
                <w:kern w:val="0"/>
                <w:sz w:val="20"/>
                <w:szCs w:val="20"/>
              </w:rPr>
              <w:t>×</w:t>
            </w:r>
            <w:r>
              <w:rPr>
                <w:rFonts w:eastAsia="仿宋_GB2312"/>
                <w:kern w:val="0"/>
                <w:sz w:val="20"/>
                <w:szCs w:val="20"/>
              </w:rPr>
              <w:t>8</w:t>
            </w:r>
            <w:r>
              <w:rPr>
                <w:rFonts w:hint="eastAsia" w:eastAsia="仿宋_GB2312"/>
                <w:kern w:val="0"/>
                <w:sz w:val="20"/>
                <w:szCs w:val="20"/>
              </w:rPr>
              <w:t>。</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履职</w:t>
            </w:r>
            <w:r>
              <w:rPr>
                <w:rFonts w:eastAsia="仿宋_GB2312"/>
                <w:kern w:val="0"/>
                <w:sz w:val="20"/>
                <w:szCs w:val="20"/>
              </w:rPr>
              <w:t xml:space="preserve"> </w:t>
            </w:r>
            <w:r>
              <w:rPr>
                <w:rFonts w:hint="eastAsia" w:eastAsia="仿宋_GB2312"/>
                <w:kern w:val="0"/>
                <w:sz w:val="20"/>
                <w:szCs w:val="20"/>
              </w:rPr>
              <w:t>效益</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22</w:t>
            </w:r>
            <w:r>
              <w:rPr>
                <w:rFonts w:hint="eastAsia" w:eastAsia="仿宋_GB2312"/>
                <w:kern w:val="0"/>
                <w:sz w:val="20"/>
                <w:szCs w:val="20"/>
              </w:rPr>
              <w:t>分</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经济效益</w:t>
            </w:r>
          </w:p>
        </w:tc>
        <w:tc>
          <w:tcPr>
            <w:tcW w:w="483" w:type="dxa"/>
            <w:vMerge w:val="restart"/>
            <w:tcBorders>
              <w:top w:val="nil"/>
              <w:left w:val="single" w:color="auto" w:sz="4" w:space="0"/>
              <w:bottom w:val="nil"/>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4930"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color="auto" w:sz="4" w:space="0"/>
            </w:tcBorders>
            <w:noWrap w:val="0"/>
            <w:vAlign w:val="center"/>
          </w:tcPr>
          <w:p>
            <w:pPr>
              <w:widowControl/>
              <w:jc w:val="left"/>
              <w:rPr>
                <w:kern w:val="0"/>
                <w:sz w:val="24"/>
              </w:rPr>
            </w:pPr>
            <w:r>
              <w:rPr>
                <w:rFonts w:hint="eastAsia"/>
                <w:kern w:val="0"/>
                <w:sz w:val="24"/>
              </w:rPr>
              <w:t>　</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社会效益</w:t>
            </w:r>
          </w:p>
        </w:tc>
        <w:tc>
          <w:tcPr>
            <w:tcW w:w="483" w:type="dxa"/>
            <w:vMerge w:val="continue"/>
            <w:tcBorders>
              <w:top w:val="nil"/>
              <w:left w:val="single" w:color="auto" w:sz="4" w:space="0"/>
              <w:bottom w:val="nil"/>
              <w:right w:val="single" w:color="auto" w:sz="4" w:space="0"/>
            </w:tcBorders>
            <w:noWrap w:val="0"/>
            <w:vAlign w:val="center"/>
          </w:tcPr>
          <w:p>
            <w:pPr>
              <w:widowControl/>
              <w:jc w:val="left"/>
              <w:rPr>
                <w:rFonts w:eastAsia="仿宋_GB2312"/>
                <w:kern w:val="0"/>
                <w:sz w:val="20"/>
                <w:szCs w:val="20"/>
              </w:rPr>
            </w:pPr>
          </w:p>
        </w:tc>
        <w:tc>
          <w:tcPr>
            <w:tcW w:w="4930"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p>
        </w:tc>
        <w:tc>
          <w:tcPr>
            <w:tcW w:w="1117" w:type="dxa"/>
            <w:tcBorders>
              <w:top w:val="nil"/>
              <w:left w:val="nil"/>
              <w:bottom w:val="nil"/>
              <w:right w:val="single" w:color="auto" w:sz="4" w:space="0"/>
            </w:tcBorders>
            <w:noWrap w:val="0"/>
            <w:vAlign w:val="center"/>
          </w:tcPr>
          <w:p>
            <w:pPr>
              <w:widowControl/>
              <w:jc w:val="left"/>
              <w:rPr>
                <w:rFonts w:hint="default" w:eastAsia="宋体"/>
                <w:kern w:val="0"/>
                <w:sz w:val="24"/>
                <w:lang w:val="en-US" w:eastAsia="zh-CN"/>
              </w:rPr>
            </w:pPr>
            <w:r>
              <w:rPr>
                <w:rFonts w:hint="eastAsia"/>
                <w:kern w:val="0"/>
                <w:sz w:val="24"/>
              </w:rPr>
              <w:t>　</w:t>
            </w:r>
            <w:r>
              <w:rPr>
                <w:rFonts w:hint="eastAsia"/>
                <w:kern w:val="0"/>
                <w:sz w:val="24"/>
                <w:lang w:val="en-US" w:eastAsia="zh-CN"/>
              </w:rPr>
              <w:t>10</w:t>
            </w:r>
          </w:p>
        </w:tc>
      </w:tr>
      <w:tr>
        <w:tblPrEx>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行政效能</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249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根据部门自评材料评定。</w:t>
            </w:r>
          </w:p>
        </w:tc>
        <w:tc>
          <w:tcPr>
            <w:tcW w:w="1117"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社会公众或服务对象满意度</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bl>
    <w:p/>
    <w:p/>
    <w:p/>
    <w:p/>
    <w:p/>
    <w:p/>
    <w:p/>
    <w:p/>
    <w:p/>
    <w:p/>
    <w:p/>
    <w:p/>
    <w:p/>
    <w:p/>
    <w:p/>
    <w:p/>
    <w:p/>
    <w:p>
      <w:pPr>
        <w:rPr>
          <w:rFonts w:hint="eastAsia" w:eastAsia="仿宋_GB2312"/>
          <w:kern w:val="0"/>
          <w:sz w:val="22"/>
          <w:szCs w:val="22"/>
        </w:rPr>
      </w:pPr>
    </w:p>
    <w:p>
      <w:pPr>
        <w:rPr>
          <w:rFonts w:hint="eastAsia" w:eastAsia="仿宋_GB2312"/>
          <w:kern w:val="0"/>
          <w:sz w:val="22"/>
          <w:szCs w:val="22"/>
        </w:rPr>
      </w:pPr>
    </w:p>
    <w:p>
      <w:pPr>
        <w:rPr>
          <w:rFonts w:hint="eastAsia" w:eastAsia="仿宋_GB2312"/>
          <w:kern w:val="0"/>
          <w:sz w:val="22"/>
          <w:szCs w:val="22"/>
        </w:rPr>
      </w:pPr>
    </w:p>
    <w:p>
      <w:pPr>
        <w:rPr>
          <w:rFonts w:hint="eastAsia" w:eastAsia="仿宋_GB2312"/>
          <w:kern w:val="0"/>
          <w:sz w:val="22"/>
          <w:szCs w:val="22"/>
        </w:rPr>
      </w:pPr>
    </w:p>
    <w:p>
      <w:pPr>
        <w:rPr>
          <w:rFonts w:hint="eastAsia" w:eastAsia="仿宋_GB2312"/>
          <w:kern w:val="0"/>
          <w:sz w:val="22"/>
          <w:szCs w:val="22"/>
        </w:rPr>
      </w:pPr>
    </w:p>
    <w:p>
      <w:pPr>
        <w:rPr>
          <w:rFonts w:hint="eastAsia" w:eastAsia="仿宋_GB2312"/>
          <w:kern w:val="0"/>
          <w:sz w:val="22"/>
          <w:szCs w:val="22"/>
        </w:rPr>
      </w:pPr>
    </w:p>
    <w:p>
      <w:pPr>
        <w:rPr>
          <w:rFonts w:hint="eastAsia" w:eastAsia="仿宋_GB2312"/>
          <w:kern w:val="0"/>
          <w:sz w:val="22"/>
          <w:szCs w:val="22"/>
        </w:rPr>
      </w:pPr>
    </w:p>
    <w:p>
      <w:pPr>
        <w:rPr>
          <w:rFonts w:hint="eastAsia" w:eastAsia="仿宋_GB2312"/>
          <w:kern w:val="0"/>
          <w:sz w:val="22"/>
          <w:szCs w:val="22"/>
        </w:rPr>
      </w:pPr>
    </w:p>
    <w:p>
      <w:pPr>
        <w:rPr>
          <w:rFonts w:hint="eastAsia" w:eastAsia="仿宋_GB2312"/>
          <w:kern w:val="0"/>
          <w:sz w:val="22"/>
          <w:szCs w:val="22"/>
        </w:rPr>
      </w:pPr>
    </w:p>
    <w:p>
      <w:pPr>
        <w:rPr>
          <w:rFonts w:hint="eastAsia" w:eastAsia="仿宋_GB2312"/>
          <w:kern w:val="0"/>
          <w:sz w:val="22"/>
          <w:szCs w:val="22"/>
        </w:rPr>
      </w:pPr>
    </w:p>
    <w:p>
      <w:pPr>
        <w:rPr>
          <w:rFonts w:hint="eastAsia" w:eastAsia="仿宋_GB2312"/>
          <w:kern w:val="0"/>
          <w:sz w:val="22"/>
          <w:szCs w:val="22"/>
        </w:rPr>
      </w:pPr>
    </w:p>
    <w:p>
      <w:pPr>
        <w:rPr>
          <w:rFonts w:hint="eastAsia" w:eastAsia="仿宋_GB2312"/>
          <w:kern w:val="0"/>
          <w:sz w:val="22"/>
          <w:szCs w:val="22"/>
        </w:rPr>
      </w:pPr>
    </w:p>
    <w:p>
      <w:pPr>
        <w:rPr>
          <w:rFonts w:eastAsia="仿宋_GB2312"/>
          <w:kern w:val="0"/>
          <w:sz w:val="22"/>
          <w:szCs w:val="22"/>
        </w:rPr>
      </w:pPr>
    </w:p>
    <w:sectPr>
      <w:footerReference r:id="rId3" w:type="default"/>
      <w:footerReference r:id="rId4" w:type="even"/>
      <w:pgSz w:w="11906" w:h="16838"/>
      <w:pgMar w:top="1559" w:right="1287" w:bottom="1440" w:left="1622" w:header="851" w:footer="1021" w:gutter="0"/>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10</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08"/>
    <w:rsid w:val="0003350F"/>
    <w:rsid w:val="000C2790"/>
    <w:rsid w:val="00191481"/>
    <w:rsid w:val="00223AA5"/>
    <w:rsid w:val="003209DE"/>
    <w:rsid w:val="003963BE"/>
    <w:rsid w:val="00651D89"/>
    <w:rsid w:val="007961C3"/>
    <w:rsid w:val="009D4A2F"/>
    <w:rsid w:val="00AF3825"/>
    <w:rsid w:val="00BA4F96"/>
    <w:rsid w:val="00C43FE7"/>
    <w:rsid w:val="00CC3008"/>
    <w:rsid w:val="00DC6F3D"/>
    <w:rsid w:val="00E25E12"/>
    <w:rsid w:val="00ED2940"/>
    <w:rsid w:val="00EF2DF2"/>
    <w:rsid w:val="096B5405"/>
    <w:rsid w:val="12C00694"/>
    <w:rsid w:val="135C79E8"/>
    <w:rsid w:val="13985EC3"/>
    <w:rsid w:val="17D077E9"/>
    <w:rsid w:val="224F0D3C"/>
    <w:rsid w:val="27752EF5"/>
    <w:rsid w:val="2B3F75EB"/>
    <w:rsid w:val="31CB5DD1"/>
    <w:rsid w:val="34E32FE6"/>
    <w:rsid w:val="49DB42A5"/>
    <w:rsid w:val="4D724297"/>
    <w:rsid w:val="4F237ABC"/>
    <w:rsid w:val="4F846A62"/>
    <w:rsid w:val="5A360F6C"/>
    <w:rsid w:val="60484B86"/>
    <w:rsid w:val="638F7BA9"/>
    <w:rsid w:val="68193C05"/>
    <w:rsid w:val="74150381"/>
    <w:rsid w:val="756C01C1"/>
    <w:rsid w:val="7CF639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semiHidden="0" w:name="annotation text"/>
    <w:lsdException w:uiPriority="99" w:name="header" w:locked="1"/>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annotation text"/>
    <w:basedOn w:val="1"/>
    <w:link w:val="13"/>
    <w:uiPriority w:val="99"/>
    <w:pPr>
      <w:jc w:val="left"/>
    </w:pPr>
  </w:style>
  <w:style w:type="paragraph" w:styleId="3">
    <w:name w:val="Body Text"/>
    <w:basedOn w:val="1"/>
    <w:link w:val="14"/>
    <w:uiPriority w:val="99"/>
    <w:rPr>
      <w:sz w:val="32"/>
    </w:rPr>
  </w:style>
  <w:style w:type="paragraph" w:styleId="4">
    <w:name w:val="Balloon Text"/>
    <w:basedOn w:val="1"/>
    <w:link w:val="15"/>
    <w:semiHidden/>
    <w:locked/>
    <w:uiPriority w:val="99"/>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character" w:styleId="8">
    <w:name w:val="page number"/>
    <w:basedOn w:val="7"/>
    <w:uiPriority w:val="99"/>
    <w:rPr>
      <w:rFonts w:cs="Times New Roman"/>
    </w:rPr>
  </w:style>
  <w:style w:type="character" w:styleId="9">
    <w:name w:val="annotation reference"/>
    <w:basedOn w:val="7"/>
    <w:uiPriority w:val="99"/>
    <w:rPr>
      <w:rFonts w:cs="Times New Roman"/>
      <w:sz w:val="21"/>
      <w:szCs w:val="21"/>
    </w:rPr>
  </w:style>
  <w:style w:type="paragraph" w:styleId="10">
    <w:name w:val="List Paragraph"/>
    <w:basedOn w:val="1"/>
    <w:qFormat/>
    <w:uiPriority w:val="99"/>
    <w:pPr>
      <w:ind w:firstLine="420" w:firstLineChars="200"/>
    </w:pPr>
  </w:style>
  <w:style w:type="paragraph" w:customStyle="1" w:styleId="11">
    <w:name w:val="列出段落1"/>
    <w:basedOn w:val="1"/>
    <w:qFormat/>
    <w:uiPriority w:val="99"/>
    <w:pPr>
      <w:ind w:firstLine="420" w:firstLineChars="200"/>
    </w:pPr>
  </w:style>
  <w:style w:type="character" w:customStyle="1" w:styleId="12">
    <w:name w:val="Footer Char"/>
    <w:basedOn w:val="7"/>
    <w:link w:val="5"/>
    <w:semiHidden/>
    <w:locked/>
    <w:uiPriority w:val="99"/>
    <w:rPr>
      <w:rFonts w:cs="Times New Roman"/>
      <w:sz w:val="18"/>
      <w:szCs w:val="18"/>
    </w:rPr>
  </w:style>
  <w:style w:type="character" w:customStyle="1" w:styleId="13">
    <w:name w:val="Comment Text Char"/>
    <w:basedOn w:val="7"/>
    <w:link w:val="2"/>
    <w:semiHidden/>
    <w:locked/>
    <w:uiPriority w:val="99"/>
    <w:rPr>
      <w:rFonts w:cs="Times New Roman"/>
      <w:sz w:val="24"/>
      <w:szCs w:val="24"/>
    </w:rPr>
  </w:style>
  <w:style w:type="character" w:customStyle="1" w:styleId="14">
    <w:name w:val="Body Text Char"/>
    <w:basedOn w:val="7"/>
    <w:link w:val="3"/>
    <w:semiHidden/>
    <w:locked/>
    <w:uiPriority w:val="99"/>
    <w:rPr>
      <w:rFonts w:cs="Times New Roman"/>
      <w:sz w:val="24"/>
      <w:szCs w:val="24"/>
    </w:rPr>
  </w:style>
  <w:style w:type="character" w:customStyle="1" w:styleId="15">
    <w:name w:val="Balloon Text Char"/>
    <w:basedOn w:val="7"/>
    <w:link w:val="4"/>
    <w:semiHidden/>
    <w:uiPriority w:val="99"/>
    <w:rPr>
      <w:sz w:val="16"/>
      <w:szCs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901</Words>
  <Characters>5139</Characters>
  <Lines>0</Lines>
  <Paragraphs>0</Paragraphs>
  <TotalTime>12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2020-09-22T03:24:46Z</cp:lastPrinted>
  <dcterms:modified xsi:type="dcterms:W3CDTF">2020-09-30T00:27:11Z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