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衡山县</w:t>
      </w:r>
      <w:r>
        <w:rPr>
          <w:rFonts w:hint="eastAsia" w:ascii="黑体" w:hAnsi="黑体" w:eastAsia="黑体"/>
          <w:sz w:val="40"/>
          <w:szCs w:val="32"/>
          <w:lang w:eastAsia="zh-CN"/>
        </w:rPr>
        <w:t>人社</w:t>
      </w:r>
      <w:r>
        <w:rPr>
          <w:rFonts w:hint="eastAsia" w:ascii="黑体" w:hAnsi="黑体" w:eastAsia="黑体"/>
          <w:sz w:val="40"/>
          <w:szCs w:val="32"/>
        </w:rPr>
        <w:t>局</w:t>
      </w:r>
      <w:r>
        <w:rPr>
          <w:rFonts w:hint="eastAsia" w:ascii="黑体" w:hAnsi="黑体" w:eastAsia="黑体"/>
          <w:sz w:val="40"/>
          <w:szCs w:val="32"/>
          <w:lang w:eastAsia="zh-CN"/>
        </w:rPr>
        <w:t>、衡山县住建局</w:t>
      </w:r>
      <w:r>
        <w:rPr>
          <w:rFonts w:hint="eastAsia" w:ascii="黑体" w:hAnsi="黑体" w:eastAsia="黑体"/>
          <w:sz w:val="40"/>
          <w:szCs w:val="32"/>
        </w:rPr>
        <w:t>公开选调岗位条件表</w:t>
      </w:r>
    </w:p>
    <w:tbl>
      <w:tblPr>
        <w:tblStyle w:val="4"/>
        <w:tblpPr w:leftFromText="180" w:rightFromText="180" w:vertAnchor="text" w:horzAnchor="margin" w:tblpXSpec="center" w:tblpY="450"/>
        <w:tblW w:w="13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48"/>
        <w:gridCol w:w="898"/>
        <w:gridCol w:w="879"/>
        <w:gridCol w:w="711"/>
        <w:gridCol w:w="2844"/>
        <w:gridCol w:w="2962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主管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部门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岗位名称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学历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专业要求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编制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7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衡山县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人力资源和社会保障局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就业服务中心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tabs>
                <w:tab w:val="left" w:pos="126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衡山县全额拨款事业单位在编在岗。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县社会保险服务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5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衡山县住房和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建设局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县村镇建设中心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5" w:type="dxa"/>
            <w:vMerge w:val="continue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县燃气服务中心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年1月1日之后出生）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2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sz w:val="24"/>
          <w:szCs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24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0602"/>
    <w:rsid w:val="2F9E0D8B"/>
    <w:rsid w:val="4E5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2021-03-17T07:42:00Z</dcterms:created>
  <dc:creator>蓝水兵</dc:creator>
  <cp:lastModifiedBy>蓝水兵</cp:lastModifiedBy>
  <dcterms:modified xsi:type="dcterms:W3CDTF">2021-03-18T01:39:18Z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