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方正小标宋简体" w:eastAsia="方正小标宋简体"/>
          <w:sz w:val="44"/>
          <w:szCs w:val="44"/>
        </w:rPr>
      </w:pPr>
    </w:p>
    <w:p>
      <w:pPr>
        <w:ind w:left="0" w:leftChars="0" w:firstLine="0" w:firstLineChars="0"/>
        <w:jc w:val="center"/>
        <w:rPr>
          <w:rFonts w:ascii="黑体" w:hAnsi="黑体" w:eastAsia="黑体"/>
          <w:sz w:val="48"/>
          <w:szCs w:val="48"/>
        </w:rPr>
      </w:pPr>
      <w:r>
        <w:rPr>
          <w:rFonts w:hint="eastAsia" w:ascii="黑体" w:hAnsi="黑体" w:eastAsia="黑体"/>
          <w:sz w:val="48"/>
          <w:szCs w:val="48"/>
        </w:rPr>
        <w:t>绩效评价报告</w:t>
      </w:r>
    </w:p>
    <w:p>
      <w:pPr>
        <w:ind w:left="0" w:leftChars="0" w:firstLine="0" w:firstLineChars="0"/>
        <w:jc w:val="center"/>
        <w:rPr>
          <w:rFonts w:hint="eastAsia" w:ascii="黑体" w:hAnsi="黑体" w:eastAsia="黑体"/>
          <w:sz w:val="48"/>
          <w:szCs w:val="48"/>
          <w:lang w:eastAsia="zh-CN"/>
        </w:rPr>
      </w:pPr>
    </w:p>
    <w:p>
      <w:pPr>
        <w:ind w:left="0" w:leftChars="0" w:firstLine="0" w:firstLineChars="0"/>
        <w:jc w:val="center"/>
        <w:rPr>
          <w:rFonts w:hint="eastAsia" w:ascii="楷体_GB2312" w:eastAsia="楷体_GB2312"/>
          <w:sz w:val="48"/>
          <w:szCs w:val="48"/>
          <w:lang w:eastAsia="zh-CN"/>
        </w:rPr>
      </w:pPr>
      <w:r>
        <w:rPr>
          <w:rFonts w:hint="eastAsia" w:ascii="黑体" w:hAnsi="黑体" w:eastAsia="黑体"/>
          <w:sz w:val="48"/>
          <w:szCs w:val="48"/>
          <w:lang w:eastAsia="zh-CN"/>
        </w:rPr>
        <w:t>衡山县第二中学</w:t>
      </w:r>
    </w:p>
    <w:p>
      <w:pPr>
        <w:ind w:firstLine="593"/>
        <w:rPr>
          <w:rFonts w:ascii="楷体_GB2312" w:eastAsia="楷体_GB2312"/>
          <w:szCs w:val="32"/>
        </w:rPr>
      </w:pPr>
      <w:bookmarkStart w:id="22" w:name="_GoBack"/>
      <w:bookmarkEnd w:id="22"/>
    </w:p>
    <w:p>
      <w:pPr>
        <w:ind w:firstLine="593"/>
        <w:rPr>
          <w:rFonts w:ascii="楷体_GB2312" w:eastAsia="楷体_GB2312"/>
          <w:szCs w:val="32"/>
        </w:rPr>
      </w:pPr>
    </w:p>
    <w:p>
      <w:pPr>
        <w:ind w:firstLine="593"/>
        <w:rPr>
          <w:rFonts w:ascii="楷体_GB2312" w:eastAsia="楷体_GB2312"/>
          <w:szCs w:val="32"/>
        </w:rPr>
      </w:pPr>
    </w:p>
    <w:p>
      <w:pPr>
        <w:ind w:firstLine="593"/>
        <w:rPr>
          <w:rFonts w:ascii="楷体_GB2312" w:eastAsia="楷体_GB2312"/>
          <w:szCs w:val="32"/>
        </w:rPr>
      </w:pPr>
    </w:p>
    <w:p>
      <w:pPr>
        <w:ind w:firstLine="593"/>
        <w:rPr>
          <w:rFonts w:ascii="楷体_GB2312" w:eastAsia="楷体_GB2312"/>
          <w:szCs w:val="32"/>
        </w:rPr>
      </w:pPr>
    </w:p>
    <w:p>
      <w:pPr>
        <w:ind w:firstLine="593"/>
        <w:rPr>
          <w:rFonts w:ascii="楷体_GB2312" w:eastAsia="楷体_GB2312"/>
          <w:szCs w:val="32"/>
        </w:rPr>
      </w:pPr>
    </w:p>
    <w:p>
      <w:pPr>
        <w:ind w:firstLine="593"/>
        <w:rPr>
          <w:rFonts w:ascii="仿宋_GB2312" w:hAnsi="仿宋_GB2312" w:eastAsia="仿宋_GB2312"/>
          <w:szCs w:val="32"/>
          <w:u w:val="single"/>
        </w:rPr>
      </w:pPr>
    </w:p>
    <w:p>
      <w:pPr>
        <w:ind w:firstLine="593"/>
        <w:rPr>
          <w:rFonts w:ascii="仿宋_GB2312" w:hAnsi="仿宋_GB2312" w:eastAsia="仿宋_GB2312"/>
          <w:szCs w:val="32"/>
          <w:u w:val="single"/>
        </w:rPr>
      </w:pPr>
    </w:p>
    <w:p>
      <w:pPr>
        <w:ind w:firstLine="593"/>
        <w:rPr>
          <w:rFonts w:ascii="仿宋_GB2312" w:hAnsi="仿宋_GB2312" w:eastAsia="仿宋_GB2312"/>
          <w:szCs w:val="32"/>
          <w:u w:val="single"/>
        </w:rPr>
      </w:pPr>
    </w:p>
    <w:p>
      <w:pPr>
        <w:spacing w:line="600" w:lineRule="exact"/>
        <w:ind w:firstLine="297" w:firstLineChars="100"/>
        <w:rPr>
          <w:rFonts w:ascii="仿宋_GB2312" w:hAnsi="仿宋_GB2312" w:eastAsia="仿宋_GB2312"/>
          <w:szCs w:val="32"/>
          <w:u w:val="single"/>
        </w:rPr>
      </w:pPr>
      <w:r>
        <w:rPr>
          <w:rFonts w:hint="eastAsia" w:ascii="方正小标宋_GBK" w:eastAsia="方正小标宋_GBK"/>
          <w:szCs w:val="32"/>
        </w:rPr>
        <w:t>项目名称：</w:t>
      </w:r>
      <w:r>
        <w:rPr>
          <w:rFonts w:ascii="仿宋_GB2312" w:hAnsi="仿宋_GB2312" w:eastAsia="仿宋_GB2312"/>
          <w:szCs w:val="32"/>
          <w:u w:val="single"/>
        </w:rPr>
        <w:t>2019年</w:t>
      </w:r>
      <w:r>
        <w:rPr>
          <w:rFonts w:hint="eastAsia" w:ascii="仿宋_GB2312" w:hAnsi="仿宋_GB2312" w:eastAsia="仿宋_GB2312"/>
          <w:szCs w:val="32"/>
          <w:u w:val="single"/>
        </w:rPr>
        <w:t>度衡山县第二中学项目支出资金项目</w:t>
      </w:r>
    </w:p>
    <w:p>
      <w:pPr>
        <w:ind w:firstLine="297" w:firstLineChars="100"/>
        <w:rPr>
          <w:rFonts w:ascii="方正小标宋_GBK" w:eastAsia="方正小标宋_GBK"/>
          <w:szCs w:val="32"/>
          <w:u w:val="single"/>
        </w:rPr>
      </w:pPr>
      <w:r>
        <w:rPr>
          <w:rFonts w:hint="eastAsia" w:ascii="方正小标宋_GBK" w:eastAsia="方正小标宋_GBK"/>
          <w:szCs w:val="32"/>
        </w:rPr>
        <w:t>主管部门：</w:t>
      </w:r>
      <w:r>
        <w:rPr>
          <w:rFonts w:hint="eastAsia" w:ascii="仿宋_GB2312" w:hAnsi="仿宋_GB2312" w:eastAsia="仿宋_GB2312"/>
          <w:szCs w:val="32"/>
          <w:u w:val="single"/>
        </w:rPr>
        <w:t>衡山县教育局</w:t>
      </w:r>
    </w:p>
    <w:p>
      <w:pPr>
        <w:ind w:firstLine="297" w:firstLineChars="100"/>
        <w:rPr>
          <w:rFonts w:ascii="方正小标宋_GBK" w:eastAsia="方正小标宋_GBK"/>
          <w:szCs w:val="32"/>
          <w:u w:val="single"/>
        </w:rPr>
      </w:pPr>
      <w:r>
        <w:rPr>
          <w:rFonts w:hint="eastAsia" w:ascii="方正小标宋_GBK" w:eastAsia="方正小标宋_GBK"/>
          <w:szCs w:val="32"/>
        </w:rPr>
        <w:t>组织单位：</w:t>
      </w:r>
      <w:r>
        <w:rPr>
          <w:rFonts w:hint="eastAsia" w:ascii="仿宋_GB2312" w:hAnsi="仿宋_GB2312" w:eastAsia="仿宋_GB2312"/>
          <w:szCs w:val="32"/>
          <w:u w:val="single"/>
        </w:rPr>
        <w:t>衡山县财政局</w:t>
      </w:r>
    </w:p>
    <w:p>
      <w:pPr>
        <w:ind w:firstLine="297" w:firstLineChars="100"/>
        <w:rPr>
          <w:rFonts w:ascii="方正小标宋_GBK" w:eastAsia="方正小标宋_GBK"/>
          <w:szCs w:val="32"/>
          <w:u w:val="single"/>
        </w:rPr>
      </w:pPr>
      <w:r>
        <w:rPr>
          <w:rFonts w:hint="eastAsia" w:ascii="方正小标宋_GBK" w:eastAsia="方正小标宋_GBK"/>
          <w:szCs w:val="32"/>
        </w:rPr>
        <w:t>实施机构：</w:t>
      </w:r>
      <w:r>
        <w:rPr>
          <w:rFonts w:hint="eastAsia" w:ascii="仿宋_GB2312" w:hAnsi="仿宋_GB2312" w:eastAsia="仿宋_GB2312"/>
          <w:szCs w:val="32"/>
          <w:u w:val="single"/>
        </w:rPr>
        <w:t>湖南宏丰益联合会计师事务所</w:t>
      </w:r>
    </w:p>
    <w:p>
      <w:pPr>
        <w:ind w:firstLine="297" w:firstLineChars="100"/>
        <w:rPr>
          <w:rFonts w:ascii="方正小标宋_GBK" w:eastAsia="方正小标宋_GBK"/>
          <w:szCs w:val="32"/>
          <w:u w:val="single"/>
        </w:rPr>
      </w:pPr>
    </w:p>
    <w:p>
      <w:pPr>
        <w:ind w:firstLine="0" w:firstLineChars="0"/>
        <w:rPr>
          <w:rFonts w:ascii="方正小标宋_GBK" w:eastAsia="方正小标宋_GBK"/>
          <w:szCs w:val="32"/>
          <w:u w:val="single"/>
        </w:rPr>
      </w:pPr>
    </w:p>
    <w:p>
      <w:pPr>
        <w:ind w:firstLine="0" w:firstLineChars="0"/>
        <w:jc w:val="center"/>
        <w:rPr>
          <w:rFonts w:ascii="楷体_GB2312" w:eastAsia="楷体_GB2312"/>
          <w:b/>
          <w:szCs w:val="32"/>
        </w:rPr>
      </w:pPr>
      <w:r>
        <w:rPr>
          <w:rFonts w:ascii="楷体_GB2312" w:eastAsia="楷体_GB2312"/>
          <w:b/>
          <w:szCs w:val="32"/>
        </w:rPr>
        <w:t>2020</w:t>
      </w:r>
      <w:r>
        <w:rPr>
          <w:rFonts w:hint="eastAsia" w:ascii="楷体_GB2312" w:eastAsia="楷体_GB2312"/>
          <w:b/>
          <w:szCs w:val="32"/>
        </w:rPr>
        <w:t>年</w:t>
      </w:r>
      <w:r>
        <w:rPr>
          <w:rFonts w:ascii="楷体_GB2312" w:eastAsia="楷体_GB2312"/>
          <w:b/>
          <w:szCs w:val="32"/>
        </w:rPr>
        <w:t>11</w:t>
      </w:r>
      <w:r>
        <w:rPr>
          <w:rFonts w:hint="eastAsia" w:ascii="楷体_GB2312" w:eastAsia="楷体_GB2312"/>
          <w:b/>
          <w:szCs w:val="32"/>
        </w:rPr>
        <w:t>月1</w:t>
      </w:r>
      <w:r>
        <w:rPr>
          <w:rFonts w:hint="eastAsia" w:ascii="楷体_GB2312" w:eastAsia="楷体_GB2312"/>
          <w:b/>
          <w:szCs w:val="32"/>
          <w:lang w:val="en-US" w:eastAsia="zh-CN"/>
        </w:rPr>
        <w:t>5</w:t>
      </w:r>
      <w:r>
        <w:rPr>
          <w:rFonts w:hint="eastAsia" w:ascii="楷体_GB2312" w:eastAsia="楷体_GB2312"/>
          <w:b/>
          <w:szCs w:val="32"/>
        </w:rPr>
        <w:t>日</w:t>
      </w:r>
    </w:p>
    <w:p>
      <w:pPr>
        <w:ind w:firstLine="0" w:firstLineChars="0"/>
        <w:jc w:val="center"/>
        <w:rPr>
          <w:rFonts w:ascii="楷体_GB2312" w:eastAsia="楷体_GB2312"/>
          <w:b/>
          <w:szCs w:val="32"/>
        </w:rPr>
      </w:pPr>
    </w:p>
    <w:p>
      <w:pPr>
        <w:spacing w:line="700" w:lineRule="exact"/>
        <w:ind w:firstLine="0" w:firstLineChars="0"/>
        <w:jc w:val="center"/>
        <w:rPr>
          <w:rFonts w:ascii="黑体" w:hAnsi="黑体" w:eastAsia="黑体"/>
          <w:sz w:val="44"/>
          <w:szCs w:val="44"/>
        </w:rPr>
      </w:pPr>
      <w:r>
        <w:rPr>
          <w:rFonts w:ascii="黑体" w:hAnsi="黑体" w:eastAsia="黑体"/>
          <w:sz w:val="44"/>
          <w:szCs w:val="44"/>
        </w:rPr>
        <w:t>2019年</w:t>
      </w:r>
      <w:r>
        <w:rPr>
          <w:rFonts w:hint="eastAsia" w:ascii="黑体" w:hAnsi="黑体" w:eastAsia="黑体"/>
          <w:sz w:val="44"/>
          <w:szCs w:val="44"/>
        </w:rPr>
        <w:t>度衡山县第二中学项目支出</w:t>
      </w:r>
    </w:p>
    <w:p>
      <w:pPr>
        <w:spacing w:line="700" w:lineRule="exact"/>
        <w:ind w:firstLine="0" w:firstLineChars="0"/>
        <w:jc w:val="center"/>
        <w:rPr>
          <w:rFonts w:ascii="黑体" w:hAnsi="黑体" w:eastAsia="黑体"/>
          <w:sz w:val="44"/>
          <w:szCs w:val="44"/>
        </w:rPr>
      </w:pPr>
      <w:r>
        <w:rPr>
          <w:rFonts w:hint="eastAsia" w:ascii="黑体" w:hAnsi="黑体" w:eastAsia="黑体"/>
          <w:sz w:val="44"/>
          <w:szCs w:val="44"/>
        </w:rPr>
        <w:t>绩效评价表</w:t>
      </w:r>
    </w:p>
    <w:p>
      <w:pPr>
        <w:wordWrap w:val="0"/>
        <w:ind w:firstLine="129" w:firstLineChars="50"/>
        <w:jc w:val="right"/>
        <w:rPr>
          <w:rFonts w:ascii="??_GB2312" w:eastAsia="Times New Roman"/>
          <w:sz w:val="28"/>
          <w:szCs w:val="28"/>
        </w:rPr>
      </w:pPr>
      <w:r>
        <w:rPr>
          <w:rFonts w:hint="eastAsia" w:ascii="仿宋" w:hAnsi="仿宋" w:cs="仿宋"/>
          <w:sz w:val="28"/>
          <w:szCs w:val="28"/>
        </w:rPr>
        <w:t>填报日期：</w:t>
      </w:r>
      <w:r>
        <w:rPr>
          <w:rFonts w:ascii="仿宋" w:hAnsi="仿宋" w:cs="仿宋"/>
          <w:sz w:val="28"/>
          <w:szCs w:val="28"/>
        </w:rPr>
        <w:t>2020</w:t>
      </w:r>
      <w:r>
        <w:rPr>
          <w:rFonts w:hint="eastAsia" w:ascii="仿宋" w:hAnsi="仿宋" w:cs="仿宋"/>
          <w:sz w:val="28"/>
          <w:szCs w:val="28"/>
        </w:rPr>
        <w:t>年</w:t>
      </w:r>
      <w:r>
        <w:rPr>
          <w:rFonts w:ascii="仿宋" w:hAnsi="仿宋" w:cs="仿宋"/>
          <w:sz w:val="28"/>
          <w:szCs w:val="28"/>
        </w:rPr>
        <w:t>11</w:t>
      </w:r>
      <w:r>
        <w:rPr>
          <w:rFonts w:hint="eastAsia" w:ascii="仿宋" w:hAnsi="仿宋" w:cs="仿宋"/>
          <w:sz w:val="28"/>
          <w:szCs w:val="28"/>
        </w:rPr>
        <w:t>月</w:t>
      </w:r>
      <w:r>
        <w:rPr>
          <w:rFonts w:ascii="仿宋" w:hAnsi="仿宋" w:cs="仿宋"/>
          <w:sz w:val="28"/>
          <w:szCs w:val="28"/>
        </w:rPr>
        <w:t>1</w:t>
      </w:r>
      <w:r>
        <w:rPr>
          <w:rFonts w:hint="eastAsia" w:ascii="仿宋" w:hAnsi="仿宋" w:cs="仿宋"/>
          <w:sz w:val="28"/>
          <w:szCs w:val="28"/>
          <w:lang w:val="en-US" w:eastAsia="zh-CN"/>
        </w:rPr>
        <w:t>5</w:t>
      </w:r>
      <w:r>
        <w:rPr>
          <w:rFonts w:hint="eastAsia" w:ascii="仿宋" w:hAnsi="仿宋" w:cs="仿宋"/>
          <w:sz w:val="28"/>
          <w:szCs w:val="28"/>
        </w:rPr>
        <w:t>日</w:t>
      </w:r>
    </w:p>
    <w:tbl>
      <w:tblPr>
        <w:tblStyle w:val="16"/>
        <w:tblW w:w="8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447"/>
        <w:gridCol w:w="1653"/>
        <w:gridCol w:w="1843"/>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19" w:type="dxa"/>
            <w:vMerge w:val="restart"/>
            <w:vAlign w:val="center"/>
          </w:tcPr>
          <w:p>
            <w:pPr>
              <w:spacing w:line="400" w:lineRule="exact"/>
              <w:ind w:firstLine="0" w:firstLineChars="0"/>
              <w:jc w:val="center"/>
              <w:rPr>
                <w:b/>
                <w:bCs/>
                <w:color w:val="000000"/>
                <w:sz w:val="24"/>
              </w:rPr>
            </w:pPr>
            <w:r>
              <w:rPr>
                <w:rFonts w:hint="eastAsia" w:hAnsi="仿宋"/>
                <w:b/>
                <w:bCs/>
                <w:color w:val="000000"/>
                <w:sz w:val="24"/>
              </w:rPr>
              <w:t>项</w:t>
            </w:r>
          </w:p>
          <w:p>
            <w:pPr>
              <w:spacing w:line="400" w:lineRule="exact"/>
              <w:ind w:firstLine="0" w:firstLineChars="0"/>
              <w:jc w:val="center"/>
              <w:rPr>
                <w:b/>
                <w:bCs/>
                <w:color w:val="000000"/>
                <w:sz w:val="24"/>
              </w:rPr>
            </w:pPr>
            <w:r>
              <w:rPr>
                <w:rFonts w:hint="eastAsia" w:hAnsi="仿宋"/>
                <w:b/>
                <w:bCs/>
                <w:color w:val="000000"/>
                <w:sz w:val="24"/>
              </w:rPr>
              <w:t>目</w:t>
            </w:r>
          </w:p>
          <w:p>
            <w:pPr>
              <w:spacing w:line="400" w:lineRule="exact"/>
              <w:ind w:firstLine="0" w:firstLineChars="0"/>
              <w:jc w:val="center"/>
              <w:rPr>
                <w:b/>
                <w:bCs/>
                <w:color w:val="000000"/>
                <w:sz w:val="24"/>
              </w:rPr>
            </w:pPr>
            <w:r>
              <w:rPr>
                <w:rFonts w:hint="eastAsia" w:hAnsi="仿宋"/>
                <w:b/>
                <w:bCs/>
                <w:color w:val="000000"/>
                <w:sz w:val="24"/>
              </w:rPr>
              <w:t>基</w:t>
            </w:r>
          </w:p>
          <w:p>
            <w:pPr>
              <w:spacing w:line="400" w:lineRule="exact"/>
              <w:ind w:firstLine="0" w:firstLineChars="0"/>
              <w:jc w:val="center"/>
              <w:rPr>
                <w:b/>
                <w:bCs/>
                <w:color w:val="000000"/>
                <w:sz w:val="24"/>
              </w:rPr>
            </w:pPr>
            <w:r>
              <w:rPr>
                <w:rFonts w:hint="eastAsia" w:hAnsi="仿宋"/>
                <w:b/>
                <w:bCs/>
                <w:color w:val="000000"/>
                <w:sz w:val="24"/>
              </w:rPr>
              <w:t>本</w:t>
            </w:r>
          </w:p>
          <w:p>
            <w:pPr>
              <w:spacing w:line="400" w:lineRule="exact"/>
              <w:ind w:firstLine="0" w:firstLineChars="0"/>
              <w:jc w:val="center"/>
              <w:rPr>
                <w:b/>
                <w:bCs/>
                <w:color w:val="000000"/>
                <w:sz w:val="24"/>
              </w:rPr>
            </w:pPr>
            <w:r>
              <w:rPr>
                <w:rFonts w:hint="eastAsia" w:hAnsi="仿宋"/>
                <w:b/>
                <w:bCs/>
                <w:color w:val="000000"/>
                <w:sz w:val="24"/>
              </w:rPr>
              <w:t>情</w:t>
            </w:r>
          </w:p>
          <w:p>
            <w:pPr>
              <w:spacing w:line="400" w:lineRule="exact"/>
              <w:ind w:firstLine="0" w:firstLineChars="0"/>
              <w:jc w:val="center"/>
              <w:rPr>
                <w:b/>
                <w:bCs/>
                <w:color w:val="000000"/>
                <w:sz w:val="24"/>
              </w:rPr>
            </w:pPr>
            <w:r>
              <w:rPr>
                <w:rFonts w:hint="eastAsia" w:hAnsi="仿宋"/>
                <w:b/>
                <w:bCs/>
                <w:color w:val="000000"/>
                <w:sz w:val="24"/>
              </w:rPr>
              <w:t>况</w:t>
            </w:r>
          </w:p>
          <w:p>
            <w:pPr>
              <w:spacing w:line="400" w:lineRule="exact"/>
              <w:ind w:firstLine="0" w:firstLineChars="0"/>
              <w:rPr>
                <w:sz w:val="24"/>
              </w:rPr>
            </w:pPr>
          </w:p>
        </w:tc>
        <w:tc>
          <w:tcPr>
            <w:tcW w:w="1447" w:type="dxa"/>
            <w:vAlign w:val="center"/>
          </w:tcPr>
          <w:p>
            <w:pPr>
              <w:spacing w:line="400" w:lineRule="exact"/>
              <w:ind w:firstLine="0" w:firstLineChars="0"/>
              <w:jc w:val="center"/>
              <w:rPr>
                <w:sz w:val="24"/>
              </w:rPr>
            </w:pPr>
            <w:r>
              <w:rPr>
                <w:rFonts w:hint="eastAsia" w:hAnsi="仿宋"/>
                <w:sz w:val="24"/>
              </w:rPr>
              <w:t>项目名称</w:t>
            </w:r>
          </w:p>
        </w:tc>
        <w:tc>
          <w:tcPr>
            <w:tcW w:w="5949" w:type="dxa"/>
            <w:gridSpan w:val="3"/>
            <w:vAlign w:val="center"/>
          </w:tcPr>
          <w:p>
            <w:pPr>
              <w:snapToGrid w:val="0"/>
              <w:spacing w:line="400" w:lineRule="exact"/>
              <w:ind w:firstLine="0" w:firstLineChars="0"/>
              <w:rPr>
                <w:rFonts w:hAnsi="仿宋"/>
                <w:sz w:val="24"/>
              </w:rPr>
            </w:pPr>
            <w:r>
              <w:rPr>
                <w:rFonts w:hint="eastAsia" w:hAnsi="仿宋"/>
                <w:sz w:val="24"/>
              </w:rPr>
              <w:t>教育费附加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exact"/>
          <w:jc w:val="center"/>
        </w:trPr>
        <w:tc>
          <w:tcPr>
            <w:tcW w:w="1119" w:type="dxa"/>
            <w:vMerge w:val="continue"/>
          </w:tcPr>
          <w:p>
            <w:pPr>
              <w:spacing w:line="400" w:lineRule="exact"/>
              <w:ind w:firstLine="0" w:firstLineChars="0"/>
              <w:rPr>
                <w:sz w:val="24"/>
              </w:rPr>
            </w:pPr>
          </w:p>
        </w:tc>
        <w:tc>
          <w:tcPr>
            <w:tcW w:w="1447" w:type="dxa"/>
            <w:vAlign w:val="center"/>
          </w:tcPr>
          <w:p>
            <w:pPr>
              <w:spacing w:line="400" w:lineRule="exact"/>
              <w:ind w:firstLine="0" w:firstLineChars="0"/>
              <w:jc w:val="center"/>
              <w:rPr>
                <w:sz w:val="24"/>
              </w:rPr>
            </w:pPr>
            <w:r>
              <w:rPr>
                <w:rFonts w:hint="eastAsia" w:hAnsi="仿宋"/>
                <w:sz w:val="24"/>
              </w:rPr>
              <w:t>项目内容</w:t>
            </w:r>
          </w:p>
        </w:tc>
        <w:tc>
          <w:tcPr>
            <w:tcW w:w="5949" w:type="dxa"/>
            <w:gridSpan w:val="3"/>
            <w:vAlign w:val="center"/>
          </w:tcPr>
          <w:p>
            <w:pPr>
              <w:snapToGrid w:val="0"/>
              <w:spacing w:line="400" w:lineRule="exact"/>
              <w:ind w:firstLine="0" w:firstLineChars="0"/>
              <w:rPr>
                <w:rFonts w:hint="eastAsia" w:hAnsi="仿宋"/>
                <w:sz w:val="24"/>
              </w:rPr>
            </w:pPr>
            <w:r>
              <w:rPr>
                <w:rFonts w:hint="eastAsia" w:hAnsi="仿宋"/>
                <w:sz w:val="24"/>
              </w:rPr>
              <w:t>用于修缮校园内的基础设施支出。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119" w:type="dxa"/>
            <w:vMerge w:val="continue"/>
          </w:tcPr>
          <w:p>
            <w:pPr>
              <w:spacing w:line="400" w:lineRule="exact"/>
              <w:ind w:firstLine="0" w:firstLineChars="0"/>
              <w:rPr>
                <w:sz w:val="24"/>
              </w:rPr>
            </w:pPr>
          </w:p>
        </w:tc>
        <w:tc>
          <w:tcPr>
            <w:tcW w:w="1447" w:type="dxa"/>
            <w:vAlign w:val="center"/>
          </w:tcPr>
          <w:p>
            <w:pPr>
              <w:spacing w:line="400" w:lineRule="exact"/>
              <w:ind w:firstLine="0" w:firstLineChars="0"/>
              <w:jc w:val="center"/>
              <w:rPr>
                <w:rFonts w:hAnsi="仿宋"/>
                <w:sz w:val="24"/>
              </w:rPr>
            </w:pPr>
            <w:r>
              <w:rPr>
                <w:rFonts w:hint="eastAsia" w:hAnsi="仿宋"/>
                <w:sz w:val="24"/>
              </w:rPr>
              <w:t>项目单位</w:t>
            </w:r>
          </w:p>
        </w:tc>
        <w:tc>
          <w:tcPr>
            <w:tcW w:w="1653" w:type="dxa"/>
            <w:vAlign w:val="center"/>
          </w:tcPr>
          <w:p>
            <w:pPr>
              <w:spacing w:line="400" w:lineRule="exact"/>
              <w:ind w:firstLine="0" w:firstLineChars="0"/>
              <w:jc w:val="center"/>
              <w:rPr>
                <w:rFonts w:hAnsi="仿宋"/>
                <w:sz w:val="24"/>
              </w:rPr>
            </w:pPr>
            <w:r>
              <w:rPr>
                <w:rFonts w:hint="eastAsia" w:hAnsi="仿宋"/>
                <w:sz w:val="24"/>
              </w:rPr>
              <w:t>衡山县第二中学</w:t>
            </w:r>
          </w:p>
        </w:tc>
        <w:tc>
          <w:tcPr>
            <w:tcW w:w="1843" w:type="dxa"/>
            <w:vAlign w:val="center"/>
          </w:tcPr>
          <w:p>
            <w:pPr>
              <w:spacing w:line="400" w:lineRule="exact"/>
              <w:ind w:firstLine="0" w:firstLineChars="0"/>
              <w:jc w:val="center"/>
              <w:rPr>
                <w:rFonts w:hAnsi="仿宋"/>
                <w:sz w:val="24"/>
              </w:rPr>
            </w:pPr>
            <w:r>
              <w:rPr>
                <w:rFonts w:hint="eastAsia" w:hAnsi="仿宋"/>
                <w:sz w:val="24"/>
              </w:rPr>
              <w:t>项目主管部门</w:t>
            </w:r>
          </w:p>
        </w:tc>
        <w:tc>
          <w:tcPr>
            <w:tcW w:w="2453" w:type="dxa"/>
            <w:vAlign w:val="center"/>
          </w:tcPr>
          <w:p>
            <w:pPr>
              <w:spacing w:line="400" w:lineRule="exact"/>
              <w:ind w:firstLine="0" w:firstLineChars="0"/>
              <w:rPr>
                <w:rFonts w:hAnsi="仿宋"/>
                <w:sz w:val="24"/>
              </w:rPr>
            </w:pPr>
            <w:r>
              <w:rPr>
                <w:rFonts w:hint="eastAsia" w:hAnsi="仿宋"/>
                <w:sz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119" w:type="dxa"/>
            <w:vMerge w:val="continue"/>
          </w:tcPr>
          <w:p>
            <w:pPr>
              <w:spacing w:line="400" w:lineRule="exact"/>
              <w:ind w:firstLine="0" w:firstLineChars="0"/>
              <w:rPr>
                <w:sz w:val="24"/>
              </w:rPr>
            </w:pPr>
          </w:p>
        </w:tc>
        <w:tc>
          <w:tcPr>
            <w:tcW w:w="1447" w:type="dxa"/>
            <w:vAlign w:val="center"/>
          </w:tcPr>
          <w:p>
            <w:pPr>
              <w:spacing w:line="400" w:lineRule="exact"/>
              <w:ind w:firstLine="0" w:firstLineChars="0"/>
              <w:jc w:val="center"/>
              <w:rPr>
                <w:sz w:val="24"/>
              </w:rPr>
            </w:pPr>
            <w:r>
              <w:rPr>
                <w:rFonts w:hint="eastAsia" w:hAnsi="仿宋"/>
                <w:sz w:val="24"/>
              </w:rPr>
              <w:t>项目属性</w:t>
            </w:r>
          </w:p>
        </w:tc>
        <w:tc>
          <w:tcPr>
            <w:tcW w:w="5949" w:type="dxa"/>
            <w:gridSpan w:val="3"/>
            <w:vAlign w:val="center"/>
          </w:tcPr>
          <w:p>
            <w:pPr>
              <w:spacing w:line="400" w:lineRule="exact"/>
              <w:ind w:firstLine="0" w:firstLineChars="0"/>
              <w:jc w:val="center"/>
              <w:rPr>
                <w:sz w:val="24"/>
              </w:rPr>
            </w:pPr>
            <w:r>
              <w:rPr>
                <w:sz w:val="24"/>
              </w:rPr>
              <w:t>√</w:t>
            </w:r>
            <w:r>
              <w:rPr>
                <w:rFonts w:hint="eastAsia" w:hAnsi="仿宋"/>
                <w:sz w:val="24"/>
              </w:rPr>
              <w:t>经常性</w:t>
            </w:r>
            <w:r>
              <w:rPr>
                <w:rFonts w:hint="eastAsia"/>
                <w:sz w:val="24"/>
              </w:rPr>
              <w:t>□</w:t>
            </w:r>
            <w:r>
              <w:rPr>
                <w:rFonts w:hint="eastAsia" w:hAnsi="仿宋"/>
                <w:sz w:val="24"/>
              </w:rPr>
              <w:t>一次性</w:t>
            </w:r>
            <w:r>
              <w:rPr>
                <w:rFonts w:hint="eastAsia"/>
                <w:sz w:val="24"/>
              </w:rPr>
              <w:t>□</w:t>
            </w:r>
            <w:r>
              <w:rPr>
                <w:rFonts w:hint="eastAsia" w:hAnsi="仿宋"/>
                <w:sz w:val="24"/>
              </w:rPr>
              <w:t>新增</w:t>
            </w:r>
            <w:r>
              <w:rPr>
                <w:sz w:val="24"/>
              </w:rPr>
              <w:t>√</w:t>
            </w:r>
            <w:r>
              <w:rPr>
                <w:rFonts w:hint="eastAsia" w:hAnsi="仿宋"/>
                <w:sz w:val="24"/>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119" w:type="dxa"/>
            <w:vMerge w:val="continue"/>
          </w:tcPr>
          <w:p>
            <w:pPr>
              <w:spacing w:line="400" w:lineRule="exact"/>
              <w:ind w:firstLine="0" w:firstLineChars="0"/>
              <w:rPr>
                <w:sz w:val="24"/>
              </w:rPr>
            </w:pPr>
          </w:p>
        </w:tc>
        <w:tc>
          <w:tcPr>
            <w:tcW w:w="1447" w:type="dxa"/>
            <w:vAlign w:val="center"/>
          </w:tcPr>
          <w:p>
            <w:pPr>
              <w:spacing w:line="400" w:lineRule="exact"/>
              <w:ind w:firstLine="0" w:firstLineChars="0"/>
              <w:jc w:val="center"/>
              <w:rPr>
                <w:sz w:val="24"/>
              </w:rPr>
            </w:pPr>
            <w:r>
              <w:rPr>
                <w:rFonts w:hint="eastAsia" w:hAnsi="仿宋"/>
                <w:sz w:val="24"/>
              </w:rPr>
              <w:t>立项依据</w:t>
            </w:r>
          </w:p>
        </w:tc>
        <w:tc>
          <w:tcPr>
            <w:tcW w:w="5949" w:type="dxa"/>
            <w:gridSpan w:val="3"/>
            <w:vAlign w:val="center"/>
          </w:tcPr>
          <w:p>
            <w:pPr>
              <w:snapToGrid w:val="0"/>
              <w:spacing w:line="400" w:lineRule="exact"/>
              <w:ind w:firstLine="0" w:firstLineChars="0"/>
              <w:rPr>
                <w:rFonts w:hAnsi="仿宋"/>
                <w:sz w:val="24"/>
              </w:rPr>
            </w:pPr>
            <w:r>
              <w:rPr>
                <w:rFonts w:hint="eastAsia" w:hAnsi="仿宋"/>
                <w:sz w:val="24"/>
              </w:rPr>
              <w:t>教育费附加</w:t>
            </w:r>
          </w:p>
          <w:p>
            <w:pPr>
              <w:snapToGrid w:val="0"/>
              <w:spacing w:line="400" w:lineRule="exact"/>
              <w:ind w:firstLine="0" w:firstLineChars="0"/>
              <w:rPr>
                <w:sz w:val="24"/>
              </w:rPr>
            </w:pPr>
            <w:r>
              <w:rPr>
                <w:rFonts w:hint="eastAsia" w:hAnsi="仿宋"/>
                <w:sz w:val="24"/>
              </w:rPr>
              <w:t>立项依据：</w:t>
            </w:r>
            <w:bookmarkStart w:id="0" w:name="_Hlk56690752"/>
            <w:r>
              <w:rPr>
                <w:rFonts w:hint="eastAsia" w:hAnsi="仿宋"/>
                <w:sz w:val="24"/>
              </w:rPr>
              <w:t>衡山县人民政府关于印发《衡山县“十三五”教育事业改革与发展规划(2016年-2020年)》的通知、《中共衡山县委、衡山县人民政府关于建设教育强县的决定》。</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9" w:type="dxa"/>
            <w:vMerge w:val="continue"/>
          </w:tcPr>
          <w:p>
            <w:pPr>
              <w:spacing w:line="400" w:lineRule="exact"/>
              <w:ind w:firstLine="0" w:firstLineChars="0"/>
              <w:rPr>
                <w:sz w:val="24"/>
              </w:rPr>
            </w:pPr>
          </w:p>
        </w:tc>
        <w:tc>
          <w:tcPr>
            <w:tcW w:w="1447" w:type="dxa"/>
            <w:vAlign w:val="center"/>
          </w:tcPr>
          <w:p>
            <w:pPr>
              <w:spacing w:line="400" w:lineRule="exact"/>
              <w:ind w:firstLine="0" w:firstLineChars="0"/>
              <w:jc w:val="center"/>
              <w:rPr>
                <w:rFonts w:hAnsi="仿宋"/>
                <w:sz w:val="24"/>
              </w:rPr>
            </w:pPr>
            <w:r>
              <w:rPr>
                <w:rFonts w:hint="eastAsia" w:hAnsi="仿宋"/>
                <w:sz w:val="24"/>
              </w:rPr>
              <w:t>资金总额</w:t>
            </w:r>
          </w:p>
          <w:p>
            <w:pPr>
              <w:spacing w:line="400" w:lineRule="exact"/>
              <w:ind w:firstLine="0" w:firstLineChars="0"/>
              <w:jc w:val="center"/>
              <w:rPr>
                <w:rFonts w:hAnsi="仿宋"/>
                <w:sz w:val="24"/>
              </w:rPr>
            </w:pPr>
            <w:r>
              <w:rPr>
                <w:rFonts w:hint="eastAsia" w:hAnsi="仿宋"/>
                <w:sz w:val="24"/>
              </w:rPr>
              <w:t>及构成</w:t>
            </w:r>
          </w:p>
        </w:tc>
        <w:tc>
          <w:tcPr>
            <w:tcW w:w="5949" w:type="dxa"/>
            <w:gridSpan w:val="3"/>
            <w:vAlign w:val="center"/>
          </w:tcPr>
          <w:p>
            <w:pPr>
              <w:snapToGrid w:val="0"/>
              <w:spacing w:line="400" w:lineRule="exact"/>
              <w:ind w:firstLine="0" w:firstLineChars="0"/>
              <w:rPr>
                <w:rFonts w:hAnsi="仿宋"/>
                <w:sz w:val="24"/>
              </w:rPr>
            </w:pPr>
            <w:r>
              <w:rPr>
                <w:rFonts w:hint="eastAsia" w:hAnsi="仿宋"/>
                <w:sz w:val="24"/>
              </w:rPr>
              <w:t>教育费附加：</w:t>
            </w:r>
            <w:bookmarkStart w:id="1" w:name="_Hlk56695397"/>
            <w:r>
              <w:rPr>
                <w:rFonts w:hint="eastAsia" w:hAnsi="仿宋"/>
                <w:sz w:val="24"/>
              </w:rPr>
              <w:t>投入资金共计</w:t>
            </w:r>
            <w:r>
              <w:rPr>
                <w:rFonts w:hAnsi="仿宋"/>
                <w:sz w:val="24"/>
              </w:rPr>
              <w:t>56</w:t>
            </w:r>
            <w:r>
              <w:rPr>
                <w:rFonts w:hint="eastAsia" w:hAnsi="仿宋"/>
                <w:sz w:val="24"/>
              </w:rPr>
              <w:t>.</w:t>
            </w:r>
            <w:r>
              <w:rPr>
                <w:rFonts w:hAnsi="仿宋"/>
                <w:sz w:val="24"/>
              </w:rPr>
              <w:t>37</w:t>
            </w:r>
            <w:r>
              <w:rPr>
                <w:rFonts w:hint="eastAsia" w:hAnsi="仿宋"/>
                <w:sz w:val="24"/>
              </w:rPr>
              <w:t>万元，其中省级补助资金</w:t>
            </w:r>
            <w:r>
              <w:rPr>
                <w:rFonts w:hAnsi="仿宋"/>
                <w:sz w:val="24"/>
              </w:rPr>
              <w:t>0</w:t>
            </w:r>
            <w:r>
              <w:rPr>
                <w:rFonts w:hint="eastAsia" w:hAnsi="仿宋"/>
                <w:sz w:val="24"/>
              </w:rPr>
              <w:t>万元，县级补助资金</w:t>
            </w:r>
            <w:r>
              <w:rPr>
                <w:rFonts w:hAnsi="仿宋"/>
                <w:sz w:val="24"/>
              </w:rPr>
              <w:t>56</w:t>
            </w:r>
            <w:r>
              <w:rPr>
                <w:rFonts w:hint="eastAsia" w:hAnsi="仿宋"/>
                <w:sz w:val="24"/>
              </w:rPr>
              <w:t>.</w:t>
            </w:r>
            <w:r>
              <w:rPr>
                <w:rFonts w:hAnsi="仿宋"/>
                <w:sz w:val="24"/>
              </w:rPr>
              <w:t>37</w:t>
            </w:r>
            <w:r>
              <w:rPr>
                <w:rFonts w:hint="eastAsia" w:hAnsi="仿宋"/>
                <w:sz w:val="24"/>
              </w:rPr>
              <w:t>万元，实际支出</w:t>
            </w:r>
            <w:r>
              <w:rPr>
                <w:rFonts w:hAnsi="仿宋"/>
                <w:sz w:val="24"/>
              </w:rPr>
              <w:t>56</w:t>
            </w:r>
            <w:r>
              <w:rPr>
                <w:rFonts w:hint="eastAsia" w:hAnsi="仿宋"/>
                <w:sz w:val="24"/>
              </w:rPr>
              <w:t>.</w:t>
            </w:r>
            <w:r>
              <w:rPr>
                <w:rFonts w:hAnsi="仿宋"/>
                <w:sz w:val="24"/>
              </w:rPr>
              <w:t>37</w:t>
            </w:r>
            <w:r>
              <w:rPr>
                <w:rFonts w:hint="eastAsia" w:hAnsi="仿宋"/>
                <w:sz w:val="24"/>
              </w:rPr>
              <w:t>万元。</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1119" w:type="dxa"/>
            <w:vMerge w:val="continue"/>
          </w:tcPr>
          <w:p>
            <w:pPr>
              <w:spacing w:line="400" w:lineRule="exact"/>
              <w:ind w:firstLine="0" w:firstLineChars="0"/>
              <w:rPr>
                <w:sz w:val="24"/>
              </w:rPr>
            </w:pPr>
          </w:p>
        </w:tc>
        <w:tc>
          <w:tcPr>
            <w:tcW w:w="1447" w:type="dxa"/>
            <w:vAlign w:val="center"/>
          </w:tcPr>
          <w:p>
            <w:pPr>
              <w:snapToGrid w:val="0"/>
              <w:spacing w:line="400" w:lineRule="exact"/>
              <w:ind w:left="-103" w:firstLine="0" w:firstLineChars="0"/>
              <w:jc w:val="center"/>
              <w:rPr>
                <w:sz w:val="24"/>
              </w:rPr>
            </w:pPr>
            <w:r>
              <w:rPr>
                <w:rFonts w:hint="eastAsia" w:hAnsi="仿宋"/>
                <w:color w:val="000000"/>
                <w:sz w:val="24"/>
              </w:rPr>
              <w:t>项目必要性和可行性论证结论</w:t>
            </w:r>
          </w:p>
        </w:tc>
        <w:tc>
          <w:tcPr>
            <w:tcW w:w="5949" w:type="dxa"/>
            <w:gridSpan w:val="3"/>
            <w:vAlign w:val="center"/>
          </w:tcPr>
          <w:p>
            <w:pPr>
              <w:snapToGrid w:val="0"/>
              <w:spacing w:line="400" w:lineRule="exact"/>
              <w:ind w:firstLine="0" w:firstLineChars="0"/>
              <w:rPr>
                <w:rFonts w:hAnsi="仿宋"/>
                <w:sz w:val="24"/>
              </w:rPr>
            </w:pPr>
            <w:r>
              <w:rPr>
                <w:rFonts w:hint="eastAsia" w:hAnsi="仿宋"/>
                <w:sz w:val="24"/>
              </w:rPr>
              <w:t>教育费附加：做好校园修缮，改善教学环境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119" w:type="dxa"/>
            <w:vMerge w:val="continue"/>
          </w:tcPr>
          <w:p>
            <w:pPr>
              <w:spacing w:line="400" w:lineRule="exact"/>
              <w:ind w:firstLine="0" w:firstLineChars="0"/>
              <w:rPr>
                <w:sz w:val="24"/>
              </w:rPr>
            </w:pPr>
          </w:p>
        </w:tc>
        <w:tc>
          <w:tcPr>
            <w:tcW w:w="1447" w:type="dxa"/>
            <w:vAlign w:val="center"/>
          </w:tcPr>
          <w:p>
            <w:pPr>
              <w:spacing w:line="400" w:lineRule="exact"/>
              <w:ind w:firstLine="0" w:firstLineChars="0"/>
              <w:jc w:val="center"/>
              <w:rPr>
                <w:sz w:val="24"/>
              </w:rPr>
            </w:pPr>
            <w:r>
              <w:rPr>
                <w:rFonts w:hint="eastAsia" w:hAnsi="仿宋"/>
                <w:sz w:val="24"/>
              </w:rPr>
              <w:t>项目起止时间</w:t>
            </w:r>
          </w:p>
        </w:tc>
        <w:tc>
          <w:tcPr>
            <w:tcW w:w="5949" w:type="dxa"/>
            <w:gridSpan w:val="3"/>
            <w:vAlign w:val="center"/>
          </w:tcPr>
          <w:p>
            <w:pPr>
              <w:snapToGrid w:val="0"/>
              <w:spacing w:line="400" w:lineRule="exact"/>
              <w:ind w:firstLine="0" w:firstLineChars="0"/>
              <w:rPr>
                <w:rFonts w:hAnsi="仿宋"/>
                <w:sz w:val="24"/>
              </w:rPr>
            </w:pPr>
            <w:r>
              <w:rPr>
                <w:rFonts w:hint="eastAsia" w:hAnsi="仿宋"/>
                <w:sz w:val="24"/>
              </w:rPr>
              <w:t>教育费附加：</w:t>
            </w:r>
            <w:r>
              <w:rPr>
                <w:rFonts w:hAnsi="仿宋"/>
                <w:sz w:val="24"/>
              </w:rPr>
              <w:t>2019年1</w:t>
            </w:r>
            <w:r>
              <w:rPr>
                <w:rFonts w:hint="eastAsia" w:hAnsi="仿宋"/>
                <w:sz w:val="24"/>
              </w:rPr>
              <w:t>月</w:t>
            </w:r>
            <w:r>
              <w:rPr>
                <w:rFonts w:hAnsi="仿宋"/>
                <w:sz w:val="24"/>
              </w:rPr>
              <w:t>1</w:t>
            </w:r>
            <w:r>
              <w:rPr>
                <w:rFonts w:hint="eastAsia" w:hAnsi="仿宋"/>
                <w:sz w:val="24"/>
              </w:rPr>
              <w:t>日至</w:t>
            </w:r>
            <w:r>
              <w:rPr>
                <w:rFonts w:hAnsi="仿宋"/>
                <w:sz w:val="24"/>
              </w:rPr>
              <w:t>2019年12</w:t>
            </w:r>
            <w:r>
              <w:rPr>
                <w:rFonts w:hint="eastAsia" w:hAnsi="仿宋"/>
                <w:sz w:val="24"/>
              </w:rPr>
              <w:t>月</w:t>
            </w:r>
            <w:r>
              <w:rPr>
                <w:rFonts w:hAnsi="仿宋"/>
                <w:sz w:val="24"/>
              </w:rPr>
              <w:t>31</w:t>
            </w:r>
            <w:r>
              <w:rPr>
                <w:rFonts w:hint="eastAsia" w:hAnsi="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119" w:type="dxa"/>
            <w:vAlign w:val="center"/>
          </w:tcPr>
          <w:p>
            <w:pPr>
              <w:widowControl/>
              <w:spacing w:line="400" w:lineRule="exact"/>
              <w:ind w:firstLine="0" w:firstLineChars="0"/>
              <w:jc w:val="center"/>
              <w:rPr>
                <w:b/>
                <w:bCs/>
                <w:color w:val="000000"/>
                <w:kern w:val="0"/>
                <w:sz w:val="24"/>
              </w:rPr>
            </w:pPr>
            <w:r>
              <w:rPr>
                <w:rFonts w:hint="eastAsia" w:hAnsi="仿宋"/>
                <w:b/>
                <w:bCs/>
                <w:color w:val="000000"/>
                <w:kern w:val="0"/>
                <w:sz w:val="24"/>
              </w:rPr>
              <w:t>总得分</w:t>
            </w:r>
          </w:p>
        </w:tc>
        <w:tc>
          <w:tcPr>
            <w:tcW w:w="7396" w:type="dxa"/>
            <w:gridSpan w:val="4"/>
            <w:vAlign w:val="center"/>
          </w:tcPr>
          <w:p>
            <w:pPr>
              <w:widowControl/>
              <w:spacing w:line="400" w:lineRule="exact"/>
              <w:ind w:firstLine="0" w:firstLineChars="0"/>
              <w:jc w:val="center"/>
              <w:rPr>
                <w:color w:val="000000"/>
                <w:kern w:val="0"/>
                <w:sz w:val="24"/>
              </w:rPr>
            </w:pPr>
            <w:r>
              <w:rPr>
                <w:color w:val="000000"/>
                <w:kern w:val="0"/>
                <w:sz w:val="24"/>
              </w:rPr>
              <w:t>83</w:t>
            </w:r>
            <w:r>
              <w:rPr>
                <w:rFonts w:hint="eastAsia"/>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vMerge w:val="restart"/>
            <w:vAlign w:val="center"/>
          </w:tcPr>
          <w:p>
            <w:pPr>
              <w:widowControl/>
              <w:spacing w:line="400" w:lineRule="exact"/>
              <w:ind w:firstLine="0" w:firstLineChars="0"/>
              <w:jc w:val="center"/>
              <w:rPr>
                <w:b/>
                <w:bCs/>
                <w:color w:val="000000"/>
                <w:kern w:val="0"/>
                <w:sz w:val="24"/>
              </w:rPr>
            </w:pPr>
            <w:r>
              <w:rPr>
                <w:rFonts w:hint="eastAsia" w:hAnsi="仿宋"/>
                <w:b/>
                <w:bCs/>
                <w:color w:val="000000"/>
                <w:kern w:val="0"/>
                <w:sz w:val="24"/>
              </w:rPr>
              <w:t>评价等次</w:t>
            </w:r>
          </w:p>
        </w:tc>
        <w:tc>
          <w:tcPr>
            <w:tcW w:w="7396" w:type="dxa"/>
            <w:gridSpan w:val="4"/>
            <w:vAlign w:val="bottom"/>
          </w:tcPr>
          <w:p>
            <w:pPr>
              <w:widowControl/>
              <w:spacing w:line="400" w:lineRule="exact"/>
              <w:ind w:firstLine="0" w:firstLineChars="0"/>
              <w:jc w:val="center"/>
              <w:rPr>
                <w:color w:val="000000"/>
                <w:kern w:val="0"/>
                <w:sz w:val="24"/>
              </w:rPr>
            </w:pPr>
            <w:r>
              <w:rPr>
                <w:color w:val="000000"/>
                <w:kern w:val="0"/>
                <w:sz w:val="24"/>
              </w:rPr>
              <w:t>□</w:t>
            </w:r>
            <w:r>
              <w:rPr>
                <w:rFonts w:hint="eastAsia" w:hAnsi="仿宋"/>
                <w:color w:val="000000"/>
                <w:kern w:val="0"/>
                <w:sz w:val="24"/>
              </w:rPr>
              <w:t>优（</w:t>
            </w:r>
            <w:r>
              <w:rPr>
                <w:color w:val="000000"/>
                <w:kern w:val="0"/>
                <w:sz w:val="24"/>
              </w:rPr>
              <w:t>90</w:t>
            </w:r>
            <w:r>
              <w:rPr>
                <w:rFonts w:hint="eastAsia" w:hAnsi="仿宋"/>
                <w:color w:val="000000"/>
                <w:kern w:val="0"/>
                <w:sz w:val="24"/>
              </w:rPr>
              <w:t>分以上）</w:t>
            </w:r>
            <w:r>
              <w:rPr>
                <w:rFonts w:hint="eastAsia" w:ascii="MS Gothic" w:hAnsi="MS Gothic" w:eastAsia="MS Gothic" w:cs="MS Gothic"/>
                <w:color w:val="000000"/>
                <w:kern w:val="0"/>
                <w:sz w:val="24"/>
              </w:rPr>
              <w:t>☑</w:t>
            </w:r>
            <w:r>
              <w:rPr>
                <w:rFonts w:hint="eastAsia" w:hAnsi="仿宋"/>
                <w:color w:val="000000"/>
                <w:kern w:val="0"/>
                <w:sz w:val="24"/>
              </w:rPr>
              <w:t>良（</w:t>
            </w:r>
            <w:r>
              <w:rPr>
                <w:color w:val="000000"/>
                <w:kern w:val="0"/>
                <w:sz w:val="24"/>
              </w:rPr>
              <w:t>80</w:t>
            </w:r>
            <w:r>
              <w:rPr>
                <w:rFonts w:hint="eastAsia" w:hAnsi="仿宋"/>
                <w:color w:val="000000"/>
                <w:kern w:val="0"/>
                <w:sz w:val="24"/>
              </w:rPr>
              <w:t>分</w:t>
            </w:r>
            <w:r>
              <w:rPr>
                <w:color w:val="000000"/>
                <w:kern w:val="0"/>
                <w:sz w:val="24"/>
              </w:rPr>
              <w:t>-90</w:t>
            </w:r>
            <w:r>
              <w:rPr>
                <w:rFonts w:hint="eastAsia" w:hAnsi="仿宋"/>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19" w:type="dxa"/>
            <w:vMerge w:val="continue"/>
            <w:vAlign w:val="center"/>
          </w:tcPr>
          <w:p>
            <w:pPr>
              <w:widowControl/>
              <w:spacing w:line="400" w:lineRule="exact"/>
              <w:ind w:firstLine="0" w:firstLineChars="0"/>
              <w:jc w:val="center"/>
              <w:rPr>
                <w:color w:val="000000"/>
                <w:kern w:val="0"/>
                <w:sz w:val="24"/>
              </w:rPr>
            </w:pPr>
          </w:p>
        </w:tc>
        <w:tc>
          <w:tcPr>
            <w:tcW w:w="7396" w:type="dxa"/>
            <w:gridSpan w:val="4"/>
            <w:vAlign w:val="bottom"/>
          </w:tcPr>
          <w:p>
            <w:pPr>
              <w:widowControl/>
              <w:spacing w:line="400" w:lineRule="exact"/>
              <w:ind w:firstLine="0" w:firstLineChars="0"/>
              <w:jc w:val="center"/>
              <w:rPr>
                <w:color w:val="000000"/>
                <w:kern w:val="0"/>
                <w:sz w:val="24"/>
              </w:rPr>
            </w:pPr>
            <w:r>
              <w:rPr>
                <w:color w:val="000000"/>
                <w:kern w:val="0"/>
                <w:sz w:val="24"/>
              </w:rPr>
              <w:t>□</w:t>
            </w:r>
            <w:r>
              <w:rPr>
                <w:rFonts w:hint="eastAsia" w:hAnsi="仿宋"/>
                <w:color w:val="000000"/>
                <w:kern w:val="0"/>
                <w:sz w:val="24"/>
              </w:rPr>
              <w:t>中（</w:t>
            </w:r>
            <w:r>
              <w:rPr>
                <w:color w:val="000000"/>
                <w:kern w:val="0"/>
                <w:sz w:val="24"/>
              </w:rPr>
              <w:t>80</w:t>
            </w:r>
            <w:r>
              <w:rPr>
                <w:rFonts w:hint="eastAsia" w:hAnsi="仿宋"/>
                <w:color w:val="000000"/>
                <w:kern w:val="0"/>
                <w:sz w:val="24"/>
              </w:rPr>
              <w:t>分</w:t>
            </w:r>
            <w:r>
              <w:rPr>
                <w:color w:val="000000"/>
                <w:kern w:val="0"/>
                <w:sz w:val="24"/>
              </w:rPr>
              <w:t>-70</w:t>
            </w:r>
            <w:r>
              <w:rPr>
                <w:rFonts w:hint="eastAsia" w:hAnsi="仿宋"/>
                <w:color w:val="000000"/>
                <w:kern w:val="0"/>
                <w:sz w:val="24"/>
              </w:rPr>
              <w:t>分）</w:t>
            </w:r>
            <w:r>
              <w:rPr>
                <w:color w:val="000000"/>
                <w:kern w:val="0"/>
                <w:sz w:val="24"/>
              </w:rPr>
              <w:t>□</w:t>
            </w:r>
            <w:r>
              <w:rPr>
                <w:rFonts w:hint="eastAsia" w:hAnsi="仿宋"/>
                <w:color w:val="000000"/>
                <w:kern w:val="0"/>
                <w:sz w:val="24"/>
              </w:rPr>
              <w:t>低（</w:t>
            </w:r>
            <w:r>
              <w:rPr>
                <w:color w:val="000000"/>
                <w:kern w:val="0"/>
                <w:sz w:val="24"/>
              </w:rPr>
              <w:t>70</w:t>
            </w:r>
            <w:r>
              <w:rPr>
                <w:rFonts w:hint="eastAsia" w:hAnsi="仿宋"/>
                <w:color w:val="000000"/>
                <w:kern w:val="0"/>
                <w:sz w:val="24"/>
              </w:rPr>
              <w:t>分以下）</w:t>
            </w:r>
          </w:p>
        </w:tc>
      </w:tr>
    </w:tbl>
    <w:p>
      <w:pPr>
        <w:spacing w:line="600" w:lineRule="exact"/>
        <w:ind w:firstLine="0" w:firstLineChars="0"/>
        <w:jc w:val="center"/>
        <w:rPr>
          <w:rFonts w:ascii="黑体" w:hAnsi="黑体" w:eastAsia="黑体"/>
          <w:b/>
          <w:color w:val="000000"/>
          <w:spacing w:val="-4"/>
          <w:sz w:val="44"/>
          <w:szCs w:val="44"/>
        </w:rPr>
        <w:sectPr>
          <w:headerReference r:id="rId5" w:type="first"/>
          <w:footerReference r:id="rId8" w:type="first"/>
          <w:headerReference r:id="rId3" w:type="default"/>
          <w:footerReference r:id="rId6" w:type="default"/>
          <w:headerReference r:id="rId4" w:type="even"/>
          <w:footerReference r:id="rId7" w:type="even"/>
          <w:pgSz w:w="11905" w:h="16838"/>
          <w:pgMar w:top="1440" w:right="1803" w:bottom="1440" w:left="1803" w:header="851" w:footer="992" w:gutter="0"/>
          <w:cols w:space="0" w:num="1"/>
          <w:docGrid w:type="linesAndChars" w:linePitch="634" w:charSpace="-4835"/>
        </w:sectPr>
      </w:pPr>
    </w:p>
    <w:p>
      <w:pPr>
        <w:spacing w:line="600" w:lineRule="exact"/>
        <w:ind w:firstLine="0" w:firstLineChars="0"/>
        <w:jc w:val="center"/>
        <w:rPr>
          <w:rFonts w:ascii="黑体" w:hAnsi="黑体" w:eastAsia="黑体"/>
          <w:b/>
          <w:color w:val="000000"/>
          <w:spacing w:val="-4"/>
          <w:sz w:val="44"/>
          <w:szCs w:val="44"/>
        </w:rPr>
      </w:pPr>
    </w:p>
    <w:p>
      <w:pPr>
        <w:spacing w:line="600" w:lineRule="exact"/>
        <w:ind w:firstLine="0" w:firstLineChars="0"/>
        <w:jc w:val="center"/>
        <w:rPr>
          <w:rFonts w:ascii="黑体" w:hAnsi="黑体" w:eastAsia="黑体"/>
          <w:b/>
          <w:color w:val="000000"/>
          <w:spacing w:val="-4"/>
          <w:sz w:val="44"/>
          <w:szCs w:val="44"/>
        </w:rPr>
      </w:pPr>
      <w:r>
        <w:rPr>
          <w:rFonts w:ascii="黑体" w:hAnsi="黑体" w:eastAsia="黑体"/>
          <w:b/>
          <w:color w:val="000000"/>
          <w:spacing w:val="-4"/>
          <w:sz w:val="44"/>
          <w:szCs w:val="44"/>
        </w:rPr>
        <w:t>2019年</w:t>
      </w:r>
      <w:r>
        <w:rPr>
          <w:rFonts w:hint="eastAsia" w:ascii="黑体" w:hAnsi="黑体" w:eastAsia="黑体"/>
          <w:b/>
          <w:color w:val="000000"/>
          <w:spacing w:val="-4"/>
          <w:sz w:val="44"/>
          <w:szCs w:val="44"/>
        </w:rPr>
        <w:t>度衡山县第二中学项目支出</w:t>
      </w:r>
    </w:p>
    <w:p>
      <w:pPr>
        <w:spacing w:line="600" w:lineRule="exact"/>
        <w:ind w:firstLine="0" w:firstLineChars="0"/>
        <w:jc w:val="center"/>
        <w:rPr>
          <w:rFonts w:ascii="黑体" w:hAnsi="黑体" w:eastAsia="黑体"/>
          <w:b/>
          <w:color w:val="000000"/>
          <w:spacing w:val="-4"/>
          <w:sz w:val="44"/>
          <w:szCs w:val="44"/>
        </w:rPr>
      </w:pPr>
      <w:r>
        <w:rPr>
          <w:rFonts w:hint="eastAsia" w:ascii="黑体" w:hAnsi="黑体" w:eastAsia="黑体"/>
          <w:b/>
          <w:color w:val="000000"/>
          <w:spacing w:val="-4"/>
          <w:sz w:val="44"/>
          <w:szCs w:val="44"/>
        </w:rPr>
        <w:t>绩效评价报告</w:t>
      </w:r>
    </w:p>
    <w:p>
      <w:pPr>
        <w:spacing w:line="600" w:lineRule="exact"/>
        <w:ind w:firstLine="0" w:firstLineChars="0"/>
        <w:jc w:val="right"/>
        <w:rPr>
          <w:rFonts w:ascii="黑体" w:hAnsi="黑体" w:eastAsia="黑体"/>
          <w:b/>
          <w:color w:val="000000"/>
          <w:spacing w:val="-4"/>
          <w:sz w:val="44"/>
          <w:szCs w:val="44"/>
        </w:rPr>
      </w:pPr>
      <w:r>
        <w:rPr>
          <w:rFonts w:hint="eastAsia" w:ascii="黑体" w:hAnsi="黑体" w:eastAsia="黑体"/>
          <w:b/>
          <w:kern w:val="0"/>
          <w:sz w:val="21"/>
          <w:szCs w:val="21"/>
        </w:rPr>
        <w:t>湘宏丰益专审</w:t>
      </w:r>
      <w:r>
        <w:rPr>
          <w:rFonts w:ascii="黑体" w:hAnsi="黑体" w:eastAsia="黑体"/>
          <w:b/>
          <w:kern w:val="0"/>
          <w:sz w:val="21"/>
          <w:szCs w:val="21"/>
        </w:rPr>
        <w:t>[2020]00</w:t>
      </w:r>
      <w:r>
        <w:rPr>
          <w:rFonts w:hint="eastAsia" w:ascii="黑体" w:hAnsi="黑体" w:eastAsia="黑体"/>
          <w:b/>
          <w:kern w:val="0"/>
          <w:sz w:val="21"/>
          <w:szCs w:val="21"/>
        </w:rPr>
        <w:t>号</w:t>
      </w:r>
    </w:p>
    <w:p>
      <w:pPr>
        <w:spacing w:line="600" w:lineRule="exact"/>
        <w:ind w:firstLine="0" w:firstLineChars="0"/>
        <w:jc w:val="center"/>
        <w:rPr>
          <w:rFonts w:ascii="黑体" w:hAnsi="黑体" w:eastAsia="黑体"/>
          <w:b/>
          <w:color w:val="000000"/>
          <w:sz w:val="44"/>
          <w:szCs w:val="44"/>
        </w:rPr>
      </w:pPr>
    </w:p>
    <w:p>
      <w:pPr>
        <w:widowControl/>
        <w:adjustRightInd w:val="0"/>
        <w:snapToGrid w:val="0"/>
        <w:spacing w:line="600" w:lineRule="exact"/>
        <w:ind w:firstLine="0" w:firstLineChars="0"/>
        <w:jc w:val="center"/>
        <w:rPr>
          <w:rFonts w:ascii="黑体" w:hAnsi="黑体" w:eastAsia="黑体"/>
          <w:b/>
          <w:kern w:val="0"/>
          <w:sz w:val="36"/>
          <w:szCs w:val="36"/>
        </w:rPr>
      </w:pPr>
    </w:p>
    <w:p>
      <w:pPr>
        <w:widowControl/>
        <w:adjustRightInd w:val="0"/>
        <w:snapToGrid w:val="0"/>
        <w:spacing w:line="600" w:lineRule="exact"/>
        <w:ind w:firstLine="0" w:firstLineChars="0"/>
        <w:rPr>
          <w:rFonts w:ascii="黑体" w:hAnsi="黑体" w:eastAsia="黑体"/>
          <w:b/>
          <w:kern w:val="0"/>
          <w:szCs w:val="32"/>
        </w:rPr>
      </w:pPr>
      <w:r>
        <w:rPr>
          <w:rFonts w:hint="eastAsia" w:ascii="黑体" w:hAnsi="黑体" w:eastAsia="黑体"/>
          <w:b/>
          <w:kern w:val="0"/>
          <w:szCs w:val="32"/>
        </w:rPr>
        <w:t>衡山县财政局：</w:t>
      </w:r>
    </w:p>
    <w:p>
      <w:pPr>
        <w:pStyle w:val="2"/>
        <w:ind w:firstLine="593"/>
        <w:rPr>
          <w:rFonts w:eastAsia="仿宋"/>
          <w:bCs w:val="0"/>
          <w:kern w:val="0"/>
          <w:szCs w:val="24"/>
        </w:rPr>
      </w:pPr>
      <w:bookmarkStart w:id="2" w:name="_Toc30111636"/>
      <w:r>
        <w:rPr>
          <w:rFonts w:hint="eastAsia" w:eastAsia="仿宋"/>
          <w:bCs w:val="0"/>
          <w:kern w:val="0"/>
          <w:szCs w:val="24"/>
        </w:rPr>
        <w:t>为贯彻落实党的十九大“全面实施绩效管理”的要求，强化部门支出责任，提高财政资金使用效益，促进部门更好地履行职责，按照《预算法》、《国务院关于深化预算管理制度改革的决定》（国发〔2014〕45号）、《财政部&lt;财政支出绩效评价管理暂行办法&gt;》（财预〔2011〕285号）、《中华人民共和国预算法》《中共中央国务院关于全面实施预算绩效管理的意见》（中发〔2018〕34号）精神、《中共湖南省委办公厅、省人民政府办公厅关于全面实施预算绩效管理的实施意见》（湘办发〔2019〕10号）和《衡山县财政局关于对2019年度部分县级财政支出项目及部门整体支出开展现场绩效评价的通知》（山财绩〔20</w:t>
      </w:r>
      <w:r>
        <w:rPr>
          <w:rFonts w:eastAsia="仿宋"/>
          <w:bCs w:val="0"/>
          <w:kern w:val="0"/>
          <w:szCs w:val="24"/>
        </w:rPr>
        <w:t>20</w:t>
      </w:r>
      <w:r>
        <w:rPr>
          <w:rFonts w:hint="eastAsia" w:eastAsia="仿宋"/>
          <w:bCs w:val="0"/>
          <w:kern w:val="0"/>
          <w:szCs w:val="24"/>
        </w:rPr>
        <w:t>〕1</w:t>
      </w:r>
      <w:r>
        <w:rPr>
          <w:rFonts w:eastAsia="仿宋"/>
          <w:bCs w:val="0"/>
          <w:kern w:val="0"/>
          <w:szCs w:val="24"/>
        </w:rPr>
        <w:t>8</w:t>
      </w:r>
      <w:r>
        <w:rPr>
          <w:rFonts w:hint="eastAsia" w:eastAsia="仿宋"/>
          <w:bCs w:val="0"/>
          <w:kern w:val="0"/>
          <w:szCs w:val="24"/>
        </w:rPr>
        <w:t>0号）等有关要求，绩效评价工作组于2020年1</w:t>
      </w:r>
      <w:r>
        <w:rPr>
          <w:rFonts w:eastAsia="仿宋"/>
          <w:bCs w:val="0"/>
          <w:kern w:val="0"/>
          <w:szCs w:val="24"/>
        </w:rPr>
        <w:t>1</w:t>
      </w:r>
      <w:r>
        <w:rPr>
          <w:rFonts w:hint="eastAsia" w:eastAsia="仿宋"/>
          <w:bCs w:val="0"/>
          <w:kern w:val="0"/>
          <w:szCs w:val="24"/>
        </w:rPr>
        <w:t>月</w:t>
      </w:r>
      <w:r>
        <w:rPr>
          <w:rFonts w:eastAsia="仿宋"/>
          <w:bCs w:val="0"/>
          <w:kern w:val="0"/>
          <w:szCs w:val="24"/>
        </w:rPr>
        <w:t>17</w:t>
      </w:r>
      <w:r>
        <w:rPr>
          <w:rFonts w:hint="eastAsia" w:eastAsia="仿宋"/>
          <w:bCs w:val="0"/>
          <w:kern w:val="0"/>
          <w:szCs w:val="24"/>
        </w:rPr>
        <w:t>日对衡山县第二中学2019年度项目支出资金实施了绩效评价。评价以定量分析为主，定性分析为辅，从项目决策、项目管理、项目产出和项目效益四个方面进行了综合评价。现将项目绩效评价情况报告如下：</w:t>
      </w:r>
    </w:p>
    <w:p>
      <w:pPr>
        <w:pStyle w:val="2"/>
        <w:ind w:firstLine="593"/>
      </w:pPr>
      <w:r>
        <w:rPr>
          <w:rFonts w:hint="eastAsia"/>
        </w:rPr>
        <w:t>一、评价情况</w:t>
      </w:r>
      <w:bookmarkEnd w:id="2"/>
    </w:p>
    <w:p>
      <w:pPr>
        <w:pStyle w:val="3"/>
        <w:ind w:firstLine="595"/>
        <w:rPr>
          <w:kern w:val="0"/>
        </w:rPr>
      </w:pPr>
      <w:bookmarkStart w:id="3" w:name="_Toc30111637"/>
      <w:r>
        <w:rPr>
          <w:rFonts w:hint="eastAsia"/>
          <w:kern w:val="0"/>
        </w:rPr>
        <w:t>（一）评价目的</w:t>
      </w:r>
      <w:bookmarkEnd w:id="3"/>
    </w:p>
    <w:p>
      <w:pPr>
        <w:ind w:firstLine="593"/>
        <w:rPr>
          <w:rFonts w:ascii="仿宋" w:hAnsi="仿宋" w:cs="FangSong_GB2312-Identity-H"/>
          <w:kern w:val="0"/>
        </w:rPr>
      </w:pPr>
      <w:r>
        <w:rPr>
          <w:rFonts w:hint="eastAsia"/>
          <w:kern w:val="0"/>
        </w:rPr>
        <w:t>通过对</w:t>
      </w:r>
      <w:r>
        <w:rPr>
          <w:kern w:val="0"/>
        </w:rPr>
        <w:t>2019年</w:t>
      </w:r>
      <w:r>
        <w:rPr>
          <w:rFonts w:hint="eastAsia"/>
          <w:kern w:val="0"/>
        </w:rPr>
        <w:t>衡山县第二中学</w:t>
      </w:r>
      <w:bookmarkStart w:id="4" w:name="_Toc30111638"/>
      <w:r>
        <w:rPr>
          <w:rFonts w:hint="eastAsia" w:ascii="仿宋" w:hAnsi="仿宋" w:cs="FangSong_GB2312-Identity-H"/>
          <w:kern w:val="0"/>
        </w:rPr>
        <w:t>项目资金绩效评价，客观公正的核查财政专项资金预期目标实现程度，考评资金支出效率和综合效果。</w:t>
      </w:r>
    </w:p>
    <w:p>
      <w:pPr>
        <w:pStyle w:val="3"/>
        <w:ind w:firstLine="595"/>
        <w:rPr>
          <w:kern w:val="0"/>
        </w:rPr>
      </w:pPr>
      <w:r>
        <w:rPr>
          <w:rFonts w:hint="eastAsia"/>
          <w:kern w:val="0"/>
        </w:rPr>
        <w:t>（二）评价实施情况</w:t>
      </w:r>
      <w:bookmarkEnd w:id="4"/>
    </w:p>
    <w:p>
      <w:pPr>
        <w:ind w:firstLine="593"/>
        <w:rPr>
          <w:kern w:val="0"/>
          <w:szCs w:val="28"/>
        </w:rPr>
      </w:pPr>
      <w:r>
        <w:rPr>
          <w:rFonts w:hint="eastAsia"/>
          <w:kern w:val="0"/>
        </w:rPr>
        <w:t>评价工作组对</w:t>
      </w:r>
      <w:r>
        <w:rPr>
          <w:kern w:val="0"/>
        </w:rPr>
        <w:t>2019年</w:t>
      </w:r>
      <w:r>
        <w:rPr>
          <w:rFonts w:hint="eastAsia"/>
          <w:kern w:val="0"/>
        </w:rPr>
        <w:t>度衡山县第二中学项目支出进行了现场检查评价工作，听取主管部门情况汇报，检查、核对项目资料、明细账及原始凭证，对</w:t>
      </w:r>
      <w:r>
        <w:rPr>
          <w:kern w:val="0"/>
        </w:rPr>
        <w:t>2019年</w:t>
      </w:r>
      <w:r>
        <w:rPr>
          <w:rFonts w:hint="eastAsia"/>
          <w:kern w:val="0"/>
        </w:rPr>
        <w:t>度衡山县第二中学项目采取现场抽查方式，收集、整理、分析评价基础资料和数据等方法，本次绩效评价选取了包括衡山县第二中学对教育费附加项目管理及资金使用情况进行了检查。在整个评价过程中，主管部门积极配合，能及时、完整、准确的提供相关资料。</w:t>
      </w:r>
    </w:p>
    <w:p>
      <w:pPr>
        <w:pStyle w:val="2"/>
        <w:ind w:firstLine="593"/>
      </w:pPr>
      <w:bookmarkStart w:id="5" w:name="_Toc30111639"/>
      <w:r>
        <w:rPr>
          <w:rFonts w:hint="eastAsia"/>
        </w:rPr>
        <w:t>二、项目基本情况</w:t>
      </w:r>
      <w:bookmarkEnd w:id="5"/>
    </w:p>
    <w:p>
      <w:pPr>
        <w:pStyle w:val="3"/>
        <w:ind w:firstLine="595"/>
        <w:rPr>
          <w:kern w:val="0"/>
        </w:rPr>
      </w:pPr>
      <w:bookmarkStart w:id="6" w:name="_Toc30111640"/>
      <w:r>
        <w:rPr>
          <w:rFonts w:hint="eastAsia"/>
          <w:kern w:val="0"/>
        </w:rPr>
        <w:t>（一）项目立项依据</w:t>
      </w:r>
      <w:bookmarkEnd w:id="6"/>
    </w:p>
    <w:p>
      <w:pPr>
        <w:ind w:firstLine="593"/>
        <w:rPr>
          <w:kern w:val="0"/>
        </w:rPr>
      </w:pPr>
      <w:bookmarkStart w:id="7" w:name="_Toc30111642"/>
      <w:r>
        <w:rPr>
          <w:rFonts w:hint="eastAsia"/>
          <w:kern w:val="0"/>
        </w:rPr>
        <w:t>衡山县人民政府关于印发《衡山县“十三五”教育事业改革与发展规划（2016年-2020年）》的通知、《中共衡山县委、衡山县人民政府关于建设教育强县的决定》。</w:t>
      </w:r>
      <w:r>
        <w:rPr>
          <w:kern w:val="0"/>
        </w:rPr>
        <w:t xml:space="preserve"> </w:t>
      </w:r>
    </w:p>
    <w:bookmarkEnd w:id="7"/>
    <w:p>
      <w:pPr>
        <w:pStyle w:val="3"/>
        <w:ind w:firstLine="595"/>
        <w:rPr>
          <w:kern w:val="0"/>
        </w:rPr>
      </w:pPr>
      <w:bookmarkStart w:id="8" w:name="_Toc30111647"/>
      <w:r>
        <w:rPr>
          <w:rFonts w:hint="eastAsia"/>
          <w:kern w:val="0"/>
        </w:rPr>
        <w:t>（二）项目主要内容</w:t>
      </w:r>
      <w:bookmarkEnd w:id="8"/>
    </w:p>
    <w:p>
      <w:pPr>
        <w:ind w:firstLine="593"/>
        <w:rPr>
          <w:kern w:val="0"/>
        </w:rPr>
      </w:pPr>
      <w:r>
        <w:rPr>
          <w:rFonts w:hint="eastAsia"/>
          <w:kern w:val="0"/>
        </w:rPr>
        <w:t>用于修缮校园内的基础设施支出。</w:t>
      </w:r>
    </w:p>
    <w:p>
      <w:pPr>
        <w:pStyle w:val="3"/>
        <w:ind w:firstLine="595"/>
        <w:rPr>
          <w:kern w:val="0"/>
        </w:rPr>
      </w:pPr>
      <w:bookmarkStart w:id="9" w:name="_Toc30111654"/>
      <w:r>
        <w:rPr>
          <w:rFonts w:hint="eastAsia"/>
          <w:kern w:val="0"/>
        </w:rPr>
        <w:t>（三）项目绩效目标</w:t>
      </w:r>
      <w:bookmarkEnd w:id="9"/>
    </w:p>
    <w:p>
      <w:pPr>
        <w:pStyle w:val="4"/>
        <w:ind w:firstLine="593"/>
        <w:rPr>
          <w:b w:val="0"/>
          <w:kern w:val="0"/>
        </w:rPr>
      </w:pPr>
      <w:bookmarkStart w:id="10" w:name="_Toc30111656"/>
      <w:r>
        <w:rPr>
          <w:rFonts w:hint="eastAsia"/>
          <w:b w:val="0"/>
          <w:kern w:val="0"/>
        </w:rPr>
        <w:t>修缮学校基础设施，改善学校教学环境。</w:t>
      </w:r>
    </w:p>
    <w:bookmarkEnd w:id="10"/>
    <w:p>
      <w:pPr>
        <w:pStyle w:val="2"/>
        <w:ind w:firstLine="593"/>
      </w:pPr>
      <w:bookmarkStart w:id="11" w:name="_Toc30111661"/>
      <w:r>
        <w:rPr>
          <w:rFonts w:hint="eastAsia"/>
        </w:rPr>
        <w:t>三、项目资金情况</w:t>
      </w:r>
      <w:bookmarkEnd w:id="11"/>
    </w:p>
    <w:p>
      <w:pPr>
        <w:pStyle w:val="3"/>
        <w:ind w:firstLine="595"/>
        <w:rPr>
          <w:kern w:val="0"/>
        </w:rPr>
      </w:pPr>
      <w:bookmarkStart w:id="12" w:name="_Toc30111662"/>
      <w:r>
        <w:rPr>
          <w:rFonts w:hint="eastAsia"/>
          <w:kern w:val="0"/>
        </w:rPr>
        <w:t>（一）资金情况</w:t>
      </w:r>
      <w:bookmarkEnd w:id="12"/>
    </w:p>
    <w:p>
      <w:pPr>
        <w:pStyle w:val="4"/>
        <w:ind w:firstLine="593"/>
        <w:rPr>
          <w:b w:val="0"/>
          <w:bCs/>
          <w:kern w:val="0"/>
        </w:rPr>
      </w:pPr>
      <w:r>
        <w:rPr>
          <w:rFonts w:hint="eastAsia"/>
          <w:b w:val="0"/>
          <w:bCs/>
          <w:kern w:val="0"/>
        </w:rPr>
        <w:t>2019年</w:t>
      </w:r>
      <w:r>
        <w:rPr>
          <w:b w:val="0"/>
          <w:bCs/>
          <w:kern w:val="0"/>
        </w:rPr>
        <w:t>1</w:t>
      </w:r>
      <w:r>
        <w:rPr>
          <w:rFonts w:hint="eastAsia"/>
          <w:b w:val="0"/>
          <w:bCs/>
          <w:kern w:val="0"/>
        </w:rPr>
        <w:t>月</w:t>
      </w:r>
      <w:r>
        <w:rPr>
          <w:b w:val="0"/>
          <w:bCs/>
          <w:kern w:val="0"/>
        </w:rPr>
        <w:t>23</w:t>
      </w:r>
      <w:r>
        <w:rPr>
          <w:rFonts w:hint="eastAsia"/>
          <w:b w:val="0"/>
          <w:bCs/>
          <w:kern w:val="0"/>
        </w:rPr>
        <w:t>日下达山财预</w:t>
      </w:r>
      <w:r>
        <w:rPr>
          <w:b w:val="0"/>
          <w:bCs/>
          <w:kern w:val="0"/>
        </w:rPr>
        <w:t>A</w:t>
      </w:r>
      <w:r>
        <w:rPr>
          <w:rFonts w:hint="eastAsia"/>
          <w:b w:val="0"/>
          <w:bCs/>
          <w:kern w:val="0"/>
        </w:rPr>
        <w:t>字（2019）第</w:t>
      </w:r>
      <w:r>
        <w:rPr>
          <w:b w:val="0"/>
          <w:bCs/>
          <w:kern w:val="0"/>
        </w:rPr>
        <w:t>02</w:t>
      </w:r>
      <w:r>
        <w:rPr>
          <w:rFonts w:hint="eastAsia"/>
          <w:b w:val="0"/>
          <w:bCs/>
          <w:kern w:val="0"/>
        </w:rPr>
        <w:t>2号指标金额</w:t>
      </w:r>
      <w:r>
        <w:rPr>
          <w:b w:val="0"/>
          <w:bCs/>
          <w:kern w:val="0"/>
        </w:rPr>
        <w:t>66.00</w:t>
      </w:r>
      <w:r>
        <w:rPr>
          <w:rFonts w:hint="eastAsia"/>
          <w:b w:val="0"/>
          <w:bCs/>
          <w:kern w:val="0"/>
        </w:rPr>
        <w:t>万元，实际使用</w:t>
      </w:r>
      <w:r>
        <w:rPr>
          <w:b w:val="0"/>
          <w:bCs/>
          <w:kern w:val="0"/>
        </w:rPr>
        <w:t>66.00</w:t>
      </w:r>
      <w:r>
        <w:rPr>
          <w:rFonts w:hint="eastAsia"/>
          <w:b w:val="0"/>
          <w:bCs/>
          <w:kern w:val="0"/>
        </w:rPr>
        <w:t>万元，剩余额度</w:t>
      </w:r>
      <w:r>
        <w:rPr>
          <w:b w:val="0"/>
          <w:bCs/>
          <w:kern w:val="0"/>
        </w:rPr>
        <w:t>0.00</w:t>
      </w:r>
      <w:r>
        <w:rPr>
          <w:rFonts w:hint="eastAsia"/>
          <w:b w:val="0"/>
          <w:bCs/>
          <w:kern w:val="0"/>
        </w:rPr>
        <w:t>万元</w:t>
      </w:r>
      <w:bookmarkStart w:id="13" w:name="_Hlk57216071"/>
      <w:r>
        <w:rPr>
          <w:rFonts w:hint="eastAsia"/>
          <w:b w:val="0"/>
          <w:bCs/>
          <w:kern w:val="0"/>
        </w:rPr>
        <w:t>。</w:t>
      </w:r>
      <w:bookmarkEnd w:id="13"/>
    </w:p>
    <w:p>
      <w:pPr>
        <w:pStyle w:val="3"/>
        <w:ind w:firstLine="595"/>
        <w:rPr>
          <w:kern w:val="0"/>
        </w:rPr>
      </w:pPr>
      <w:bookmarkStart w:id="14" w:name="_Toc30111669"/>
      <w:r>
        <w:rPr>
          <w:rFonts w:hint="eastAsia"/>
          <w:kern w:val="0"/>
        </w:rPr>
        <w:t>（二）资金管理情况</w:t>
      </w:r>
      <w:bookmarkEnd w:id="14"/>
    </w:p>
    <w:p>
      <w:pPr>
        <w:ind w:firstLine="593"/>
      </w:pPr>
      <w:r>
        <w:rPr>
          <w:rFonts w:hint="eastAsia"/>
        </w:rPr>
        <w:t>衡山县第二中学未制定专项资金管理办法，项目支出按照财务管理制度执行，实行了严格的审批制度，先报财政预算并经过相关领导审批通过，不超预算支出。但存在部分项目资金不符合项目预算批复的用途。</w:t>
      </w:r>
    </w:p>
    <w:p>
      <w:pPr>
        <w:pStyle w:val="2"/>
        <w:ind w:firstLine="593"/>
      </w:pPr>
      <w:bookmarkStart w:id="15" w:name="_Toc30111670"/>
      <w:r>
        <w:rPr>
          <w:rFonts w:hint="eastAsia"/>
        </w:rPr>
        <w:t>四、项目实施情况</w:t>
      </w:r>
      <w:bookmarkEnd w:id="15"/>
    </w:p>
    <w:p>
      <w:pPr>
        <w:ind w:firstLine="593"/>
      </w:pPr>
      <w:bookmarkStart w:id="16" w:name="_Toc30111674"/>
      <w:r>
        <w:t>2019</w:t>
      </w:r>
      <w:r>
        <w:rPr>
          <w:rFonts w:hint="eastAsia"/>
        </w:rPr>
        <w:t>年采购了一批苗木，对校内进行栽种；根据工程进度支付2</w:t>
      </w:r>
      <w:r>
        <w:t>018</w:t>
      </w:r>
      <w:r>
        <w:rPr>
          <w:rFonts w:hint="eastAsia"/>
        </w:rPr>
        <w:t>年对杂物间和道路进行了优化工程的工程款项。</w:t>
      </w:r>
    </w:p>
    <w:p>
      <w:pPr>
        <w:pStyle w:val="2"/>
        <w:ind w:firstLine="593"/>
      </w:pPr>
      <w:r>
        <w:rPr>
          <w:rFonts w:hint="eastAsia"/>
        </w:rPr>
        <w:t>五、制度建设和法律法规制度的执行情况</w:t>
      </w:r>
      <w:bookmarkEnd w:id="16"/>
    </w:p>
    <w:p>
      <w:pPr>
        <w:ind w:firstLine="593"/>
      </w:pPr>
      <w:r>
        <w:rPr>
          <w:rFonts w:hint="eastAsia"/>
        </w:rPr>
        <w:t>为加强相关专项资金的管理，衡山县第二中学基本执行了国家、湖南省和衡山县财政局、教育局制定的有关规章制度，未制定工程项目管理制度。</w:t>
      </w:r>
    </w:p>
    <w:p>
      <w:pPr>
        <w:pStyle w:val="2"/>
        <w:ind w:firstLine="593"/>
      </w:pPr>
      <w:bookmarkStart w:id="17" w:name="_Toc30111675"/>
      <w:r>
        <w:rPr>
          <w:rFonts w:hint="eastAsia"/>
        </w:rPr>
        <w:t>六、项目的产出成果及效益情况分析</w:t>
      </w:r>
      <w:bookmarkEnd w:id="17"/>
    </w:p>
    <w:p>
      <w:pPr>
        <w:pStyle w:val="3"/>
        <w:ind w:firstLine="595"/>
        <w:rPr>
          <w:kern w:val="0"/>
        </w:rPr>
      </w:pPr>
      <w:bookmarkStart w:id="18" w:name="_Toc30111676"/>
      <w:r>
        <w:rPr>
          <w:rFonts w:hint="eastAsia"/>
          <w:kern w:val="0"/>
        </w:rPr>
        <w:t>（一）切实做好校园修缮，</w:t>
      </w:r>
      <w:bookmarkEnd w:id="18"/>
      <w:r>
        <w:rPr>
          <w:rFonts w:hint="eastAsia"/>
          <w:kern w:val="0"/>
        </w:rPr>
        <w:t>改善教学环境</w:t>
      </w:r>
      <w:r>
        <w:rPr>
          <w:kern w:val="0"/>
        </w:rPr>
        <w:t xml:space="preserve"> </w:t>
      </w:r>
    </w:p>
    <w:p>
      <w:pPr>
        <w:ind w:firstLine="593"/>
        <w:rPr>
          <w:kern w:val="0"/>
        </w:rPr>
      </w:pPr>
      <w:bookmarkStart w:id="19" w:name="_Toc30111677"/>
      <w:r>
        <w:rPr>
          <w:rFonts w:hint="eastAsia"/>
          <w:kern w:val="0"/>
        </w:rPr>
        <w:t>根据财政评审中心出具的项目结算定案表，第二中学利用教育费附加专项资金支付杂物间维修和道路油化工程的工程款项，避免了因合同约定时间付款，而导致的违约行为；采购了苗木在校园进行栽种，校园内的环境得到了改善。</w:t>
      </w:r>
    </w:p>
    <w:bookmarkEnd w:id="19"/>
    <w:p>
      <w:pPr>
        <w:pStyle w:val="2"/>
        <w:ind w:firstLine="593"/>
      </w:pPr>
      <w:bookmarkStart w:id="20" w:name="_Toc30111682"/>
      <w:r>
        <w:rPr>
          <w:rFonts w:hint="eastAsia"/>
        </w:rPr>
        <w:t>七、项目支出存在的问题</w:t>
      </w:r>
      <w:bookmarkEnd w:id="20"/>
    </w:p>
    <w:p>
      <w:pPr>
        <w:pStyle w:val="3"/>
        <w:ind w:firstLine="595"/>
        <w:rPr>
          <w:kern w:val="0"/>
        </w:rPr>
      </w:pPr>
      <w:r>
        <w:rPr>
          <w:rFonts w:hint="eastAsia"/>
          <w:kern w:val="0"/>
        </w:rPr>
        <w:t>（一）项目绩效目标不够量化、细化</w:t>
      </w:r>
    </w:p>
    <w:p>
      <w:pPr>
        <w:ind w:firstLine="593"/>
        <w:rPr>
          <w:bCs/>
          <w:kern w:val="0"/>
        </w:rPr>
      </w:pPr>
      <w:r>
        <w:rPr>
          <w:rFonts w:hint="eastAsia"/>
          <w:bCs/>
          <w:kern w:val="0"/>
        </w:rPr>
        <w:t>根据现场评价单位提供的绩效自评资料，对专项资金的绩效目标细化量化不足，没有通过清晰、可衡量的指标值予以体现。</w:t>
      </w:r>
    </w:p>
    <w:p>
      <w:pPr>
        <w:pStyle w:val="3"/>
        <w:ind w:firstLine="595"/>
        <w:rPr>
          <w:kern w:val="0"/>
        </w:rPr>
      </w:pPr>
      <w:r>
        <w:rPr>
          <w:rFonts w:hint="eastAsia"/>
          <w:kern w:val="0"/>
        </w:rPr>
        <w:t>（二）绩效自评管理有待进一步加强</w:t>
      </w:r>
    </w:p>
    <w:p>
      <w:pPr>
        <w:pStyle w:val="3"/>
        <w:ind w:firstLine="593"/>
        <w:rPr>
          <w:rFonts w:ascii="Times New Roman" w:hAnsi="Times New Roman" w:eastAsia="仿宋"/>
          <w:b w:val="0"/>
          <w:bCs/>
          <w:kern w:val="0"/>
        </w:rPr>
      </w:pPr>
      <w:r>
        <w:rPr>
          <w:rFonts w:hint="eastAsia" w:ascii="Times New Roman" w:hAnsi="Times New Roman" w:eastAsia="仿宋"/>
          <w:b w:val="0"/>
          <w:bCs/>
          <w:kern w:val="0"/>
        </w:rPr>
        <w:t>通过查阅项目绩效自评报告，自评资料报送较为及时、数据基本准确，但存在自评报告过于简单，对项目产出及项目效果未进行全面分析，专项资金未设置相应的指标体系，绩效自评报告总体质量有待提高。</w:t>
      </w:r>
    </w:p>
    <w:p>
      <w:pPr>
        <w:pStyle w:val="3"/>
        <w:ind w:firstLine="595"/>
        <w:rPr>
          <w:kern w:val="0"/>
        </w:rPr>
      </w:pPr>
      <w:r>
        <w:rPr>
          <w:rFonts w:hint="eastAsia"/>
          <w:kern w:val="0"/>
        </w:rPr>
        <w:t>（三）专项资金未按预算审批执行</w:t>
      </w:r>
    </w:p>
    <w:p>
      <w:pPr>
        <w:ind w:firstLine="593"/>
        <w:rPr>
          <w:bCs/>
          <w:kern w:val="0"/>
        </w:rPr>
      </w:pPr>
      <w:r>
        <w:rPr>
          <w:rFonts w:hint="eastAsia"/>
          <w:bCs/>
          <w:kern w:val="0"/>
        </w:rPr>
        <w:t>2019年1月</w:t>
      </w:r>
      <w:r>
        <w:rPr>
          <w:bCs/>
          <w:kern w:val="0"/>
        </w:rPr>
        <w:t>23</w:t>
      </w:r>
      <w:r>
        <w:rPr>
          <w:rFonts w:hint="eastAsia"/>
          <w:bCs/>
          <w:kern w:val="0"/>
        </w:rPr>
        <w:t>日下达普通教育专项支出</w:t>
      </w:r>
      <w:r>
        <w:rPr>
          <w:bCs/>
          <w:kern w:val="0"/>
        </w:rPr>
        <w:t>60.00</w:t>
      </w:r>
      <w:r>
        <w:rPr>
          <w:rFonts w:hint="eastAsia"/>
          <w:bCs/>
          <w:kern w:val="0"/>
        </w:rPr>
        <w:t>万元（山财预</w:t>
      </w:r>
      <w:r>
        <w:rPr>
          <w:bCs/>
          <w:kern w:val="0"/>
        </w:rPr>
        <w:t>A</w:t>
      </w:r>
      <w:r>
        <w:rPr>
          <w:rFonts w:hint="eastAsia"/>
          <w:bCs/>
          <w:kern w:val="0"/>
        </w:rPr>
        <w:t>字（2019）第0</w:t>
      </w:r>
      <w:r>
        <w:rPr>
          <w:bCs/>
          <w:kern w:val="0"/>
        </w:rPr>
        <w:t>22</w:t>
      </w:r>
      <w:r>
        <w:rPr>
          <w:rFonts w:hint="eastAsia"/>
          <w:bCs/>
          <w:kern w:val="0"/>
        </w:rPr>
        <w:t>号），经查看发现，2019年</w:t>
      </w:r>
      <w:r>
        <w:rPr>
          <w:bCs/>
          <w:kern w:val="0"/>
        </w:rPr>
        <w:t>2</w:t>
      </w:r>
      <w:r>
        <w:rPr>
          <w:rFonts w:hint="eastAsia"/>
          <w:bCs/>
          <w:kern w:val="0"/>
        </w:rPr>
        <w:t>月</w:t>
      </w:r>
      <w:r>
        <w:rPr>
          <w:bCs/>
          <w:kern w:val="0"/>
        </w:rPr>
        <w:t>6</w:t>
      </w:r>
      <w:r>
        <w:rPr>
          <w:rFonts w:hint="eastAsia"/>
          <w:bCs/>
          <w:kern w:val="0"/>
        </w:rPr>
        <w:t>号凭证支付广告材料费</w:t>
      </w:r>
      <w:r>
        <w:rPr>
          <w:bCs/>
          <w:kern w:val="0"/>
        </w:rPr>
        <w:t>1.72</w:t>
      </w:r>
      <w:r>
        <w:rPr>
          <w:rFonts w:hint="eastAsia"/>
          <w:bCs/>
          <w:kern w:val="0"/>
        </w:rPr>
        <w:t>万元，2</w:t>
      </w:r>
      <w:r>
        <w:rPr>
          <w:bCs/>
          <w:kern w:val="0"/>
        </w:rPr>
        <w:t>019</w:t>
      </w:r>
      <w:r>
        <w:rPr>
          <w:rFonts w:hint="eastAsia"/>
          <w:bCs/>
          <w:kern w:val="0"/>
        </w:rPr>
        <w:t>年3月1</w:t>
      </w:r>
      <w:r>
        <w:rPr>
          <w:bCs/>
          <w:kern w:val="0"/>
        </w:rPr>
        <w:t>9</w:t>
      </w:r>
      <w:r>
        <w:rPr>
          <w:rFonts w:hint="eastAsia"/>
          <w:bCs/>
          <w:kern w:val="0"/>
        </w:rPr>
        <w:t>号凭证支付国防教育宣传费</w:t>
      </w:r>
      <w:r>
        <w:rPr>
          <w:bCs/>
          <w:kern w:val="0"/>
        </w:rPr>
        <w:t>0.40</w:t>
      </w:r>
      <w:r>
        <w:rPr>
          <w:rFonts w:hint="eastAsia"/>
          <w:bCs/>
          <w:kern w:val="0"/>
        </w:rPr>
        <w:t>万元。专项支出的设置与实际支出内容不相符，日常公用经费开支以专项经费的名义安排预算，这显然是不符合专项资金的管理要求的。</w:t>
      </w:r>
    </w:p>
    <w:p>
      <w:pPr>
        <w:pStyle w:val="2"/>
        <w:ind w:firstLine="593"/>
        <w:rPr>
          <w:kern w:val="0"/>
        </w:rPr>
      </w:pPr>
      <w:r>
        <w:rPr>
          <w:rFonts w:hint="eastAsia"/>
          <w:kern w:val="0"/>
        </w:rPr>
        <w:t>八、相关建议</w:t>
      </w:r>
    </w:p>
    <w:p>
      <w:pPr>
        <w:pStyle w:val="5"/>
      </w:pPr>
      <w:r>
        <w:rPr>
          <w:rFonts w:hint="eastAsia"/>
        </w:rPr>
        <w:t>（一）进一步完善专项资金管理制度</w:t>
      </w:r>
    </w:p>
    <w:p>
      <w:pPr>
        <w:ind w:firstLine="593"/>
        <w:rPr>
          <w:bCs/>
          <w:kern w:val="0"/>
        </w:rPr>
      </w:pPr>
      <w:r>
        <w:rPr>
          <w:rFonts w:hint="eastAsia"/>
          <w:bCs/>
          <w:kern w:val="0"/>
        </w:rPr>
        <w:t>为加强各专项资金的监督管理，充分发挥专项资金的效用，建议第二中学应针对项目资金特性制定相应的专项资金管理制度，明确专项资金的管理机构、管理责任、专项资金的使用范围、会计核算要求、专项资金的预算编制与执行、资产管理、合同管理、决算管理、绩效管理与考评、监督检查等。从制度层面上加以规范并予以落实，确保专款专用、专账核算，发挥专项资金的最大效用。</w:t>
      </w:r>
    </w:p>
    <w:p>
      <w:pPr>
        <w:pStyle w:val="5"/>
      </w:pPr>
      <w:r>
        <w:rPr>
          <w:rFonts w:hint="eastAsia"/>
        </w:rPr>
        <w:t>（二）进一步细化、量化项目绩效目标</w:t>
      </w:r>
    </w:p>
    <w:p>
      <w:pPr>
        <w:ind w:firstLine="593"/>
        <w:rPr>
          <w:bCs/>
          <w:kern w:val="0"/>
        </w:rPr>
      </w:pPr>
      <w:r>
        <w:rPr>
          <w:rFonts w:hint="eastAsia"/>
          <w:bCs/>
          <w:kern w:val="0"/>
        </w:rPr>
        <w:t>绩效目标的设置是项目成果验收的重要标志，因此，绩效目标尽量要做到细化、量化，便于客观评价和检验。第二中学专项资金没有设置绩效目标，这样不便于项目绩效考评。建议第二中学针对专项进行专门论证，明确专项的绩效考核指标和考核办法，以绩效为导向，促进项目设置、项目管理和项目实施的协调统一，充分发挥财政资金的最大效益。</w:t>
      </w:r>
    </w:p>
    <w:p>
      <w:pPr>
        <w:pStyle w:val="2"/>
        <w:ind w:firstLine="593"/>
        <w:rPr>
          <w:kern w:val="0"/>
        </w:rPr>
      </w:pPr>
      <w:r>
        <w:rPr>
          <w:rFonts w:hint="eastAsia"/>
          <w:kern w:val="0"/>
        </w:rPr>
        <w:t>九、绩效评分情况</w:t>
      </w:r>
    </w:p>
    <w:p>
      <w:pPr>
        <w:ind w:firstLine="593"/>
        <w:rPr>
          <w:bCs/>
          <w:kern w:val="0"/>
        </w:rPr>
      </w:pPr>
      <w:r>
        <w:rPr>
          <w:rFonts w:hint="eastAsia"/>
          <w:bCs/>
          <w:kern w:val="0"/>
        </w:rPr>
        <w:t>根据《湖南省人民政府关于全面推进预算绩效管理的意见》（湘政发〔2012〕33号）、《衡山县财政局关于对2019年度部分县级财政支出项目及部门整体支出开展现场绩效评价的通知》（山财绩〔20</w:t>
      </w:r>
      <w:r>
        <w:rPr>
          <w:bCs/>
          <w:kern w:val="0"/>
        </w:rPr>
        <w:t>20</w:t>
      </w:r>
      <w:r>
        <w:rPr>
          <w:rFonts w:hint="eastAsia"/>
          <w:bCs/>
          <w:kern w:val="0"/>
        </w:rPr>
        <w:t>〕</w:t>
      </w:r>
      <w:r>
        <w:rPr>
          <w:bCs/>
          <w:kern w:val="0"/>
        </w:rPr>
        <w:t>180</w:t>
      </w:r>
      <w:r>
        <w:rPr>
          <w:rFonts w:hint="eastAsia"/>
          <w:bCs/>
          <w:kern w:val="0"/>
        </w:rPr>
        <w:t>号等相关文件，截止现场评价日，衡山县第二中学对教育费附加专项未建立相关项目管理办法，实施程序基本规范，项目任务基本达到预期目标，总体上达到了预期的经济效益和社会效益。绩效评价工作组从项目决策、项目管理、项目产出和项目效益等方面对县教育局教育费附加专项资金项目进行了综合评价，综合评分为</w:t>
      </w:r>
      <w:r>
        <w:rPr>
          <w:rFonts w:hint="eastAsia"/>
          <w:bCs/>
          <w:color w:val="000000"/>
          <w:kern w:val="0"/>
          <w:highlight w:val="none"/>
        </w:rPr>
        <w:t>8</w:t>
      </w:r>
      <w:r>
        <w:rPr>
          <w:rFonts w:hint="eastAsia"/>
          <w:bCs/>
          <w:color w:val="000000"/>
          <w:kern w:val="0"/>
          <w:highlight w:val="none"/>
          <w:lang w:val="en-US" w:eastAsia="zh-CN"/>
        </w:rPr>
        <w:t>3</w:t>
      </w:r>
      <w:r>
        <w:rPr>
          <w:rFonts w:hint="eastAsia"/>
          <w:bCs/>
          <w:color w:val="000000"/>
          <w:kern w:val="0"/>
        </w:rPr>
        <w:t>分</w:t>
      </w:r>
      <w:r>
        <w:rPr>
          <w:rFonts w:hint="eastAsia"/>
          <w:bCs/>
          <w:kern w:val="0"/>
        </w:rPr>
        <w:t>，评价等次为良。</w:t>
      </w:r>
    </w:p>
    <w:p>
      <w:pPr>
        <w:ind w:firstLine="593"/>
        <w:rPr>
          <w:bCs/>
          <w:kern w:val="0"/>
        </w:rPr>
      </w:pPr>
    </w:p>
    <w:p>
      <w:pPr>
        <w:ind w:firstLine="593"/>
        <w:rPr>
          <w:rFonts w:ascii="仿宋"/>
          <w:kern w:val="0"/>
        </w:rPr>
      </w:pPr>
      <w:r>
        <w:rPr>
          <w:rFonts w:hint="eastAsia" w:ascii="仿宋" w:hAnsi="仿宋"/>
          <w:kern w:val="0"/>
        </w:rPr>
        <w:t>附件一：</w:t>
      </w:r>
      <w:r>
        <w:rPr>
          <w:rFonts w:ascii="仿宋" w:hAnsi="仿宋"/>
          <w:kern w:val="0"/>
        </w:rPr>
        <w:t>2019年</w:t>
      </w:r>
      <w:r>
        <w:rPr>
          <w:rFonts w:hint="eastAsia" w:ascii="仿宋" w:hAnsi="仿宋"/>
          <w:kern w:val="0"/>
        </w:rPr>
        <w:t>度衡山县第二中学整体支出资金项目绩效评价指标及评分表</w:t>
      </w:r>
    </w:p>
    <w:p>
      <w:pPr>
        <w:ind w:firstLine="593"/>
        <w:rPr>
          <w:rFonts w:ascii="仿宋"/>
          <w:kern w:val="0"/>
        </w:rPr>
      </w:pPr>
    </w:p>
    <w:p>
      <w:pPr>
        <w:ind w:firstLine="593"/>
        <w:rPr>
          <w:rFonts w:ascii="仿宋"/>
          <w:kern w:val="0"/>
        </w:rPr>
      </w:pPr>
    </w:p>
    <w:p>
      <w:pPr>
        <w:ind w:firstLine="593"/>
        <w:rPr>
          <w:rFonts w:ascii="仿宋"/>
          <w:kern w:val="0"/>
        </w:rPr>
      </w:pPr>
    </w:p>
    <w:tbl>
      <w:tblPr>
        <w:tblStyle w:val="16"/>
        <w:tblW w:w="8216" w:type="dxa"/>
        <w:jc w:val="center"/>
        <w:tblInd w:w="0" w:type="dxa"/>
        <w:tblLayout w:type="fixed"/>
        <w:tblCellMar>
          <w:top w:w="0" w:type="dxa"/>
          <w:left w:w="108" w:type="dxa"/>
          <w:bottom w:w="0" w:type="dxa"/>
          <w:right w:w="108" w:type="dxa"/>
        </w:tblCellMar>
      </w:tblPr>
      <w:tblGrid>
        <w:gridCol w:w="4814"/>
        <w:gridCol w:w="3402"/>
      </w:tblGrid>
      <w:tr>
        <w:tblPrEx>
          <w:tblLayout w:type="fixed"/>
          <w:tblCellMar>
            <w:top w:w="0" w:type="dxa"/>
            <w:left w:w="108" w:type="dxa"/>
            <w:bottom w:w="0" w:type="dxa"/>
            <w:right w:w="108" w:type="dxa"/>
          </w:tblCellMar>
        </w:tblPrEx>
        <w:trPr>
          <w:trHeight w:val="284" w:hRule="atLeast"/>
          <w:jc w:val="center"/>
        </w:trPr>
        <w:tc>
          <w:tcPr>
            <w:tcW w:w="4814" w:type="dxa"/>
            <w:vAlign w:val="center"/>
          </w:tcPr>
          <w:p>
            <w:pPr>
              <w:ind w:firstLine="0" w:firstLineChars="0"/>
            </w:pPr>
            <w:r>
              <w:rPr>
                <w:rFonts w:hint="eastAsia" w:hAnsi="仿宋"/>
              </w:rPr>
              <w:t>湖南宏丰益联合会计师事务所</w:t>
            </w:r>
          </w:p>
        </w:tc>
        <w:tc>
          <w:tcPr>
            <w:tcW w:w="3402" w:type="dxa"/>
            <w:vAlign w:val="center"/>
          </w:tcPr>
          <w:p>
            <w:pPr>
              <w:ind w:firstLine="0" w:firstLineChars="0"/>
            </w:pPr>
            <w:r>
              <w:rPr>
                <w:rFonts w:hint="eastAsia" w:hAnsi="仿宋"/>
              </w:rPr>
              <w:t>中国注册会计师：</w:t>
            </w:r>
          </w:p>
        </w:tc>
      </w:tr>
      <w:tr>
        <w:tblPrEx>
          <w:tblLayout w:type="fixed"/>
          <w:tblCellMar>
            <w:top w:w="0" w:type="dxa"/>
            <w:left w:w="108" w:type="dxa"/>
            <w:bottom w:w="0" w:type="dxa"/>
            <w:right w:w="108" w:type="dxa"/>
          </w:tblCellMar>
        </w:tblPrEx>
        <w:trPr>
          <w:trHeight w:val="284" w:hRule="atLeast"/>
          <w:jc w:val="center"/>
        </w:trPr>
        <w:tc>
          <w:tcPr>
            <w:tcW w:w="4814" w:type="dxa"/>
            <w:vAlign w:val="center"/>
          </w:tcPr>
          <w:p>
            <w:pPr>
              <w:ind w:firstLine="0" w:firstLineChars="0"/>
            </w:pPr>
          </w:p>
          <w:p>
            <w:pPr>
              <w:ind w:firstLine="0" w:firstLineChars="0"/>
            </w:pPr>
          </w:p>
        </w:tc>
        <w:tc>
          <w:tcPr>
            <w:tcW w:w="3402" w:type="dxa"/>
            <w:vAlign w:val="center"/>
          </w:tcPr>
          <w:p>
            <w:pPr>
              <w:ind w:firstLine="0" w:firstLineChars="0"/>
            </w:pPr>
          </w:p>
        </w:tc>
      </w:tr>
      <w:tr>
        <w:tblPrEx>
          <w:tblLayout w:type="fixed"/>
          <w:tblCellMar>
            <w:top w:w="0" w:type="dxa"/>
            <w:left w:w="108" w:type="dxa"/>
            <w:bottom w:w="0" w:type="dxa"/>
            <w:right w:w="108" w:type="dxa"/>
          </w:tblCellMar>
        </w:tblPrEx>
        <w:trPr>
          <w:trHeight w:val="284" w:hRule="atLeast"/>
          <w:jc w:val="center"/>
        </w:trPr>
        <w:tc>
          <w:tcPr>
            <w:tcW w:w="4814" w:type="dxa"/>
            <w:vAlign w:val="center"/>
          </w:tcPr>
          <w:p>
            <w:pPr>
              <w:ind w:firstLine="0" w:firstLineChars="0"/>
            </w:pPr>
          </w:p>
        </w:tc>
        <w:tc>
          <w:tcPr>
            <w:tcW w:w="3402" w:type="dxa"/>
            <w:vAlign w:val="center"/>
          </w:tcPr>
          <w:p>
            <w:pPr>
              <w:ind w:firstLine="0" w:firstLineChars="0"/>
            </w:pPr>
            <w:r>
              <w:rPr>
                <w:rFonts w:hint="eastAsia" w:hAnsi="仿宋"/>
              </w:rPr>
              <w:t>中国注册会计师：</w:t>
            </w:r>
          </w:p>
        </w:tc>
      </w:tr>
      <w:tr>
        <w:tblPrEx>
          <w:tblLayout w:type="fixed"/>
          <w:tblCellMar>
            <w:top w:w="0" w:type="dxa"/>
            <w:left w:w="108" w:type="dxa"/>
            <w:bottom w:w="0" w:type="dxa"/>
            <w:right w:w="108" w:type="dxa"/>
          </w:tblCellMar>
        </w:tblPrEx>
        <w:trPr>
          <w:gridAfter w:val="1"/>
          <w:wAfter w:w="3402" w:type="dxa"/>
          <w:trHeight w:val="284" w:hRule="atLeast"/>
          <w:jc w:val="center"/>
        </w:trPr>
        <w:tc>
          <w:tcPr>
            <w:tcW w:w="4814" w:type="dxa"/>
            <w:vAlign w:val="center"/>
          </w:tcPr>
          <w:p>
            <w:pPr>
              <w:ind w:firstLine="0" w:firstLineChars="0"/>
            </w:pPr>
          </w:p>
          <w:p>
            <w:pPr>
              <w:ind w:firstLine="0" w:firstLineChars="0"/>
            </w:pPr>
          </w:p>
        </w:tc>
      </w:tr>
      <w:tr>
        <w:tblPrEx>
          <w:tblLayout w:type="fixed"/>
          <w:tblCellMar>
            <w:top w:w="0" w:type="dxa"/>
            <w:left w:w="108" w:type="dxa"/>
            <w:bottom w:w="0" w:type="dxa"/>
            <w:right w:w="108" w:type="dxa"/>
          </w:tblCellMar>
        </w:tblPrEx>
        <w:trPr>
          <w:trHeight w:val="284" w:hRule="atLeast"/>
          <w:jc w:val="center"/>
        </w:trPr>
        <w:tc>
          <w:tcPr>
            <w:tcW w:w="8216" w:type="dxa"/>
            <w:gridSpan w:val="2"/>
            <w:vAlign w:val="center"/>
          </w:tcPr>
          <w:p>
            <w:pPr>
              <w:ind w:firstLine="0" w:firstLineChars="0"/>
            </w:pPr>
            <w:r>
              <w:rPr>
                <w:rFonts w:hint="eastAsia" w:hAnsi="仿宋"/>
              </w:rPr>
              <w:t>地址：湖南</w:t>
            </w:r>
            <w:r>
              <w:t>·</w:t>
            </w:r>
            <w:r>
              <w:rPr>
                <w:rFonts w:hint="eastAsia" w:hAnsi="仿宋"/>
              </w:rPr>
              <w:t>长沙                  二〇二〇年十一月十八日</w:t>
            </w:r>
          </w:p>
        </w:tc>
      </w:tr>
    </w:tbl>
    <w:p>
      <w:pPr>
        <w:spacing w:after="317" w:afterLines="50"/>
        <w:ind w:firstLine="0" w:firstLineChars="0"/>
        <w:jc w:val="left"/>
        <w:outlineLvl w:val="0"/>
        <w:rPr>
          <w:rFonts w:ascii="仿宋" w:cs="仿宋"/>
          <w:sz w:val="28"/>
          <w:szCs w:val="28"/>
        </w:rPr>
        <w:sectPr>
          <w:footerReference r:id="rId9" w:type="default"/>
          <w:pgSz w:w="11905" w:h="16838"/>
          <w:pgMar w:top="1440" w:right="1803" w:bottom="1440" w:left="1803" w:header="851" w:footer="992" w:gutter="0"/>
          <w:pgNumType w:start="1"/>
          <w:cols w:space="0" w:num="1"/>
          <w:docGrid w:type="linesAndChars" w:linePitch="634" w:charSpace="-4835"/>
        </w:sectPr>
      </w:pPr>
    </w:p>
    <w:p>
      <w:pPr>
        <w:pStyle w:val="3"/>
        <w:ind w:firstLine="0" w:firstLineChars="0"/>
        <w:rPr>
          <w:sz w:val="28"/>
          <w:szCs w:val="28"/>
        </w:rPr>
      </w:pPr>
      <w:bookmarkStart w:id="21" w:name="_Toc30111693"/>
      <w:r>
        <w:rPr>
          <w:rFonts w:hint="eastAsia"/>
          <w:sz w:val="28"/>
          <w:szCs w:val="28"/>
        </w:rPr>
        <w:t>附件一：</w:t>
      </w:r>
      <w:bookmarkEnd w:id="21"/>
    </w:p>
    <w:tbl>
      <w:tblPr>
        <w:tblStyle w:val="16"/>
        <w:tblW w:w="14174" w:type="dxa"/>
        <w:jc w:val="center"/>
        <w:tblInd w:w="0" w:type="dxa"/>
        <w:tblLayout w:type="fixed"/>
        <w:tblCellMar>
          <w:top w:w="0" w:type="dxa"/>
          <w:left w:w="108" w:type="dxa"/>
          <w:bottom w:w="0" w:type="dxa"/>
          <w:right w:w="108" w:type="dxa"/>
        </w:tblCellMar>
      </w:tblPr>
      <w:tblGrid>
        <w:gridCol w:w="1871"/>
        <w:gridCol w:w="1199"/>
        <w:gridCol w:w="1777"/>
        <w:gridCol w:w="2540"/>
        <w:gridCol w:w="601"/>
        <w:gridCol w:w="2608"/>
        <w:gridCol w:w="2540"/>
        <w:gridCol w:w="1038"/>
      </w:tblGrid>
      <w:tr>
        <w:tblPrEx>
          <w:tblLayout w:type="fixed"/>
          <w:tblCellMar>
            <w:top w:w="0" w:type="dxa"/>
            <w:left w:w="108" w:type="dxa"/>
            <w:bottom w:w="0" w:type="dxa"/>
            <w:right w:w="108" w:type="dxa"/>
          </w:tblCellMar>
        </w:tblPrEx>
        <w:trPr>
          <w:trHeight w:val="460" w:hRule="atLeast"/>
          <w:tblHeader/>
          <w:jc w:val="center"/>
        </w:trPr>
        <w:tc>
          <w:tcPr>
            <w:tcW w:w="14174" w:type="dxa"/>
            <w:gridSpan w:val="8"/>
            <w:tcBorders>
              <w:top w:val="nil"/>
              <w:left w:val="nil"/>
              <w:bottom w:val="nil"/>
              <w:right w:val="nil"/>
            </w:tcBorders>
            <w:shd w:val="clear" w:color="auto" w:fill="auto"/>
            <w:vAlign w:val="center"/>
          </w:tcPr>
          <w:p>
            <w:pPr>
              <w:widowControl/>
              <w:spacing w:line="240" w:lineRule="auto"/>
              <w:ind w:firstLine="0" w:firstLineChars="0"/>
              <w:jc w:val="center"/>
              <w:rPr>
                <w:rFonts w:eastAsia="宋体"/>
                <w:color w:val="000000"/>
                <w:kern w:val="0"/>
                <w:sz w:val="36"/>
                <w:szCs w:val="36"/>
              </w:rPr>
            </w:pPr>
            <w:r>
              <w:rPr>
                <w:rFonts w:eastAsia="宋体"/>
                <w:color w:val="000000"/>
                <w:kern w:val="0"/>
                <w:sz w:val="36"/>
                <w:szCs w:val="36"/>
              </w:rPr>
              <w:t>2019</w:t>
            </w:r>
            <w:r>
              <w:rPr>
                <w:rFonts w:hint="eastAsia" w:ascii="黑体" w:hAnsi="黑体" w:eastAsia="黑体"/>
                <w:color w:val="000000"/>
                <w:kern w:val="0"/>
                <w:sz w:val="36"/>
                <w:szCs w:val="36"/>
              </w:rPr>
              <w:t>年度衡山县第二中学专项资金绩效评价指标表</w:t>
            </w:r>
          </w:p>
        </w:tc>
      </w:tr>
      <w:tr>
        <w:tblPrEx>
          <w:tblLayout w:type="fixed"/>
          <w:tblCellMar>
            <w:top w:w="0" w:type="dxa"/>
            <w:left w:w="108" w:type="dxa"/>
            <w:bottom w:w="0" w:type="dxa"/>
            <w:right w:w="108" w:type="dxa"/>
          </w:tblCellMar>
        </w:tblPrEx>
        <w:trPr>
          <w:trHeight w:val="280" w:hRule="atLeast"/>
          <w:tblHeade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b/>
                <w:bCs/>
                <w:color w:val="000000"/>
                <w:kern w:val="0"/>
                <w:sz w:val="18"/>
                <w:szCs w:val="18"/>
              </w:rPr>
            </w:pPr>
            <w:r>
              <w:rPr>
                <w:rFonts w:hint="eastAsia" w:ascii="仿宋" w:hAnsi="仿宋" w:cs="宋体"/>
                <w:b/>
                <w:bCs/>
                <w:color w:val="000000"/>
                <w:kern w:val="0"/>
                <w:sz w:val="18"/>
                <w:szCs w:val="18"/>
              </w:rPr>
              <w:t>一级指标</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b/>
                <w:bCs/>
                <w:color w:val="000000"/>
                <w:kern w:val="0"/>
                <w:sz w:val="18"/>
                <w:szCs w:val="18"/>
              </w:rPr>
            </w:pPr>
            <w:r>
              <w:rPr>
                <w:rFonts w:hint="eastAsia" w:ascii="仿宋" w:hAnsi="仿宋" w:cs="宋体"/>
                <w:b/>
                <w:bCs/>
                <w:color w:val="000000"/>
                <w:kern w:val="0"/>
                <w:sz w:val="18"/>
                <w:szCs w:val="18"/>
              </w:rPr>
              <w:t>二级指标</w:t>
            </w:r>
          </w:p>
        </w:tc>
        <w:tc>
          <w:tcPr>
            <w:tcW w:w="177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b/>
                <w:bCs/>
                <w:color w:val="000000"/>
                <w:kern w:val="0"/>
                <w:sz w:val="18"/>
                <w:szCs w:val="18"/>
              </w:rPr>
            </w:pPr>
            <w:r>
              <w:rPr>
                <w:rFonts w:hint="eastAsia" w:ascii="仿宋" w:hAnsi="仿宋" w:cs="宋体"/>
                <w:b/>
                <w:bCs/>
                <w:color w:val="000000"/>
                <w:kern w:val="0"/>
                <w:sz w:val="18"/>
                <w:szCs w:val="18"/>
              </w:rPr>
              <w:t>三级指标</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b/>
                <w:bCs/>
                <w:color w:val="000000"/>
                <w:kern w:val="0"/>
                <w:sz w:val="18"/>
                <w:szCs w:val="18"/>
              </w:rPr>
            </w:pPr>
            <w:r>
              <w:rPr>
                <w:rFonts w:hint="eastAsia" w:ascii="仿宋" w:hAnsi="仿宋" w:cs="宋体"/>
                <w:b/>
                <w:bCs/>
                <w:color w:val="000000"/>
                <w:kern w:val="0"/>
                <w:sz w:val="18"/>
                <w:szCs w:val="18"/>
              </w:rPr>
              <w:t>具体指标</w:t>
            </w:r>
          </w:p>
        </w:tc>
        <w:tc>
          <w:tcPr>
            <w:tcW w:w="6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b/>
                <w:bCs/>
                <w:color w:val="000000"/>
                <w:kern w:val="0"/>
                <w:sz w:val="18"/>
                <w:szCs w:val="18"/>
              </w:rPr>
            </w:pPr>
            <w:r>
              <w:rPr>
                <w:rFonts w:hint="eastAsia" w:ascii="仿宋" w:hAnsi="仿宋" w:cs="宋体"/>
                <w:b/>
                <w:bCs/>
                <w:color w:val="000000"/>
                <w:kern w:val="0"/>
                <w:sz w:val="18"/>
                <w:szCs w:val="18"/>
              </w:rPr>
              <w:t>分值</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b/>
                <w:bCs/>
                <w:color w:val="000000"/>
                <w:kern w:val="0"/>
                <w:sz w:val="18"/>
                <w:szCs w:val="18"/>
              </w:rPr>
            </w:pPr>
            <w:r>
              <w:rPr>
                <w:rFonts w:hint="eastAsia" w:ascii="仿宋" w:hAnsi="仿宋" w:cs="宋体"/>
                <w:b/>
                <w:bCs/>
                <w:color w:val="000000"/>
                <w:kern w:val="0"/>
                <w:sz w:val="18"/>
                <w:szCs w:val="18"/>
              </w:rPr>
              <w:t>评价标准</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b/>
                <w:bCs/>
                <w:color w:val="000000"/>
                <w:kern w:val="0"/>
                <w:sz w:val="18"/>
                <w:szCs w:val="18"/>
              </w:rPr>
            </w:pPr>
            <w:r>
              <w:rPr>
                <w:rFonts w:hint="eastAsia" w:ascii="仿宋" w:hAnsi="仿宋" w:cs="宋体"/>
                <w:b/>
                <w:bCs/>
                <w:color w:val="000000"/>
                <w:kern w:val="0"/>
                <w:sz w:val="18"/>
                <w:szCs w:val="18"/>
              </w:rPr>
              <w:t>评分说明</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b/>
                <w:bCs/>
                <w:color w:val="000000"/>
                <w:kern w:val="0"/>
                <w:sz w:val="18"/>
                <w:szCs w:val="18"/>
              </w:rPr>
            </w:pPr>
            <w:r>
              <w:rPr>
                <w:rFonts w:hint="eastAsia" w:ascii="仿宋" w:hAnsi="仿宋" w:cs="宋体"/>
                <w:b/>
                <w:bCs/>
                <w:color w:val="000000"/>
                <w:kern w:val="0"/>
                <w:sz w:val="18"/>
                <w:szCs w:val="18"/>
              </w:rPr>
              <w:t>评价得分</w:t>
            </w:r>
          </w:p>
        </w:tc>
      </w:tr>
      <w:tr>
        <w:tblPrEx>
          <w:tblLayout w:type="fixed"/>
          <w:tblCellMar>
            <w:top w:w="0" w:type="dxa"/>
            <w:left w:w="108" w:type="dxa"/>
            <w:bottom w:w="0" w:type="dxa"/>
            <w:right w:w="108" w:type="dxa"/>
          </w:tblCellMar>
        </w:tblPrEx>
        <w:trPr>
          <w:trHeight w:val="720" w:hRule="atLeast"/>
          <w:jc w:val="center"/>
        </w:trPr>
        <w:tc>
          <w:tcPr>
            <w:tcW w:w="18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18"/>
                <w:szCs w:val="18"/>
              </w:rPr>
            </w:pPr>
            <w:r>
              <w:rPr>
                <w:rFonts w:hint="eastAsia" w:ascii="仿宋" w:hAnsi="仿宋" w:cs="宋体"/>
                <w:color w:val="000000"/>
                <w:kern w:val="0"/>
                <w:sz w:val="18"/>
                <w:szCs w:val="18"/>
              </w:rPr>
              <w:t>投入</w:t>
            </w:r>
            <w:r>
              <w:rPr>
                <w:color w:val="000000"/>
                <w:kern w:val="0"/>
                <w:sz w:val="18"/>
                <w:szCs w:val="18"/>
              </w:rPr>
              <w:t>(20</w:t>
            </w:r>
            <w:r>
              <w:rPr>
                <w:rFonts w:hint="eastAsia" w:ascii="仿宋" w:hAnsi="仿宋" w:cs="宋体"/>
                <w:color w:val="000000"/>
                <w:kern w:val="0"/>
                <w:sz w:val="18"/>
                <w:szCs w:val="18"/>
              </w:rPr>
              <w:t>分）</w:t>
            </w:r>
          </w:p>
        </w:tc>
        <w:tc>
          <w:tcPr>
            <w:tcW w:w="119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18"/>
                <w:szCs w:val="18"/>
              </w:rPr>
            </w:pPr>
            <w:r>
              <w:rPr>
                <w:rFonts w:hint="eastAsia" w:ascii="仿宋" w:hAnsi="仿宋" w:cs="宋体"/>
                <w:color w:val="000000"/>
                <w:kern w:val="0"/>
                <w:sz w:val="18"/>
                <w:szCs w:val="18"/>
              </w:rPr>
              <w:t>项目目标</w:t>
            </w: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目标内容</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项目目标明确、细化、量化</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4</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项目目标明确、细化、量化的，计</w:t>
            </w:r>
            <w:r>
              <w:rPr>
                <w:color w:val="000000"/>
                <w:kern w:val="0"/>
                <w:sz w:val="18"/>
                <w:szCs w:val="18"/>
              </w:rPr>
              <w:t>4</w:t>
            </w:r>
            <w:r>
              <w:rPr>
                <w:rFonts w:hint="eastAsia" w:ascii="仿宋" w:hAnsi="仿宋" w:cs="宋体"/>
                <w:color w:val="000000"/>
                <w:kern w:val="0"/>
                <w:sz w:val="18"/>
                <w:szCs w:val="18"/>
              </w:rPr>
              <w:t>分；反之，酌情扣分。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项目目标不够细化、量化，扣2分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2</w:t>
            </w:r>
          </w:p>
        </w:tc>
      </w:tr>
      <w:tr>
        <w:tblPrEx>
          <w:tblLayout w:type="fixed"/>
          <w:tblCellMar>
            <w:top w:w="0" w:type="dxa"/>
            <w:left w:w="108" w:type="dxa"/>
            <w:bottom w:w="0" w:type="dxa"/>
            <w:right w:w="108" w:type="dxa"/>
          </w:tblCellMar>
        </w:tblPrEx>
        <w:trPr>
          <w:trHeight w:val="72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绩效目标</w:t>
            </w: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绩效目标合理性</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项目所设定的绩效目标依椐充分、符合客观实际</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3</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项目所设定的绩效目标依椐充分、符合客观实际的，计</w:t>
            </w:r>
            <w:r>
              <w:rPr>
                <w:color w:val="000000"/>
                <w:kern w:val="0"/>
                <w:sz w:val="18"/>
                <w:szCs w:val="18"/>
              </w:rPr>
              <w:t>3</w:t>
            </w:r>
            <w:r>
              <w:rPr>
                <w:rFonts w:hint="eastAsia" w:ascii="仿宋" w:hAnsi="仿宋" w:cs="宋体"/>
                <w:color w:val="000000"/>
                <w:kern w:val="0"/>
                <w:sz w:val="18"/>
                <w:szCs w:val="18"/>
              </w:rPr>
              <w:t>分；反之，酌情扣分。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项目所设定的绩效目标依椐充分、基本符合客观实际，酌情扣1分。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2</w:t>
            </w:r>
          </w:p>
        </w:tc>
      </w:tr>
      <w:tr>
        <w:tblPrEx>
          <w:tblLayout w:type="fixed"/>
          <w:tblCellMar>
            <w:top w:w="0" w:type="dxa"/>
            <w:left w:w="108" w:type="dxa"/>
            <w:bottom w:w="0" w:type="dxa"/>
            <w:right w:w="108" w:type="dxa"/>
          </w:tblCellMar>
        </w:tblPrEx>
        <w:trPr>
          <w:trHeight w:val="96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绩效指标</w:t>
            </w: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绩效指标明确性</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绩效目标设定的绩效指标清晰、细化、可衡量</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3</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绩效目标设定的绩效指标清晰、细化、可衡量的，与项目年度任务数相对应的，计</w:t>
            </w:r>
            <w:r>
              <w:rPr>
                <w:color w:val="000000"/>
                <w:kern w:val="0"/>
                <w:sz w:val="18"/>
                <w:szCs w:val="18"/>
              </w:rPr>
              <w:t>3</w:t>
            </w:r>
            <w:r>
              <w:rPr>
                <w:rFonts w:hint="eastAsia" w:ascii="仿宋" w:hAnsi="仿宋" w:cs="宋体"/>
                <w:color w:val="000000"/>
                <w:kern w:val="0"/>
                <w:sz w:val="18"/>
                <w:szCs w:val="18"/>
              </w:rPr>
              <w:t>分；反之，酌情扣分。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绩效目标设定的绩效指标不够清晰、细化，扣2分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1</w:t>
            </w:r>
          </w:p>
        </w:tc>
      </w:tr>
      <w:tr>
        <w:tblPrEx>
          <w:tblLayout w:type="fixed"/>
          <w:tblCellMar>
            <w:top w:w="0" w:type="dxa"/>
            <w:left w:w="108" w:type="dxa"/>
            <w:bottom w:w="0" w:type="dxa"/>
            <w:right w:w="108" w:type="dxa"/>
          </w:tblCellMar>
        </w:tblPrEx>
        <w:trPr>
          <w:trHeight w:val="167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资金落实</w:t>
            </w: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资金到位率</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实际到位资金与财政下达资金的比率</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6</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项目专项资金到位率</w:t>
            </w:r>
            <w:r>
              <w:rPr>
                <w:color w:val="000000"/>
                <w:kern w:val="0"/>
                <w:sz w:val="18"/>
                <w:szCs w:val="18"/>
              </w:rPr>
              <w:t>=100%</w:t>
            </w:r>
            <w:r>
              <w:rPr>
                <w:rFonts w:hint="eastAsia" w:ascii="仿宋" w:hAnsi="仿宋" w:cs="宋体"/>
                <w:color w:val="000000"/>
                <w:kern w:val="0"/>
                <w:sz w:val="18"/>
                <w:szCs w:val="18"/>
              </w:rPr>
              <w:t>，计</w:t>
            </w:r>
            <w:r>
              <w:rPr>
                <w:color w:val="000000"/>
                <w:kern w:val="0"/>
                <w:sz w:val="18"/>
                <w:szCs w:val="18"/>
              </w:rPr>
              <w:t>6</w:t>
            </w:r>
            <w:r>
              <w:rPr>
                <w:rFonts w:hint="eastAsia" w:ascii="仿宋" w:hAnsi="仿宋" w:cs="宋体"/>
                <w:color w:val="000000"/>
                <w:kern w:val="0"/>
                <w:sz w:val="18"/>
                <w:szCs w:val="18"/>
              </w:rPr>
              <w:t>分；</w:t>
            </w:r>
            <w:r>
              <w:rPr>
                <w:color w:val="000000"/>
                <w:kern w:val="0"/>
                <w:sz w:val="18"/>
                <w:szCs w:val="18"/>
              </w:rPr>
              <w:t>99%-90%</w:t>
            </w:r>
            <w:r>
              <w:rPr>
                <w:rFonts w:hint="eastAsia" w:ascii="仿宋" w:hAnsi="仿宋" w:cs="宋体"/>
                <w:color w:val="000000"/>
                <w:kern w:val="0"/>
                <w:sz w:val="18"/>
                <w:szCs w:val="18"/>
              </w:rPr>
              <w:t>，计</w:t>
            </w:r>
            <w:r>
              <w:rPr>
                <w:color w:val="000000"/>
                <w:kern w:val="0"/>
                <w:sz w:val="18"/>
                <w:szCs w:val="18"/>
              </w:rPr>
              <w:t>5</w:t>
            </w:r>
            <w:r>
              <w:rPr>
                <w:rFonts w:hint="eastAsia" w:ascii="仿宋" w:hAnsi="仿宋" w:cs="宋体"/>
                <w:color w:val="000000"/>
                <w:kern w:val="0"/>
                <w:sz w:val="18"/>
                <w:szCs w:val="18"/>
              </w:rPr>
              <w:t>分；</w:t>
            </w:r>
            <w:r>
              <w:rPr>
                <w:color w:val="000000"/>
                <w:kern w:val="0"/>
                <w:sz w:val="18"/>
                <w:szCs w:val="18"/>
              </w:rPr>
              <w:t>89%-80%</w:t>
            </w:r>
            <w:r>
              <w:rPr>
                <w:rFonts w:hint="eastAsia" w:ascii="仿宋" w:hAnsi="仿宋" w:cs="宋体"/>
                <w:color w:val="000000"/>
                <w:kern w:val="0"/>
                <w:sz w:val="18"/>
                <w:szCs w:val="18"/>
              </w:rPr>
              <w:t>，计</w:t>
            </w:r>
            <w:r>
              <w:rPr>
                <w:color w:val="000000"/>
                <w:kern w:val="0"/>
                <w:sz w:val="18"/>
                <w:szCs w:val="18"/>
              </w:rPr>
              <w:t>4</w:t>
            </w:r>
            <w:r>
              <w:rPr>
                <w:rFonts w:hint="eastAsia" w:ascii="仿宋" w:hAnsi="仿宋" w:cs="宋体"/>
                <w:color w:val="000000"/>
                <w:kern w:val="0"/>
                <w:sz w:val="18"/>
                <w:szCs w:val="18"/>
              </w:rPr>
              <w:t>分；</w:t>
            </w:r>
            <w:r>
              <w:rPr>
                <w:color w:val="000000"/>
                <w:kern w:val="0"/>
                <w:sz w:val="18"/>
                <w:szCs w:val="18"/>
              </w:rPr>
              <w:t>80%</w:t>
            </w:r>
            <w:r>
              <w:rPr>
                <w:rFonts w:hint="eastAsia" w:ascii="仿宋" w:hAnsi="仿宋" w:cs="宋体"/>
                <w:color w:val="000000"/>
                <w:kern w:val="0"/>
                <w:sz w:val="18"/>
                <w:szCs w:val="18"/>
              </w:rPr>
              <w:t>以下的，计</w:t>
            </w:r>
            <w:r>
              <w:rPr>
                <w:color w:val="000000"/>
                <w:kern w:val="0"/>
                <w:sz w:val="18"/>
                <w:szCs w:val="18"/>
              </w:rPr>
              <w:t>0</w:t>
            </w:r>
            <w:r>
              <w:rPr>
                <w:rFonts w:hint="eastAsia" w:ascii="仿宋" w:hAnsi="仿宋" w:cs="宋体"/>
                <w:color w:val="000000"/>
                <w:kern w:val="0"/>
                <w:sz w:val="18"/>
                <w:szCs w:val="18"/>
              </w:rPr>
              <w:t>分。项目专项资金到位率</w:t>
            </w:r>
            <w:r>
              <w:rPr>
                <w:color w:val="000000"/>
                <w:kern w:val="0"/>
                <w:sz w:val="18"/>
                <w:szCs w:val="18"/>
              </w:rPr>
              <w:t>=</w:t>
            </w:r>
            <w:r>
              <w:rPr>
                <w:rFonts w:hint="eastAsia" w:ascii="仿宋" w:hAnsi="仿宋" w:cs="宋体"/>
                <w:color w:val="000000"/>
                <w:kern w:val="0"/>
                <w:sz w:val="18"/>
                <w:szCs w:val="18"/>
              </w:rPr>
              <w:t>实际到位资金</w:t>
            </w:r>
            <w:r>
              <w:rPr>
                <w:color w:val="000000"/>
                <w:kern w:val="0"/>
                <w:sz w:val="18"/>
                <w:szCs w:val="18"/>
              </w:rPr>
              <w:t>/</w:t>
            </w:r>
            <w:r>
              <w:rPr>
                <w:rFonts w:hint="eastAsia" w:ascii="仿宋" w:hAnsi="仿宋" w:cs="宋体"/>
                <w:color w:val="000000"/>
                <w:kern w:val="0"/>
                <w:sz w:val="18"/>
                <w:szCs w:val="18"/>
              </w:rPr>
              <w:t>财政下达资金</w:t>
            </w:r>
            <w:r>
              <w:rPr>
                <w:color w:val="000000"/>
                <w:kern w:val="0"/>
                <w:sz w:val="18"/>
                <w:szCs w:val="18"/>
              </w:rPr>
              <w:t>*100%</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项目资金到位率</w:t>
            </w:r>
            <w:r>
              <w:rPr>
                <w:rFonts w:hint="eastAsia" w:ascii="宋体" w:hAnsi="宋体" w:eastAsia="宋体" w:cs="宋体"/>
                <w:color w:val="000000"/>
                <w:kern w:val="0"/>
                <w:sz w:val="18"/>
                <w:szCs w:val="18"/>
              </w:rPr>
              <w:t>100%</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6</w:t>
            </w:r>
          </w:p>
        </w:tc>
      </w:tr>
      <w:tr>
        <w:tblPrEx>
          <w:tblLayout w:type="fixed"/>
          <w:tblCellMar>
            <w:top w:w="0" w:type="dxa"/>
            <w:left w:w="108" w:type="dxa"/>
            <w:bottom w:w="0" w:type="dxa"/>
            <w:right w:w="108" w:type="dxa"/>
          </w:tblCellMar>
        </w:tblPrEx>
        <w:trPr>
          <w:trHeight w:val="96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资金到位及时率</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从指标下达日开始算起</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4</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及时到位的，计</w:t>
            </w:r>
            <w:r>
              <w:rPr>
                <w:color w:val="000000"/>
                <w:kern w:val="0"/>
                <w:sz w:val="18"/>
                <w:szCs w:val="18"/>
              </w:rPr>
              <w:t>4</w:t>
            </w:r>
            <w:r>
              <w:rPr>
                <w:rFonts w:hint="eastAsia" w:ascii="仿宋" w:hAnsi="仿宋" w:cs="宋体"/>
                <w:color w:val="000000"/>
                <w:kern w:val="0"/>
                <w:sz w:val="18"/>
                <w:szCs w:val="18"/>
              </w:rPr>
              <w:t>分；未及时到位但未影响工作进度的，计</w:t>
            </w:r>
            <w:r>
              <w:rPr>
                <w:color w:val="000000"/>
                <w:kern w:val="0"/>
                <w:sz w:val="18"/>
                <w:szCs w:val="18"/>
              </w:rPr>
              <w:t>3</w:t>
            </w:r>
            <w:r>
              <w:rPr>
                <w:rFonts w:hint="eastAsia" w:ascii="仿宋" w:hAnsi="仿宋" w:cs="宋体"/>
                <w:color w:val="000000"/>
                <w:kern w:val="0"/>
                <w:sz w:val="18"/>
                <w:szCs w:val="18"/>
              </w:rPr>
              <w:t>分；未及时到位并影响工作进度的，计</w:t>
            </w:r>
            <w:r>
              <w:rPr>
                <w:color w:val="000000"/>
                <w:kern w:val="0"/>
                <w:sz w:val="18"/>
                <w:szCs w:val="18"/>
              </w:rPr>
              <w:t>0</w:t>
            </w:r>
            <w:r>
              <w:rPr>
                <w:rFonts w:hint="eastAsia" w:ascii="仿宋" w:hAnsi="仿宋" w:cs="宋体"/>
                <w:color w:val="000000"/>
                <w:kern w:val="0"/>
                <w:sz w:val="18"/>
                <w:szCs w:val="18"/>
              </w:rPr>
              <w:t>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资金及时到位</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4</w:t>
            </w:r>
          </w:p>
        </w:tc>
      </w:tr>
      <w:tr>
        <w:tblPrEx>
          <w:tblLayout w:type="fixed"/>
          <w:tblCellMar>
            <w:top w:w="0" w:type="dxa"/>
            <w:left w:w="108" w:type="dxa"/>
            <w:bottom w:w="0" w:type="dxa"/>
            <w:right w:w="108" w:type="dxa"/>
          </w:tblCellMar>
        </w:tblPrEx>
        <w:trPr>
          <w:trHeight w:val="1200" w:hRule="atLeast"/>
          <w:jc w:val="center"/>
        </w:trPr>
        <w:tc>
          <w:tcPr>
            <w:tcW w:w="18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过程（</w:t>
            </w:r>
            <w:r>
              <w:rPr>
                <w:color w:val="000000"/>
                <w:kern w:val="0"/>
                <w:sz w:val="18"/>
                <w:szCs w:val="18"/>
              </w:rPr>
              <w:t>30</w:t>
            </w:r>
            <w:r>
              <w:rPr>
                <w:rFonts w:hint="eastAsia" w:ascii="仿宋" w:hAnsi="仿宋" w:cs="宋体"/>
                <w:color w:val="000000"/>
                <w:kern w:val="0"/>
                <w:sz w:val="18"/>
                <w:szCs w:val="18"/>
              </w:rPr>
              <w:t>分）</w:t>
            </w:r>
          </w:p>
        </w:tc>
        <w:tc>
          <w:tcPr>
            <w:tcW w:w="11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18"/>
                <w:szCs w:val="18"/>
              </w:rPr>
            </w:pPr>
            <w:r>
              <w:rPr>
                <w:rFonts w:hint="eastAsia" w:ascii="仿宋" w:hAnsi="仿宋" w:cs="宋体"/>
                <w:color w:val="000000"/>
                <w:kern w:val="0"/>
                <w:sz w:val="18"/>
                <w:szCs w:val="18"/>
              </w:rPr>
              <w:t>业务管理</w:t>
            </w: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管理制度健全性</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制定了健全的业务管理制度</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3</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建立了业务管理制度且内容完善，计</w:t>
            </w:r>
            <w:r>
              <w:rPr>
                <w:color w:val="000000"/>
                <w:kern w:val="0"/>
                <w:sz w:val="18"/>
                <w:szCs w:val="18"/>
              </w:rPr>
              <w:t>3</w:t>
            </w:r>
            <w:r>
              <w:rPr>
                <w:rFonts w:hint="eastAsia" w:ascii="仿宋" w:hAnsi="仿宋" w:cs="宋体"/>
                <w:color w:val="000000"/>
                <w:kern w:val="0"/>
                <w:sz w:val="18"/>
                <w:szCs w:val="18"/>
              </w:rPr>
              <w:t>分；建立了业务管理制度但内容不完善，计</w:t>
            </w:r>
            <w:r>
              <w:rPr>
                <w:color w:val="000000"/>
                <w:kern w:val="0"/>
                <w:sz w:val="18"/>
                <w:szCs w:val="18"/>
              </w:rPr>
              <w:t>2</w:t>
            </w:r>
            <w:r>
              <w:rPr>
                <w:rFonts w:hint="eastAsia" w:ascii="仿宋" w:hAnsi="仿宋" w:cs="宋体"/>
                <w:color w:val="000000"/>
                <w:kern w:val="0"/>
                <w:sz w:val="18"/>
                <w:szCs w:val="18"/>
              </w:rPr>
              <w:t>分；未建立业务管理制度的，计</w:t>
            </w:r>
            <w:r>
              <w:rPr>
                <w:color w:val="000000"/>
                <w:kern w:val="0"/>
                <w:sz w:val="18"/>
                <w:szCs w:val="18"/>
              </w:rPr>
              <w:t>0</w:t>
            </w:r>
            <w:r>
              <w:rPr>
                <w:rFonts w:hint="eastAsia" w:ascii="仿宋" w:hAnsi="仿宋" w:cs="宋体"/>
                <w:color w:val="000000"/>
                <w:kern w:val="0"/>
                <w:sz w:val="18"/>
                <w:szCs w:val="18"/>
              </w:rPr>
              <w:t>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未建立了业务管理制度，但内容不完善，扣3分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0</w:t>
            </w:r>
          </w:p>
        </w:tc>
      </w:tr>
      <w:tr>
        <w:tblPrEx>
          <w:tblLayout w:type="fixed"/>
          <w:tblCellMar>
            <w:top w:w="0" w:type="dxa"/>
            <w:left w:w="108" w:type="dxa"/>
            <w:bottom w:w="0" w:type="dxa"/>
            <w:right w:w="108" w:type="dxa"/>
          </w:tblCellMar>
        </w:tblPrEx>
        <w:trPr>
          <w:trHeight w:val="120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项目执行有效性</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业务管理制度有效性</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3</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项目实施符合相关文件规定，计</w:t>
            </w:r>
            <w:r>
              <w:rPr>
                <w:color w:val="000000"/>
                <w:kern w:val="0"/>
                <w:sz w:val="18"/>
                <w:szCs w:val="18"/>
              </w:rPr>
              <w:t>3</w:t>
            </w:r>
            <w:r>
              <w:rPr>
                <w:rFonts w:hint="eastAsia" w:ascii="仿宋" w:hAnsi="仿宋" w:cs="宋体"/>
                <w:color w:val="000000"/>
                <w:kern w:val="0"/>
                <w:sz w:val="18"/>
                <w:szCs w:val="18"/>
              </w:rPr>
              <w:t>分；项目实施基本符合相关文件规定，计</w:t>
            </w:r>
            <w:r>
              <w:rPr>
                <w:color w:val="000000"/>
                <w:kern w:val="0"/>
                <w:sz w:val="18"/>
                <w:szCs w:val="18"/>
              </w:rPr>
              <w:t>2</w:t>
            </w:r>
            <w:r>
              <w:rPr>
                <w:rFonts w:hint="eastAsia" w:ascii="仿宋" w:hAnsi="仿宋" w:cs="宋体"/>
                <w:color w:val="000000"/>
                <w:kern w:val="0"/>
                <w:sz w:val="18"/>
                <w:szCs w:val="18"/>
              </w:rPr>
              <w:t>分；项目实施不符合相关文件规定，计</w:t>
            </w:r>
            <w:r>
              <w:rPr>
                <w:color w:val="000000"/>
                <w:kern w:val="0"/>
                <w:sz w:val="18"/>
                <w:szCs w:val="18"/>
              </w:rPr>
              <w:t>0</w:t>
            </w:r>
            <w:r>
              <w:rPr>
                <w:rFonts w:hint="eastAsia" w:ascii="仿宋" w:hAnsi="仿宋" w:cs="宋体"/>
                <w:color w:val="000000"/>
                <w:kern w:val="0"/>
                <w:sz w:val="18"/>
                <w:szCs w:val="18"/>
              </w:rPr>
              <w:t>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项目实施基本符合相关文件规定，扣1分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2</w:t>
            </w:r>
          </w:p>
        </w:tc>
      </w:tr>
      <w:tr>
        <w:tblPrEx>
          <w:tblLayout w:type="fixed"/>
          <w:tblCellMar>
            <w:top w:w="0" w:type="dxa"/>
            <w:left w:w="108" w:type="dxa"/>
            <w:bottom w:w="0" w:type="dxa"/>
            <w:right w:w="108" w:type="dxa"/>
          </w:tblCellMar>
        </w:tblPrEx>
        <w:trPr>
          <w:trHeight w:val="144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项目质量可控性</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相关质量控制的措施</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4</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采取了相关质量控制措施，且项目质量可控的，计</w:t>
            </w:r>
            <w:r>
              <w:rPr>
                <w:color w:val="000000"/>
                <w:kern w:val="0"/>
                <w:sz w:val="18"/>
                <w:szCs w:val="18"/>
              </w:rPr>
              <w:t>4</w:t>
            </w:r>
            <w:r>
              <w:rPr>
                <w:rFonts w:hint="eastAsia" w:ascii="仿宋" w:hAnsi="仿宋" w:cs="宋体"/>
                <w:color w:val="000000"/>
                <w:kern w:val="0"/>
                <w:sz w:val="18"/>
                <w:szCs w:val="18"/>
              </w:rPr>
              <w:t>分；采取了相关质量控制措施，项目质量基本可控的，计</w:t>
            </w:r>
            <w:r>
              <w:rPr>
                <w:color w:val="000000"/>
                <w:kern w:val="0"/>
                <w:sz w:val="18"/>
                <w:szCs w:val="18"/>
              </w:rPr>
              <w:t>2</w:t>
            </w:r>
            <w:r>
              <w:rPr>
                <w:rFonts w:hint="eastAsia" w:ascii="仿宋" w:hAnsi="仿宋" w:cs="宋体"/>
                <w:color w:val="000000"/>
                <w:kern w:val="0"/>
                <w:sz w:val="18"/>
                <w:szCs w:val="18"/>
              </w:rPr>
              <w:t>分；未采取相关质量控制措施的，计</w:t>
            </w:r>
            <w:r>
              <w:rPr>
                <w:color w:val="000000"/>
                <w:kern w:val="0"/>
                <w:sz w:val="18"/>
                <w:szCs w:val="18"/>
              </w:rPr>
              <w:t>0</w:t>
            </w:r>
            <w:r>
              <w:rPr>
                <w:rFonts w:hint="eastAsia" w:ascii="仿宋" w:hAnsi="仿宋" w:cs="宋体"/>
                <w:color w:val="000000"/>
                <w:kern w:val="0"/>
                <w:sz w:val="18"/>
                <w:szCs w:val="18"/>
              </w:rPr>
              <w:t>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采取了相关质量控制措施，项目质量基本可控的，计2分.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2</w:t>
            </w:r>
          </w:p>
        </w:tc>
      </w:tr>
      <w:tr>
        <w:tblPrEx>
          <w:tblLayout w:type="fixed"/>
          <w:tblCellMar>
            <w:top w:w="0" w:type="dxa"/>
            <w:left w:w="108" w:type="dxa"/>
            <w:bottom w:w="0" w:type="dxa"/>
            <w:right w:w="108" w:type="dxa"/>
          </w:tblCellMar>
        </w:tblPrEx>
        <w:trPr>
          <w:trHeight w:val="120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财务管理</w:t>
            </w: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管理制度健全性</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财务管理制度是否健全</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5</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建立了财务管理制度且内容完善，计</w:t>
            </w:r>
            <w:r>
              <w:rPr>
                <w:color w:val="000000"/>
                <w:kern w:val="0"/>
                <w:sz w:val="18"/>
                <w:szCs w:val="18"/>
              </w:rPr>
              <w:t>5</w:t>
            </w:r>
            <w:r>
              <w:rPr>
                <w:rFonts w:hint="eastAsia" w:ascii="仿宋" w:hAnsi="仿宋" w:cs="宋体"/>
                <w:color w:val="000000"/>
                <w:kern w:val="0"/>
                <w:sz w:val="18"/>
                <w:szCs w:val="18"/>
              </w:rPr>
              <w:t>分；建立了财务管理制度但内容不完善，计</w:t>
            </w:r>
            <w:r>
              <w:rPr>
                <w:color w:val="000000"/>
                <w:kern w:val="0"/>
                <w:sz w:val="18"/>
                <w:szCs w:val="18"/>
              </w:rPr>
              <w:t>3</w:t>
            </w:r>
            <w:r>
              <w:rPr>
                <w:rFonts w:hint="eastAsia" w:ascii="仿宋" w:hAnsi="仿宋" w:cs="宋体"/>
                <w:color w:val="000000"/>
                <w:kern w:val="0"/>
                <w:sz w:val="18"/>
                <w:szCs w:val="18"/>
              </w:rPr>
              <w:t>分；未建立财务管理制度的，计</w:t>
            </w:r>
            <w:r>
              <w:rPr>
                <w:color w:val="000000"/>
                <w:kern w:val="0"/>
                <w:sz w:val="18"/>
                <w:szCs w:val="18"/>
              </w:rPr>
              <w:t>0</w:t>
            </w:r>
            <w:r>
              <w:rPr>
                <w:rFonts w:hint="eastAsia" w:ascii="仿宋" w:hAnsi="仿宋" w:cs="宋体"/>
                <w:color w:val="000000"/>
                <w:kern w:val="0"/>
                <w:sz w:val="18"/>
                <w:szCs w:val="18"/>
              </w:rPr>
              <w:t>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建立了财务管理制度，得5分。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5</w:t>
            </w:r>
          </w:p>
        </w:tc>
      </w:tr>
      <w:tr>
        <w:tblPrEx>
          <w:tblLayout w:type="fixed"/>
          <w:tblCellMar>
            <w:top w:w="0" w:type="dxa"/>
            <w:left w:w="108" w:type="dxa"/>
            <w:bottom w:w="0" w:type="dxa"/>
            <w:right w:w="108" w:type="dxa"/>
          </w:tblCellMar>
        </w:tblPrEx>
        <w:trPr>
          <w:trHeight w:val="216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资金使用合规性</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资金使用符合相关的财务管理制度规定、挤占挪用资金情况</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10</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项目专项资金支出要符合国家财经法规、财务管理制度和有关专项资金管理办法的规定，有完整的审批程序和手续、无虚列、截留、挤占、挪用等情况。依法依规合理使用的，计满分；凡虚列、截留、挤占、挪用资金的，</w:t>
            </w:r>
            <w:r>
              <w:rPr>
                <w:color w:val="000000"/>
                <w:kern w:val="0"/>
                <w:sz w:val="18"/>
                <w:szCs w:val="18"/>
              </w:rPr>
              <w:t>1</w:t>
            </w:r>
            <w:r>
              <w:rPr>
                <w:rFonts w:hint="eastAsia" w:ascii="仿宋" w:hAnsi="仿宋" w:cs="宋体"/>
                <w:color w:val="000000"/>
                <w:kern w:val="0"/>
                <w:sz w:val="18"/>
                <w:szCs w:val="18"/>
              </w:rPr>
              <w:t>例扣</w:t>
            </w:r>
            <w:r>
              <w:rPr>
                <w:color w:val="000000"/>
                <w:kern w:val="0"/>
                <w:sz w:val="18"/>
                <w:szCs w:val="18"/>
              </w:rPr>
              <w:t>1</w:t>
            </w:r>
            <w:r>
              <w:rPr>
                <w:rFonts w:hint="eastAsia" w:ascii="仿宋" w:hAnsi="仿宋" w:cs="宋体"/>
                <w:color w:val="000000"/>
                <w:kern w:val="0"/>
                <w:sz w:val="18"/>
                <w:szCs w:val="18"/>
              </w:rPr>
              <w:t>分，扣完为止。</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项目专项资金支出符合国家财经法规、财务管理制度和有关专项资金管理办法的规定，有完整的审批程序和手续，存在挤占专项资金支付人员经费和日常公用经费的情况，扣</w:t>
            </w:r>
            <w:r>
              <w:rPr>
                <w:rFonts w:hint="eastAsia" w:ascii="宋体" w:hAnsi="宋体" w:eastAsia="宋体" w:cs="宋体"/>
                <w:color w:val="000000"/>
                <w:kern w:val="0"/>
                <w:sz w:val="18"/>
                <w:szCs w:val="18"/>
              </w:rPr>
              <w:t>4</w:t>
            </w:r>
            <w:r>
              <w:rPr>
                <w:rFonts w:hint="eastAsia" w:ascii="仿宋" w:hAnsi="仿宋" w:cs="宋体"/>
                <w:color w:val="000000"/>
                <w:kern w:val="0"/>
                <w:sz w:val="18"/>
                <w:szCs w:val="18"/>
              </w:rPr>
              <w:t>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6</w:t>
            </w:r>
          </w:p>
        </w:tc>
      </w:tr>
      <w:tr>
        <w:tblPrEx>
          <w:tblLayout w:type="fixed"/>
          <w:tblCellMar>
            <w:top w:w="0" w:type="dxa"/>
            <w:left w:w="108" w:type="dxa"/>
            <w:bottom w:w="0" w:type="dxa"/>
            <w:right w:w="108" w:type="dxa"/>
          </w:tblCellMar>
        </w:tblPrEx>
        <w:trPr>
          <w:trHeight w:val="168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财务监控有效性</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资金的审批情况</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5</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项目实行了专项核算且项目支出审批严格按制度执行的，计</w:t>
            </w:r>
            <w:r>
              <w:rPr>
                <w:color w:val="000000"/>
                <w:kern w:val="0"/>
                <w:sz w:val="18"/>
                <w:szCs w:val="18"/>
              </w:rPr>
              <w:t>5</w:t>
            </w:r>
            <w:r>
              <w:rPr>
                <w:rFonts w:hint="eastAsia" w:ascii="仿宋" w:hAnsi="仿宋" w:cs="宋体"/>
                <w:color w:val="000000"/>
                <w:kern w:val="0"/>
                <w:sz w:val="18"/>
                <w:szCs w:val="18"/>
              </w:rPr>
              <w:t>分；项目实行了专项核算且项目支出审批基本按制度执行的，计</w:t>
            </w:r>
            <w:r>
              <w:rPr>
                <w:color w:val="000000"/>
                <w:kern w:val="0"/>
                <w:sz w:val="18"/>
                <w:szCs w:val="18"/>
              </w:rPr>
              <w:t>3</w:t>
            </w:r>
            <w:r>
              <w:rPr>
                <w:rFonts w:hint="eastAsia" w:ascii="仿宋" w:hAnsi="仿宋" w:cs="宋体"/>
                <w:color w:val="000000"/>
                <w:kern w:val="0"/>
                <w:sz w:val="18"/>
                <w:szCs w:val="18"/>
              </w:rPr>
              <w:t>分；项目未实行专项核算的，计</w:t>
            </w:r>
            <w:r>
              <w:rPr>
                <w:color w:val="000000"/>
                <w:kern w:val="0"/>
                <w:sz w:val="18"/>
                <w:szCs w:val="18"/>
              </w:rPr>
              <w:t>0</w:t>
            </w:r>
            <w:r>
              <w:rPr>
                <w:rFonts w:hint="eastAsia" w:ascii="仿宋" w:hAnsi="仿宋" w:cs="宋体"/>
                <w:color w:val="000000"/>
                <w:kern w:val="0"/>
                <w:sz w:val="18"/>
                <w:szCs w:val="18"/>
              </w:rPr>
              <w:t>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项目实行了专项核算且项目支出审批基本按制度执行的，计3分。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3</w:t>
            </w:r>
          </w:p>
        </w:tc>
      </w:tr>
      <w:tr>
        <w:tblPrEx>
          <w:tblLayout w:type="fixed"/>
          <w:tblCellMar>
            <w:top w:w="0" w:type="dxa"/>
            <w:left w:w="108" w:type="dxa"/>
            <w:bottom w:w="0" w:type="dxa"/>
            <w:right w:w="108" w:type="dxa"/>
          </w:tblCellMar>
        </w:tblPrEx>
        <w:trPr>
          <w:trHeight w:val="720" w:hRule="atLeast"/>
          <w:jc w:val="center"/>
        </w:trPr>
        <w:tc>
          <w:tcPr>
            <w:tcW w:w="187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kern w:val="0"/>
                <w:sz w:val="18"/>
                <w:szCs w:val="18"/>
              </w:rPr>
            </w:pPr>
            <w:r>
              <w:rPr>
                <w:rFonts w:hint="eastAsia" w:ascii="仿宋" w:hAnsi="仿宋" w:cs="宋体"/>
                <w:color w:val="000000"/>
                <w:kern w:val="0"/>
                <w:sz w:val="18"/>
                <w:szCs w:val="18"/>
              </w:rPr>
              <w:t>产出（</w:t>
            </w:r>
            <w:r>
              <w:rPr>
                <w:rFonts w:hint="eastAsia" w:ascii="宋体" w:hAnsi="宋体" w:eastAsia="宋体" w:cs="宋体"/>
                <w:color w:val="000000"/>
                <w:kern w:val="0"/>
                <w:sz w:val="18"/>
                <w:szCs w:val="18"/>
              </w:rPr>
              <w:t>30</w:t>
            </w:r>
            <w:r>
              <w:rPr>
                <w:rFonts w:hint="eastAsia" w:ascii="仿宋" w:hAnsi="仿宋" w:cs="宋体"/>
                <w:color w:val="000000"/>
                <w:kern w:val="0"/>
                <w:sz w:val="18"/>
                <w:szCs w:val="18"/>
              </w:rPr>
              <w:t>分）</w:t>
            </w:r>
          </w:p>
        </w:tc>
        <w:tc>
          <w:tcPr>
            <w:tcW w:w="2976" w:type="dxa"/>
            <w:gridSpan w:val="2"/>
            <w:tcBorders>
              <w:top w:val="single" w:color="auto" w:sz="4" w:space="0"/>
              <w:left w:val="nil"/>
              <w:bottom w:val="nil"/>
              <w:right w:val="single" w:color="000000"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基础建设类项目</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工程支付是否符合规定</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未按工程进度及合约定条款支付工程款，扣10分。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衡山县第二中学2019年的工程均按工程进度及合同约定条款支付，计10分。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Layout w:type="fixed"/>
          <w:tblCellMar>
            <w:top w:w="0" w:type="dxa"/>
            <w:left w:w="108" w:type="dxa"/>
            <w:bottom w:w="0" w:type="dxa"/>
            <w:right w:w="108" w:type="dxa"/>
          </w:tblCellMar>
        </w:tblPrEx>
        <w:trPr>
          <w:trHeight w:val="480" w:hRule="atLeast"/>
          <w:jc w:val="center"/>
        </w:trPr>
        <w:tc>
          <w:tcPr>
            <w:tcW w:w="187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297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维修改造和绿化类项目</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大额采购是否符合规定</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608"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大额支出未经过政府采购，扣10分。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大额采购均经政府采购，</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Layout w:type="fixed"/>
          <w:tblCellMar>
            <w:top w:w="0" w:type="dxa"/>
            <w:left w:w="108" w:type="dxa"/>
            <w:bottom w:w="0" w:type="dxa"/>
            <w:right w:w="108" w:type="dxa"/>
          </w:tblCellMar>
        </w:tblPrEx>
        <w:trPr>
          <w:trHeight w:val="720" w:hRule="atLeast"/>
          <w:jc w:val="center"/>
        </w:trPr>
        <w:tc>
          <w:tcPr>
            <w:tcW w:w="1871"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297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完成情况</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项目完成率100%，计10分，完成率每减少5%，扣5分。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2019年已完成所有维修改造和绿化类项目，计10分。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Layout w:type="fixed"/>
          <w:tblCellMar>
            <w:top w:w="0" w:type="dxa"/>
            <w:left w:w="108" w:type="dxa"/>
            <w:bottom w:w="0" w:type="dxa"/>
            <w:right w:w="108" w:type="dxa"/>
          </w:tblCellMar>
        </w:tblPrEx>
        <w:trPr>
          <w:trHeight w:val="1200" w:hRule="atLeast"/>
          <w:jc w:val="center"/>
        </w:trPr>
        <w:tc>
          <w:tcPr>
            <w:tcW w:w="18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18"/>
                <w:szCs w:val="18"/>
              </w:rPr>
            </w:pPr>
            <w:r>
              <w:rPr>
                <w:rFonts w:hint="eastAsia" w:ascii="仿宋" w:hAnsi="仿宋" w:cs="宋体"/>
                <w:color w:val="000000"/>
                <w:kern w:val="0"/>
                <w:sz w:val="18"/>
                <w:szCs w:val="18"/>
              </w:rPr>
              <w:t>项目果（</w:t>
            </w:r>
            <w:r>
              <w:rPr>
                <w:rFonts w:hint="eastAsia" w:ascii="宋体" w:hAnsi="宋体" w:eastAsia="宋体" w:cs="宋体"/>
                <w:color w:val="000000"/>
                <w:kern w:val="0"/>
                <w:sz w:val="18"/>
                <w:szCs w:val="18"/>
              </w:rPr>
              <w:t>20</w:t>
            </w:r>
            <w:r>
              <w:rPr>
                <w:rFonts w:hint="eastAsia" w:ascii="仿宋" w:hAnsi="仿宋" w:cs="宋体"/>
                <w:color w:val="000000"/>
                <w:kern w:val="0"/>
                <w:sz w:val="18"/>
                <w:szCs w:val="18"/>
              </w:rPr>
              <w:t>分）</w:t>
            </w:r>
          </w:p>
        </w:tc>
        <w:tc>
          <w:tcPr>
            <w:tcW w:w="119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18"/>
                <w:szCs w:val="18"/>
              </w:rPr>
            </w:pPr>
            <w:r>
              <w:rPr>
                <w:rFonts w:hint="eastAsia" w:ascii="仿宋" w:hAnsi="仿宋" w:cs="宋体"/>
                <w:color w:val="000000"/>
                <w:kern w:val="0"/>
                <w:sz w:val="18"/>
                <w:szCs w:val="18"/>
              </w:rPr>
              <w:t>社会效益</w:t>
            </w: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对社会公众的影响</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　</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对衡山县全体教职工、学生公众造成积极影响，计7分；未对社会公众造成影响，计3分，对社会公众造成不利影响，计0分。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衡山县第二中学实施的项目，改善了校园环境，得7分。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Layout w:type="fixed"/>
          <w:tblCellMar>
            <w:top w:w="0" w:type="dxa"/>
            <w:left w:w="108" w:type="dxa"/>
            <w:bottom w:w="0" w:type="dxa"/>
            <w:right w:w="108" w:type="dxa"/>
          </w:tblCellMar>
        </w:tblPrEx>
        <w:trPr>
          <w:trHeight w:val="72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18"/>
                <w:szCs w:val="18"/>
              </w:rPr>
            </w:pPr>
            <w:r>
              <w:rPr>
                <w:rFonts w:hint="eastAsia" w:ascii="仿宋" w:hAnsi="仿宋" w:cs="宋体"/>
                <w:color w:val="000000"/>
                <w:kern w:val="0"/>
                <w:sz w:val="18"/>
                <w:szCs w:val="18"/>
              </w:rPr>
              <w:t>可持续影响</w:t>
            </w:r>
          </w:p>
        </w:tc>
        <w:tc>
          <w:tcPr>
            <w:tcW w:w="1777"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项目继续执行是否具有可持续影响</w:t>
            </w:r>
          </w:p>
        </w:tc>
        <w:tc>
          <w:tcPr>
            <w:tcW w:w="2540"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1"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608" w:type="dxa"/>
            <w:tcBorders>
              <w:top w:val="nil"/>
              <w:left w:val="nil"/>
              <w:bottom w:val="nil"/>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可持续影响重大，计7分，未造成可持续影响，计0分。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改善教学环境，具有可持续影响力，得7分。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Layout w:type="fixed"/>
          <w:tblCellMar>
            <w:top w:w="0" w:type="dxa"/>
            <w:left w:w="108" w:type="dxa"/>
            <w:bottom w:w="0" w:type="dxa"/>
            <w:right w:w="108" w:type="dxa"/>
          </w:tblCellMar>
        </w:tblPrEx>
        <w:trPr>
          <w:trHeight w:val="720" w:hRule="atLeast"/>
          <w:jc w:val="center"/>
        </w:trPr>
        <w:tc>
          <w:tcPr>
            <w:tcW w:w="1871"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cs="宋体"/>
                <w:color w:val="000000"/>
                <w:kern w:val="0"/>
                <w:sz w:val="18"/>
                <w:szCs w:val="18"/>
              </w:rPr>
            </w:pP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满意度指标</w:t>
            </w:r>
          </w:p>
        </w:tc>
        <w:tc>
          <w:tcPr>
            <w:tcW w:w="177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服务对象对项目实施成果的满意程度</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eastAsia="宋体"/>
                <w:color w:val="000000"/>
                <w:kern w:val="0"/>
                <w:sz w:val="18"/>
                <w:szCs w:val="18"/>
              </w:rPr>
            </w:pPr>
            <w:r>
              <w:rPr>
                <w:rFonts w:eastAsia="宋体"/>
                <w:color w:val="000000"/>
                <w:kern w:val="0"/>
                <w:sz w:val="18"/>
                <w:szCs w:val="18"/>
              </w:rPr>
              <w:t>6</w:t>
            </w:r>
          </w:p>
        </w:tc>
        <w:tc>
          <w:tcPr>
            <w:tcW w:w="26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color w:val="000000"/>
                <w:kern w:val="0"/>
                <w:sz w:val="18"/>
                <w:szCs w:val="18"/>
              </w:rPr>
            </w:pPr>
            <w:r>
              <w:rPr>
                <w:rFonts w:hint="eastAsia" w:ascii="仿宋" w:hAnsi="仿宋" w:cs="宋体"/>
                <w:color w:val="000000"/>
                <w:kern w:val="0"/>
                <w:sz w:val="18"/>
                <w:szCs w:val="18"/>
              </w:rPr>
              <w:t>问卷调查对象满意率达</w:t>
            </w:r>
            <w:r>
              <w:rPr>
                <w:rFonts w:hint="eastAsia" w:ascii="宋体" w:hAnsi="宋体" w:eastAsia="宋体" w:cs="宋体"/>
                <w:color w:val="000000"/>
                <w:kern w:val="0"/>
                <w:sz w:val="18"/>
                <w:szCs w:val="18"/>
              </w:rPr>
              <w:t>95%</w:t>
            </w:r>
            <w:r>
              <w:rPr>
                <w:rFonts w:hint="eastAsia" w:ascii="仿宋" w:hAnsi="仿宋" w:cs="宋体"/>
                <w:color w:val="000000"/>
                <w:kern w:val="0"/>
                <w:sz w:val="18"/>
                <w:szCs w:val="18"/>
              </w:rPr>
              <w:t>以上计</w:t>
            </w:r>
            <w:r>
              <w:rPr>
                <w:rFonts w:hint="eastAsia" w:ascii="宋体" w:hAnsi="宋体" w:eastAsia="宋体" w:cs="宋体"/>
                <w:color w:val="000000"/>
                <w:kern w:val="0"/>
                <w:sz w:val="18"/>
                <w:szCs w:val="18"/>
              </w:rPr>
              <w:t>6</w:t>
            </w:r>
            <w:r>
              <w:rPr>
                <w:rFonts w:hint="eastAsia" w:ascii="仿宋" w:hAnsi="仿宋" w:cs="宋体"/>
                <w:color w:val="000000"/>
                <w:kern w:val="0"/>
                <w:sz w:val="18"/>
                <w:szCs w:val="18"/>
              </w:rPr>
              <w:t>分，</w:t>
            </w:r>
            <w:r>
              <w:rPr>
                <w:rFonts w:hint="eastAsia" w:ascii="宋体" w:hAnsi="宋体" w:eastAsia="宋体" w:cs="宋体"/>
                <w:color w:val="000000"/>
                <w:kern w:val="0"/>
                <w:sz w:val="18"/>
                <w:szCs w:val="18"/>
              </w:rPr>
              <w:t>未达95%酌情扣分。</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随机进行了问卷调查，满意率达到了95%，计6分。</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r>
      <w:tr>
        <w:tblPrEx>
          <w:tblLayout w:type="fixed"/>
          <w:tblCellMar>
            <w:top w:w="0" w:type="dxa"/>
            <w:left w:w="108" w:type="dxa"/>
            <w:bottom w:w="0" w:type="dxa"/>
            <w:right w:w="108" w:type="dxa"/>
          </w:tblCellMar>
        </w:tblPrEx>
        <w:trPr>
          <w:trHeight w:val="410" w:hRule="atLeast"/>
          <w:jc w:val="center"/>
        </w:trPr>
        <w:tc>
          <w:tcPr>
            <w:tcW w:w="18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b/>
                <w:bCs/>
                <w:color w:val="000000"/>
                <w:kern w:val="0"/>
                <w:sz w:val="18"/>
                <w:szCs w:val="18"/>
              </w:rPr>
            </w:pPr>
            <w:r>
              <w:rPr>
                <w:rFonts w:hint="eastAsia" w:ascii="仿宋" w:hAnsi="仿宋" w:cs="宋体"/>
                <w:b/>
                <w:bCs/>
                <w:color w:val="000000"/>
                <w:kern w:val="0"/>
                <w:sz w:val="18"/>
                <w:szCs w:val="18"/>
              </w:rPr>
              <w:t>总分</w:t>
            </w:r>
          </w:p>
        </w:tc>
        <w:tc>
          <w:tcPr>
            <w:tcW w:w="119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18"/>
                <w:szCs w:val="18"/>
              </w:rPr>
            </w:pPr>
            <w:r>
              <w:rPr>
                <w:rFonts w:hint="eastAsia" w:ascii="仿宋" w:hAnsi="仿宋" w:cs="宋体"/>
                <w:color w:val="000000"/>
                <w:kern w:val="0"/>
                <w:sz w:val="18"/>
                <w:szCs w:val="18"/>
              </w:rPr>
              <w:t>　</w:t>
            </w:r>
          </w:p>
        </w:tc>
        <w:tc>
          <w:tcPr>
            <w:tcW w:w="17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　</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　</w:t>
            </w:r>
          </w:p>
        </w:tc>
        <w:tc>
          <w:tcPr>
            <w:tcW w:w="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100</w:t>
            </w:r>
          </w:p>
        </w:tc>
        <w:tc>
          <w:tcPr>
            <w:tcW w:w="26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　</w:t>
            </w:r>
          </w:p>
        </w:tc>
        <w:tc>
          <w:tcPr>
            <w:tcW w:w="25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cs="宋体"/>
                <w:color w:val="000000"/>
                <w:kern w:val="0"/>
                <w:sz w:val="18"/>
                <w:szCs w:val="18"/>
              </w:rPr>
            </w:pPr>
            <w:r>
              <w:rPr>
                <w:rFonts w:hint="eastAsia" w:ascii="仿宋" w:hAnsi="仿宋" w:cs="宋体"/>
                <w:color w:val="000000"/>
                <w:kern w:val="0"/>
                <w:sz w:val="18"/>
                <w:szCs w:val="18"/>
              </w:rPr>
              <w:t>　</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83</w:t>
            </w:r>
          </w:p>
        </w:tc>
      </w:tr>
    </w:tbl>
    <w:p>
      <w:pPr>
        <w:ind w:firstLine="640"/>
      </w:pPr>
    </w:p>
    <w:sectPr>
      <w:headerReference r:id="rId10" w:type="default"/>
      <w:pgSz w:w="16838" w:h="11905"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FangSong_GB2312-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rFonts w:hint="eastAsia"/>
      </w:rPr>
      <w:t>第</w:t>
    </w:r>
    <w:r>
      <w:fldChar w:fldCharType="begin"/>
    </w:r>
    <w:r>
      <w:instrText xml:space="preserve"> PAGE   \* MERGEFORMAT </w:instrText>
    </w:r>
    <w:r>
      <w:fldChar w:fldCharType="separate"/>
    </w:r>
    <w:r>
      <w:rPr>
        <w:lang w:val="zh-CN"/>
      </w:rPr>
      <w:t>1</w:t>
    </w:r>
    <w:r>
      <w:rPr>
        <w:lang w:val="zh-CN"/>
      </w:rPr>
      <w:fldChar w:fldCharType="end"/>
    </w:r>
    <w:r>
      <w:rPr>
        <w:rFonts w:hint="eastAsia"/>
      </w:rPr>
      <w:t>页，共</w:t>
    </w:r>
    <w:r>
      <w:t>10</w:t>
    </w:r>
    <w:r>
      <w:rPr>
        <w:rFonts w:hint="eastAsia"/>
      </w:rPr>
      <w:t>页</w:t>
    </w:r>
  </w:p>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ind w:firstLine="0" w:firstLineChars="0"/>
      <w:jc w:val="right"/>
      <w:rPr>
        <w:rFonts w:ascii="仿宋" w:hAnsi="仿宋"/>
        <w:color w:val="000000"/>
        <w:spacing w:val="-4"/>
        <w:sz w:val="21"/>
        <w:szCs w:val="21"/>
        <w:u w:val="single"/>
      </w:rPr>
    </w:pPr>
    <w:r>
      <w:rPr>
        <w:rFonts w:ascii="仿宋" w:hAnsi="仿宋"/>
        <w:color w:val="000000"/>
        <w:spacing w:val="-4"/>
        <w:sz w:val="21"/>
        <w:szCs w:val="21"/>
        <w:u w:val="single"/>
      </w:rPr>
      <w:t xml:space="preserve">                                        2019</w:t>
    </w:r>
    <w:r>
      <w:rPr>
        <w:rFonts w:hint="eastAsia" w:ascii="仿宋" w:hAnsi="仿宋"/>
        <w:color w:val="000000"/>
        <w:spacing w:val="-4"/>
        <w:sz w:val="21"/>
        <w:szCs w:val="21"/>
        <w:u w:val="single"/>
      </w:rPr>
      <w:t>年度衡山县第二中学项目支出绩效评价报告</w:t>
    </w:r>
  </w:p>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ind w:firstLine="0" w:firstLineChars="0"/>
      <w:jc w:val="center"/>
      <w:rPr>
        <w:rFonts w:ascii="仿宋" w:hAnsi="仿宋"/>
        <w:color w:val="000000"/>
        <w:spacing w:val="-4"/>
        <w:sz w:val="21"/>
        <w:szCs w:val="21"/>
        <w:u w:val="single"/>
      </w:rPr>
    </w:pPr>
    <w:r>
      <w:rPr>
        <w:rFonts w:ascii="仿宋" w:hAnsi="仿宋"/>
        <w:color w:val="000000"/>
        <w:spacing w:val="-4"/>
        <w:sz w:val="21"/>
        <w:szCs w:val="21"/>
        <w:u w:val="single"/>
      </w:rPr>
      <w:t xml:space="preserve">                                                                                                   2019</w:t>
    </w:r>
    <w:r>
      <w:rPr>
        <w:rFonts w:hint="eastAsia" w:ascii="仿宋" w:hAnsi="仿宋"/>
        <w:color w:val="000000"/>
        <w:spacing w:val="-4"/>
        <w:sz w:val="21"/>
        <w:szCs w:val="21"/>
        <w:u w:val="single"/>
      </w:rPr>
      <w:t>年度衡山县第二中学项目支出绩效评价报告</w:t>
    </w:r>
  </w:p>
  <w:p>
    <w:pPr>
      <w:pStyle w:val="10"/>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48"/>
  <w:drawingGridVerticalSpacing w:val="317"/>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2374"/>
    <w:rsid w:val="0000423A"/>
    <w:rsid w:val="00017A89"/>
    <w:rsid w:val="00061369"/>
    <w:rsid w:val="000721EF"/>
    <w:rsid w:val="00072899"/>
    <w:rsid w:val="000753A2"/>
    <w:rsid w:val="00080BA5"/>
    <w:rsid w:val="000934C5"/>
    <w:rsid w:val="00093801"/>
    <w:rsid w:val="00093E7E"/>
    <w:rsid w:val="000B06D2"/>
    <w:rsid w:val="000B41D7"/>
    <w:rsid w:val="000B71DF"/>
    <w:rsid w:val="000C2334"/>
    <w:rsid w:val="000E5FDF"/>
    <w:rsid w:val="000F4FDC"/>
    <w:rsid w:val="00104839"/>
    <w:rsid w:val="00115B4B"/>
    <w:rsid w:val="001506C6"/>
    <w:rsid w:val="001572E7"/>
    <w:rsid w:val="00165AF6"/>
    <w:rsid w:val="0018426C"/>
    <w:rsid w:val="00184F17"/>
    <w:rsid w:val="001938BC"/>
    <w:rsid w:val="001D0AC4"/>
    <w:rsid w:val="001E364A"/>
    <w:rsid w:val="001F2835"/>
    <w:rsid w:val="001F508D"/>
    <w:rsid w:val="001F62B2"/>
    <w:rsid w:val="002006A7"/>
    <w:rsid w:val="00211488"/>
    <w:rsid w:val="002202EB"/>
    <w:rsid w:val="002216D1"/>
    <w:rsid w:val="00227D1E"/>
    <w:rsid w:val="002344C7"/>
    <w:rsid w:val="00237DC2"/>
    <w:rsid w:val="00246813"/>
    <w:rsid w:val="002475A4"/>
    <w:rsid w:val="00254B9B"/>
    <w:rsid w:val="002630F5"/>
    <w:rsid w:val="002636A0"/>
    <w:rsid w:val="00274570"/>
    <w:rsid w:val="002760BF"/>
    <w:rsid w:val="002813F2"/>
    <w:rsid w:val="00282E4D"/>
    <w:rsid w:val="00287680"/>
    <w:rsid w:val="002A1A11"/>
    <w:rsid w:val="002A5BFC"/>
    <w:rsid w:val="002A7A6F"/>
    <w:rsid w:val="002B1D7D"/>
    <w:rsid w:val="002C247E"/>
    <w:rsid w:val="002F1B8B"/>
    <w:rsid w:val="00304214"/>
    <w:rsid w:val="0030638E"/>
    <w:rsid w:val="00311176"/>
    <w:rsid w:val="003128E3"/>
    <w:rsid w:val="00331D71"/>
    <w:rsid w:val="00332A04"/>
    <w:rsid w:val="00334620"/>
    <w:rsid w:val="00347B22"/>
    <w:rsid w:val="00354979"/>
    <w:rsid w:val="0037064A"/>
    <w:rsid w:val="00376477"/>
    <w:rsid w:val="003848C2"/>
    <w:rsid w:val="003860A0"/>
    <w:rsid w:val="003973FA"/>
    <w:rsid w:val="00397A83"/>
    <w:rsid w:val="003A743F"/>
    <w:rsid w:val="003A7B9E"/>
    <w:rsid w:val="003C115E"/>
    <w:rsid w:val="003E126E"/>
    <w:rsid w:val="003E3751"/>
    <w:rsid w:val="00405FCF"/>
    <w:rsid w:val="004134FF"/>
    <w:rsid w:val="00424445"/>
    <w:rsid w:val="00426A98"/>
    <w:rsid w:val="00432859"/>
    <w:rsid w:val="00436CDE"/>
    <w:rsid w:val="00442961"/>
    <w:rsid w:val="00445EC2"/>
    <w:rsid w:val="0044675B"/>
    <w:rsid w:val="0045032D"/>
    <w:rsid w:val="00455633"/>
    <w:rsid w:val="0046002F"/>
    <w:rsid w:val="00466C4E"/>
    <w:rsid w:val="00474EBD"/>
    <w:rsid w:val="00482374"/>
    <w:rsid w:val="004915C3"/>
    <w:rsid w:val="004A4D25"/>
    <w:rsid w:val="004A6548"/>
    <w:rsid w:val="004C1EB6"/>
    <w:rsid w:val="004C2B97"/>
    <w:rsid w:val="004C3D44"/>
    <w:rsid w:val="004C4D21"/>
    <w:rsid w:val="004D04DA"/>
    <w:rsid w:val="004E2545"/>
    <w:rsid w:val="004F14F4"/>
    <w:rsid w:val="004F6DC7"/>
    <w:rsid w:val="005125B8"/>
    <w:rsid w:val="0055092F"/>
    <w:rsid w:val="0055752A"/>
    <w:rsid w:val="005668C3"/>
    <w:rsid w:val="00567A12"/>
    <w:rsid w:val="005731DA"/>
    <w:rsid w:val="00574E11"/>
    <w:rsid w:val="005876E1"/>
    <w:rsid w:val="005931F9"/>
    <w:rsid w:val="00596AD8"/>
    <w:rsid w:val="005A2EBB"/>
    <w:rsid w:val="005B29FF"/>
    <w:rsid w:val="005C73C6"/>
    <w:rsid w:val="005D0ABC"/>
    <w:rsid w:val="005E33C2"/>
    <w:rsid w:val="005E4404"/>
    <w:rsid w:val="005F0C72"/>
    <w:rsid w:val="005F59AF"/>
    <w:rsid w:val="00601A53"/>
    <w:rsid w:val="00602AA4"/>
    <w:rsid w:val="006065DE"/>
    <w:rsid w:val="006117B8"/>
    <w:rsid w:val="00613D61"/>
    <w:rsid w:val="006211F6"/>
    <w:rsid w:val="00621666"/>
    <w:rsid w:val="00632F9B"/>
    <w:rsid w:val="006668A5"/>
    <w:rsid w:val="006752B7"/>
    <w:rsid w:val="00687E02"/>
    <w:rsid w:val="00691941"/>
    <w:rsid w:val="006958B6"/>
    <w:rsid w:val="006B1361"/>
    <w:rsid w:val="006B13D6"/>
    <w:rsid w:val="006B3154"/>
    <w:rsid w:val="006F0798"/>
    <w:rsid w:val="00703EAA"/>
    <w:rsid w:val="00707E1F"/>
    <w:rsid w:val="007235DB"/>
    <w:rsid w:val="00723D8E"/>
    <w:rsid w:val="0073067A"/>
    <w:rsid w:val="00770FD9"/>
    <w:rsid w:val="00783D48"/>
    <w:rsid w:val="00784035"/>
    <w:rsid w:val="00785E0A"/>
    <w:rsid w:val="00787711"/>
    <w:rsid w:val="00797E86"/>
    <w:rsid w:val="007C6E7A"/>
    <w:rsid w:val="007D14B9"/>
    <w:rsid w:val="007D6A3D"/>
    <w:rsid w:val="007E676D"/>
    <w:rsid w:val="007F352C"/>
    <w:rsid w:val="008152CE"/>
    <w:rsid w:val="00827657"/>
    <w:rsid w:val="00827E70"/>
    <w:rsid w:val="00831582"/>
    <w:rsid w:val="0083449A"/>
    <w:rsid w:val="00835C12"/>
    <w:rsid w:val="0084723B"/>
    <w:rsid w:val="00871C10"/>
    <w:rsid w:val="00872FB6"/>
    <w:rsid w:val="00886A31"/>
    <w:rsid w:val="008A0163"/>
    <w:rsid w:val="008C5E13"/>
    <w:rsid w:val="008C6E80"/>
    <w:rsid w:val="008D05EF"/>
    <w:rsid w:val="008D2271"/>
    <w:rsid w:val="008E2E6F"/>
    <w:rsid w:val="00903B0E"/>
    <w:rsid w:val="00924684"/>
    <w:rsid w:val="00935AD0"/>
    <w:rsid w:val="009576F3"/>
    <w:rsid w:val="00997F0E"/>
    <w:rsid w:val="009A5491"/>
    <w:rsid w:val="009C0F60"/>
    <w:rsid w:val="009E26C7"/>
    <w:rsid w:val="009E65D0"/>
    <w:rsid w:val="009F0695"/>
    <w:rsid w:val="00A01A20"/>
    <w:rsid w:val="00A01E8B"/>
    <w:rsid w:val="00A04342"/>
    <w:rsid w:val="00A179FF"/>
    <w:rsid w:val="00A2160A"/>
    <w:rsid w:val="00A27CF9"/>
    <w:rsid w:val="00A33828"/>
    <w:rsid w:val="00A40AA4"/>
    <w:rsid w:val="00A534FE"/>
    <w:rsid w:val="00A75AD4"/>
    <w:rsid w:val="00A9050E"/>
    <w:rsid w:val="00AB5EFD"/>
    <w:rsid w:val="00AC35F6"/>
    <w:rsid w:val="00AE4F15"/>
    <w:rsid w:val="00AF1743"/>
    <w:rsid w:val="00AF498D"/>
    <w:rsid w:val="00AF50DF"/>
    <w:rsid w:val="00B129F1"/>
    <w:rsid w:val="00B24837"/>
    <w:rsid w:val="00B34E34"/>
    <w:rsid w:val="00B37878"/>
    <w:rsid w:val="00B464B8"/>
    <w:rsid w:val="00B475D8"/>
    <w:rsid w:val="00B50C4D"/>
    <w:rsid w:val="00B54177"/>
    <w:rsid w:val="00B542F2"/>
    <w:rsid w:val="00B74250"/>
    <w:rsid w:val="00B857AE"/>
    <w:rsid w:val="00B912CF"/>
    <w:rsid w:val="00BA2C03"/>
    <w:rsid w:val="00BA3491"/>
    <w:rsid w:val="00BA491C"/>
    <w:rsid w:val="00BD4F7F"/>
    <w:rsid w:val="00BE1A41"/>
    <w:rsid w:val="00C00014"/>
    <w:rsid w:val="00C00367"/>
    <w:rsid w:val="00C01D12"/>
    <w:rsid w:val="00C12746"/>
    <w:rsid w:val="00C169E9"/>
    <w:rsid w:val="00C22519"/>
    <w:rsid w:val="00C24913"/>
    <w:rsid w:val="00C42603"/>
    <w:rsid w:val="00C47F87"/>
    <w:rsid w:val="00C528C8"/>
    <w:rsid w:val="00C57BE6"/>
    <w:rsid w:val="00C71F55"/>
    <w:rsid w:val="00C75B46"/>
    <w:rsid w:val="00C76315"/>
    <w:rsid w:val="00CA2019"/>
    <w:rsid w:val="00CB03D0"/>
    <w:rsid w:val="00CB14A3"/>
    <w:rsid w:val="00CC2541"/>
    <w:rsid w:val="00CD0D84"/>
    <w:rsid w:val="00CE1955"/>
    <w:rsid w:val="00CE3958"/>
    <w:rsid w:val="00CE671B"/>
    <w:rsid w:val="00CE6FF7"/>
    <w:rsid w:val="00D107EE"/>
    <w:rsid w:val="00D206D4"/>
    <w:rsid w:val="00D8516C"/>
    <w:rsid w:val="00D86462"/>
    <w:rsid w:val="00DA5FFD"/>
    <w:rsid w:val="00DB0994"/>
    <w:rsid w:val="00DB21CA"/>
    <w:rsid w:val="00DD57F7"/>
    <w:rsid w:val="00DF0DFD"/>
    <w:rsid w:val="00DF3721"/>
    <w:rsid w:val="00E011FE"/>
    <w:rsid w:val="00E0130A"/>
    <w:rsid w:val="00E03224"/>
    <w:rsid w:val="00E12CA3"/>
    <w:rsid w:val="00E1625F"/>
    <w:rsid w:val="00E174C5"/>
    <w:rsid w:val="00E40291"/>
    <w:rsid w:val="00E41AE0"/>
    <w:rsid w:val="00E643FD"/>
    <w:rsid w:val="00E6656F"/>
    <w:rsid w:val="00E75D43"/>
    <w:rsid w:val="00EA6038"/>
    <w:rsid w:val="00EB3165"/>
    <w:rsid w:val="00EB4B3E"/>
    <w:rsid w:val="00EB4C2D"/>
    <w:rsid w:val="00EC1AB8"/>
    <w:rsid w:val="00EF3226"/>
    <w:rsid w:val="00F02E3E"/>
    <w:rsid w:val="00F1337B"/>
    <w:rsid w:val="00F335F5"/>
    <w:rsid w:val="00F33902"/>
    <w:rsid w:val="00F34A91"/>
    <w:rsid w:val="00F8236D"/>
    <w:rsid w:val="00F86678"/>
    <w:rsid w:val="00F875E9"/>
    <w:rsid w:val="00F937B7"/>
    <w:rsid w:val="00F95865"/>
    <w:rsid w:val="00FC1561"/>
    <w:rsid w:val="00FC2342"/>
    <w:rsid w:val="00FD1C72"/>
    <w:rsid w:val="00FD4D07"/>
    <w:rsid w:val="00FD6763"/>
    <w:rsid w:val="00FE086E"/>
    <w:rsid w:val="00FE2DF0"/>
    <w:rsid w:val="00FF60F4"/>
    <w:rsid w:val="01313098"/>
    <w:rsid w:val="013A1A1C"/>
    <w:rsid w:val="01704B14"/>
    <w:rsid w:val="017202D0"/>
    <w:rsid w:val="017B1575"/>
    <w:rsid w:val="01A540E4"/>
    <w:rsid w:val="01C82063"/>
    <w:rsid w:val="01D439CB"/>
    <w:rsid w:val="01D65678"/>
    <w:rsid w:val="01EA4110"/>
    <w:rsid w:val="01F51887"/>
    <w:rsid w:val="02130947"/>
    <w:rsid w:val="021614D9"/>
    <w:rsid w:val="021B4CE3"/>
    <w:rsid w:val="02505153"/>
    <w:rsid w:val="025C207A"/>
    <w:rsid w:val="02BC0859"/>
    <w:rsid w:val="02E2769D"/>
    <w:rsid w:val="03616102"/>
    <w:rsid w:val="037356EC"/>
    <w:rsid w:val="04487050"/>
    <w:rsid w:val="04D52245"/>
    <w:rsid w:val="04EA09D5"/>
    <w:rsid w:val="04F17A10"/>
    <w:rsid w:val="04FE6590"/>
    <w:rsid w:val="05074B94"/>
    <w:rsid w:val="05820B6A"/>
    <w:rsid w:val="05875DB3"/>
    <w:rsid w:val="05AE3087"/>
    <w:rsid w:val="05D62E13"/>
    <w:rsid w:val="05EE25B2"/>
    <w:rsid w:val="05F45FB9"/>
    <w:rsid w:val="060666F7"/>
    <w:rsid w:val="0622584E"/>
    <w:rsid w:val="06FB6448"/>
    <w:rsid w:val="07173CB8"/>
    <w:rsid w:val="07207B9A"/>
    <w:rsid w:val="074D1154"/>
    <w:rsid w:val="078966AF"/>
    <w:rsid w:val="07C61135"/>
    <w:rsid w:val="07F51840"/>
    <w:rsid w:val="08542549"/>
    <w:rsid w:val="085843A6"/>
    <w:rsid w:val="08620A29"/>
    <w:rsid w:val="095A3F70"/>
    <w:rsid w:val="095B7AFE"/>
    <w:rsid w:val="099841B6"/>
    <w:rsid w:val="09B92C43"/>
    <w:rsid w:val="09C95BCD"/>
    <w:rsid w:val="0A1736C0"/>
    <w:rsid w:val="0A5A6A77"/>
    <w:rsid w:val="0ADF06BE"/>
    <w:rsid w:val="0B235A65"/>
    <w:rsid w:val="0B311E0F"/>
    <w:rsid w:val="0B365F7F"/>
    <w:rsid w:val="0B440F9C"/>
    <w:rsid w:val="0B7654CB"/>
    <w:rsid w:val="0B8916C4"/>
    <w:rsid w:val="0C5058BC"/>
    <w:rsid w:val="0C6E4AD7"/>
    <w:rsid w:val="0C8A5B82"/>
    <w:rsid w:val="0D524A07"/>
    <w:rsid w:val="0D59131D"/>
    <w:rsid w:val="0D8C64F3"/>
    <w:rsid w:val="0DA4571C"/>
    <w:rsid w:val="0E8D7894"/>
    <w:rsid w:val="0E91106B"/>
    <w:rsid w:val="0EA10C90"/>
    <w:rsid w:val="0EDE0EAF"/>
    <w:rsid w:val="0EF47A8E"/>
    <w:rsid w:val="0EF56055"/>
    <w:rsid w:val="0F2B1C96"/>
    <w:rsid w:val="0F5F7FB5"/>
    <w:rsid w:val="100B7681"/>
    <w:rsid w:val="1016356C"/>
    <w:rsid w:val="105E1DDC"/>
    <w:rsid w:val="107B2062"/>
    <w:rsid w:val="10800743"/>
    <w:rsid w:val="108067C7"/>
    <w:rsid w:val="10915C39"/>
    <w:rsid w:val="10916397"/>
    <w:rsid w:val="10A241F9"/>
    <w:rsid w:val="10A61D15"/>
    <w:rsid w:val="10C97CA5"/>
    <w:rsid w:val="1141165E"/>
    <w:rsid w:val="11A2640C"/>
    <w:rsid w:val="11CB4D1B"/>
    <w:rsid w:val="11D14539"/>
    <w:rsid w:val="11E97086"/>
    <w:rsid w:val="11F54F7D"/>
    <w:rsid w:val="125E1567"/>
    <w:rsid w:val="126B1E29"/>
    <w:rsid w:val="127648B5"/>
    <w:rsid w:val="128D20DD"/>
    <w:rsid w:val="12D64796"/>
    <w:rsid w:val="130010C8"/>
    <w:rsid w:val="131B3A17"/>
    <w:rsid w:val="132969B9"/>
    <w:rsid w:val="13335C13"/>
    <w:rsid w:val="13710BC3"/>
    <w:rsid w:val="13B15CBB"/>
    <w:rsid w:val="13C45864"/>
    <w:rsid w:val="13D42BE2"/>
    <w:rsid w:val="13EE167B"/>
    <w:rsid w:val="14071528"/>
    <w:rsid w:val="14210EB4"/>
    <w:rsid w:val="1475086D"/>
    <w:rsid w:val="14832162"/>
    <w:rsid w:val="1492246B"/>
    <w:rsid w:val="14A315A1"/>
    <w:rsid w:val="1543629B"/>
    <w:rsid w:val="155E420D"/>
    <w:rsid w:val="158C2268"/>
    <w:rsid w:val="1596020D"/>
    <w:rsid w:val="159D0652"/>
    <w:rsid w:val="15B96288"/>
    <w:rsid w:val="15C50708"/>
    <w:rsid w:val="15F16C00"/>
    <w:rsid w:val="15F37C62"/>
    <w:rsid w:val="165857D5"/>
    <w:rsid w:val="167721A7"/>
    <w:rsid w:val="16806F74"/>
    <w:rsid w:val="168E5E68"/>
    <w:rsid w:val="16BD4F40"/>
    <w:rsid w:val="17085890"/>
    <w:rsid w:val="171A228F"/>
    <w:rsid w:val="17254FD1"/>
    <w:rsid w:val="177475D5"/>
    <w:rsid w:val="1786124D"/>
    <w:rsid w:val="178A7CAC"/>
    <w:rsid w:val="178D5336"/>
    <w:rsid w:val="17A30D18"/>
    <w:rsid w:val="17AC1027"/>
    <w:rsid w:val="17C84D38"/>
    <w:rsid w:val="17EC7897"/>
    <w:rsid w:val="17FD2FA0"/>
    <w:rsid w:val="18552EDF"/>
    <w:rsid w:val="18AC00E3"/>
    <w:rsid w:val="18B15275"/>
    <w:rsid w:val="18BF48AA"/>
    <w:rsid w:val="18C8662E"/>
    <w:rsid w:val="196F2E3E"/>
    <w:rsid w:val="19E071DF"/>
    <w:rsid w:val="19F84F59"/>
    <w:rsid w:val="1A4E4126"/>
    <w:rsid w:val="1ACF7DFA"/>
    <w:rsid w:val="1AE80910"/>
    <w:rsid w:val="1B553D3D"/>
    <w:rsid w:val="1B763B10"/>
    <w:rsid w:val="1B8B615B"/>
    <w:rsid w:val="1BA37401"/>
    <w:rsid w:val="1C122A9C"/>
    <w:rsid w:val="1C473ECE"/>
    <w:rsid w:val="1C8D7E38"/>
    <w:rsid w:val="1CD67AD2"/>
    <w:rsid w:val="1D3C7D5F"/>
    <w:rsid w:val="1D486EB7"/>
    <w:rsid w:val="1DB838FF"/>
    <w:rsid w:val="1DD64367"/>
    <w:rsid w:val="1DDD19FC"/>
    <w:rsid w:val="1DE52836"/>
    <w:rsid w:val="1DEF6EE1"/>
    <w:rsid w:val="1E074EFC"/>
    <w:rsid w:val="1E2F1320"/>
    <w:rsid w:val="1E405F48"/>
    <w:rsid w:val="1E915EDB"/>
    <w:rsid w:val="1E970B51"/>
    <w:rsid w:val="1EA80F5B"/>
    <w:rsid w:val="1EBF017C"/>
    <w:rsid w:val="1ECC18BA"/>
    <w:rsid w:val="1EDE0FF3"/>
    <w:rsid w:val="1F81078D"/>
    <w:rsid w:val="1FA21A03"/>
    <w:rsid w:val="1FB90283"/>
    <w:rsid w:val="1FED6A7B"/>
    <w:rsid w:val="20134927"/>
    <w:rsid w:val="203778C1"/>
    <w:rsid w:val="2070033C"/>
    <w:rsid w:val="20AC0CF7"/>
    <w:rsid w:val="20B43621"/>
    <w:rsid w:val="20D91778"/>
    <w:rsid w:val="20E833D3"/>
    <w:rsid w:val="21354F22"/>
    <w:rsid w:val="213908DE"/>
    <w:rsid w:val="21682039"/>
    <w:rsid w:val="217C4EB6"/>
    <w:rsid w:val="217F4EDA"/>
    <w:rsid w:val="21B36B9B"/>
    <w:rsid w:val="21E23293"/>
    <w:rsid w:val="22484463"/>
    <w:rsid w:val="227136F9"/>
    <w:rsid w:val="22A2674A"/>
    <w:rsid w:val="23124886"/>
    <w:rsid w:val="238F2E45"/>
    <w:rsid w:val="24106321"/>
    <w:rsid w:val="2442506A"/>
    <w:rsid w:val="244B7D5F"/>
    <w:rsid w:val="245C3383"/>
    <w:rsid w:val="24617D26"/>
    <w:rsid w:val="247E2EB4"/>
    <w:rsid w:val="24CB567D"/>
    <w:rsid w:val="250D5A08"/>
    <w:rsid w:val="252B13E6"/>
    <w:rsid w:val="25711E50"/>
    <w:rsid w:val="25781180"/>
    <w:rsid w:val="2592043F"/>
    <w:rsid w:val="25D7712A"/>
    <w:rsid w:val="25E84FC6"/>
    <w:rsid w:val="260666B2"/>
    <w:rsid w:val="262C4236"/>
    <w:rsid w:val="26496122"/>
    <w:rsid w:val="266413A8"/>
    <w:rsid w:val="26683591"/>
    <w:rsid w:val="26AD7D35"/>
    <w:rsid w:val="26F54E01"/>
    <w:rsid w:val="272324CF"/>
    <w:rsid w:val="27287C2A"/>
    <w:rsid w:val="275D00CA"/>
    <w:rsid w:val="279D45D4"/>
    <w:rsid w:val="282A363D"/>
    <w:rsid w:val="28B706BB"/>
    <w:rsid w:val="28BA4427"/>
    <w:rsid w:val="28CB68A4"/>
    <w:rsid w:val="28D82D9B"/>
    <w:rsid w:val="29536882"/>
    <w:rsid w:val="29B86D10"/>
    <w:rsid w:val="29BF1C58"/>
    <w:rsid w:val="29D401E4"/>
    <w:rsid w:val="29DC196D"/>
    <w:rsid w:val="2A0403A8"/>
    <w:rsid w:val="2A9F40F6"/>
    <w:rsid w:val="2ACB121E"/>
    <w:rsid w:val="2AD170E5"/>
    <w:rsid w:val="2B1A537F"/>
    <w:rsid w:val="2B7276F3"/>
    <w:rsid w:val="2B796EA6"/>
    <w:rsid w:val="2B7F7777"/>
    <w:rsid w:val="2BB83382"/>
    <w:rsid w:val="2BD53777"/>
    <w:rsid w:val="2C0849C8"/>
    <w:rsid w:val="2C322D71"/>
    <w:rsid w:val="2D0F589B"/>
    <w:rsid w:val="2D32720E"/>
    <w:rsid w:val="2D47397A"/>
    <w:rsid w:val="2DA24585"/>
    <w:rsid w:val="2DAD55DA"/>
    <w:rsid w:val="2E247D99"/>
    <w:rsid w:val="2E480B79"/>
    <w:rsid w:val="2E4C3F8C"/>
    <w:rsid w:val="2E4E3861"/>
    <w:rsid w:val="2E6559C5"/>
    <w:rsid w:val="2EAD04F2"/>
    <w:rsid w:val="2EDA7F29"/>
    <w:rsid w:val="2F1C2BC6"/>
    <w:rsid w:val="2F3130B5"/>
    <w:rsid w:val="2F614570"/>
    <w:rsid w:val="2FB92B55"/>
    <w:rsid w:val="2FBE2D0F"/>
    <w:rsid w:val="2FC32B2F"/>
    <w:rsid w:val="30041D79"/>
    <w:rsid w:val="3058390E"/>
    <w:rsid w:val="30754DAD"/>
    <w:rsid w:val="309A034B"/>
    <w:rsid w:val="30B61E2C"/>
    <w:rsid w:val="30CB5B86"/>
    <w:rsid w:val="312C522A"/>
    <w:rsid w:val="31693E37"/>
    <w:rsid w:val="319239F6"/>
    <w:rsid w:val="32106D34"/>
    <w:rsid w:val="32815456"/>
    <w:rsid w:val="32BD4A47"/>
    <w:rsid w:val="33111046"/>
    <w:rsid w:val="3340586A"/>
    <w:rsid w:val="33435A69"/>
    <w:rsid w:val="335338A2"/>
    <w:rsid w:val="33654989"/>
    <w:rsid w:val="336A3A0F"/>
    <w:rsid w:val="33D92863"/>
    <w:rsid w:val="33DC0912"/>
    <w:rsid w:val="33F05C47"/>
    <w:rsid w:val="33FA2DE6"/>
    <w:rsid w:val="34380157"/>
    <w:rsid w:val="34917DC8"/>
    <w:rsid w:val="34B11DC5"/>
    <w:rsid w:val="34C05825"/>
    <w:rsid w:val="350E4860"/>
    <w:rsid w:val="351D3745"/>
    <w:rsid w:val="35287662"/>
    <w:rsid w:val="35F87496"/>
    <w:rsid w:val="35FC3AA1"/>
    <w:rsid w:val="361B0999"/>
    <w:rsid w:val="361F67BC"/>
    <w:rsid w:val="3654246D"/>
    <w:rsid w:val="36D51203"/>
    <w:rsid w:val="36E95DC3"/>
    <w:rsid w:val="37577D00"/>
    <w:rsid w:val="37587C10"/>
    <w:rsid w:val="3789513B"/>
    <w:rsid w:val="37C50488"/>
    <w:rsid w:val="37E155F8"/>
    <w:rsid w:val="382E12C2"/>
    <w:rsid w:val="383E3875"/>
    <w:rsid w:val="38B53BF8"/>
    <w:rsid w:val="38DB0E77"/>
    <w:rsid w:val="3925403C"/>
    <w:rsid w:val="395960C9"/>
    <w:rsid w:val="39C93C4C"/>
    <w:rsid w:val="39D96C69"/>
    <w:rsid w:val="3AA35051"/>
    <w:rsid w:val="3AF54E20"/>
    <w:rsid w:val="3AF7545C"/>
    <w:rsid w:val="3B203985"/>
    <w:rsid w:val="3B316F07"/>
    <w:rsid w:val="3B570193"/>
    <w:rsid w:val="3C4117C8"/>
    <w:rsid w:val="3C8F297C"/>
    <w:rsid w:val="3C911541"/>
    <w:rsid w:val="3C9F6FD4"/>
    <w:rsid w:val="3CA82696"/>
    <w:rsid w:val="3CBD2733"/>
    <w:rsid w:val="3CE156A4"/>
    <w:rsid w:val="3D0C5A61"/>
    <w:rsid w:val="3D621855"/>
    <w:rsid w:val="3D8C4368"/>
    <w:rsid w:val="3DD24BA0"/>
    <w:rsid w:val="3E0C2358"/>
    <w:rsid w:val="3E3B5211"/>
    <w:rsid w:val="3E7F23EF"/>
    <w:rsid w:val="3EB738B8"/>
    <w:rsid w:val="3EF86C1E"/>
    <w:rsid w:val="3F051C53"/>
    <w:rsid w:val="3F3B5300"/>
    <w:rsid w:val="3F84769B"/>
    <w:rsid w:val="3F8544E1"/>
    <w:rsid w:val="3FD63921"/>
    <w:rsid w:val="3FEA1520"/>
    <w:rsid w:val="400F1565"/>
    <w:rsid w:val="401A59BB"/>
    <w:rsid w:val="404E42C8"/>
    <w:rsid w:val="406C6587"/>
    <w:rsid w:val="409C7C02"/>
    <w:rsid w:val="40AE2272"/>
    <w:rsid w:val="40B27D8A"/>
    <w:rsid w:val="40E130AF"/>
    <w:rsid w:val="410325FA"/>
    <w:rsid w:val="41764C51"/>
    <w:rsid w:val="41882937"/>
    <w:rsid w:val="419E74BE"/>
    <w:rsid w:val="41C52925"/>
    <w:rsid w:val="41D21617"/>
    <w:rsid w:val="41E154DD"/>
    <w:rsid w:val="41F75FF2"/>
    <w:rsid w:val="422D2854"/>
    <w:rsid w:val="422E1C92"/>
    <w:rsid w:val="42502659"/>
    <w:rsid w:val="429D0CB7"/>
    <w:rsid w:val="42E27786"/>
    <w:rsid w:val="43105F4C"/>
    <w:rsid w:val="431A4FD5"/>
    <w:rsid w:val="433E44A4"/>
    <w:rsid w:val="435C0286"/>
    <w:rsid w:val="43724AB3"/>
    <w:rsid w:val="43734584"/>
    <w:rsid w:val="439261EA"/>
    <w:rsid w:val="439E7CE7"/>
    <w:rsid w:val="43BC2488"/>
    <w:rsid w:val="43CF2EC5"/>
    <w:rsid w:val="43D315DE"/>
    <w:rsid w:val="43E63E85"/>
    <w:rsid w:val="43EB5F75"/>
    <w:rsid w:val="43F86362"/>
    <w:rsid w:val="443A1EC2"/>
    <w:rsid w:val="44631E9D"/>
    <w:rsid w:val="446C35A7"/>
    <w:rsid w:val="449607FF"/>
    <w:rsid w:val="450D58D1"/>
    <w:rsid w:val="45793FE5"/>
    <w:rsid w:val="45FD1E27"/>
    <w:rsid w:val="46636B2F"/>
    <w:rsid w:val="467B7CDC"/>
    <w:rsid w:val="46CA3CEA"/>
    <w:rsid w:val="478357D2"/>
    <w:rsid w:val="47AC225D"/>
    <w:rsid w:val="48414C7D"/>
    <w:rsid w:val="48BD1B4F"/>
    <w:rsid w:val="48F8141A"/>
    <w:rsid w:val="49352DBD"/>
    <w:rsid w:val="49527110"/>
    <w:rsid w:val="49987E61"/>
    <w:rsid w:val="49B10895"/>
    <w:rsid w:val="4AE10803"/>
    <w:rsid w:val="4B1826D7"/>
    <w:rsid w:val="4B2126D2"/>
    <w:rsid w:val="4B4A435D"/>
    <w:rsid w:val="4B50246F"/>
    <w:rsid w:val="4B862180"/>
    <w:rsid w:val="4B8B7386"/>
    <w:rsid w:val="4B961435"/>
    <w:rsid w:val="4B9C3AA0"/>
    <w:rsid w:val="4C940AD5"/>
    <w:rsid w:val="4CB40812"/>
    <w:rsid w:val="4CD303BB"/>
    <w:rsid w:val="4D325205"/>
    <w:rsid w:val="4D3C42AF"/>
    <w:rsid w:val="4D4F27E0"/>
    <w:rsid w:val="4D567E5F"/>
    <w:rsid w:val="4D6F7BBA"/>
    <w:rsid w:val="4DB7136F"/>
    <w:rsid w:val="4DEA150F"/>
    <w:rsid w:val="4E110488"/>
    <w:rsid w:val="4E225991"/>
    <w:rsid w:val="4EAE77D2"/>
    <w:rsid w:val="4F320F08"/>
    <w:rsid w:val="4F333BB1"/>
    <w:rsid w:val="4FA35525"/>
    <w:rsid w:val="4FB30C8A"/>
    <w:rsid w:val="4FC46EB1"/>
    <w:rsid w:val="4FF7682C"/>
    <w:rsid w:val="502349C8"/>
    <w:rsid w:val="50290554"/>
    <w:rsid w:val="504F2138"/>
    <w:rsid w:val="50524061"/>
    <w:rsid w:val="50752FC1"/>
    <w:rsid w:val="50BD2F61"/>
    <w:rsid w:val="50C54ECE"/>
    <w:rsid w:val="50EF3EB0"/>
    <w:rsid w:val="51C2485B"/>
    <w:rsid w:val="51DC7881"/>
    <w:rsid w:val="51E20694"/>
    <w:rsid w:val="51F212C9"/>
    <w:rsid w:val="51FF1923"/>
    <w:rsid w:val="52122525"/>
    <w:rsid w:val="52153B32"/>
    <w:rsid w:val="5216641C"/>
    <w:rsid w:val="523D7FA9"/>
    <w:rsid w:val="52473181"/>
    <w:rsid w:val="52807642"/>
    <w:rsid w:val="52B27766"/>
    <w:rsid w:val="52B94A6F"/>
    <w:rsid w:val="533F335F"/>
    <w:rsid w:val="534A54D2"/>
    <w:rsid w:val="53610C44"/>
    <w:rsid w:val="539E47BD"/>
    <w:rsid w:val="53CB3B1F"/>
    <w:rsid w:val="53CC2AC0"/>
    <w:rsid w:val="53E505CC"/>
    <w:rsid w:val="540D1507"/>
    <w:rsid w:val="54274826"/>
    <w:rsid w:val="54382A95"/>
    <w:rsid w:val="54405366"/>
    <w:rsid w:val="54457AA0"/>
    <w:rsid w:val="54471AAB"/>
    <w:rsid w:val="545023F7"/>
    <w:rsid w:val="54540342"/>
    <w:rsid w:val="546D1855"/>
    <w:rsid w:val="54A5202C"/>
    <w:rsid w:val="54AF1F78"/>
    <w:rsid w:val="54D1572E"/>
    <w:rsid w:val="54FB0CA0"/>
    <w:rsid w:val="5545566F"/>
    <w:rsid w:val="55AE7B59"/>
    <w:rsid w:val="55AF5D2E"/>
    <w:rsid w:val="55EC2D62"/>
    <w:rsid w:val="562C12FB"/>
    <w:rsid w:val="56354CB2"/>
    <w:rsid w:val="563C2C55"/>
    <w:rsid w:val="5640154A"/>
    <w:rsid w:val="5668684E"/>
    <w:rsid w:val="56CB7302"/>
    <w:rsid w:val="570A033A"/>
    <w:rsid w:val="573012F5"/>
    <w:rsid w:val="575B1DFF"/>
    <w:rsid w:val="57737F2E"/>
    <w:rsid w:val="57867947"/>
    <w:rsid w:val="579B42A8"/>
    <w:rsid w:val="57F31E21"/>
    <w:rsid w:val="581177CD"/>
    <w:rsid w:val="58227496"/>
    <w:rsid w:val="582637EF"/>
    <w:rsid w:val="5833640A"/>
    <w:rsid w:val="5852495B"/>
    <w:rsid w:val="58792A3C"/>
    <w:rsid w:val="58B853B8"/>
    <w:rsid w:val="58C33907"/>
    <w:rsid w:val="58C640E9"/>
    <w:rsid w:val="5900393E"/>
    <w:rsid w:val="59B25940"/>
    <w:rsid w:val="59C74C06"/>
    <w:rsid w:val="5A43799A"/>
    <w:rsid w:val="5A4E3B84"/>
    <w:rsid w:val="5A933C31"/>
    <w:rsid w:val="5AA83955"/>
    <w:rsid w:val="5AC74118"/>
    <w:rsid w:val="5AF76D81"/>
    <w:rsid w:val="5B02400D"/>
    <w:rsid w:val="5B0E08AA"/>
    <w:rsid w:val="5B19568B"/>
    <w:rsid w:val="5B3C49D4"/>
    <w:rsid w:val="5B495EAA"/>
    <w:rsid w:val="5B8932C5"/>
    <w:rsid w:val="5B8C7FC0"/>
    <w:rsid w:val="5BEC4F5F"/>
    <w:rsid w:val="5BFE64A3"/>
    <w:rsid w:val="5C3B2789"/>
    <w:rsid w:val="5C5265E8"/>
    <w:rsid w:val="5CEE6FFE"/>
    <w:rsid w:val="5D1D3EA5"/>
    <w:rsid w:val="5D4821EC"/>
    <w:rsid w:val="5D663151"/>
    <w:rsid w:val="5D9E52FF"/>
    <w:rsid w:val="5DC42E95"/>
    <w:rsid w:val="5DC65E53"/>
    <w:rsid w:val="5DDB103E"/>
    <w:rsid w:val="5DEB7A4B"/>
    <w:rsid w:val="5E10426B"/>
    <w:rsid w:val="5E8A4F28"/>
    <w:rsid w:val="5E960C96"/>
    <w:rsid w:val="5E9B7895"/>
    <w:rsid w:val="5EA3545F"/>
    <w:rsid w:val="5ECC2CD1"/>
    <w:rsid w:val="5ED518F0"/>
    <w:rsid w:val="5ED6342B"/>
    <w:rsid w:val="5EE42AF0"/>
    <w:rsid w:val="5EF85EA1"/>
    <w:rsid w:val="5F077110"/>
    <w:rsid w:val="5F0A510F"/>
    <w:rsid w:val="5F5A0102"/>
    <w:rsid w:val="5F61521F"/>
    <w:rsid w:val="5F847D96"/>
    <w:rsid w:val="5F8E539C"/>
    <w:rsid w:val="5F8F79B1"/>
    <w:rsid w:val="5FB900D2"/>
    <w:rsid w:val="5FFE2E64"/>
    <w:rsid w:val="6024698A"/>
    <w:rsid w:val="603A6880"/>
    <w:rsid w:val="607207F9"/>
    <w:rsid w:val="6089511C"/>
    <w:rsid w:val="608E4153"/>
    <w:rsid w:val="608F5F3F"/>
    <w:rsid w:val="60A16B74"/>
    <w:rsid w:val="60F94A85"/>
    <w:rsid w:val="60FE02F8"/>
    <w:rsid w:val="612B684D"/>
    <w:rsid w:val="61450106"/>
    <w:rsid w:val="615F56E8"/>
    <w:rsid w:val="61B46144"/>
    <w:rsid w:val="620B36E5"/>
    <w:rsid w:val="621958C2"/>
    <w:rsid w:val="62506D0B"/>
    <w:rsid w:val="62514EE3"/>
    <w:rsid w:val="625C044F"/>
    <w:rsid w:val="629028BE"/>
    <w:rsid w:val="62921F3F"/>
    <w:rsid w:val="62D05AA7"/>
    <w:rsid w:val="62E33CC3"/>
    <w:rsid w:val="62FB278D"/>
    <w:rsid w:val="63280BD0"/>
    <w:rsid w:val="632D54E0"/>
    <w:rsid w:val="63801648"/>
    <w:rsid w:val="63850828"/>
    <w:rsid w:val="639E0F3A"/>
    <w:rsid w:val="64212BB4"/>
    <w:rsid w:val="6438634E"/>
    <w:rsid w:val="646C220E"/>
    <w:rsid w:val="648234A6"/>
    <w:rsid w:val="6497616D"/>
    <w:rsid w:val="64C315CD"/>
    <w:rsid w:val="65174FAA"/>
    <w:rsid w:val="65305126"/>
    <w:rsid w:val="655331DA"/>
    <w:rsid w:val="65810909"/>
    <w:rsid w:val="65DF171D"/>
    <w:rsid w:val="65EB4ED7"/>
    <w:rsid w:val="660B07A6"/>
    <w:rsid w:val="6629537A"/>
    <w:rsid w:val="66CB7044"/>
    <w:rsid w:val="66E1707D"/>
    <w:rsid w:val="66FF1DCD"/>
    <w:rsid w:val="66FF5236"/>
    <w:rsid w:val="674B370B"/>
    <w:rsid w:val="6798286B"/>
    <w:rsid w:val="67A74391"/>
    <w:rsid w:val="6845407D"/>
    <w:rsid w:val="687B6C19"/>
    <w:rsid w:val="6890150B"/>
    <w:rsid w:val="68994A5C"/>
    <w:rsid w:val="68A33E8B"/>
    <w:rsid w:val="68F122D4"/>
    <w:rsid w:val="69276D63"/>
    <w:rsid w:val="69A77E78"/>
    <w:rsid w:val="69AD591D"/>
    <w:rsid w:val="6A026795"/>
    <w:rsid w:val="6A0D3073"/>
    <w:rsid w:val="6A3169BA"/>
    <w:rsid w:val="6A443F5E"/>
    <w:rsid w:val="6A8B363D"/>
    <w:rsid w:val="6AA34760"/>
    <w:rsid w:val="6ACB6946"/>
    <w:rsid w:val="6AF80881"/>
    <w:rsid w:val="6B014938"/>
    <w:rsid w:val="6B2779A1"/>
    <w:rsid w:val="6B4D4116"/>
    <w:rsid w:val="6B4E766F"/>
    <w:rsid w:val="6B67184B"/>
    <w:rsid w:val="6B72550E"/>
    <w:rsid w:val="6BD27D5F"/>
    <w:rsid w:val="6C066694"/>
    <w:rsid w:val="6C073FE6"/>
    <w:rsid w:val="6C176D43"/>
    <w:rsid w:val="6C1B2A5F"/>
    <w:rsid w:val="6C711D3C"/>
    <w:rsid w:val="6C83463A"/>
    <w:rsid w:val="6C870256"/>
    <w:rsid w:val="6C894875"/>
    <w:rsid w:val="6C9112C2"/>
    <w:rsid w:val="6CB43C73"/>
    <w:rsid w:val="6CD76DC5"/>
    <w:rsid w:val="6D33377C"/>
    <w:rsid w:val="6D4948CE"/>
    <w:rsid w:val="6D5B20B4"/>
    <w:rsid w:val="6D5B3FA0"/>
    <w:rsid w:val="6D5E3CA0"/>
    <w:rsid w:val="6DC00F68"/>
    <w:rsid w:val="6DCD1D69"/>
    <w:rsid w:val="6DD07C38"/>
    <w:rsid w:val="6DFC3A39"/>
    <w:rsid w:val="6E615843"/>
    <w:rsid w:val="6E742D19"/>
    <w:rsid w:val="6E85132B"/>
    <w:rsid w:val="6E9A6C1D"/>
    <w:rsid w:val="6E9E097A"/>
    <w:rsid w:val="6EBC2960"/>
    <w:rsid w:val="6F004641"/>
    <w:rsid w:val="6F053225"/>
    <w:rsid w:val="6F0E78BF"/>
    <w:rsid w:val="6F3803B2"/>
    <w:rsid w:val="6F3D5D63"/>
    <w:rsid w:val="6F576CEB"/>
    <w:rsid w:val="6FCA149A"/>
    <w:rsid w:val="70612A40"/>
    <w:rsid w:val="7061719C"/>
    <w:rsid w:val="70A36A34"/>
    <w:rsid w:val="70A4509E"/>
    <w:rsid w:val="70B247EC"/>
    <w:rsid w:val="70BB1C05"/>
    <w:rsid w:val="70D15212"/>
    <w:rsid w:val="710919ED"/>
    <w:rsid w:val="711A429D"/>
    <w:rsid w:val="71B345CA"/>
    <w:rsid w:val="71B90505"/>
    <w:rsid w:val="71E87CAF"/>
    <w:rsid w:val="71F74605"/>
    <w:rsid w:val="72194EA0"/>
    <w:rsid w:val="72752E64"/>
    <w:rsid w:val="727B21A5"/>
    <w:rsid w:val="727D25C3"/>
    <w:rsid w:val="72C2403C"/>
    <w:rsid w:val="72C56DA7"/>
    <w:rsid w:val="733C484D"/>
    <w:rsid w:val="73481269"/>
    <w:rsid w:val="736E038C"/>
    <w:rsid w:val="73A92F04"/>
    <w:rsid w:val="73AA6B3C"/>
    <w:rsid w:val="73F949F9"/>
    <w:rsid w:val="73FE4FB0"/>
    <w:rsid w:val="74050504"/>
    <w:rsid w:val="74141E82"/>
    <w:rsid w:val="74763E1B"/>
    <w:rsid w:val="74DE2C12"/>
    <w:rsid w:val="756F688B"/>
    <w:rsid w:val="7579436E"/>
    <w:rsid w:val="758E227B"/>
    <w:rsid w:val="75913398"/>
    <w:rsid w:val="75914B13"/>
    <w:rsid w:val="75CB52D7"/>
    <w:rsid w:val="75F61752"/>
    <w:rsid w:val="76206738"/>
    <w:rsid w:val="76307207"/>
    <w:rsid w:val="768E0F59"/>
    <w:rsid w:val="76BE7F01"/>
    <w:rsid w:val="76C27439"/>
    <w:rsid w:val="76D5728C"/>
    <w:rsid w:val="77166F51"/>
    <w:rsid w:val="779D47D7"/>
    <w:rsid w:val="77BC4FEC"/>
    <w:rsid w:val="77BD31F8"/>
    <w:rsid w:val="781654CB"/>
    <w:rsid w:val="78285464"/>
    <w:rsid w:val="78400EC7"/>
    <w:rsid w:val="784A018B"/>
    <w:rsid w:val="78504729"/>
    <w:rsid w:val="78E27EAC"/>
    <w:rsid w:val="78EE34C1"/>
    <w:rsid w:val="79054176"/>
    <w:rsid w:val="7A0875E7"/>
    <w:rsid w:val="7A1A066F"/>
    <w:rsid w:val="7A4D773A"/>
    <w:rsid w:val="7A752419"/>
    <w:rsid w:val="7B30547B"/>
    <w:rsid w:val="7B751E05"/>
    <w:rsid w:val="7BA573E6"/>
    <w:rsid w:val="7BB76CF2"/>
    <w:rsid w:val="7BCE5500"/>
    <w:rsid w:val="7C702C96"/>
    <w:rsid w:val="7CA31C66"/>
    <w:rsid w:val="7CDE4C4D"/>
    <w:rsid w:val="7CFC3257"/>
    <w:rsid w:val="7D120F8E"/>
    <w:rsid w:val="7D326E12"/>
    <w:rsid w:val="7D631670"/>
    <w:rsid w:val="7DA1243A"/>
    <w:rsid w:val="7DB10BEC"/>
    <w:rsid w:val="7DD15964"/>
    <w:rsid w:val="7DFB54B6"/>
    <w:rsid w:val="7E6F1C09"/>
    <w:rsid w:val="7E8447A7"/>
    <w:rsid w:val="7EAD7221"/>
    <w:rsid w:val="7ECE0919"/>
    <w:rsid w:val="7EF21E31"/>
    <w:rsid w:val="7F2934F3"/>
    <w:rsid w:val="7F412550"/>
    <w:rsid w:val="7F6A570F"/>
    <w:rsid w:val="7F89447D"/>
    <w:rsid w:val="7FB41262"/>
    <w:rsid w:val="7FB42CC5"/>
    <w:rsid w:val="7FE272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7"/>
    <w:qFormat/>
    <w:uiPriority w:val="99"/>
    <w:pPr>
      <w:outlineLvl w:val="0"/>
    </w:pPr>
    <w:rPr>
      <w:rFonts w:eastAsia="黑体"/>
      <w:bCs/>
      <w:kern w:val="44"/>
      <w:szCs w:val="44"/>
    </w:rPr>
  </w:style>
  <w:style w:type="paragraph" w:styleId="3">
    <w:name w:val="heading 2"/>
    <w:basedOn w:val="1"/>
    <w:next w:val="1"/>
    <w:link w:val="18"/>
    <w:qFormat/>
    <w:uiPriority w:val="99"/>
    <w:pPr>
      <w:outlineLvl w:val="1"/>
    </w:pPr>
    <w:rPr>
      <w:rFonts w:ascii="Arial" w:hAnsi="Arial" w:eastAsia="楷体"/>
      <w:b/>
    </w:rPr>
  </w:style>
  <w:style w:type="paragraph" w:styleId="4">
    <w:name w:val="heading 3"/>
    <w:basedOn w:val="1"/>
    <w:next w:val="1"/>
    <w:link w:val="19"/>
    <w:qFormat/>
    <w:uiPriority w:val="99"/>
    <w:pPr>
      <w:outlineLvl w:val="2"/>
    </w:pPr>
    <w:rPr>
      <w:b/>
    </w:rPr>
  </w:style>
  <w:style w:type="paragraph" w:styleId="5">
    <w:name w:val="heading 4"/>
    <w:basedOn w:val="3"/>
    <w:next w:val="1"/>
    <w:link w:val="25"/>
    <w:unhideWhenUsed/>
    <w:qFormat/>
    <w:locked/>
    <w:uiPriority w:val="0"/>
    <w:pPr>
      <w:ind w:firstLine="595"/>
      <w:outlineLvl w:val="3"/>
    </w:pPr>
    <w:rPr>
      <w:kern w:val="0"/>
    </w:rPr>
  </w:style>
  <w:style w:type="character" w:default="1" w:styleId="14">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qFormat/>
    <w:uiPriority w:val="99"/>
    <w:pPr>
      <w:ind w:left="840" w:leftChars="400"/>
    </w:pPr>
  </w:style>
  <w:style w:type="paragraph" w:styleId="7">
    <w:name w:val="Date"/>
    <w:basedOn w:val="1"/>
    <w:next w:val="1"/>
    <w:link w:val="26"/>
    <w:semiHidden/>
    <w:unhideWhenUsed/>
    <w:qFormat/>
    <w:uiPriority w:val="99"/>
    <w:pPr>
      <w:ind w:left="100" w:leftChars="2500"/>
    </w:pPr>
  </w:style>
  <w:style w:type="paragraph" w:styleId="8">
    <w:name w:val="Balloon Text"/>
    <w:basedOn w:val="1"/>
    <w:link w:val="20"/>
    <w:semiHidden/>
    <w:qFormat/>
    <w:uiPriority w:val="99"/>
    <w:rPr>
      <w:sz w:val="18"/>
      <w:szCs w:val="18"/>
    </w:rPr>
  </w:style>
  <w:style w:type="paragraph" w:styleId="9">
    <w:name w:val="footer"/>
    <w:basedOn w:val="1"/>
    <w:link w:val="21"/>
    <w:uiPriority w:val="99"/>
    <w:pPr>
      <w:tabs>
        <w:tab w:val="center" w:pos="4153"/>
        <w:tab w:val="right" w:pos="8306"/>
      </w:tabs>
      <w:snapToGrid w:val="0"/>
      <w:jc w:val="left"/>
    </w:pPr>
    <w:rPr>
      <w:rFonts w:ascii="Calibri" w:hAnsi="Calibri"/>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toc 1"/>
    <w:basedOn w:val="1"/>
    <w:next w:val="1"/>
    <w:qFormat/>
    <w:uiPriority w:val="99"/>
  </w:style>
  <w:style w:type="paragraph" w:styleId="12">
    <w:name w:val="toc 2"/>
    <w:basedOn w:val="1"/>
    <w:next w:val="1"/>
    <w:qFormat/>
    <w:uiPriority w:val="9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Hyperlink"/>
    <w:qFormat/>
    <w:uiPriority w:val="99"/>
    <w:rPr>
      <w:rFonts w:cs="Times New Roman"/>
      <w:color w:val="0000FF"/>
      <w:u w:val="single"/>
    </w:rPr>
  </w:style>
  <w:style w:type="character" w:customStyle="1" w:styleId="17">
    <w:name w:val="标题 1 字符"/>
    <w:link w:val="2"/>
    <w:qFormat/>
    <w:locked/>
    <w:uiPriority w:val="99"/>
    <w:rPr>
      <w:rFonts w:eastAsia="黑体" w:cs="Times New Roman"/>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rFonts w:eastAsia="仿宋"/>
      <w:b/>
      <w:bCs/>
      <w:sz w:val="32"/>
      <w:szCs w:val="32"/>
    </w:rPr>
  </w:style>
  <w:style w:type="character" w:customStyle="1" w:styleId="20">
    <w:name w:val="批注框文本 字符"/>
    <w:link w:val="8"/>
    <w:semiHidden/>
    <w:qFormat/>
    <w:locked/>
    <w:uiPriority w:val="99"/>
    <w:rPr>
      <w:rFonts w:ascii="Times New Roman" w:hAnsi="Times New Roman" w:eastAsia="宋体" w:cs="Times New Roman"/>
      <w:sz w:val="18"/>
      <w:szCs w:val="18"/>
    </w:rPr>
  </w:style>
  <w:style w:type="character" w:customStyle="1" w:styleId="21">
    <w:name w:val="页脚 字符1"/>
    <w:link w:val="9"/>
    <w:locked/>
    <w:uiPriority w:val="99"/>
    <w:rPr>
      <w:rFonts w:cs="Times New Roman"/>
      <w:sz w:val="18"/>
      <w:szCs w:val="18"/>
    </w:rPr>
  </w:style>
  <w:style w:type="character" w:customStyle="1" w:styleId="22">
    <w:name w:val="页眉 字符"/>
    <w:link w:val="10"/>
    <w:qFormat/>
    <w:locked/>
    <w:uiPriority w:val="99"/>
    <w:rPr>
      <w:rFonts w:cs="Times New Roman"/>
      <w:sz w:val="18"/>
      <w:szCs w:val="18"/>
    </w:rPr>
  </w:style>
  <w:style w:type="character" w:customStyle="1" w:styleId="23">
    <w:name w:val="页脚 字符"/>
    <w:qFormat/>
    <w:uiPriority w:val="99"/>
    <w:rPr>
      <w:kern w:val="2"/>
      <w:sz w:val="18"/>
    </w:rPr>
  </w:style>
  <w:style w:type="paragraph" w:styleId="24">
    <w:name w:val="List Paragraph"/>
    <w:basedOn w:val="1"/>
    <w:qFormat/>
    <w:uiPriority w:val="99"/>
    <w:pPr>
      <w:ind w:firstLine="420"/>
    </w:pPr>
  </w:style>
  <w:style w:type="character" w:customStyle="1" w:styleId="25">
    <w:name w:val="标题 4 字符"/>
    <w:link w:val="5"/>
    <w:qFormat/>
    <w:uiPriority w:val="0"/>
    <w:rPr>
      <w:rFonts w:ascii="Arial" w:hAnsi="Arial" w:eastAsia="楷体"/>
      <w:b/>
      <w:sz w:val="32"/>
      <w:szCs w:val="24"/>
    </w:rPr>
  </w:style>
  <w:style w:type="character" w:customStyle="1" w:styleId="26">
    <w:name w:val="日期 字符"/>
    <w:basedOn w:val="14"/>
    <w:link w:val="7"/>
    <w:semiHidden/>
    <w:qFormat/>
    <w:uiPriority w:val="99"/>
    <w:rPr>
      <w:rFonts w:eastAsia="仿宋"/>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F71E-C7AE-4D1B-8069-47A7745A06A5}">
  <ds:schemaRefs/>
</ds:datastoreItem>
</file>

<file path=docProps/app.xml><?xml version="1.0" encoding="utf-8"?>
<Properties xmlns="http://schemas.openxmlformats.org/officeDocument/2006/extended-properties" xmlns:vt="http://schemas.openxmlformats.org/officeDocument/2006/docPropsVTypes">
  <Template>Normal</Template>
  <Pages>12</Pages>
  <Words>743</Words>
  <Characters>4241</Characters>
  <Lines>35</Lines>
  <Paragraphs>9</Paragraphs>
  <TotalTime>898</TotalTime>
  <ScaleCrop>false</ScaleCrop>
  <LinksUpToDate>false</LinksUpToDate>
  <CharactersWithSpaces>4975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2020-01-16T16:05:00Z</dcterms:created>
  <dc:creator>Admin</dc:creator>
  <cp:lastModifiedBy>P-L-J</cp:lastModifiedBy>
  <cp:lastPrinted>2019-08-30T02:55:00Z</cp:lastPrinted>
  <dcterms:modified xsi:type="dcterms:W3CDTF">2021-05-21T03:30:57Z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