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75" w:lineRule="atLeast"/>
        <w:ind w:left="0" w:right="0" w:firstLine="0"/>
        <w:jc w:val="center"/>
        <w:rPr>
          <w:rFonts w:ascii="微软雅黑" w:hAnsi="微软雅黑" w:eastAsia="微软雅黑" w:cs="微软雅黑"/>
          <w:b w:val="0"/>
          <w:bCs w:val="0"/>
          <w:i w:val="0"/>
          <w:iCs w:val="0"/>
          <w:caps w:val="0"/>
          <w:color w:val="000000" w:themeColor="text1"/>
          <w:spacing w:val="0"/>
          <w:sz w:val="42"/>
          <w:szCs w:val="42"/>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42"/>
          <w:szCs w:val="42"/>
          <w:shd w:val="clear" w:fill="FFFFFF"/>
          <w14:textFill>
            <w14:solidFill>
              <w14:schemeClr w14:val="tx1"/>
            </w14:solidFill>
          </w14:textFill>
        </w:rPr>
        <w:t>2018年度部门整体支出绩效自评报告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Fonts w:hint="eastAsia" w:ascii="微软雅黑" w:hAnsi="微软雅黑" w:eastAsia="微软雅黑" w:cs="微软雅黑"/>
          <w:b/>
          <w:bCs/>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根据《衡山县财政局关于对2018年度部门整体支出开展绩效自评有关事项的通知》（山财绩[2019]186号）要求，我局对2018年部门整体支出进行了绩效自评，现报告如下：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一、部门概况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衡山县食品药品工商质量监督管理局为县人民政府工作部门，属正科级行政单位。 《中共衡山县委 衡山县人民政府关于衡山县人民政府职能转变和机构改革方案的实施意见》（山发〔2015〕2号）和《中共衡山县委 衡山县人民政府关于衡山县人民政府机构设置的通知》（山发〔2015〕3号），明确将原县工商行政管理局、县质量技术监督局、县食品药品监督管理局、县食品安全委员会办公室的全部职责整合、新增酒类食品安全监管、公共场所卫生安全督管、农产品和畜禽、水产品的质量安全检测的职责。设有19个内设机构，派出机构13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至2018年12月，机关编制47人，实有人数193人，其中在职134人，离退休59人。实有执法执勤车辆2台。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二、部门整体支出管理及使用情况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（一）部门预算情况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经县十三届人大三次会议审查通过的部门批复预算，我局2018年全年收入预算总计1541.47万元。其中：经费拨款1541.47万元，纳入预算管理的非税收入拨款0万元。全年支出预算总计1541.47万元，其中基本支出1095.97万元（工资福利支出1018.29万元、一般商品和服务支出71万元、对个人和家庭的补助6.68万元），项目支出445.5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（二）部门决算情况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2018年决算收入2005.18万元，其中：财政拨款收入1981.92万元，其他收入23.26万元。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2018年决算支出1924.72万元，其中：基本支出1488.36万元（人员经费1346.44万元、公用经费141.92万元），项目支出436.36万元（商品服务支出410.67万元、其他资本性支出25.69万元）。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（三）2018年支出分类情况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1.基本支出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基本支出用于为保障机构正常运转、完成日常工作任务而发生的支出，包括人员经费和公用经费。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部门基本支出决算数为1488.36万元,其中工资福利支出1312.19万元，占基本支出的88.16%；商品和服务支出141.92万元，占基本支出的9.54%；对个人和家庭补助收入34.25万元，占基本支出的2.3%；主要是为保障单位机构正常运转、完成日常工作任务而发生的各项支出，包括用于基本工资、津贴补贴等人员经费以及办公费、印刷费、水电费、办公设备购置等日常公用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2.项目支出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项目支出是在基本支出之外为完成其特定的行政工作任务而发生的支出，，主要用于一般行政管理事务、工商行政管理专项、执法办案专项、质量技术监督行政执法及业务管理、其他食品和药品监督管理事务支出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８年决算项目支出为436.36万元，其中：商品和服务支出410.67万元（办公费39.19万元、印刷费35.64万元、咨询费1.42万元、手续费0.44万元、水费4.37万元、电费8.86万元、邮电费11.45万元、物业管理费0.08万元、差旅费53.61万元、维修费34.73万元、租赁费9.54万元、会议费3.68万元、培训费9.73万元、公务接待费21.70万元、专用材料费4.48万元、劳务费16.14万元、委托业务费22.79万元、工会费6万元、福利费33.99万元、公务用车运行维护费15.02万元、其他交通费用26.66万元、其他商品和服务支出51.15万元）、基本建设支出0万元、其他资本性支出25.69万元（办公设备购置24.80万元、信息网络及软件购置更新0.89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3、“三公”经费情况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201８年初批复预算的“三公”经费为55万元，其中公务接待费35万元、运行维护费20万元。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全年决算支出“三公”经费38.38万元，其中公务接待费21.70万元、运行维护费16.78万元。较年初预算节约16.62万元，节约比为30.22%。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三、部门整体支出绩效评价指标情况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根据山财绩〔2019〕186号文件规定的考核指标，我局从预算配置、预算执行情况、预算管理、职责履行及效益等方面对2018年部门整体支出绩效进行评价，绩效自评87分,财政支出绩效为“良好”。具体情况如下：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（一）预算配置指标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编制数134名，在职人员134人，在编制控制范围内，在职人员控制率100%。“三公”经费本年预算数55万元，上年预算数55万元，“三公”经费变动率0%，控制较好。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（二）预算执行指标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2018年末结转指标355.55万元，预算完成率84.37%。年初预算1541.47万元，年中追加440.45万元，预算控制率28.57%。无新建楼堂馆所情况。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（三）预算管理指标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我局实际支出公用经费141.92万元，公用经费预算安排71万元，公用经费控制率199%；“三公”经费实际支出38.38万元，预算安排55万元，“三公”经费控制率69.78%；政府采购预算数70万元，实际采购金额24.93万元，政府采购执行率35.61%，主要是机构改革造成执法服装政策变动，不能进行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我局主要从以下几方面加强预算管理：一是进一步完善制度建设。按照《行政事业单位内部控制规范（试行）》规定，对现有的差旅费、会议费、培训费、出国费、公务接待费、办公用品支出、劳务服务支出、车辆运行维护（过路过桥、用油、日常小修、大修）等管理制度，从控制目标、业务流程、风险控制、审批权限及相关表单等进行规范。二是实行厉行节约常态化管理。严格落实《党政机关厉行节约反对浪费条例》规定，对照机关内控手册严格执行公务支出管理制度，大力压缩一般性支出，从严控制“三公”经费。三是按要求做好部门预决算公开工作。2018年2月14日在衡山党政门户网公开2018年部门预算和“三公”经费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（四）履职效益指标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2018年我局共立案查处食品、药品、化妆品、保健食品、医疗器械、商标广告等各类违法案件147起。其中，我局与湖南高警局联合办理4起未经检定的无证冷冻肉制品案等典型案例，社会影响深远。全年罚没入库金额283.92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是全力整治无照经营。排查市场主体5568户，查出无照经营户72户，立案9起，结案9起，引导办理营业执照66户。二是开展红盾护农专项行动。共抽查农资经营户118户次，抽检化肥、农机具共15批次。三是加强商标广告监管。今年开展商标广告专项整治行动4次，共查处媒体虚假广告、商家夸大宣传、户外违法广告等案件5起。四是加强合同市场监管。严厉整治不公平竞争行为，共检查汽车、房地产、装修等行业格式合同15份，立案查处2起。五是打击假冒卷烟专项行动，检查卷烟经营户136户，检查批发市场、商场超市10户，查处无烟草零售许可经营户60户，取缔10户。六是开展成品油专项整治行动2次，抽检成品油样品24批次，立案查处3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四、存在的主要问题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从我局2018年度部门整体预算收支及专项安排情况看，目前我局在部门整体预算编制、预算执行和预算管理过程中，还存在以下几个方面的问题和不足：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（一）预算执行不到位。预算执行存在偏差，预算同年终决算结果差异较大。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项目计划任务与项目资金预算缺乏有机结合。项目资金在具体实施中，各项目资金分配与预算有变动，主要是年初预算安排时，项目计划任务配置与项目资金预算安排没有同步，缺乏有机结合，有待进一步加强与提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（三）干部职工预算绩效意识还不强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针对以上不足和下步部门整体支出管理的需要，拟采取以下措施加以改进：一是提高预算编制的科学性、合理性。要根据部门下年度重点工作安排提前研究预算编制工作，在申报新增项目时与财政等部门沟通汇报，争取按政策和程序列入年度预算安排，尽量减少年中追加。要按照“勤俭节约、保障运转”原则和政策规定编细公用经费预算，提高预算的可执行性。二是严格部门预算执行。要继续坚持厉行节约常态化管理，大力压缩一般性支出，从严控制“三公”经费。按照新《预算法》要求，提高预算执行的硬约束，减少指标跨年结转。三是加强跟踪问效，提高资金使用效益。加强项目过程环节管理，对项目支出开展进度跟踪，加快预算执行进度，确保项目绩效目标如期完成，发挥资金的使用效益，提高预算完成率。四是加强新行政单位会计制度和新预算法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部门整体支出绩效评价指标评分表</w:t>
      </w:r>
    </w:p>
    <w:tbl>
      <w:tblPr>
        <w:tblStyle w:val="4"/>
        <w:tblW w:w="8930" w:type="dxa"/>
        <w:jc w:val="center"/>
        <w:shd w:val="clear" w:color="auto" w:fill="auto"/>
        <w:tblLayout w:type="autofit"/>
        <w:tblCellMar>
          <w:top w:w="15" w:type="dxa"/>
          <w:left w:w="15" w:type="dxa"/>
          <w:bottom w:w="15" w:type="dxa"/>
          <w:right w:w="15" w:type="dxa"/>
        </w:tblCellMar>
      </w:tblPr>
      <w:tblGrid>
        <w:gridCol w:w="735"/>
        <w:gridCol w:w="677"/>
        <w:gridCol w:w="1011"/>
        <w:gridCol w:w="483"/>
        <w:gridCol w:w="2427"/>
        <w:gridCol w:w="2721"/>
        <w:gridCol w:w="876"/>
      </w:tblGrid>
      <w:tr>
        <w:tblPrEx>
          <w:shd w:val="clear" w:color="auto" w:fill="auto"/>
          <w:tblCellMar>
            <w:top w:w="15" w:type="dxa"/>
            <w:left w:w="15" w:type="dxa"/>
            <w:bottom w:w="15" w:type="dxa"/>
            <w:right w:w="15" w:type="dxa"/>
          </w:tblCellMar>
        </w:tblPrEx>
        <w:trPr>
          <w:jc w:val="center"/>
        </w:trPr>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一级指标</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二级指标</w:t>
            </w:r>
          </w:p>
        </w:tc>
        <w:tc>
          <w:tcPr>
            <w:tcW w:w="10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指标</w:t>
            </w:r>
          </w:p>
        </w:tc>
        <w:tc>
          <w:tcPr>
            <w:tcW w:w="4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分值</w:t>
            </w:r>
          </w:p>
        </w:tc>
        <w:tc>
          <w:tcPr>
            <w:tcW w:w="2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评价标准</w:t>
            </w:r>
          </w:p>
        </w:tc>
        <w:tc>
          <w:tcPr>
            <w:tcW w:w="27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指标说明</w:t>
            </w:r>
          </w:p>
        </w:tc>
        <w:tc>
          <w:tcPr>
            <w:tcW w:w="8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得分</w:t>
            </w:r>
          </w:p>
        </w:tc>
      </w:tr>
      <w:tr>
        <w:tblPrEx>
          <w:shd w:val="clear" w:color="auto" w:fill="auto"/>
          <w:tblCellMar>
            <w:top w:w="15" w:type="dxa"/>
            <w:left w:w="15" w:type="dxa"/>
            <w:bottom w:w="15" w:type="dxa"/>
            <w:right w:w="15" w:type="dxa"/>
          </w:tblCellMar>
        </w:tblPrEx>
        <w:trPr>
          <w:trHeight w:val="1814"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投入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10分</w:t>
            </w:r>
          </w:p>
        </w:tc>
        <w:tc>
          <w:tcPr>
            <w:tcW w:w="67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预算配置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10分</w:t>
            </w: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在职人员控制率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以100%为标准。在职人员控制率≦100%，计5分；每超过一个百分点扣0.5分，扣完为止。</w:t>
            </w:r>
          </w:p>
        </w:tc>
        <w:tc>
          <w:tcPr>
            <w:tcW w:w="273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在职人员控制率=（在职人员数/编制数）×100%，在职人员数：部门（单位）实际在职人数，以财政局确定的部门决算编制口径为准。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编制数：机构编制部门核定批复的部门（单位）的人员编制数。</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5</w:t>
            </w:r>
          </w:p>
        </w:tc>
      </w:tr>
      <w:tr>
        <w:tblPrEx>
          <w:shd w:val="clear" w:color="auto" w:fill="auto"/>
          <w:tblCellMar>
            <w:top w:w="15" w:type="dxa"/>
            <w:left w:w="15" w:type="dxa"/>
            <w:bottom w:w="15" w:type="dxa"/>
            <w:right w:w="15" w:type="dxa"/>
          </w:tblCellMar>
        </w:tblPrEx>
        <w:trPr>
          <w:trHeight w:val="92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“三公经费”变动率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“三公经费”变动率≦0,计8分；“三公经费”＞0，每超过一个百分点扣0.8分，扣完为止。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“三公经费”变动率=[（本年度“三公经费”预算数-上年度“三公经费”预算数）/上年度“三公经费”预算数]×100%</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24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8</w:t>
            </w:r>
          </w:p>
        </w:tc>
      </w:tr>
      <w:tr>
        <w:tblPrEx>
          <w:shd w:val="clear" w:color="auto" w:fill="auto"/>
          <w:tblCellMar>
            <w:top w:w="15" w:type="dxa"/>
            <w:left w:w="15" w:type="dxa"/>
            <w:bottom w:w="15" w:type="dxa"/>
            <w:right w:w="15" w:type="dxa"/>
          </w:tblCellMar>
        </w:tblPrEx>
        <w:trPr>
          <w:jc w:val="center"/>
        </w:trPr>
        <w:tc>
          <w:tcPr>
            <w:tcW w:w="709"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过  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60分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tc>
        <w:tc>
          <w:tcPr>
            <w:tcW w:w="677"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20分</w:t>
            </w: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预算完成率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100%计满分，每低于5%扣2分，扣完为止。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预算完成率=（上年结转+年初预算+本年追加预算-年末结余）/（上年结转+年初预算+本年追加预算）×100%。</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0</w:t>
            </w:r>
          </w:p>
        </w:tc>
      </w:tr>
      <w:tr>
        <w:tblPrEx>
          <w:shd w:val="clear" w:color="auto" w:fill="auto"/>
          <w:tblCellMar>
            <w:top w:w="15" w:type="dxa"/>
            <w:left w:w="15" w:type="dxa"/>
            <w:bottom w:w="15" w:type="dxa"/>
            <w:right w:w="15" w:type="dxa"/>
          </w:tblCellMar>
        </w:tblPrEx>
        <w:trPr>
          <w:trHeight w:val="1273"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预算控制率=0，计5分；0-10%（含），计4分；10-20%（含），计3分；20-30%（含），计2分；大于30%不得分。</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预算控制率=（本年追加预算/年初预算）×100%。</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2</w:t>
            </w:r>
          </w:p>
        </w:tc>
      </w:tr>
      <w:tr>
        <w:tblPrEx>
          <w:shd w:val="clear" w:color="auto" w:fill="auto"/>
          <w:tblCellMar>
            <w:top w:w="15" w:type="dxa"/>
            <w:left w:w="15" w:type="dxa"/>
            <w:bottom w:w="15" w:type="dxa"/>
            <w:right w:w="15" w:type="dxa"/>
          </w:tblCellMar>
        </w:tblPrEx>
        <w:trPr>
          <w:trHeight w:val="1325"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新建楼堂馆所面积控制率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100%以下（含）计满分，每超出5%扣2分，扣完为止。没有楼堂馆所项目的部门按满分计算。</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楼堂馆所面积控制率=实际建设面积/批准建设面积×100% 。</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该指标以2017年完工的新建楼堂馆所为评价内容。</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5</w:t>
            </w:r>
          </w:p>
        </w:tc>
      </w:tr>
      <w:tr>
        <w:tblPrEx>
          <w:shd w:val="clear" w:color="auto" w:fill="auto"/>
          <w:tblCellMar>
            <w:top w:w="15" w:type="dxa"/>
            <w:left w:w="15" w:type="dxa"/>
            <w:bottom w:w="15" w:type="dxa"/>
            <w:right w:w="15" w:type="dxa"/>
          </w:tblCellMar>
        </w:tblPrEx>
        <w:trPr>
          <w:trHeight w:val="1242"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新建楼堂馆所投资概算控制率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100%以下（含）计满分，每超出5%扣2分，扣完为止。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楼堂馆所投资预算控制率=实际投资金额/批准投资金额×100% 。</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该指标以2017年完工的新建楼堂馆所为评价内容。</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5</w:t>
            </w:r>
          </w:p>
        </w:tc>
      </w:tr>
      <w:tr>
        <w:tblPrEx>
          <w:shd w:val="clear" w:color="auto" w:fill="auto"/>
          <w:tblCellMar>
            <w:top w:w="15" w:type="dxa"/>
            <w:left w:w="15" w:type="dxa"/>
            <w:bottom w:w="15" w:type="dxa"/>
            <w:right w:w="15" w:type="dxa"/>
          </w:tblCellMar>
        </w:tblPrEx>
        <w:trPr>
          <w:trHeight w:val="1263"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40分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公用经费控制率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8</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100%以下（含）计满分，每超出1%扣1分，扣完为止。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公用经费控制率=（实际支出公用经费总额/预算安排公用经费总额）×100%。</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公用经费支出是指部门基本支出中的一般商品和服务支出。</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24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0</w:t>
            </w:r>
          </w:p>
        </w:tc>
      </w:tr>
      <w:tr>
        <w:tblPrEx>
          <w:shd w:val="clear" w:color="auto" w:fill="auto"/>
          <w:tblCellMar>
            <w:top w:w="15" w:type="dxa"/>
            <w:left w:w="15" w:type="dxa"/>
            <w:bottom w:w="15" w:type="dxa"/>
            <w:right w:w="15" w:type="dxa"/>
          </w:tblCellMar>
        </w:tblPrEx>
        <w:trPr>
          <w:trHeight w:val="1223"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“三公经费”控制率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7</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100%以下（含）计满分，每超出1%扣1分，扣完为止。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“三公经费”控制率-（“三公经费”实际支出数/“三公经费”预算安排数）×100%。</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7</w:t>
            </w:r>
          </w:p>
        </w:tc>
      </w:tr>
      <w:tr>
        <w:tblPrEx>
          <w:shd w:val="clear" w:color="auto" w:fill="auto"/>
          <w:tblCellMar>
            <w:top w:w="15" w:type="dxa"/>
            <w:left w:w="15" w:type="dxa"/>
            <w:bottom w:w="15" w:type="dxa"/>
            <w:right w:w="15" w:type="dxa"/>
          </w:tblCellMar>
        </w:tblPrEx>
        <w:trPr>
          <w:trHeight w:val="1394"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政府采购执行率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6</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100%计满分，每超过（降低）5%扣2分。扣完为止。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政府采购执行率=（实际政府采购金额/政府采购预算数）×100%</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6</w:t>
            </w:r>
          </w:p>
        </w:tc>
      </w:tr>
      <w:tr>
        <w:tblPrEx>
          <w:shd w:val="clear" w:color="auto" w:fill="auto"/>
          <w:tblCellMar>
            <w:top w:w="15" w:type="dxa"/>
            <w:left w:w="15" w:type="dxa"/>
            <w:bottom w:w="15" w:type="dxa"/>
            <w:right w:w="15" w:type="dxa"/>
          </w:tblCellMar>
        </w:tblPrEx>
        <w:trPr>
          <w:trHeight w:val="2786"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管理制度健全性</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8</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①有内部财务管理制度、会计核算制度等管理制度，2分；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②有本部门厉行节约制度,2分；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③相关管理制度合法、合规、完整，2分；④相关管理制度得到有效执行，2分。</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8</w:t>
            </w:r>
          </w:p>
        </w:tc>
      </w:tr>
      <w:tr>
        <w:tblPrEx>
          <w:shd w:val="clear" w:color="auto" w:fill="auto"/>
          <w:tblCellMar>
            <w:top w:w="15" w:type="dxa"/>
            <w:left w:w="15" w:type="dxa"/>
            <w:bottom w:w="15" w:type="dxa"/>
            <w:right w:w="15" w:type="dxa"/>
          </w:tblCellMar>
        </w:tblPrEx>
        <w:trPr>
          <w:trHeight w:val="4520" w:hRule="atLeast"/>
          <w:jc w:val="center"/>
        </w:trPr>
        <w:tc>
          <w:tcPr>
            <w:tcW w:w="709"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w:t>
            </w:r>
          </w:p>
        </w:tc>
        <w:tc>
          <w:tcPr>
            <w:tcW w:w="67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预算管理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40分</w:t>
            </w: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资金使用合规性</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6</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以上情况每出现一例不符合要求的扣1分，扣完为止。</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6</w:t>
            </w:r>
          </w:p>
        </w:tc>
      </w:tr>
      <w:tr>
        <w:tblPrEx>
          <w:shd w:val="clear" w:color="auto" w:fill="auto"/>
          <w:tblCellMar>
            <w:top w:w="15" w:type="dxa"/>
            <w:left w:w="15" w:type="dxa"/>
            <w:bottom w:w="15" w:type="dxa"/>
            <w:right w:w="15" w:type="dxa"/>
          </w:tblCellMar>
        </w:tblPrEx>
        <w:trPr>
          <w:trHeight w:val="2951" w:hRule="atLeast"/>
          <w:jc w:val="center"/>
        </w:trPr>
        <w:tc>
          <w:tcPr>
            <w:tcW w:w="709"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预决算信息公开性</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①按规定内容公开预决算信息，1分；②按规定时限公开预决算信息，1分；③基础数据信息和会计信息资料真实，1分；④基础数据信息和会计信息资料完整，1分；⑤基础数据信息和汇集信息资料准确，1分。  </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预决算信息是指与部门预算、执行、决算、监督、绩效等管理相关的信息。</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5</w:t>
            </w:r>
          </w:p>
        </w:tc>
      </w:tr>
      <w:tr>
        <w:tblPrEx>
          <w:shd w:val="clear" w:color="auto" w:fill="auto"/>
          <w:tblCellMar>
            <w:top w:w="15" w:type="dxa"/>
            <w:left w:w="15" w:type="dxa"/>
            <w:bottom w:w="15" w:type="dxa"/>
            <w:right w:w="15" w:type="dxa"/>
          </w:tblCellMar>
        </w:tblPrEx>
        <w:trPr>
          <w:trHeight w:val="1562" w:hRule="atLeast"/>
          <w:jc w:val="center"/>
        </w:trPr>
        <w:tc>
          <w:tcPr>
            <w:tcW w:w="709" w:type="dxa"/>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产出及效率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30分</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职责履行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8分</w:t>
            </w:r>
          </w:p>
        </w:tc>
        <w:tc>
          <w:tcPr>
            <w:tcW w:w="1014"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重点工作实际完成率</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8</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根据市绩效办2019年对各部门为民办实事和部门重点工程与重点工作考核分数折算。</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该项得分=（绩效办对应部分考核得分/该部分总分）×8。</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8</w:t>
            </w:r>
          </w:p>
        </w:tc>
      </w:tr>
      <w:tr>
        <w:tblPrEx>
          <w:shd w:val="clear" w:color="auto" w:fill="auto"/>
          <w:tblCellMar>
            <w:top w:w="15" w:type="dxa"/>
            <w:left w:w="15" w:type="dxa"/>
            <w:bottom w:w="15" w:type="dxa"/>
            <w:right w:w="15" w:type="dxa"/>
          </w:tblCellMar>
        </w:tblPrEx>
        <w:trPr>
          <w:jc w:val="center"/>
        </w:trPr>
        <w:tc>
          <w:tcPr>
            <w:tcW w:w="709"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履职 效益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22分</w:t>
            </w:r>
          </w:p>
        </w:tc>
        <w:tc>
          <w:tcPr>
            <w:tcW w:w="10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经济效益</w:t>
            </w:r>
          </w:p>
        </w:tc>
        <w:tc>
          <w:tcPr>
            <w:tcW w:w="483"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10</w:t>
            </w:r>
          </w:p>
        </w:tc>
        <w:tc>
          <w:tcPr>
            <w:tcW w:w="5169" w:type="dxa"/>
            <w:gridSpan w:val="2"/>
            <w:vMerge w:val="restart"/>
            <w:tcBorders>
              <w:top w:val="nil"/>
              <w:left w:val="nil"/>
              <w:bottom w:val="nil"/>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此两项指标为设置部门整体支出绩效评价指标时必须考虑的共性要素，可根据部门实际情况有选择的进行设置，并将其细化为相应的个性化指标。</w:t>
            </w:r>
          </w:p>
        </w:tc>
        <w:tc>
          <w:tcPr>
            <w:tcW w:w="878"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10</w:t>
            </w:r>
          </w:p>
        </w:tc>
      </w:tr>
      <w:tr>
        <w:tblPrEx>
          <w:shd w:val="clear" w:color="auto" w:fill="auto"/>
          <w:tblCellMar>
            <w:top w:w="15" w:type="dxa"/>
            <w:left w:w="15" w:type="dxa"/>
            <w:bottom w:w="15" w:type="dxa"/>
            <w:right w:w="15" w:type="dxa"/>
          </w:tblCellMar>
        </w:tblPrEx>
        <w:trPr>
          <w:jc w:val="center"/>
        </w:trPr>
        <w:tc>
          <w:tcPr>
            <w:tcW w:w="709"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社会效益</w:t>
            </w:r>
          </w:p>
        </w:tc>
        <w:tc>
          <w:tcPr>
            <w:tcW w:w="483"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5169" w:type="dxa"/>
            <w:gridSpan w:val="2"/>
            <w:vMerge w:val="continue"/>
            <w:tcBorders>
              <w:top w:val="nil"/>
              <w:left w:val="nil"/>
              <w:bottom w:val="nil"/>
              <w:right w:val="single" w:color="000000"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878"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r>
      <w:tr>
        <w:tblPrEx>
          <w:shd w:val="clear" w:color="auto" w:fill="auto"/>
          <w:tblCellMar>
            <w:top w:w="15" w:type="dxa"/>
            <w:left w:w="15" w:type="dxa"/>
            <w:bottom w:w="15" w:type="dxa"/>
            <w:right w:w="15" w:type="dxa"/>
          </w:tblCellMar>
        </w:tblPrEx>
        <w:trPr>
          <w:trHeight w:val="1629" w:hRule="atLeast"/>
          <w:jc w:val="center"/>
        </w:trPr>
        <w:tc>
          <w:tcPr>
            <w:tcW w:w="709"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行政效能</w:t>
            </w:r>
          </w:p>
        </w:tc>
        <w:tc>
          <w:tcPr>
            <w:tcW w:w="4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6</w:t>
            </w:r>
          </w:p>
        </w:tc>
        <w:tc>
          <w:tcPr>
            <w:tcW w:w="2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促进部门改进文风会风，加强经费及资产管理，推动网上办事，提高行政效率，降低行政成本效果较好的计6分；一般3分；无效果或者效果不明显0分。</w:t>
            </w:r>
          </w:p>
        </w:tc>
        <w:tc>
          <w:tcPr>
            <w:tcW w:w="27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根据部门自评材料评定。</w:t>
            </w:r>
          </w:p>
        </w:tc>
        <w:tc>
          <w:tcPr>
            <w:tcW w:w="8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6</w:t>
            </w:r>
          </w:p>
        </w:tc>
      </w:tr>
      <w:tr>
        <w:tblPrEx>
          <w:shd w:val="clear" w:color="auto" w:fill="auto"/>
          <w:tblCellMar>
            <w:top w:w="15" w:type="dxa"/>
            <w:left w:w="15" w:type="dxa"/>
            <w:bottom w:w="15" w:type="dxa"/>
            <w:right w:w="15" w:type="dxa"/>
          </w:tblCellMar>
        </w:tblPrEx>
        <w:trPr>
          <w:trHeight w:val="1255" w:hRule="atLeast"/>
          <w:jc w:val="center"/>
        </w:trPr>
        <w:tc>
          <w:tcPr>
            <w:tcW w:w="709"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0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社会公众或服务对象满意度</w:t>
            </w:r>
          </w:p>
        </w:tc>
        <w:tc>
          <w:tcPr>
            <w:tcW w:w="4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6</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90%（含）以上计6分；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80%（含）-90%，计4分；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70%（含）-80%，计2分；</w:t>
            </w:r>
            <w:r>
              <w:rPr>
                <w:rFonts w:hint="eastAsia" w:ascii="微软雅黑" w:hAnsi="微软雅黑" w:eastAsia="微软雅黑" w:cs="微软雅黑"/>
                <w:kern w:val="0"/>
                <w:sz w:val="20"/>
                <w:szCs w:val="20"/>
                <w:lang w:val="en-US" w:eastAsia="zh-CN" w:bidi="ar"/>
              </w:rPr>
              <w:br w:type="textWrapping"/>
            </w:r>
            <w:r>
              <w:rPr>
                <w:rFonts w:hint="eastAsia" w:ascii="微软雅黑" w:hAnsi="微软雅黑" w:eastAsia="微软雅黑" w:cs="微软雅黑"/>
                <w:kern w:val="0"/>
                <w:sz w:val="20"/>
                <w:szCs w:val="20"/>
                <w:lang w:val="en-US" w:eastAsia="zh-CN" w:bidi="ar"/>
              </w:rPr>
              <w:t>低于70%计0分。</w:t>
            </w:r>
          </w:p>
        </w:tc>
        <w:tc>
          <w:tcPr>
            <w:tcW w:w="27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0"/>
                <w:szCs w:val="20"/>
                <w:lang w:val="en-US" w:eastAsia="zh-CN" w:bidi="ar"/>
              </w:rPr>
              <w:t>社会公众或服务对象是指部门（单位）履行职责而影响到的部门、群体或个人，一般采取社会调查的方式。</w:t>
            </w:r>
          </w:p>
        </w:tc>
        <w:tc>
          <w:tcPr>
            <w:tcW w:w="8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部门整体支出绩效评价基础数据表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2"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填报单位：衡山县食品药品工商质量监督管理局 单位：万元</w:t>
      </w:r>
    </w:p>
    <w:tbl>
      <w:tblPr>
        <w:tblStyle w:val="4"/>
        <w:tblW w:w="9464" w:type="dxa"/>
        <w:jc w:val="center"/>
        <w:shd w:val="clear" w:color="auto" w:fill="auto"/>
        <w:tblLayout w:type="autofit"/>
        <w:tblCellMar>
          <w:top w:w="15" w:type="dxa"/>
          <w:left w:w="15" w:type="dxa"/>
          <w:bottom w:w="15" w:type="dxa"/>
          <w:right w:w="15" w:type="dxa"/>
        </w:tblCellMar>
      </w:tblPr>
      <w:tblGrid>
        <w:gridCol w:w="3354"/>
        <w:gridCol w:w="1189"/>
        <w:gridCol w:w="849"/>
        <w:gridCol w:w="1129"/>
        <w:gridCol w:w="1111"/>
        <w:gridCol w:w="969"/>
        <w:gridCol w:w="863"/>
      </w:tblGrid>
      <w:tr>
        <w:tblPrEx>
          <w:tblCellMar>
            <w:top w:w="15" w:type="dxa"/>
            <w:left w:w="15" w:type="dxa"/>
            <w:bottom w:w="15" w:type="dxa"/>
            <w:right w:w="15" w:type="dxa"/>
          </w:tblCellMar>
        </w:tblPrEx>
        <w:trPr>
          <w:trHeight w:val="257" w:hRule="atLeast"/>
          <w:jc w:val="center"/>
        </w:trPr>
        <w:tc>
          <w:tcPr>
            <w:tcW w:w="335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财政供养人员情况</w:t>
            </w:r>
          </w:p>
        </w:tc>
        <w:tc>
          <w:tcPr>
            <w:tcW w:w="2038"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编制数</w:t>
            </w:r>
          </w:p>
        </w:tc>
        <w:tc>
          <w:tcPr>
            <w:tcW w:w="22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2018</w:t>
            </w:r>
            <w:r>
              <w:rPr>
                <w:rFonts w:hint="eastAsia" w:ascii="微软雅黑" w:hAnsi="微软雅黑" w:eastAsia="微软雅黑" w:cs="微软雅黑"/>
                <w:kern w:val="0"/>
                <w:sz w:val="21"/>
                <w:szCs w:val="21"/>
                <w:lang w:val="en-US" w:eastAsia="zh-CN" w:bidi="ar"/>
              </w:rPr>
              <w:t>年实际在职人数</w:t>
            </w:r>
          </w:p>
        </w:tc>
        <w:tc>
          <w:tcPr>
            <w:tcW w:w="183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控制率</w:t>
            </w:r>
          </w:p>
        </w:tc>
      </w:tr>
      <w:tr>
        <w:tblPrEx>
          <w:tblCellMar>
            <w:top w:w="15" w:type="dxa"/>
            <w:left w:w="15" w:type="dxa"/>
            <w:bottom w:w="15" w:type="dxa"/>
            <w:right w:w="15" w:type="dxa"/>
          </w:tblCellMar>
        </w:tblPrEx>
        <w:trPr>
          <w:trHeight w:val="206" w:hRule="atLeast"/>
          <w:jc w:val="center"/>
        </w:trPr>
        <w:tc>
          <w:tcPr>
            <w:tcW w:w="335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微软雅黑" w:hAnsi="微软雅黑" w:eastAsia="微软雅黑" w:cs="微软雅黑"/>
                <w:sz w:val="21"/>
                <w:szCs w:val="21"/>
              </w:rPr>
            </w:pPr>
          </w:p>
        </w:tc>
        <w:tc>
          <w:tcPr>
            <w:tcW w:w="203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134</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134</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100</w:t>
            </w:r>
            <w:r>
              <w:rPr>
                <w:rFonts w:hint="eastAsia" w:ascii="微软雅黑" w:hAnsi="微软雅黑" w:eastAsia="微软雅黑" w:cs="微软雅黑"/>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342"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经费控制情况</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2017</w:t>
            </w:r>
            <w:r>
              <w:rPr>
                <w:rFonts w:hint="eastAsia" w:ascii="微软雅黑" w:hAnsi="微软雅黑" w:eastAsia="微软雅黑" w:cs="微软雅黑"/>
                <w:kern w:val="0"/>
                <w:sz w:val="21"/>
                <w:szCs w:val="21"/>
                <w:lang w:val="en-US" w:eastAsia="zh-CN" w:bidi="ar"/>
              </w:rPr>
              <w:t>年决算数</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2018</w:t>
            </w:r>
            <w:r>
              <w:rPr>
                <w:rFonts w:hint="eastAsia" w:ascii="微软雅黑" w:hAnsi="微软雅黑" w:eastAsia="微软雅黑" w:cs="微软雅黑"/>
                <w:kern w:val="0"/>
                <w:sz w:val="21"/>
                <w:szCs w:val="21"/>
                <w:lang w:val="en-US" w:eastAsia="zh-CN" w:bidi="ar"/>
              </w:rPr>
              <w:t>年预算数</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2018</w:t>
            </w:r>
            <w:r>
              <w:rPr>
                <w:rFonts w:hint="eastAsia" w:ascii="微软雅黑" w:hAnsi="微软雅黑" w:eastAsia="微软雅黑" w:cs="微软雅黑"/>
                <w:kern w:val="0"/>
                <w:sz w:val="21"/>
                <w:szCs w:val="21"/>
                <w:lang w:val="en-US" w:eastAsia="zh-CN" w:bidi="ar"/>
              </w:rPr>
              <w:t>年决算数</w:t>
            </w:r>
          </w:p>
        </w:tc>
      </w:tr>
      <w:tr>
        <w:tblPrEx>
          <w:tblCellMar>
            <w:top w:w="15" w:type="dxa"/>
            <w:left w:w="15" w:type="dxa"/>
            <w:bottom w:w="15" w:type="dxa"/>
            <w:right w:w="15" w:type="dxa"/>
          </w:tblCellMar>
        </w:tblPrEx>
        <w:trPr>
          <w:trHeight w:val="400"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三公经费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45.47</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55</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38.38</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1、公务用车购置和维护经费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16.18</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20</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16.78</w:t>
            </w:r>
            <w:r>
              <w:rPr>
                <w:rFonts w:hint="eastAsia" w:ascii="微软雅黑" w:hAnsi="微软雅黑" w:eastAsia="微软雅黑" w:cs="微软雅黑"/>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其中：公车购置</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公车运行维护</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16.18</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20</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16.78</w:t>
            </w:r>
            <w:r>
              <w:rPr>
                <w:rFonts w:hint="eastAsia" w:ascii="微软雅黑" w:hAnsi="微软雅黑" w:eastAsia="微软雅黑" w:cs="微软雅黑"/>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2、出国经费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3、公务接待</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29.27</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35</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21.7</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项目支出：</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445.5</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436.36</w:t>
            </w:r>
            <w:r>
              <w:rPr>
                <w:rFonts w:hint="eastAsia" w:ascii="微软雅黑" w:hAnsi="微软雅黑" w:eastAsia="微软雅黑" w:cs="微软雅黑"/>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1、业务工作专项(一个项目一行)</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185.5</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156.6</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84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2、运行维护专项(一个项目一行)</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260</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279.76</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945"/>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3、市级专项资金（一个专项一行）</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公用经费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31.9</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71</w:t>
            </w:r>
            <w:r>
              <w:rPr>
                <w:rFonts w:hint="eastAsia" w:ascii="微软雅黑" w:hAnsi="微软雅黑" w:eastAsia="微软雅黑" w:cs="微软雅黑"/>
                <w:kern w:val="0"/>
                <w:sz w:val="24"/>
                <w:szCs w:val="24"/>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141.92</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其中：办公经费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1.82</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6.5</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14.62</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水费、电费、差旅费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10.96</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2</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11.16</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会议费、培训费</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1.24</w:t>
            </w:r>
            <w:r>
              <w:rPr>
                <w:rFonts w:hint="eastAsia" w:ascii="微软雅黑" w:hAnsi="微软雅黑" w:eastAsia="微软雅黑" w:cs="微软雅黑"/>
                <w:kern w:val="0"/>
                <w:sz w:val="24"/>
                <w:szCs w:val="24"/>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1.24</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313"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1155"/>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政府采购金额</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r>
              <w:rPr>
                <w:rFonts w:hint="eastAsia" w:ascii="微软雅黑" w:hAnsi="微软雅黑" w:eastAsia="微软雅黑" w:cs="微软雅黑"/>
                <w:kern w:val="0"/>
                <w:sz w:val="24"/>
                <w:szCs w:val="24"/>
                <w:lang w:val="en-US" w:eastAsia="zh-CN" w:bidi="ar"/>
              </w:rPr>
              <w:t>70</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24.93</w:t>
            </w:r>
            <w:r>
              <w:rPr>
                <w:rFonts w:hint="eastAsia" w:ascii="微软雅黑" w:hAnsi="微软雅黑" w:eastAsia="微软雅黑" w:cs="微软雅黑"/>
                <w:kern w:val="0"/>
                <w:sz w:val="24"/>
                <w:szCs w:val="24"/>
                <w:lang w:val="en-US" w:eastAsia="zh-CN" w:bidi="ar"/>
              </w:rPr>
              <w:t>　</w:t>
            </w:r>
          </w:p>
        </w:tc>
      </w:tr>
      <w:tr>
        <w:tblPrEx>
          <w:shd w:val="clear" w:color="auto" w:fill="auto"/>
          <w:tblCellMar>
            <w:top w:w="15" w:type="dxa"/>
            <w:left w:w="15" w:type="dxa"/>
            <w:bottom w:w="15" w:type="dxa"/>
            <w:right w:w="15" w:type="dxa"/>
          </w:tblCellMar>
        </w:tblPrEx>
        <w:trPr>
          <w:trHeight w:val="4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部门基本支出预算调整 </w:t>
            </w:r>
          </w:p>
        </w:tc>
        <w:tc>
          <w:tcPr>
            <w:tcW w:w="2038"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2240"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32"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141.92</w:t>
            </w:r>
            <w:r>
              <w:rPr>
                <w:rFonts w:hint="eastAsia" w:ascii="微软雅黑" w:hAnsi="微软雅黑" w:eastAsia="微软雅黑" w:cs="微软雅黑"/>
                <w:kern w:val="0"/>
                <w:sz w:val="24"/>
                <w:szCs w:val="24"/>
                <w:lang w:val="en-US" w:eastAsia="zh-CN" w:bidi="ar"/>
              </w:rPr>
              <w:t>　</w:t>
            </w:r>
          </w:p>
        </w:tc>
      </w:tr>
      <w:tr>
        <w:tblPrEx>
          <w:tblCellMar>
            <w:top w:w="15" w:type="dxa"/>
            <w:left w:w="15" w:type="dxa"/>
            <w:bottom w:w="15" w:type="dxa"/>
            <w:right w:w="15" w:type="dxa"/>
          </w:tblCellMar>
        </w:tblPrEx>
        <w:trPr>
          <w:trHeight w:val="904" w:hRule="atLeast"/>
          <w:jc w:val="center"/>
        </w:trPr>
        <w:tc>
          <w:tcPr>
            <w:tcW w:w="335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楼堂馆所控制情况</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（2018年完工项目）</w:t>
            </w:r>
          </w:p>
        </w:tc>
        <w:tc>
          <w:tcPr>
            <w:tcW w:w="11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批复规模</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1"/>
                <w:szCs w:val="21"/>
                <w:lang w:val="en-US" w:eastAsia="zh-CN" w:bidi="ar"/>
              </w:rPr>
              <w:t>（㎡）</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实际规模（㎡）</w:t>
            </w:r>
          </w:p>
        </w:tc>
        <w:tc>
          <w:tcPr>
            <w:tcW w:w="11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规模控制率</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预算投资（万元）</w:t>
            </w:r>
          </w:p>
        </w:tc>
        <w:tc>
          <w:tcPr>
            <w:tcW w:w="9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实际投资（万元）</w:t>
            </w:r>
          </w:p>
        </w:tc>
        <w:tc>
          <w:tcPr>
            <w:tcW w:w="8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投资概算控制率</w:t>
            </w:r>
          </w:p>
        </w:tc>
      </w:tr>
      <w:tr>
        <w:tblPrEx>
          <w:tblCellMar>
            <w:top w:w="15" w:type="dxa"/>
            <w:left w:w="15" w:type="dxa"/>
            <w:bottom w:w="15" w:type="dxa"/>
            <w:right w:w="15" w:type="dxa"/>
          </w:tblCellMar>
        </w:tblPrEx>
        <w:trPr>
          <w:trHeight w:val="454" w:hRule="atLeast"/>
          <w:jc w:val="center"/>
        </w:trPr>
        <w:tc>
          <w:tcPr>
            <w:tcW w:w="33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微软雅黑" w:hAnsi="微软雅黑" w:eastAsia="微软雅黑" w:cs="微软雅黑"/>
                <w:sz w:val="21"/>
                <w:szCs w:val="21"/>
              </w:rPr>
            </w:pPr>
          </w:p>
        </w:tc>
        <w:tc>
          <w:tcPr>
            <w:tcW w:w="11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9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8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554" w:hRule="atLeast"/>
          <w:jc w:val="center"/>
        </w:trPr>
        <w:tc>
          <w:tcPr>
            <w:tcW w:w="33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厉行节约保障措施</w:t>
            </w:r>
          </w:p>
        </w:tc>
        <w:tc>
          <w:tcPr>
            <w:tcW w:w="6110" w:type="dxa"/>
            <w:gridSpan w:val="6"/>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说明：</w:t>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项目支出</w:t>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需要填报基本支出以外的所有项目支出情况，包括业务工作项目、运行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维护项目和市级专项资金等；</w:t>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公用经费</w:t>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填报基本支出中的一般商品和服务支出。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36"/>
          <w:szCs w:val="36"/>
          <w:shd w:val="clear" w:fill="FFFFFF"/>
          <w:lang w:val="en-US" w:eastAsia="zh-CN" w:bidi="ar"/>
        </w:rPr>
        <w:t>2018</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年度县级专项资金绩效目标自评表</w:t>
      </w:r>
    </w:p>
    <w:tbl>
      <w:tblPr>
        <w:tblStyle w:val="4"/>
        <w:tblW w:w="10060" w:type="dxa"/>
        <w:jc w:val="center"/>
        <w:shd w:val="clear" w:color="auto" w:fill="auto"/>
        <w:tblLayout w:type="autofit"/>
        <w:tblCellMar>
          <w:top w:w="15" w:type="dxa"/>
          <w:left w:w="15" w:type="dxa"/>
          <w:bottom w:w="15" w:type="dxa"/>
          <w:right w:w="15" w:type="dxa"/>
        </w:tblCellMar>
      </w:tblPr>
      <w:tblGrid>
        <w:gridCol w:w="1554"/>
        <w:gridCol w:w="1616"/>
        <w:gridCol w:w="761"/>
        <w:gridCol w:w="1701"/>
        <w:gridCol w:w="1843"/>
        <w:gridCol w:w="1276"/>
        <w:gridCol w:w="1073"/>
        <w:gridCol w:w="31"/>
        <w:gridCol w:w="1983"/>
      </w:tblGrid>
      <w:tr>
        <w:tblPrEx>
          <w:tblCellMar>
            <w:top w:w="15" w:type="dxa"/>
            <w:left w:w="15" w:type="dxa"/>
            <w:bottom w:w="15" w:type="dxa"/>
            <w:right w:w="15" w:type="dxa"/>
          </w:tblCellMar>
        </w:tblPrEx>
        <w:trPr>
          <w:trHeight w:val="270" w:hRule="atLeast"/>
          <w:jc w:val="center"/>
        </w:trPr>
        <w:tc>
          <w:tcPr>
            <w:tcW w:w="10060" w:type="dxa"/>
            <w:gridSpan w:val="9"/>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kern w:val="0"/>
                <w:sz w:val="22"/>
                <w:szCs w:val="22"/>
                <w:lang w:val="en-US" w:eastAsia="zh-CN" w:bidi="ar"/>
              </w:rPr>
              <w:t> </w:t>
            </w:r>
          </w:p>
        </w:tc>
      </w:tr>
      <w:tr>
        <w:tblPrEx>
          <w:shd w:val="clear" w:color="auto" w:fill="auto"/>
          <w:tblCellMar>
            <w:top w:w="15" w:type="dxa"/>
            <w:left w:w="15" w:type="dxa"/>
            <w:bottom w:w="15" w:type="dxa"/>
            <w:right w:w="15" w:type="dxa"/>
          </w:tblCellMar>
        </w:tblPrEx>
        <w:trPr>
          <w:trHeight w:val="608" w:hRule="atLeast"/>
          <w:jc w:val="center"/>
        </w:trPr>
        <w:tc>
          <w:tcPr>
            <w:tcW w:w="215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专项资金名称</w:t>
            </w:r>
          </w:p>
        </w:tc>
        <w:tc>
          <w:tcPr>
            <w:tcW w:w="3544"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及电话</w:t>
            </w:r>
          </w:p>
        </w:tc>
        <w:tc>
          <w:tcPr>
            <w:tcW w:w="308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45" w:hRule="atLeast"/>
          <w:jc w:val="center"/>
        </w:trPr>
        <w:tc>
          <w:tcPr>
            <w:tcW w:w="215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县级主管部门</w:t>
            </w:r>
          </w:p>
        </w:tc>
        <w:tc>
          <w:tcPr>
            <w:tcW w:w="354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实施单位</w:t>
            </w:r>
          </w:p>
        </w:tc>
        <w:tc>
          <w:tcPr>
            <w:tcW w:w="30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2153"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项目资金（万元）</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全年预算数（A）</w:t>
            </w:r>
          </w:p>
        </w:tc>
        <w:tc>
          <w:tcPr>
            <w:tcW w:w="234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全年执行数（B）</w:t>
            </w:r>
          </w:p>
        </w:tc>
        <w:tc>
          <w:tcPr>
            <w:tcW w:w="2014"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执行率（B／A）</w:t>
            </w:r>
          </w:p>
        </w:tc>
      </w:tr>
      <w:tr>
        <w:tblPrEx>
          <w:shd w:val="clear" w:color="auto" w:fill="auto"/>
          <w:tblCellMar>
            <w:top w:w="15" w:type="dxa"/>
            <w:left w:w="15" w:type="dxa"/>
            <w:bottom w:w="15" w:type="dxa"/>
            <w:right w:w="15" w:type="dxa"/>
          </w:tblCellMar>
        </w:tblPrEx>
        <w:trPr>
          <w:trHeight w:val="425" w:hRule="atLeast"/>
          <w:jc w:val="center"/>
        </w:trPr>
        <w:tc>
          <w:tcPr>
            <w:tcW w:w="2153"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年度资金总额</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34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01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2153"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其中：中央、省、市补助</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34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01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2153"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县级资金</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34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01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2153"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其他资金</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34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201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11" w:hRule="atLeast"/>
          <w:jc w:val="center"/>
        </w:trPr>
        <w:tc>
          <w:tcPr>
            <w:tcW w:w="76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年度总体目标</w:t>
            </w:r>
          </w:p>
        </w:tc>
        <w:tc>
          <w:tcPr>
            <w:tcW w:w="4928"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年初设定目标　</w:t>
            </w:r>
          </w:p>
        </w:tc>
        <w:tc>
          <w:tcPr>
            <w:tcW w:w="4363"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全年实际完成情况</w:t>
            </w:r>
          </w:p>
        </w:tc>
      </w:tr>
      <w:tr>
        <w:tblPrEx>
          <w:shd w:val="clear" w:color="auto" w:fill="auto"/>
          <w:tblCellMar>
            <w:top w:w="15" w:type="dxa"/>
            <w:left w:w="15" w:type="dxa"/>
            <w:bottom w:w="15" w:type="dxa"/>
            <w:right w:w="15" w:type="dxa"/>
          </w:tblCellMar>
        </w:tblPrEx>
        <w:trPr>
          <w:trHeight w:val="460"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4928"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4363"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绩  效    指  标</w:t>
            </w:r>
          </w:p>
        </w:tc>
        <w:tc>
          <w:tcPr>
            <w:tcW w:w="675"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一级指标</w:t>
            </w:r>
          </w:p>
        </w:tc>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二级指标</w:t>
            </w:r>
          </w:p>
        </w:tc>
        <w:tc>
          <w:tcPr>
            <w:tcW w:w="170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三级指标</w:t>
            </w:r>
          </w:p>
        </w:tc>
        <w:tc>
          <w:tcPr>
            <w:tcW w:w="184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年度指标值</w:t>
            </w:r>
          </w:p>
        </w:tc>
        <w:tc>
          <w:tcPr>
            <w:tcW w:w="1104"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全年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完成值</w:t>
            </w:r>
          </w:p>
        </w:tc>
        <w:tc>
          <w:tcPr>
            <w:tcW w:w="19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未完成原因和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改进措施</w:t>
            </w:r>
          </w:p>
        </w:tc>
      </w:tr>
      <w:tr>
        <w:tblPrEx>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产   出   指   标</w:t>
            </w: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数量指标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质量指标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时效指标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成本指标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425"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556"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50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效益   指标</w:t>
            </w: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经济效益指标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623"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619"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397" w:hRule="atLeast"/>
          <w:jc w:val="center"/>
        </w:trPr>
        <w:tc>
          <w:tcPr>
            <w:tcW w:w="76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绩效指标</w:t>
            </w:r>
          </w:p>
        </w:tc>
        <w:tc>
          <w:tcPr>
            <w:tcW w:w="6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效   益   指   标</w:t>
            </w: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生态效益  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可持续影响指标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397"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270"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满意度指标</w:t>
            </w: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服务对象满意度指标</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270"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270"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tblCellMar>
            <w:top w:w="15" w:type="dxa"/>
            <w:left w:w="15" w:type="dxa"/>
            <w:bottom w:w="15" w:type="dxa"/>
            <w:right w:w="15" w:type="dxa"/>
          </w:tblCellMar>
        </w:tblPrEx>
        <w:trPr>
          <w:trHeight w:val="270" w:hRule="atLeast"/>
          <w:jc w:val="center"/>
        </w:trPr>
        <w:tc>
          <w:tcPr>
            <w:tcW w:w="76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1"/>
                <w:szCs w:val="21"/>
              </w:rPr>
            </w:pPr>
          </w:p>
        </w:tc>
        <w:tc>
          <w:tcPr>
            <w:tcW w:w="7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w:t>
            </w:r>
          </w:p>
        </w:tc>
        <w:tc>
          <w:tcPr>
            <w:tcW w:w="170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84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2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10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c>
          <w:tcPr>
            <w:tcW w:w="198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tc>
      </w:tr>
      <w:tr>
        <w:tblPrEx>
          <w:shd w:val="clear" w:color="auto" w:fill="auto"/>
          <w:tblCellMar>
            <w:top w:w="15" w:type="dxa"/>
            <w:left w:w="15" w:type="dxa"/>
            <w:bottom w:w="15" w:type="dxa"/>
            <w:right w:w="15" w:type="dxa"/>
          </w:tblCellMar>
        </w:tblPrEx>
        <w:trPr>
          <w:trHeight w:val="952" w:hRule="atLeast"/>
          <w:jc w:val="center"/>
        </w:trPr>
        <w:tc>
          <w:tcPr>
            <w:tcW w:w="769" w:type="dxa"/>
            <w:tcBorders>
              <w:top w:val="nil"/>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说明</w:t>
            </w:r>
          </w:p>
        </w:tc>
        <w:tc>
          <w:tcPr>
            <w:tcW w:w="9291" w:type="dxa"/>
            <w:gridSpan w:val="8"/>
            <w:tcBorders>
              <w:top w:val="nil"/>
              <w:left w:val="nil"/>
              <w:bottom w:val="nil"/>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请在此处简要说明各级监督检查中发现的问题及其所涉及的金额，如没有请填无</w:t>
            </w:r>
          </w:p>
        </w:tc>
      </w:tr>
      <w:tr>
        <w:tblPrEx>
          <w:shd w:val="clear" w:color="auto" w:fill="auto"/>
          <w:tblCellMar>
            <w:top w:w="15" w:type="dxa"/>
            <w:left w:w="15" w:type="dxa"/>
            <w:bottom w:w="15" w:type="dxa"/>
            <w:right w:w="15" w:type="dxa"/>
          </w:tblCellMar>
        </w:tblPrEx>
        <w:trPr>
          <w:trHeight w:val="1785" w:hRule="atLeast"/>
          <w:jc w:val="center"/>
        </w:trPr>
        <w:tc>
          <w:tcPr>
            <w:tcW w:w="10060" w:type="dxa"/>
            <w:gridSpan w:val="9"/>
            <w:tcBorders>
              <w:top w:val="single" w:color="auto" w:sz="8" w:space="0"/>
              <w:left w:val="nil"/>
              <w:bottom w:val="nil"/>
              <w:right w:val="nil"/>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注：1、其他资金包括和中央、省、市补助、地方财政资金共同投入到同一项目的自有资金、社会资金，以及以前年度的结转结余资金等。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2、定量指标，资金使用单位填写本地区实际完成数。各部门汇总时，对绝对值直接累加计算，相对值按照资金额度加权平均计算。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3、定性指标根据指标完成情况分为：全部或基本达成预期指标、部分达成预期指标并具有一定效果、未达成预期指标且效果较差三档，资金使用单位分别按照100％—</w:t>
            </w:r>
            <w:r>
              <w:rPr>
                <w:rFonts w:hint="eastAsia" w:ascii="微软雅黑" w:hAnsi="微软雅黑" w:eastAsia="微软雅黑" w:cs="微软雅黑"/>
                <w:kern w:val="0"/>
                <w:sz w:val="24"/>
                <w:szCs w:val="24"/>
                <w:lang w:val="en-US" w:eastAsia="zh-CN" w:bidi="ar"/>
              </w:rPr>
              <w:t>80</w:t>
            </w:r>
            <w:r>
              <w:rPr>
                <w:rFonts w:hint="eastAsia" w:ascii="微软雅黑" w:hAnsi="微软雅黑" w:eastAsia="微软雅黑" w:cs="微软雅黑"/>
                <w:kern w:val="0"/>
                <w:sz w:val="21"/>
                <w:szCs w:val="21"/>
                <w:lang w:val="en-US" w:eastAsia="zh-CN" w:bidi="ar"/>
              </w:rPr>
              <w:t>％（含）、80％—</w:t>
            </w:r>
            <w:r>
              <w:rPr>
                <w:rFonts w:hint="eastAsia" w:ascii="微软雅黑" w:hAnsi="微软雅黑" w:eastAsia="微软雅黑" w:cs="微软雅黑"/>
                <w:kern w:val="0"/>
                <w:sz w:val="24"/>
                <w:szCs w:val="24"/>
                <w:lang w:val="en-US" w:eastAsia="zh-CN" w:bidi="ar"/>
              </w:rPr>
              <w:t>60</w:t>
            </w:r>
            <w:r>
              <w:rPr>
                <w:rFonts w:hint="eastAsia" w:ascii="微软雅黑" w:hAnsi="微软雅黑" w:eastAsia="微软雅黑" w:cs="微软雅黑"/>
                <w:kern w:val="0"/>
                <w:sz w:val="21"/>
                <w:szCs w:val="21"/>
                <w:lang w:val="en-US" w:eastAsia="zh-CN" w:bidi="ar"/>
              </w:rPr>
              <w:t>％（含）、60％—</w:t>
            </w:r>
            <w:r>
              <w:rPr>
                <w:rFonts w:hint="eastAsia" w:ascii="微软雅黑" w:hAnsi="微软雅黑" w:eastAsia="微软雅黑" w:cs="微软雅黑"/>
                <w:kern w:val="0"/>
                <w:sz w:val="24"/>
                <w:szCs w:val="24"/>
                <w:lang w:val="en-US" w:eastAsia="zh-CN" w:bidi="ar"/>
              </w:rPr>
              <w:t>0</w:t>
            </w:r>
            <w:r>
              <w:rPr>
                <w:rFonts w:hint="eastAsia" w:ascii="微软雅黑" w:hAnsi="微软雅黑" w:eastAsia="微软雅黑" w:cs="微软雅黑"/>
                <w:kern w:val="0"/>
                <w:sz w:val="21"/>
                <w:szCs w:val="21"/>
                <w:lang w:val="en-US" w:eastAsia="zh-CN" w:bidi="ar"/>
              </w:rPr>
              <w:t>％合理填写完成比例。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kern w:val="0"/>
                <w:sz w:val="21"/>
                <w:szCs w:val="21"/>
                <w:lang w:val="en-US" w:eastAsia="zh-CN" w:bidi="ar"/>
              </w:rPr>
              <w:t>4、各主管部门及资金使用单位填写《自评表》并报送同级财政部门审核后，形成县级专项资金《自评表》。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654F2"/>
    <w:rsid w:val="5B77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2021-06-07T02:58:00Z</dcterms:created>
  <dc:creator>Administrator</dc:creator>
  <cp:lastModifiedBy>银</cp:lastModifiedBy>
  <dcterms:modified xsi:type="dcterms:W3CDTF">2021-06-07T03:01:09Z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10C6204B6D1F4BDBB9218F4851DD0037</vt:lpwstr>
  </property>
</Properties>
</file>